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образования и науки Российской Федерации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Севастопольский государственный университет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ИС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дисциплине: “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Теоретические основы построения компиляторов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«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АЛГОРИТМА ВОСХОДЯЩЕГО АНАЛИЗАТОРА ЯЗЫКА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ГРАММАТИКИ ПРОСТОГО ПРЕДШЕСТВОВАНИЯ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»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ст.гр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ИС/б-20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-1-о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Галенин А. К.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Карлусов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В.Ю.</w:t>
      </w:r>
      <w:r>
        <w:rPr>
          <w:rFonts w:ascii="Times New Roman" w:hAnsi="Times New Roman" w:cs="Times New Roman"/>
          <w:color w:val="0d0d0d" w:themeColor="text1" w:themeTint="F2"/>
          <w:sz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2023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 ЦЕЛЬ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Изучить синтаксические анализаторы, базирующиеся на свойствах простого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предшествования.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Освоить описание синтаксиса языков программирования грамматиками предше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ствования.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Получить исследовательские навыки построения отношений предшествования.</w:t>
      </w:r>
      <w: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Освоить правила преобразования произвольной грамматики в грамматику пред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шествования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Исследовать временные показатели программы, реализующие алгоритм разбора</w:t>
      </w:r>
      <w: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предложений языка грамматики простого предшествования.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 ПОСТАНОВКА ЗАДАЧИ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Вариант 11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1.1.15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Фрагмент программы для анализа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34"/>
        <w:gridCol w:w="1134"/>
        <w:gridCol w:w="4394"/>
      </w:tblGrid>
      <w:tr>
        <w:trPr/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вар.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Служебные слова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Borders/>
            <w:tcW w:w="226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Разделители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Фрагмент программы для анализа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однолитерные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двули-терные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(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+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%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&lt;=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WAIT(S)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K=K+5.3 %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C=K+C+1 %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SIGNAL(S&lt;=0xf)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 ХОД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 качестве исходной грамматики была взята грамматика, разработанная 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лабораторной работе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№ 3.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&lt;фрагмент&gt; ::= WAIT(&lt;iden&gt;) &lt;тело программы&gt;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&lt;тело программы&gt; ::= &lt;оператор&gt;&lt;тело программы&gt;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&lt;тело программы&gt; ::= SIGNAL(&lt;выражение&gt;)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&lt;выражение&gt; ::= (&lt;iden&gt;&lt;конец выражения&gt;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&lt;конец выражения&gt; ::= &lt;знак&gt;&lt;операнд&gt;&lt;конец выражения&gt;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&lt;конец выражения&gt; ::= 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&lt;оператор&gt; :: = &lt;iden&gt; = &lt;iden&gt;&lt;продолжение&gt;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&lt;продолжение&gt; ::= &lt;знак&gt;&lt;операнд&gt; &lt;продолжение&gt; | %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&lt;операнд&gt; ::= &lt;iden&gt;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&lt;операнд&gt; ::= &lt;data&gt;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&lt;знак&gt; ::= +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&lt;знак&gt; ::= &lt;=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  <w:t xml:space="preserve">&lt;знак&gt; ::= &gt;=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Была составлена матрица отношений EQ, F и L, которая представлена в таблице 1.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0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1 – Матрица отношений EQ, F, 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1524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>
        <w:trPr>
          <w:trHeight w:val="1671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фрагмент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тело программы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выражение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конец выражения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оператор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продолжение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операнд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знак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WAIT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SIGNAL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iden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data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(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)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&gt;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=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+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%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&gt;=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btLr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&lt;=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фрагмент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487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тело программы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выражение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487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конец выражения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f,l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оператор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e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продолжение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f,l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операнд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e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f,l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f,l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знак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e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f,l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f,l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f,l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WAIT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e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SIGNAL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e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iden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e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data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(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e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)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&gt;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=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e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+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%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e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&gt;=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69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  <w:t xml:space="preserve">&lt;=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На основе полученной матрицы были составлены матрицы отношений EQ, F и L, которые представлены в таблицах 2-4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pacing w:after="0" w:afterAutospacing="0" w:line="360" w:lineRule="auto"/>
        <w:ind w:firstLine="0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Двоичная матрица отношений EQ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175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rPr>
          <w:trHeight w:val="28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EQ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17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18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19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0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3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Двоичная матрица отношений F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175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rPr>
          <w:trHeight w:val="28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17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18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19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</w:tbl>
    <w:p>
      <w:pPr>
        <w:suppressLineNumbers w:val="false"/>
        <w:pBdr/>
        <w:spacing w:after="0" w:afterAutospacing="0" w:line="360" w:lineRule="auto"/>
        <w:ind w:firstLine="0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4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Двоичная матрица отношений 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ook w:val="04A0" w:firstRow="1" w:lastRow="0" w:firstColumn="1" w:lastColumn="0" w:noHBand="0" w:noVBand="1"/>
      </w:tblPr>
      <w:tblGrid>
        <w:gridCol w:w="175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rPr>
          <w:trHeight w:val="28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15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17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18</w:t>
            </w:r>
            <w:r/>
          </w:p>
        </w:tc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19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15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17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18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  <w:tr>
        <w:trPr>
          <w:trHeight w:val="280"/>
        </w:trPr>
        <w:tc>
          <w:tcPr>
            <w:shd w:val="clear" w:color="d8d8d8" w:fill="d8d8d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5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19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4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Была написана программа, строящая на основе двоичных матриц отношений EQ, F, L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итоговую матрицу отношений &lt;•, ≡, •&gt;.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Для программной реализации символы отношений были закодированы:</w:t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&lt;• – 1;</w:t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≡ – 2;</w:t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•&gt; – 3.</w:t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Пустые ячейки матрицы были заполнены кодами ошибок:</w:t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“Неверная структура программы” – 4;</w:t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“Ошибка компоновки тела модуля” – 5;</w:t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“Ошибка составления выражения” – 6;</w:t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“Недопустимая комбинация знаков” – 7.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Была получена диагностическая матрица распознавателя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, представленная на рисунке 1.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2782" cy="53681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219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052781" cy="5368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9.12pt;height:422.6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Диагностическая матрица распознавателя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Затем программа была проверена, результат работы продемонстрирован на рисунке 2.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2114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5783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705224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1.75pt;height:166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Результат выполнения программы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 ходе выполнения лабораторной работы были изучены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синтаксические анализаторы, базирующиеся на свойствах простого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предшествования.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Освоено описание синтаксиса языков программирования грамматиками предше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ствования.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Получены исследовательские навыки построения отношений предшествования.</w:t>
      </w:r>
      <w: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Освоены правила преобразования произвольной грамматики в грамматику пред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шествования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Исследованы временные показатели программы, реализующие алгоритм разбора</w:t>
      </w:r>
      <w: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предложений языка грамматики простого предшествования.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2024-02-06T17:19:04Z</dcterms:modified>
</cp:coreProperties>
</file>