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7"/>
        <w:gridCol w:w="3664"/>
      </w:tblGrid>
      <w:tr w:rsidR="004A5D6F" w:rsidRPr="00696A3A" w:rsidTr="00F60AB6">
        <w:trPr>
          <w:trHeight w:hRule="exact" w:val="418"/>
          <w:jc w:val="center"/>
        </w:trPr>
        <w:tc>
          <w:tcPr>
            <w:tcW w:w="8721" w:type="dxa"/>
            <w:gridSpan w:val="2"/>
          </w:tcPr>
          <w:p w:rsidR="004A5D6F" w:rsidRPr="00696A3A" w:rsidRDefault="004A5D6F" w:rsidP="00FF68EE">
            <w:pPr>
              <w:pStyle w:val="Header"/>
              <w:jc w:val="center"/>
              <w:rPr>
                <w:rFonts w:ascii="Tahoma" w:hAnsi="Tahoma" w:cs="Tahoma"/>
                <w:color w:val="000080"/>
                <w:rtl/>
              </w:rPr>
            </w:pPr>
            <w:bookmarkStart w:id="0" w:name="FirstLawyer"/>
            <w:bookmarkStart w:id="1" w:name="LastJudge"/>
            <w:r w:rsidRPr="00696A3A">
              <w:rPr>
                <w:rFonts w:ascii="Tahoma" w:hAnsi="Tahoma" w:cs="Tahoma"/>
                <w:b/>
                <w:bCs/>
                <w:color w:val="000080"/>
                <w:rtl/>
              </w:rPr>
              <w:t>בית המשפט המחוזי מרכז-לוד</w:t>
            </w:r>
          </w:p>
        </w:tc>
      </w:tr>
      <w:tr w:rsidR="004A5D6F" w:rsidRPr="00A05150" w:rsidTr="00F60AB6">
        <w:trPr>
          <w:trHeight w:val="337"/>
          <w:jc w:val="center"/>
        </w:trPr>
        <w:tc>
          <w:tcPr>
            <w:tcW w:w="5057" w:type="dxa"/>
          </w:tcPr>
          <w:p w:rsidR="004A5D6F" w:rsidRPr="00A05150" w:rsidRDefault="004A5D6F" w:rsidP="00FF68EE">
            <w:pPr>
              <w:rPr>
                <w:rFonts w:ascii="David" w:hAnsi="David"/>
                <w:b/>
                <w:bCs/>
                <w:sz w:val="26"/>
                <w:szCs w:val="26"/>
                <w:rtl/>
              </w:rPr>
            </w:pPr>
            <w:r w:rsidRPr="00A05150">
              <w:rPr>
                <w:rFonts w:ascii="David" w:hAnsi="David"/>
                <w:b/>
                <w:bCs/>
                <w:sz w:val="26"/>
                <w:szCs w:val="26"/>
                <w:rtl/>
              </w:rPr>
              <w:t>ת"פ 5778-09-20 מדינת ישראל נ' חדיד</w:t>
            </w:r>
            <w:r w:rsidR="00A05150">
              <w:rPr>
                <w:rFonts w:ascii="David" w:hAnsi="David" w:hint="cs"/>
                <w:b/>
                <w:bCs/>
                <w:sz w:val="26"/>
                <w:szCs w:val="26"/>
                <w:rtl/>
              </w:rPr>
              <w:t xml:space="preserve"> </w:t>
            </w:r>
            <w:r w:rsidRPr="00A05150">
              <w:rPr>
                <w:rFonts w:ascii="David" w:hAnsi="David"/>
                <w:b/>
                <w:bCs/>
                <w:sz w:val="26"/>
                <w:szCs w:val="26"/>
                <w:rtl/>
              </w:rPr>
              <w:t>(עציר)</w:t>
            </w:r>
          </w:p>
          <w:p w:rsidR="004A5D6F" w:rsidRPr="00A05150" w:rsidRDefault="004A5D6F" w:rsidP="00FF68EE">
            <w:pPr>
              <w:pStyle w:val="Header"/>
              <w:rPr>
                <w:rFonts w:ascii="David" w:hAnsi="David"/>
                <w:b/>
                <w:bCs/>
                <w:sz w:val="26"/>
                <w:szCs w:val="26"/>
                <w:rtl/>
              </w:rPr>
            </w:pPr>
          </w:p>
        </w:tc>
        <w:tc>
          <w:tcPr>
            <w:tcW w:w="3664" w:type="dxa"/>
          </w:tcPr>
          <w:p w:rsidR="004A5D6F" w:rsidRPr="00A05150" w:rsidRDefault="004A5D6F" w:rsidP="00FF68EE">
            <w:pPr>
              <w:pStyle w:val="Header"/>
              <w:jc w:val="right"/>
              <w:rPr>
                <w:rFonts w:ascii="David" w:hAnsi="David"/>
                <w:b/>
                <w:bCs/>
                <w:sz w:val="26"/>
                <w:szCs w:val="26"/>
                <w:rtl/>
              </w:rPr>
            </w:pPr>
          </w:p>
        </w:tc>
      </w:tr>
    </w:tbl>
    <w:p w:rsidR="004A5D6F" w:rsidRPr="00A05150" w:rsidRDefault="004A5D6F" w:rsidP="00A05150">
      <w:pPr>
        <w:pStyle w:val="Header"/>
        <w:rPr>
          <w:rFonts w:ascii="David" w:hAnsi="David"/>
          <w:sz w:val="26"/>
          <w:szCs w:val="26"/>
          <w:rtl/>
        </w:rPr>
      </w:pPr>
      <w:r w:rsidRPr="00A05150">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A5D6F" w:rsidRPr="00A05150" w:rsidTr="004A5D6F">
        <w:trPr>
          <w:trHeight w:val="295"/>
          <w:jc w:val="center"/>
        </w:trPr>
        <w:tc>
          <w:tcPr>
            <w:tcW w:w="923" w:type="dxa"/>
            <w:tcBorders>
              <w:top w:val="nil"/>
              <w:left w:val="nil"/>
              <w:bottom w:val="nil"/>
              <w:right w:val="nil"/>
            </w:tcBorders>
            <w:shd w:val="clear" w:color="auto" w:fill="auto"/>
          </w:tcPr>
          <w:p w:rsidR="004A5D6F" w:rsidRPr="00A05150" w:rsidRDefault="004A5D6F" w:rsidP="004A5D6F">
            <w:pPr>
              <w:jc w:val="both"/>
              <w:rPr>
                <w:rFonts w:ascii="David" w:hAnsi="David"/>
                <w:b/>
                <w:bCs/>
                <w:sz w:val="26"/>
                <w:szCs w:val="26"/>
              </w:rPr>
            </w:pPr>
            <w:r w:rsidRPr="00A05150">
              <w:rPr>
                <w:rFonts w:ascii="David" w:hAnsi="David"/>
                <w:b/>
                <w:bCs/>
                <w:sz w:val="26"/>
                <w:szCs w:val="26"/>
                <w:rtl/>
              </w:rPr>
              <w:t xml:space="preserve">בפני </w:t>
            </w:r>
          </w:p>
        </w:tc>
        <w:tc>
          <w:tcPr>
            <w:tcW w:w="7897" w:type="dxa"/>
            <w:gridSpan w:val="2"/>
            <w:tcBorders>
              <w:top w:val="nil"/>
              <w:left w:val="nil"/>
              <w:bottom w:val="nil"/>
              <w:right w:val="nil"/>
            </w:tcBorders>
            <w:shd w:val="clear" w:color="auto" w:fill="auto"/>
          </w:tcPr>
          <w:p w:rsidR="004A5D6F" w:rsidRPr="00A05150" w:rsidRDefault="004A5D6F" w:rsidP="00A05150">
            <w:pPr>
              <w:rPr>
                <w:rFonts w:ascii="David" w:hAnsi="David"/>
                <w:b/>
                <w:bCs/>
                <w:sz w:val="26"/>
                <w:szCs w:val="26"/>
                <w:rtl/>
              </w:rPr>
            </w:pPr>
            <w:r w:rsidRPr="00A05150">
              <w:rPr>
                <w:rFonts w:ascii="David" w:hAnsi="David"/>
                <w:b/>
                <w:bCs/>
                <w:sz w:val="26"/>
                <w:szCs w:val="26"/>
                <w:rtl/>
              </w:rPr>
              <w:t>כבוד השופט  חגי טרסי</w:t>
            </w:r>
          </w:p>
          <w:p w:rsidR="004A5D6F" w:rsidRPr="00A05150" w:rsidRDefault="004A5D6F" w:rsidP="004A5D6F">
            <w:pPr>
              <w:jc w:val="both"/>
              <w:rPr>
                <w:rFonts w:ascii="David" w:hAnsi="David"/>
                <w:b/>
                <w:bCs/>
                <w:sz w:val="26"/>
                <w:szCs w:val="26"/>
              </w:rPr>
            </w:pPr>
          </w:p>
        </w:tc>
      </w:tr>
      <w:tr w:rsidR="004A5D6F" w:rsidRPr="00A05150" w:rsidTr="004A5D6F">
        <w:trPr>
          <w:trHeight w:val="355"/>
          <w:jc w:val="center"/>
        </w:trPr>
        <w:tc>
          <w:tcPr>
            <w:tcW w:w="923" w:type="dxa"/>
            <w:tcBorders>
              <w:top w:val="nil"/>
              <w:left w:val="nil"/>
              <w:bottom w:val="nil"/>
              <w:right w:val="nil"/>
            </w:tcBorders>
            <w:shd w:val="clear" w:color="auto" w:fill="auto"/>
          </w:tcPr>
          <w:p w:rsidR="004A5D6F" w:rsidRPr="00A05150" w:rsidRDefault="004A5D6F" w:rsidP="004A5D6F">
            <w:pPr>
              <w:jc w:val="both"/>
              <w:rPr>
                <w:rFonts w:ascii="David" w:hAnsi="David"/>
                <w:b/>
                <w:bCs/>
                <w:sz w:val="26"/>
                <w:szCs w:val="26"/>
              </w:rPr>
            </w:pPr>
            <w:bookmarkStart w:id="2" w:name="FirstAppellant"/>
            <w:r w:rsidRPr="00A05150">
              <w:rPr>
                <w:rFonts w:ascii="David" w:hAnsi="David"/>
                <w:b/>
                <w:bCs/>
                <w:sz w:val="26"/>
                <w:szCs w:val="26"/>
                <w:rtl/>
              </w:rPr>
              <w:t>בעניין:</w:t>
            </w:r>
          </w:p>
        </w:tc>
        <w:tc>
          <w:tcPr>
            <w:tcW w:w="4126" w:type="dxa"/>
            <w:tcBorders>
              <w:top w:val="nil"/>
              <w:left w:val="nil"/>
              <w:bottom w:val="nil"/>
              <w:right w:val="nil"/>
            </w:tcBorders>
            <w:shd w:val="clear" w:color="auto" w:fill="auto"/>
          </w:tcPr>
          <w:p w:rsidR="004A5D6F" w:rsidRPr="00A05150" w:rsidRDefault="004A5D6F" w:rsidP="00FF68EE">
            <w:pPr>
              <w:rPr>
                <w:rFonts w:ascii="David" w:hAnsi="David"/>
                <w:b/>
                <w:bCs/>
                <w:sz w:val="26"/>
                <w:szCs w:val="26"/>
              </w:rPr>
            </w:pPr>
            <w:r w:rsidRPr="00A05150">
              <w:rPr>
                <w:rFonts w:ascii="David" w:hAnsi="David"/>
                <w:b/>
                <w:bCs/>
                <w:sz w:val="26"/>
                <w:szCs w:val="26"/>
                <w:rtl/>
              </w:rPr>
              <w:t>מדינת ישראל</w:t>
            </w:r>
          </w:p>
        </w:tc>
        <w:tc>
          <w:tcPr>
            <w:tcW w:w="3771" w:type="dxa"/>
            <w:tcBorders>
              <w:top w:val="nil"/>
              <w:left w:val="nil"/>
              <w:bottom w:val="nil"/>
              <w:right w:val="nil"/>
            </w:tcBorders>
            <w:shd w:val="clear" w:color="auto" w:fill="auto"/>
          </w:tcPr>
          <w:p w:rsidR="004A5D6F" w:rsidRPr="00A05150" w:rsidRDefault="004A5D6F" w:rsidP="004A5D6F">
            <w:pPr>
              <w:jc w:val="both"/>
              <w:rPr>
                <w:rFonts w:ascii="David" w:hAnsi="David"/>
                <w:b/>
                <w:bCs/>
                <w:sz w:val="26"/>
                <w:szCs w:val="26"/>
              </w:rPr>
            </w:pPr>
          </w:p>
        </w:tc>
      </w:tr>
      <w:bookmarkEnd w:id="2"/>
      <w:tr w:rsidR="004A5D6F" w:rsidRPr="00A05150" w:rsidTr="004A5D6F">
        <w:trPr>
          <w:trHeight w:val="355"/>
          <w:jc w:val="center"/>
        </w:trPr>
        <w:tc>
          <w:tcPr>
            <w:tcW w:w="923" w:type="dxa"/>
            <w:tcBorders>
              <w:top w:val="nil"/>
              <w:left w:val="nil"/>
              <w:bottom w:val="nil"/>
              <w:right w:val="nil"/>
            </w:tcBorders>
            <w:shd w:val="clear" w:color="auto" w:fill="auto"/>
          </w:tcPr>
          <w:p w:rsidR="004A5D6F" w:rsidRPr="00A05150" w:rsidRDefault="004A5D6F" w:rsidP="004A5D6F">
            <w:pPr>
              <w:jc w:val="both"/>
              <w:rPr>
                <w:rFonts w:ascii="David" w:hAnsi="David"/>
                <w:b/>
                <w:bCs/>
                <w:sz w:val="26"/>
                <w:szCs w:val="26"/>
                <w:rtl/>
              </w:rPr>
            </w:pPr>
          </w:p>
        </w:tc>
        <w:tc>
          <w:tcPr>
            <w:tcW w:w="4126" w:type="dxa"/>
            <w:tcBorders>
              <w:top w:val="nil"/>
              <w:left w:val="nil"/>
              <w:bottom w:val="nil"/>
              <w:right w:val="nil"/>
            </w:tcBorders>
            <w:shd w:val="clear" w:color="auto" w:fill="auto"/>
          </w:tcPr>
          <w:p w:rsidR="004A5D6F" w:rsidRPr="00A05150" w:rsidRDefault="004A5D6F" w:rsidP="004A5D6F">
            <w:pPr>
              <w:jc w:val="both"/>
              <w:rPr>
                <w:rFonts w:ascii="David" w:hAnsi="David"/>
                <w:b/>
                <w:bCs/>
                <w:sz w:val="26"/>
                <w:szCs w:val="26"/>
                <w:rtl/>
              </w:rPr>
            </w:pPr>
          </w:p>
        </w:tc>
        <w:tc>
          <w:tcPr>
            <w:tcW w:w="3771" w:type="dxa"/>
            <w:tcBorders>
              <w:top w:val="nil"/>
              <w:left w:val="nil"/>
              <w:bottom w:val="nil"/>
              <w:right w:val="nil"/>
            </w:tcBorders>
            <w:shd w:val="clear" w:color="auto" w:fill="auto"/>
          </w:tcPr>
          <w:p w:rsidR="004A5D6F" w:rsidRPr="00A05150" w:rsidRDefault="004A5D6F" w:rsidP="004A5D6F">
            <w:pPr>
              <w:jc w:val="right"/>
              <w:rPr>
                <w:rFonts w:ascii="David" w:hAnsi="David"/>
                <w:b/>
                <w:bCs/>
                <w:sz w:val="26"/>
                <w:szCs w:val="26"/>
                <w:rtl/>
              </w:rPr>
            </w:pPr>
            <w:r w:rsidRPr="00A05150">
              <w:rPr>
                <w:rFonts w:ascii="David" w:hAnsi="David"/>
                <w:b/>
                <w:bCs/>
                <w:sz w:val="26"/>
                <w:szCs w:val="26"/>
                <w:rtl/>
              </w:rPr>
              <w:t>המאשימה</w:t>
            </w:r>
          </w:p>
        </w:tc>
      </w:tr>
      <w:tr w:rsidR="00A05150" w:rsidRPr="00A05150" w:rsidTr="00FE33A9">
        <w:trPr>
          <w:trHeight w:val="355"/>
          <w:jc w:val="center"/>
        </w:trPr>
        <w:tc>
          <w:tcPr>
            <w:tcW w:w="8820" w:type="dxa"/>
            <w:gridSpan w:val="3"/>
            <w:tcBorders>
              <w:top w:val="nil"/>
              <w:left w:val="nil"/>
              <w:bottom w:val="nil"/>
              <w:right w:val="nil"/>
            </w:tcBorders>
            <w:shd w:val="clear" w:color="auto" w:fill="auto"/>
          </w:tcPr>
          <w:p w:rsidR="00A05150" w:rsidRPr="00A05150" w:rsidRDefault="00A05150" w:rsidP="004A5D6F">
            <w:pPr>
              <w:jc w:val="center"/>
              <w:rPr>
                <w:rFonts w:ascii="David" w:hAnsi="David"/>
                <w:b/>
                <w:bCs/>
                <w:sz w:val="26"/>
                <w:szCs w:val="26"/>
                <w:rtl/>
              </w:rPr>
            </w:pPr>
          </w:p>
          <w:p w:rsidR="00A05150" w:rsidRPr="00A05150" w:rsidRDefault="00A05150" w:rsidP="004A5D6F">
            <w:pPr>
              <w:jc w:val="center"/>
              <w:rPr>
                <w:rFonts w:ascii="David" w:hAnsi="David"/>
                <w:b/>
                <w:bCs/>
                <w:sz w:val="26"/>
                <w:szCs w:val="26"/>
                <w:rtl/>
              </w:rPr>
            </w:pPr>
            <w:r w:rsidRPr="00A05150">
              <w:rPr>
                <w:rFonts w:ascii="David" w:hAnsi="David"/>
                <w:b/>
                <w:bCs/>
                <w:sz w:val="26"/>
                <w:szCs w:val="26"/>
                <w:rtl/>
              </w:rPr>
              <w:t>נגד</w:t>
            </w:r>
          </w:p>
          <w:p w:rsidR="00A05150" w:rsidRPr="00A05150" w:rsidRDefault="00A05150" w:rsidP="004A5D6F">
            <w:pPr>
              <w:jc w:val="both"/>
              <w:rPr>
                <w:rFonts w:ascii="David" w:hAnsi="David"/>
                <w:b/>
                <w:bCs/>
                <w:sz w:val="26"/>
                <w:szCs w:val="26"/>
              </w:rPr>
            </w:pPr>
          </w:p>
        </w:tc>
      </w:tr>
      <w:tr w:rsidR="004A5D6F" w:rsidRPr="00A05150" w:rsidTr="004A5D6F">
        <w:trPr>
          <w:trHeight w:val="355"/>
          <w:jc w:val="center"/>
        </w:trPr>
        <w:tc>
          <w:tcPr>
            <w:tcW w:w="923" w:type="dxa"/>
            <w:tcBorders>
              <w:top w:val="nil"/>
              <w:left w:val="nil"/>
              <w:bottom w:val="nil"/>
              <w:right w:val="nil"/>
            </w:tcBorders>
            <w:shd w:val="clear" w:color="auto" w:fill="auto"/>
          </w:tcPr>
          <w:p w:rsidR="004A5D6F" w:rsidRPr="00A05150" w:rsidRDefault="004A5D6F" w:rsidP="00FF68EE">
            <w:pPr>
              <w:rPr>
                <w:rFonts w:ascii="David" w:hAnsi="David"/>
                <w:b/>
                <w:bCs/>
                <w:sz w:val="26"/>
                <w:szCs w:val="26"/>
                <w:rtl/>
              </w:rPr>
            </w:pPr>
          </w:p>
        </w:tc>
        <w:tc>
          <w:tcPr>
            <w:tcW w:w="4126" w:type="dxa"/>
            <w:tcBorders>
              <w:top w:val="nil"/>
              <w:left w:val="nil"/>
              <w:bottom w:val="nil"/>
              <w:right w:val="nil"/>
            </w:tcBorders>
            <w:shd w:val="clear" w:color="auto" w:fill="auto"/>
          </w:tcPr>
          <w:p w:rsidR="004A5D6F" w:rsidRPr="00A05150" w:rsidRDefault="004A5D6F" w:rsidP="00FF68EE">
            <w:pPr>
              <w:rPr>
                <w:rFonts w:ascii="David" w:hAnsi="David"/>
                <w:b/>
                <w:bCs/>
                <w:sz w:val="26"/>
                <w:szCs w:val="26"/>
                <w:rtl/>
              </w:rPr>
            </w:pPr>
            <w:r w:rsidRPr="00A05150">
              <w:rPr>
                <w:rFonts w:ascii="David" w:hAnsi="David"/>
                <w:b/>
                <w:bCs/>
                <w:sz w:val="26"/>
                <w:szCs w:val="26"/>
                <w:rtl/>
              </w:rPr>
              <w:t>סטיב חדיד (עציר)</w:t>
            </w:r>
            <w:r w:rsidRPr="00A05150">
              <w:rPr>
                <w:rFonts w:ascii="David" w:hAnsi="David"/>
                <w:b/>
                <w:bCs/>
                <w:sz w:val="26"/>
                <w:szCs w:val="26"/>
                <w:rtl/>
              </w:rPr>
              <w:br/>
              <w:t>ע"י ב"כ עו"ד שאדי כבהה</w:t>
            </w:r>
          </w:p>
        </w:tc>
        <w:tc>
          <w:tcPr>
            <w:tcW w:w="3771" w:type="dxa"/>
            <w:tcBorders>
              <w:top w:val="nil"/>
              <w:left w:val="nil"/>
              <w:bottom w:val="nil"/>
              <w:right w:val="nil"/>
            </w:tcBorders>
            <w:shd w:val="clear" w:color="auto" w:fill="auto"/>
          </w:tcPr>
          <w:p w:rsidR="004A5D6F" w:rsidRPr="00A05150" w:rsidRDefault="004A5D6F" w:rsidP="004A5D6F">
            <w:pPr>
              <w:jc w:val="right"/>
              <w:rPr>
                <w:rFonts w:ascii="David" w:hAnsi="David"/>
                <w:b/>
                <w:bCs/>
                <w:sz w:val="26"/>
                <w:szCs w:val="26"/>
              </w:rPr>
            </w:pPr>
          </w:p>
        </w:tc>
      </w:tr>
      <w:tr w:rsidR="004A5D6F" w:rsidRPr="00A05150" w:rsidTr="004A5D6F">
        <w:trPr>
          <w:trHeight w:val="355"/>
          <w:jc w:val="center"/>
        </w:trPr>
        <w:tc>
          <w:tcPr>
            <w:tcW w:w="923" w:type="dxa"/>
            <w:tcBorders>
              <w:top w:val="nil"/>
              <w:left w:val="nil"/>
              <w:bottom w:val="nil"/>
              <w:right w:val="nil"/>
            </w:tcBorders>
            <w:shd w:val="clear" w:color="auto" w:fill="auto"/>
          </w:tcPr>
          <w:p w:rsidR="004A5D6F" w:rsidRPr="00A05150" w:rsidRDefault="004A5D6F" w:rsidP="004A5D6F">
            <w:pPr>
              <w:jc w:val="both"/>
              <w:rPr>
                <w:rFonts w:ascii="David" w:hAnsi="David"/>
                <w:b/>
                <w:bCs/>
                <w:sz w:val="26"/>
                <w:szCs w:val="26"/>
                <w:rtl/>
              </w:rPr>
            </w:pPr>
          </w:p>
        </w:tc>
        <w:tc>
          <w:tcPr>
            <w:tcW w:w="4126" w:type="dxa"/>
            <w:tcBorders>
              <w:top w:val="nil"/>
              <w:left w:val="nil"/>
              <w:bottom w:val="nil"/>
              <w:right w:val="nil"/>
            </w:tcBorders>
            <w:shd w:val="clear" w:color="auto" w:fill="auto"/>
          </w:tcPr>
          <w:p w:rsidR="004A5D6F" w:rsidRPr="00A05150" w:rsidRDefault="004A5D6F" w:rsidP="004A5D6F">
            <w:pPr>
              <w:jc w:val="both"/>
              <w:rPr>
                <w:rFonts w:ascii="David" w:hAnsi="David"/>
                <w:b/>
                <w:bCs/>
                <w:sz w:val="26"/>
                <w:szCs w:val="26"/>
                <w:rtl/>
              </w:rPr>
            </w:pPr>
          </w:p>
        </w:tc>
        <w:tc>
          <w:tcPr>
            <w:tcW w:w="3771" w:type="dxa"/>
            <w:tcBorders>
              <w:top w:val="nil"/>
              <w:left w:val="nil"/>
              <w:bottom w:val="nil"/>
              <w:right w:val="nil"/>
            </w:tcBorders>
            <w:shd w:val="clear" w:color="auto" w:fill="auto"/>
          </w:tcPr>
          <w:p w:rsidR="004A5D6F" w:rsidRPr="00A05150" w:rsidRDefault="004A5D6F" w:rsidP="004A5D6F">
            <w:pPr>
              <w:jc w:val="right"/>
              <w:rPr>
                <w:rFonts w:ascii="David" w:hAnsi="David"/>
                <w:b/>
                <w:bCs/>
                <w:sz w:val="26"/>
                <w:szCs w:val="26"/>
                <w:rtl/>
              </w:rPr>
            </w:pPr>
            <w:r w:rsidRPr="00A05150">
              <w:rPr>
                <w:rFonts w:ascii="David" w:hAnsi="David"/>
                <w:b/>
                <w:bCs/>
                <w:sz w:val="26"/>
                <w:szCs w:val="26"/>
                <w:rtl/>
              </w:rPr>
              <w:t>הנאשם</w:t>
            </w:r>
          </w:p>
        </w:tc>
      </w:tr>
    </w:tbl>
    <w:p w:rsidR="00A05150" w:rsidRDefault="00A05150" w:rsidP="00A05150">
      <w:pPr>
        <w:spacing w:before="120" w:after="120" w:line="240" w:lineRule="exact"/>
        <w:ind w:left="283" w:hanging="283"/>
        <w:jc w:val="both"/>
        <w:rPr>
          <w:rFonts w:ascii="FrankRuehl" w:hAnsi="FrankRuehl" w:cs="FrankRuehl" w:hint="cs"/>
          <w:rtl/>
        </w:rPr>
      </w:pPr>
      <w:bookmarkStart w:id="3" w:name="LawTable"/>
      <w:bookmarkEnd w:id="3"/>
    </w:p>
    <w:p w:rsidR="00A05150" w:rsidRPr="00A05150" w:rsidRDefault="00A05150" w:rsidP="00A05150">
      <w:pPr>
        <w:spacing w:before="120" w:after="120" w:line="240" w:lineRule="exact"/>
        <w:ind w:left="283" w:hanging="283"/>
        <w:jc w:val="both"/>
        <w:rPr>
          <w:rFonts w:ascii="FrankRuehl" w:hAnsi="FrankRuehl" w:cs="FrankRuehl"/>
          <w:rtl/>
        </w:rPr>
      </w:pPr>
      <w:r w:rsidRPr="00A05150">
        <w:rPr>
          <w:rFonts w:ascii="FrankRuehl" w:hAnsi="FrankRuehl" w:cs="FrankRuehl"/>
          <w:rtl/>
        </w:rPr>
        <w:t xml:space="preserve">חקיקה שאוזכרה: </w:t>
      </w:r>
    </w:p>
    <w:p w:rsidR="00A05150" w:rsidRPr="00A05150" w:rsidRDefault="00A05150" w:rsidP="00A05150">
      <w:pPr>
        <w:spacing w:before="120" w:after="120" w:line="240" w:lineRule="exact"/>
        <w:ind w:left="283" w:hanging="283"/>
        <w:jc w:val="both"/>
        <w:rPr>
          <w:rFonts w:ascii="FrankRuehl" w:hAnsi="FrankRuehl" w:cs="FrankRuehl"/>
          <w:color w:val="0000FF"/>
          <w:rtl/>
        </w:rPr>
      </w:pPr>
      <w:hyperlink r:id="rId7" w:history="1">
        <w:r w:rsidRPr="00A05150">
          <w:rPr>
            <w:rStyle w:val="Hyperlink"/>
            <w:rFonts w:ascii="FrankRuehl" w:hAnsi="FrankRuehl" w:cs="FrankRuehl"/>
            <w:u w:val="none"/>
            <w:rtl/>
          </w:rPr>
          <w:t>פקודת הסמים המסוכנים [נוסח חדש], תשל"ג-1973</w:t>
        </w:r>
      </w:hyperlink>
      <w:r w:rsidRPr="00A05150">
        <w:rPr>
          <w:rFonts w:ascii="FrankRuehl" w:hAnsi="FrankRuehl" w:cs="FrankRuehl"/>
          <w:color w:val="0000FF"/>
          <w:rtl/>
        </w:rPr>
        <w:t xml:space="preserve">: סע'  </w:t>
      </w:r>
      <w:hyperlink r:id="rId8" w:history="1">
        <w:r w:rsidRPr="00A05150">
          <w:rPr>
            <w:rStyle w:val="Hyperlink"/>
            <w:rFonts w:ascii="FrankRuehl" w:hAnsi="FrankRuehl" w:cs="FrankRuehl"/>
            <w:u w:val="none"/>
          </w:rPr>
          <w:t>7</w:t>
        </w:r>
      </w:hyperlink>
      <w:r w:rsidRPr="00A05150">
        <w:rPr>
          <w:rFonts w:ascii="FrankRuehl" w:hAnsi="FrankRuehl" w:cs="FrankRuehl"/>
          <w:color w:val="0000FF"/>
          <w:rtl/>
        </w:rPr>
        <w:t xml:space="preserve">(ג), </w:t>
      </w:r>
      <w:hyperlink r:id="rId9" w:history="1">
        <w:r w:rsidRPr="00A05150">
          <w:rPr>
            <w:rStyle w:val="Hyperlink"/>
            <w:rFonts w:ascii="FrankRuehl" w:hAnsi="FrankRuehl" w:cs="FrankRuehl"/>
            <w:u w:val="none"/>
          </w:rPr>
          <w:t>13</w:t>
        </w:r>
      </w:hyperlink>
    </w:p>
    <w:p w:rsidR="004A5D6F" w:rsidRDefault="004A5D6F" w:rsidP="00A05150">
      <w:pPr>
        <w:rPr>
          <w:rFonts w:hint="cs"/>
          <w:sz w:val="26"/>
          <w:szCs w:val="26"/>
          <w:rtl/>
        </w:rPr>
      </w:pPr>
      <w:bookmarkStart w:id="4" w:name="LawTable_End"/>
      <w:bookmarkEnd w:id="4"/>
    </w:p>
    <w:p w:rsidR="008178CD" w:rsidRDefault="008178CD" w:rsidP="008178CD">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szCs w:val="26"/>
          <w:rtl/>
        </w:rPr>
        <w:t>מיני-רציו:</w:t>
      </w:r>
    </w:p>
    <w:p w:rsidR="008178CD" w:rsidRPr="008178CD" w:rsidRDefault="008178CD" w:rsidP="008178CD">
      <w:pPr>
        <w:pBdr>
          <w:top w:val="single" w:sz="4" w:space="1" w:color="auto"/>
          <w:bottom w:val="single" w:sz="4" w:space="1" w:color="auto"/>
        </w:pBdr>
        <w:spacing w:after="120" w:line="320" w:lineRule="exact"/>
        <w:jc w:val="both"/>
        <w:rPr>
          <w:rFonts w:cs="FrankRuehl"/>
          <w:szCs w:val="26"/>
        </w:rPr>
      </w:pPr>
      <w:r>
        <w:rPr>
          <w:rFonts w:cs="FrankRuehl" w:hint="cs"/>
          <w:szCs w:val="26"/>
          <w:rtl/>
        </w:rPr>
        <w:t xml:space="preserve">* </w:t>
      </w:r>
      <w:r w:rsidRPr="008178CD">
        <w:rPr>
          <w:rFonts w:cs="FrankRuehl"/>
          <w:szCs w:val="26"/>
          <w:rtl/>
        </w:rPr>
        <w:t>הפסיקה עמדה על הצורך בענישה מחמירה, גם כאשר מדובר בסמים מוכרים פחות. במקרה הנדון מדובר בסם שהינו נגזרת של אינדזול קרבוקסאמיד, שנכלל בפקודת הסמים המסוכנים לפני כ-7 שנים. מאז הצטברו מספר החלטות מהן ניתן ללמוד על אופיו של הסם ועל מיקומו במדרג החומרה בהשוואה לסמים אחרים. בשים לב לאלה, ובנסיבות העניין, נמצא לגזור על הנאשם 36 חודשי מאסר בפועל, מאסרים על תנאי וקנס בסך 8,000 ₪.</w:t>
      </w:r>
    </w:p>
    <w:p w:rsidR="008178CD" w:rsidRDefault="008178CD" w:rsidP="008178CD">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מדיניות ענישה: עבירות סמים</w:t>
      </w:r>
    </w:p>
    <w:p w:rsidR="008178CD" w:rsidRDefault="008178CD" w:rsidP="008178C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הנאשם הורשע, ע"פ הודאתו במסגרת הסדר טיעון, בכתב אישום מתוקן בו יוחסו לו עבירות של ייבוא סם והחזקת סם שלא לצריכה עצמית. הסם המדובר הינו נגזרת של אינדזול קרבוקסאמיד.</w:t>
      </w:r>
    </w:p>
    <w:p w:rsidR="008178CD" w:rsidRPr="008178CD" w:rsidRDefault="008178CD" w:rsidP="008178CD">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ביהמ"ש המחוזי קבע בגזר דינו:</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הפסיקה עמדה על ההכרח להיאבק בנגע הסמים ועל הצורך להעביר מסר מרתיע ובלתי מתפשר, ע"י הטלת עונשים מחמירים, איש איש ע"פ חלקו ומעמדו בשרשרת הפקת והפצת הסם. ניתן משקל – בין היתר – לכמות הסם ואיכותו, טיב עבירת הסמים שבוצעה, תרומת הנאשם להתגשמות העבירה ועברו הפלילי.</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 xml:space="preserve">עבירות הסמים, ובפרט אלו העוסקות בהרחבת היקף שוק הסמים כגון עבירות הפקת הסם ועבירות הייבוא, ובהפצת הסם בדרך של סחר והחזקה שלא לשימוש עצמי בלבד, פוגעות פגיעה ממשית בערכים חברתיים בעלי משקל ובהם הצורך בהגנה על שלום הציבור, על בריאותו, על ביטחונו האישי ועל רכושו. </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בעניין יהודה עמד ביהמ"ש העליון על הצורך בענישה מחמירה, גם כאשר מדובר בסמים מוכרים פחות, תוך התאמת רף הענישה לטיב הסם, השפעותיו והסיכונים הכרוכים בו. כפי שנפסק שם, כניסתו של סם חדש לזירה דורשת תגובה של ענישה הולמת. כל סם וקהל היעד שלו. כל סם ומרכיבי המשיכה שלו – מחיר, נגישות, תגובה פיסית. נדמה, כי ריבוי סוגי הסמים מביא לעלייה בשימוש בסמים בכללותו. הפסיקה מכירה בסמים חמורים יותר ופחות, אך יש לדעת את מאפייניו של כל סוג.</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במקרה דנן לא הוגשה חוו"ד בנוגע לטיב ומאפייני הסם המסוכן שייבא הנאשם, נוכח התנגדות הסנגור לבקשת התובע להגיש חוו"ד בנושאים אלה במסגרת הטיעונים לעונש. לפיכך, אין בידי ביהמ"ש מידע מפורט בנוגע לכלל המאפיינים הנוגעים לסם ולהשפעותיו. עם זאת, בחלוף השנים מאז הוכלל החומר מסוג אינדזול קרבוקסאמיד, על נגזרותיו המבניות, ב</w:t>
      </w:r>
      <w:hyperlink r:id="rId10" w:history="1">
        <w:r w:rsidRPr="008178CD">
          <w:rPr>
            <w:rFonts w:cs="FrankRuehl"/>
            <w:szCs w:val="26"/>
            <w:rtl/>
          </w:rPr>
          <w:t>פקודת הסמים המסוכנים</w:t>
        </w:r>
      </w:hyperlink>
      <w:r w:rsidRPr="008178CD">
        <w:rPr>
          <w:rFonts w:cs="FrankRuehl"/>
          <w:szCs w:val="26"/>
          <w:rtl/>
        </w:rPr>
        <w:t xml:space="preserve">, הצטברו מספר החלטות מהן ניתן ללמוד על אופיו של הסם, ועל מיקומו במדרג החומרה בהשוואה לסמים אחרים, מוכרים יותר. </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 xml:space="preserve">כך, בעניין ותד הובהר כי מדובר בסם הנמנה על משפחת הקנבינואידים הסינטטיים, הנמכרים תחת המותג "נייס גיא" ודומיו. באותו מקרה סקר ביהמ"ש המחוזי את תכונותיהם הרעות של חומרים אלו והבהיר כי נוכח מאפייניהם אין להחיל על סמים ממשפחה זו את רמת הענישה המתונה באופן יחסי שנהוג להחיל על עבירות ביחס לסמים מסוג קנבוס או חשיש. עם זאת ציין כי מאחר וחומרים אלה הוכרזו כסמים פחות משנה עובר למתן גזר דינו, יש להעלות את רף הענישה באופן הדרגתי. ערעור הנאשמים על העונש שהושת עליהם, נדחה. ביהמ"ש העליון השיב בשני מישורים שונים לטענתם לפיה לא היה מקום להשית עליהם עונשים כה חמורים עוד בטרם התגבשה מדיניות ענישה באשר לסם חדש זה:  המישור הראשון הוא טיב הסם ומהות הסכנה הנשקפת ממנו – כפי שהם עולים מחוו"ד המומחה שהציגה המדינה. המישור השני הוא כי ביהמ"ש המחוזי התחשב באלמנט ה"חידוש" שבהגדרת הסם כסם מסוכן, והדגיש כי ההחמרה במדיניות הענישה בהקשר לקנבינואידים הסינטטיים אינה יכולה להיעשות באבחה אחת. </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 xml:space="preserve">פסק דין נוסף שעסק בענישה הראויה בגין החזקת נגזרת של אינדזול קרבוקסאמיד הינו </w:t>
      </w:r>
      <w:hyperlink r:id="rId11" w:history="1">
        <w:r w:rsidRPr="008178CD">
          <w:rPr>
            <w:rFonts w:cs="FrankRuehl"/>
            <w:szCs w:val="26"/>
            <w:rtl/>
          </w:rPr>
          <w:t>עניין</w:t>
        </w:r>
      </w:hyperlink>
      <w:r w:rsidRPr="008178CD">
        <w:rPr>
          <w:rFonts w:cs="FrankRuehl"/>
          <w:szCs w:val="26"/>
          <w:rtl/>
        </w:rPr>
        <w:t xml:space="preserve"> אלקנה. גישה מקלה יותר ניתן למצוא בעניין מרדוש. עוד ראוי להזכיר את עניין איסטחרוב. </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 xml:space="preserve">ב"כ המאשימה הפנה לפסיקה מכבידה יותר, במסגרתה נקבעו מתחמי ענישה והושתו עונשי מאסר ממושכים בגין עבירות שבוצעו ב"סמי פיצוציה". החלטות אלה אינן ניתנות ליישום ישיר על ענייננו, בשים לב להכרח להתאים את מתחמי הענישה לטיבו הספציפי של הסם המדובר, מאפייניו והשפעותיו,  אך הן מבטאות היטב את הנחיות ביהמ"ש העליון בדבר ענישה מרתיעה והולמת, ובמיוחד בשים לב לכך שמאז הכללת הסם לפקודה חלפו כמעט 7 שנים, ואין מדובר עוד במקרים ראשונים של אכיפה. </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בעניינו של הנאשם מתקיימות מספר בלתי מבוטל של נסיבות לחומרה. הנאשם חבר לאחר וביחד פעלו לייבא כשני ק"ג של קנבינואיד סינטטי, מתוך תכנון וסיכום מוקדם. חלקו של הנאשם במעשים משמעותי שכן הוא שתיאם את קבלת הסם והיה אמור להחזיק בו. לא זו אף זו, בביתו החזיק הוא כמות גדולה נוספת מאותו סם ממש, כארבעה ק"ג, וכן קילוגרם נוסף של סם מסוג קנבוס. מדובר אפוא במי שייבא סם שמסוכנותו ניכרת, והחזיק בביתו כמויות מסחריות משני סוגים שונים של סם, באופן המעיד על מעורבות עמוקה בעולם הסמים. הנזק שעלול היה להיגרם כתוצאה מהפצת סמים אלה לציבור הישראלי היה משמעותי, וכך היא גם עצמת הפגיעה של מעשי הנאשם בערכים המוגנים שפורטו לעיל. במכלול נסיבות אלה, ובשים לב לסוגי הסמים, לכמות הסם ולשילוב שבין עבירות הייבוא וההחזקה, ראוי לקבוע  מתחם עונש הולם הנע בין 27 ל-54 חודשי מאסר בפועל.</w:t>
      </w:r>
    </w:p>
    <w:p w:rsidR="008178CD" w:rsidRPr="008178CD" w:rsidRDefault="008178CD" w:rsidP="008178CD">
      <w:pPr>
        <w:pBdr>
          <w:top w:val="single" w:sz="4" w:space="1" w:color="auto"/>
          <w:bottom w:val="single" w:sz="4" w:space="1" w:color="auto"/>
        </w:pBdr>
        <w:spacing w:after="120" w:line="320" w:lineRule="exact"/>
        <w:jc w:val="both"/>
        <w:rPr>
          <w:rFonts w:cs="FrankRuehl"/>
          <w:szCs w:val="26"/>
          <w:rtl/>
        </w:rPr>
      </w:pPr>
      <w:r w:rsidRPr="008178CD">
        <w:rPr>
          <w:rFonts w:cs="FrankRuehl"/>
          <w:szCs w:val="26"/>
          <w:rtl/>
        </w:rPr>
        <w:t xml:space="preserve">באשר לסיבות שאינן קשורות בביצוע העבירה, הרי שמדובר באדם כבן 41, שהודה במיוחס לו, נטל אחריות וחסך זמן ציבורי ניכר. נסיבות חייו אינן פשוטות וגורלו לא שפר עליו. נתונים אלה יביאו למיתון העונש שיושת. עם זאת, לא ניתן להתעלם מהעובדה כי לחובת הנאשם עבר פלילי רלבנטי, שאינו מאפשר למקם את עונשו בחלק התחתון של המתחם. במסגרת ההליך דנן לא הופנה הנאשם לקבלת תסקיר, ולא הוצגו כל מסמך או חוו"ד שבכוחם להצביע על שינוי באורחותיו או על הפחתת הסיכון הנשקף לציבור מצדו. בנסיבות אלה יש למקם את עונשו מעט מתחת לאמצע מתחם העונש ההולם שנקבע, לצד מאסר על תנאי וקנס כספי שייקח בחשבון את עונש המאסר הממושך ואת היכולות הכלכליות הדלות. </w:t>
      </w:r>
    </w:p>
    <w:p w:rsidR="008178CD" w:rsidRPr="00A05150" w:rsidRDefault="008178CD" w:rsidP="00A05150">
      <w:pPr>
        <w:rPr>
          <w:rFonts w:hint="cs"/>
          <w:sz w:val="26"/>
          <w:szCs w:val="26"/>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A5D6F" w:rsidTr="004A5D6F">
        <w:trPr>
          <w:trHeight w:val="355"/>
          <w:jc w:val="center"/>
        </w:trPr>
        <w:tc>
          <w:tcPr>
            <w:tcW w:w="8820" w:type="dxa"/>
            <w:tcBorders>
              <w:top w:val="nil"/>
              <w:left w:val="nil"/>
              <w:bottom w:val="nil"/>
              <w:right w:val="nil"/>
            </w:tcBorders>
            <w:shd w:val="clear" w:color="auto" w:fill="auto"/>
          </w:tcPr>
          <w:p w:rsidR="00696A3A" w:rsidRPr="00696A3A" w:rsidRDefault="00696A3A" w:rsidP="00696A3A">
            <w:pPr>
              <w:jc w:val="center"/>
              <w:rPr>
                <w:rFonts w:ascii="David" w:hAnsi="David"/>
                <w:b/>
                <w:bCs/>
                <w:sz w:val="32"/>
                <w:szCs w:val="32"/>
                <w:u w:val="single"/>
                <w:rtl/>
              </w:rPr>
            </w:pPr>
            <w:bookmarkStart w:id="7" w:name="PsakDin" w:colFirst="0" w:colLast="0"/>
            <w:bookmarkEnd w:id="0"/>
            <w:bookmarkEnd w:id="1"/>
            <w:r w:rsidRPr="00696A3A">
              <w:rPr>
                <w:rFonts w:ascii="David" w:hAnsi="David"/>
                <w:b/>
                <w:bCs/>
                <w:sz w:val="32"/>
                <w:szCs w:val="32"/>
                <w:u w:val="single"/>
                <w:rtl/>
              </w:rPr>
              <w:t>גזר דין</w:t>
            </w:r>
          </w:p>
          <w:p w:rsidR="004A5D6F" w:rsidRPr="00696A3A" w:rsidRDefault="004A5D6F" w:rsidP="00696A3A">
            <w:pPr>
              <w:jc w:val="center"/>
              <w:rPr>
                <w:rFonts w:ascii="David" w:hAnsi="David"/>
                <w:bCs/>
                <w:sz w:val="32"/>
                <w:szCs w:val="32"/>
                <w:u w:val="single"/>
                <w:rtl/>
              </w:rPr>
            </w:pPr>
          </w:p>
        </w:tc>
      </w:tr>
      <w:bookmarkEnd w:id="7"/>
    </w:tbl>
    <w:p w:rsidR="004A5D6F" w:rsidRDefault="004A5D6F" w:rsidP="004A5D6F">
      <w:pPr>
        <w:spacing w:line="360" w:lineRule="auto"/>
        <w:jc w:val="both"/>
        <w:rPr>
          <w:b/>
          <w:bCs/>
          <w:sz w:val="26"/>
          <w:szCs w:val="26"/>
          <w:u w:val="single"/>
          <w:rtl/>
        </w:rPr>
      </w:pPr>
    </w:p>
    <w:p w:rsidR="004A5D6F" w:rsidRPr="0098023A" w:rsidRDefault="004A5D6F" w:rsidP="004A5D6F">
      <w:pPr>
        <w:spacing w:line="360" w:lineRule="auto"/>
        <w:jc w:val="both"/>
        <w:rPr>
          <w:b/>
          <w:bCs/>
          <w:sz w:val="26"/>
          <w:szCs w:val="26"/>
          <w:u w:val="single"/>
          <w:rtl/>
        </w:rPr>
      </w:pPr>
      <w:r w:rsidRPr="0098023A">
        <w:rPr>
          <w:rFonts w:hint="cs"/>
          <w:b/>
          <w:bCs/>
          <w:sz w:val="26"/>
          <w:szCs w:val="26"/>
          <w:u w:val="single"/>
          <w:rtl/>
        </w:rPr>
        <w:t>כתב האישום:</w:t>
      </w:r>
    </w:p>
    <w:p w:rsidR="004A5D6F" w:rsidRDefault="004A5D6F" w:rsidP="004A5D6F">
      <w:pPr>
        <w:spacing w:line="360" w:lineRule="auto"/>
        <w:jc w:val="both"/>
        <w:rPr>
          <w:sz w:val="26"/>
          <w:szCs w:val="26"/>
          <w:rtl/>
        </w:rPr>
      </w:pPr>
      <w:r>
        <w:rPr>
          <w:rFonts w:hint="cs"/>
          <w:sz w:val="26"/>
          <w:szCs w:val="26"/>
          <w:rtl/>
        </w:rPr>
        <w:t>הנאשם הורשע, על-</w:t>
      </w:r>
      <w:r w:rsidRPr="0098023A">
        <w:rPr>
          <w:rFonts w:hint="cs"/>
          <w:sz w:val="26"/>
          <w:szCs w:val="26"/>
          <w:rtl/>
        </w:rPr>
        <w:t>פי הודאתו</w:t>
      </w:r>
      <w:r>
        <w:rPr>
          <w:rFonts w:hint="cs"/>
          <w:sz w:val="26"/>
          <w:szCs w:val="26"/>
          <w:rtl/>
        </w:rPr>
        <w:t>, במסגרת הסדר טיעון,</w:t>
      </w:r>
      <w:r w:rsidRPr="0098023A">
        <w:rPr>
          <w:rFonts w:hint="cs"/>
          <w:sz w:val="26"/>
          <w:szCs w:val="26"/>
          <w:rtl/>
        </w:rPr>
        <w:t xml:space="preserve"> ב</w:t>
      </w:r>
      <w:r>
        <w:rPr>
          <w:rFonts w:hint="cs"/>
          <w:sz w:val="26"/>
          <w:szCs w:val="26"/>
          <w:rtl/>
        </w:rPr>
        <w:t>כ</w:t>
      </w:r>
      <w:r w:rsidRPr="0098023A">
        <w:rPr>
          <w:rFonts w:hint="cs"/>
          <w:sz w:val="26"/>
          <w:szCs w:val="26"/>
          <w:rtl/>
        </w:rPr>
        <w:t>תב אישום מתוקן</w:t>
      </w:r>
      <w:r>
        <w:rPr>
          <w:rFonts w:hint="cs"/>
          <w:sz w:val="26"/>
          <w:szCs w:val="26"/>
          <w:rtl/>
        </w:rPr>
        <w:t xml:space="preserve"> בו יוחסו לו </w:t>
      </w:r>
      <w:r w:rsidRPr="0098023A">
        <w:rPr>
          <w:rFonts w:hint="cs"/>
          <w:sz w:val="26"/>
          <w:szCs w:val="26"/>
          <w:rtl/>
        </w:rPr>
        <w:t xml:space="preserve">עבירות של ייבוא סם והחזקת סם שלא לצריכה עצמית, עבירות </w:t>
      </w:r>
      <w:r>
        <w:rPr>
          <w:rFonts w:hint="cs"/>
          <w:sz w:val="26"/>
          <w:szCs w:val="26"/>
          <w:rtl/>
        </w:rPr>
        <w:t>על</w:t>
      </w:r>
      <w:r w:rsidRPr="0098023A">
        <w:rPr>
          <w:rFonts w:hint="cs"/>
          <w:sz w:val="26"/>
          <w:szCs w:val="26"/>
          <w:rtl/>
        </w:rPr>
        <w:t xml:space="preserve"> </w:t>
      </w:r>
      <w:hyperlink r:id="rId12" w:history="1">
        <w:r w:rsidR="00F60AB6" w:rsidRPr="00F60AB6">
          <w:rPr>
            <w:rStyle w:val="Hyperlink"/>
            <w:rFonts w:hint="eastAsia"/>
            <w:sz w:val="26"/>
            <w:szCs w:val="26"/>
            <w:rtl/>
          </w:rPr>
          <w:t>סעיפים</w:t>
        </w:r>
        <w:r w:rsidR="00F60AB6" w:rsidRPr="00F60AB6">
          <w:rPr>
            <w:rStyle w:val="Hyperlink"/>
            <w:sz w:val="26"/>
            <w:szCs w:val="26"/>
            <w:rtl/>
          </w:rPr>
          <w:t xml:space="preserve"> 13</w:t>
        </w:r>
      </w:hyperlink>
      <w:r w:rsidRPr="0098023A">
        <w:rPr>
          <w:rFonts w:hint="cs"/>
          <w:sz w:val="26"/>
          <w:szCs w:val="26"/>
          <w:rtl/>
        </w:rPr>
        <w:t xml:space="preserve"> ו-</w:t>
      </w:r>
      <w:hyperlink r:id="rId13" w:history="1">
        <w:r w:rsidR="00F60AB6" w:rsidRPr="00F60AB6">
          <w:rPr>
            <w:rStyle w:val="Hyperlink"/>
            <w:sz w:val="26"/>
            <w:szCs w:val="26"/>
            <w:rtl/>
          </w:rPr>
          <w:t>7(ג)</w:t>
        </w:r>
      </w:hyperlink>
      <w:r w:rsidRPr="0098023A">
        <w:rPr>
          <w:rFonts w:hint="cs"/>
          <w:sz w:val="26"/>
          <w:szCs w:val="26"/>
          <w:rtl/>
        </w:rPr>
        <w:t xml:space="preserve"> רישא ל</w:t>
      </w:r>
      <w:hyperlink r:id="rId14" w:history="1">
        <w:r w:rsidR="00696A3A" w:rsidRPr="00696A3A">
          <w:rPr>
            <w:color w:val="0000FF"/>
            <w:sz w:val="26"/>
            <w:szCs w:val="26"/>
            <w:u w:val="single"/>
            <w:rtl/>
          </w:rPr>
          <w:t>פקודת הסמים המסוכנים</w:t>
        </w:r>
      </w:hyperlink>
      <w:r w:rsidRPr="0098023A">
        <w:rPr>
          <w:rFonts w:hint="cs"/>
          <w:sz w:val="26"/>
          <w:szCs w:val="26"/>
          <w:rtl/>
        </w:rPr>
        <w:t xml:space="preserve"> [נוסח חדש], התשל"ג-1973 (להלן: "</w:t>
      </w:r>
      <w:r w:rsidRPr="0098023A">
        <w:rPr>
          <w:rFonts w:hint="cs"/>
          <w:b/>
          <w:bCs/>
          <w:sz w:val="26"/>
          <w:szCs w:val="26"/>
          <w:rtl/>
        </w:rPr>
        <w:t>הפקודה</w:t>
      </w:r>
      <w:r w:rsidRPr="0098023A">
        <w:rPr>
          <w:rFonts w:hint="cs"/>
          <w:sz w:val="26"/>
          <w:szCs w:val="26"/>
          <w:rtl/>
        </w:rPr>
        <w:t>").</w:t>
      </w:r>
    </w:p>
    <w:p w:rsidR="004A5D6F" w:rsidRPr="0098023A"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sidRPr="0098023A">
        <w:rPr>
          <w:rFonts w:hint="cs"/>
          <w:sz w:val="26"/>
          <w:szCs w:val="26"/>
          <w:rtl/>
        </w:rPr>
        <w:t>על</w:t>
      </w:r>
      <w:r>
        <w:rPr>
          <w:rFonts w:hint="cs"/>
          <w:sz w:val="26"/>
          <w:szCs w:val="26"/>
          <w:rtl/>
        </w:rPr>
        <w:t>-</w:t>
      </w:r>
      <w:r w:rsidRPr="0098023A">
        <w:rPr>
          <w:rFonts w:hint="cs"/>
          <w:sz w:val="26"/>
          <w:szCs w:val="26"/>
          <w:rtl/>
        </w:rPr>
        <w:t>פי עובדות כתב האישום המתוקן</w:t>
      </w:r>
      <w:r>
        <w:rPr>
          <w:rFonts w:hint="cs"/>
          <w:sz w:val="26"/>
          <w:szCs w:val="26"/>
          <w:rtl/>
        </w:rPr>
        <w:t>,</w:t>
      </w:r>
      <w:r w:rsidRPr="0098023A">
        <w:rPr>
          <w:rFonts w:hint="cs"/>
          <w:sz w:val="26"/>
          <w:szCs w:val="26"/>
          <w:rtl/>
        </w:rPr>
        <w:t xml:space="preserve"> עובר ליום 23.8.20 הזמין אדם אחר (להלן: "</w:t>
      </w:r>
      <w:r>
        <w:rPr>
          <w:rFonts w:hint="cs"/>
          <w:sz w:val="26"/>
          <w:szCs w:val="26"/>
          <w:rtl/>
        </w:rPr>
        <w:t>ה</w:t>
      </w:r>
      <w:r w:rsidRPr="0098023A">
        <w:rPr>
          <w:rFonts w:hint="cs"/>
          <w:b/>
          <w:bCs/>
          <w:sz w:val="26"/>
          <w:szCs w:val="26"/>
          <w:rtl/>
        </w:rPr>
        <w:t>אחר</w:t>
      </w:r>
      <w:r w:rsidRPr="0098023A">
        <w:rPr>
          <w:rFonts w:hint="cs"/>
          <w:sz w:val="26"/>
          <w:szCs w:val="26"/>
          <w:rtl/>
        </w:rPr>
        <w:t xml:space="preserve">"), מהונג קונג שתי חבילות המכילות סם מסוכן מסוג </w:t>
      </w:r>
      <w:r w:rsidRPr="0098023A">
        <w:rPr>
          <w:sz w:val="26"/>
          <w:szCs w:val="26"/>
        </w:rPr>
        <w:t>MDMB-4en-PINACA</w:t>
      </w:r>
      <w:r w:rsidRPr="0098023A">
        <w:rPr>
          <w:rFonts w:hint="cs"/>
          <w:sz w:val="26"/>
          <w:szCs w:val="26"/>
          <w:rtl/>
        </w:rPr>
        <w:t xml:space="preserve"> שה</w:t>
      </w:r>
      <w:r>
        <w:rPr>
          <w:rFonts w:hint="cs"/>
          <w:sz w:val="26"/>
          <w:szCs w:val="26"/>
          <w:rtl/>
        </w:rPr>
        <w:t>וא</w:t>
      </w:r>
      <w:r w:rsidRPr="0098023A">
        <w:rPr>
          <w:rFonts w:hint="cs"/>
          <w:sz w:val="26"/>
          <w:szCs w:val="26"/>
          <w:rtl/>
        </w:rPr>
        <w:t xml:space="preserve"> נגזרת של אינדזול קרבוקסאמיד (להלן: "</w:t>
      </w:r>
      <w:r w:rsidRPr="0098023A">
        <w:rPr>
          <w:rFonts w:hint="cs"/>
          <w:b/>
          <w:bCs/>
          <w:sz w:val="26"/>
          <w:szCs w:val="26"/>
          <w:rtl/>
        </w:rPr>
        <w:t>הסם המסוכן</w:t>
      </w:r>
      <w:r w:rsidRPr="0098023A">
        <w:rPr>
          <w:rFonts w:hint="cs"/>
          <w:sz w:val="26"/>
          <w:szCs w:val="26"/>
          <w:rtl/>
        </w:rPr>
        <w:t>")</w:t>
      </w:r>
      <w:r>
        <w:rPr>
          <w:rFonts w:hint="cs"/>
          <w:sz w:val="26"/>
          <w:szCs w:val="26"/>
          <w:rtl/>
        </w:rPr>
        <w:t>, במשקל כולל של 1998.58 גרם. שתי החבילות נשלחו</w:t>
      </w:r>
      <w:r w:rsidRPr="0098023A">
        <w:rPr>
          <w:rFonts w:hint="cs"/>
          <w:sz w:val="26"/>
          <w:szCs w:val="26"/>
          <w:rtl/>
        </w:rPr>
        <w:t xml:space="preserve"> אל כתובת חניון ה</w:t>
      </w:r>
      <w:r>
        <w:rPr>
          <w:rFonts w:hint="cs"/>
          <w:sz w:val="26"/>
          <w:szCs w:val="26"/>
          <w:rtl/>
        </w:rPr>
        <w:t>סמוך</w:t>
      </w:r>
      <w:r w:rsidRPr="0098023A">
        <w:rPr>
          <w:rFonts w:hint="cs"/>
          <w:sz w:val="26"/>
          <w:szCs w:val="26"/>
          <w:rtl/>
        </w:rPr>
        <w:t xml:space="preserve"> למקום מגורי הנאשם</w:t>
      </w:r>
      <w:r>
        <w:rPr>
          <w:rFonts w:hint="cs"/>
          <w:sz w:val="26"/>
          <w:szCs w:val="26"/>
          <w:rtl/>
        </w:rPr>
        <w:t xml:space="preserve"> בשוהם</w:t>
      </w:r>
      <w:r w:rsidRPr="0098023A">
        <w:rPr>
          <w:rFonts w:hint="cs"/>
          <w:sz w:val="26"/>
          <w:szCs w:val="26"/>
          <w:rtl/>
        </w:rPr>
        <w:t>. בהתאם לסיכום מוקדם בין הנאשם לאחר</w:t>
      </w:r>
      <w:r>
        <w:rPr>
          <w:rFonts w:hint="cs"/>
          <w:sz w:val="26"/>
          <w:szCs w:val="26"/>
          <w:rtl/>
        </w:rPr>
        <w:t>,</w:t>
      </w:r>
      <w:r w:rsidRPr="0098023A">
        <w:rPr>
          <w:rFonts w:hint="cs"/>
          <w:sz w:val="26"/>
          <w:szCs w:val="26"/>
          <w:rtl/>
        </w:rPr>
        <w:t xml:space="preserve"> לצורך ייבוא הסם, תיאם הנאשם עם חבר</w:t>
      </w:r>
      <w:r>
        <w:rPr>
          <w:rFonts w:hint="cs"/>
          <w:sz w:val="26"/>
          <w:szCs w:val="26"/>
          <w:rtl/>
        </w:rPr>
        <w:t>ת</w:t>
      </w:r>
      <w:r w:rsidRPr="0098023A">
        <w:rPr>
          <w:rFonts w:hint="cs"/>
          <w:sz w:val="26"/>
          <w:szCs w:val="26"/>
          <w:rtl/>
        </w:rPr>
        <w:t xml:space="preserve"> המשלוחים "פדקס" את קבלת שתי החבילות. ביום 23.8.20 </w:t>
      </w:r>
      <w:r>
        <w:rPr>
          <w:rFonts w:hint="cs"/>
          <w:sz w:val="26"/>
          <w:szCs w:val="26"/>
          <w:rtl/>
        </w:rPr>
        <w:t xml:space="preserve">הגיעו </w:t>
      </w:r>
      <w:r w:rsidRPr="0098023A">
        <w:rPr>
          <w:rFonts w:hint="cs"/>
          <w:sz w:val="26"/>
          <w:szCs w:val="26"/>
          <w:rtl/>
        </w:rPr>
        <w:t>החבי</w:t>
      </w:r>
      <w:r>
        <w:rPr>
          <w:rFonts w:hint="cs"/>
          <w:sz w:val="26"/>
          <w:szCs w:val="26"/>
          <w:rtl/>
        </w:rPr>
        <w:t>לות למכס בישראל ואותרו על-</w:t>
      </w:r>
      <w:r w:rsidRPr="0098023A">
        <w:rPr>
          <w:rFonts w:hint="cs"/>
          <w:sz w:val="26"/>
          <w:szCs w:val="26"/>
          <w:rtl/>
        </w:rPr>
        <w:t xml:space="preserve">ידי </w:t>
      </w:r>
      <w:r>
        <w:rPr>
          <w:rFonts w:hint="cs"/>
          <w:sz w:val="26"/>
          <w:szCs w:val="26"/>
          <w:rtl/>
        </w:rPr>
        <w:t>ה</w:t>
      </w:r>
      <w:r w:rsidRPr="0098023A">
        <w:rPr>
          <w:rFonts w:hint="cs"/>
          <w:sz w:val="26"/>
          <w:szCs w:val="26"/>
          <w:rtl/>
        </w:rPr>
        <w:t>משטר</w:t>
      </w:r>
      <w:r>
        <w:rPr>
          <w:rFonts w:hint="cs"/>
          <w:sz w:val="26"/>
          <w:szCs w:val="26"/>
          <w:rtl/>
        </w:rPr>
        <w:t>ה</w:t>
      </w:r>
      <w:r w:rsidRPr="0098023A">
        <w:rPr>
          <w:rFonts w:hint="cs"/>
          <w:sz w:val="26"/>
          <w:szCs w:val="26"/>
          <w:rtl/>
        </w:rPr>
        <w:t xml:space="preserve">. ביום 24.8.20 בשעה 11:30 </w:t>
      </w:r>
      <w:r>
        <w:rPr>
          <w:rFonts w:hint="cs"/>
          <w:sz w:val="26"/>
          <w:szCs w:val="26"/>
          <w:rtl/>
        </w:rPr>
        <w:t>לערך</w:t>
      </w:r>
      <w:r w:rsidRPr="0098023A">
        <w:rPr>
          <w:rFonts w:hint="cs"/>
          <w:sz w:val="26"/>
          <w:szCs w:val="26"/>
          <w:rtl/>
        </w:rPr>
        <w:t xml:space="preserve">, </w:t>
      </w:r>
      <w:r>
        <w:rPr>
          <w:rFonts w:hint="cs"/>
          <w:sz w:val="26"/>
          <w:szCs w:val="26"/>
          <w:rtl/>
        </w:rPr>
        <w:t xml:space="preserve">המתין הנאשם בחניון לקבלת שתי החבילות. למקום </w:t>
      </w:r>
      <w:r w:rsidRPr="0098023A">
        <w:rPr>
          <w:rFonts w:hint="cs"/>
          <w:sz w:val="26"/>
          <w:szCs w:val="26"/>
          <w:rtl/>
        </w:rPr>
        <w:t xml:space="preserve">הגיע שוטר </w:t>
      </w:r>
      <w:r>
        <w:rPr>
          <w:rFonts w:hint="cs"/>
          <w:sz w:val="26"/>
          <w:szCs w:val="26"/>
          <w:rtl/>
        </w:rPr>
        <w:t xml:space="preserve">שהיה </w:t>
      </w:r>
      <w:r w:rsidRPr="0098023A">
        <w:rPr>
          <w:rFonts w:hint="cs"/>
          <w:sz w:val="26"/>
          <w:szCs w:val="26"/>
          <w:rtl/>
        </w:rPr>
        <w:t>לבוש מדים של חברת "פדקס" ומסר לידי הנאשם את שתי חבילות הסם</w:t>
      </w:r>
      <w:r>
        <w:rPr>
          <w:rFonts w:hint="cs"/>
          <w:sz w:val="26"/>
          <w:szCs w:val="26"/>
          <w:rtl/>
        </w:rPr>
        <w:t>.</w:t>
      </w:r>
      <w:r w:rsidRPr="0098023A">
        <w:rPr>
          <w:rFonts w:hint="cs"/>
          <w:sz w:val="26"/>
          <w:szCs w:val="26"/>
          <w:rtl/>
        </w:rPr>
        <w:t xml:space="preserve"> </w:t>
      </w:r>
      <w:r>
        <w:rPr>
          <w:rFonts w:hint="cs"/>
          <w:sz w:val="26"/>
          <w:szCs w:val="26"/>
          <w:rtl/>
        </w:rPr>
        <w:t>מ</w:t>
      </w:r>
      <w:r w:rsidRPr="0098023A">
        <w:rPr>
          <w:rFonts w:hint="cs"/>
          <w:sz w:val="26"/>
          <w:szCs w:val="26"/>
          <w:rtl/>
        </w:rPr>
        <w:t>יד לאחר מכן נעצר הנאשם</w:t>
      </w:r>
      <w:r>
        <w:rPr>
          <w:rFonts w:hint="cs"/>
          <w:sz w:val="26"/>
          <w:szCs w:val="26"/>
          <w:rtl/>
        </w:rPr>
        <w:t xml:space="preserve"> ו</w:t>
      </w:r>
      <w:r w:rsidRPr="0098023A">
        <w:rPr>
          <w:rFonts w:hint="cs"/>
          <w:sz w:val="26"/>
          <w:szCs w:val="26"/>
          <w:rtl/>
        </w:rPr>
        <w:t>בדירתו</w:t>
      </w:r>
      <w:r>
        <w:rPr>
          <w:rFonts w:hint="cs"/>
          <w:sz w:val="26"/>
          <w:szCs w:val="26"/>
          <w:rtl/>
        </w:rPr>
        <w:t xml:space="preserve"> נמצאו</w:t>
      </w:r>
      <w:r w:rsidRPr="0098023A">
        <w:rPr>
          <w:rFonts w:hint="cs"/>
          <w:sz w:val="26"/>
          <w:szCs w:val="26"/>
          <w:rtl/>
        </w:rPr>
        <w:t>, בתוך שלוש חבילות, 3,989.97 גרם נטו מהסם המסוכן</w:t>
      </w:r>
      <w:r>
        <w:rPr>
          <w:rFonts w:hint="cs"/>
          <w:sz w:val="26"/>
          <w:szCs w:val="26"/>
          <w:rtl/>
        </w:rPr>
        <w:t xml:space="preserve"> וכן</w:t>
      </w:r>
      <w:r w:rsidRPr="0098023A">
        <w:rPr>
          <w:rFonts w:hint="cs"/>
          <w:sz w:val="26"/>
          <w:szCs w:val="26"/>
          <w:rtl/>
        </w:rPr>
        <w:t xml:space="preserve"> 1,097.21 גרם סם מסוכן מסוג קנבוס</w:t>
      </w:r>
      <w:r>
        <w:rPr>
          <w:rFonts w:hint="cs"/>
          <w:sz w:val="26"/>
          <w:szCs w:val="26"/>
          <w:rtl/>
        </w:rPr>
        <w:t>, שלא לשימוש עצמי</w:t>
      </w:r>
      <w:r w:rsidRPr="0098023A">
        <w:rPr>
          <w:rFonts w:hint="cs"/>
          <w:sz w:val="26"/>
          <w:szCs w:val="26"/>
          <w:rtl/>
        </w:rPr>
        <w:t>.</w:t>
      </w:r>
      <w:r>
        <w:rPr>
          <w:rFonts w:hint="cs"/>
          <w:sz w:val="26"/>
          <w:szCs w:val="26"/>
          <w:rtl/>
        </w:rPr>
        <w:t xml:space="preserve"> </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p>
    <w:p w:rsidR="004A5D6F" w:rsidRPr="0098023A" w:rsidRDefault="004A5D6F" w:rsidP="004A5D6F">
      <w:pPr>
        <w:spacing w:line="360" w:lineRule="auto"/>
        <w:jc w:val="both"/>
        <w:rPr>
          <w:sz w:val="26"/>
          <w:szCs w:val="26"/>
          <w:rtl/>
        </w:rPr>
      </w:pPr>
    </w:p>
    <w:p w:rsidR="004A5D6F" w:rsidRPr="0098023A" w:rsidRDefault="004A5D6F" w:rsidP="004A5D6F">
      <w:pPr>
        <w:spacing w:line="360" w:lineRule="auto"/>
        <w:jc w:val="both"/>
        <w:rPr>
          <w:b/>
          <w:bCs/>
          <w:sz w:val="26"/>
          <w:szCs w:val="26"/>
          <w:u w:val="single"/>
          <w:rtl/>
        </w:rPr>
      </w:pPr>
      <w:r w:rsidRPr="0098023A">
        <w:rPr>
          <w:rFonts w:hint="cs"/>
          <w:b/>
          <w:bCs/>
          <w:sz w:val="26"/>
          <w:szCs w:val="26"/>
          <w:u w:val="single"/>
          <w:rtl/>
        </w:rPr>
        <w:t>טיעוני הצדדים:</w:t>
      </w:r>
    </w:p>
    <w:p w:rsidR="004A5D6F" w:rsidRDefault="004A5D6F" w:rsidP="004A5D6F">
      <w:pPr>
        <w:spacing w:line="360" w:lineRule="auto"/>
        <w:jc w:val="both"/>
        <w:rPr>
          <w:sz w:val="26"/>
          <w:szCs w:val="26"/>
          <w:rtl/>
        </w:rPr>
      </w:pPr>
      <w:r w:rsidRPr="0098023A">
        <w:rPr>
          <w:rFonts w:hint="cs"/>
          <w:sz w:val="26"/>
          <w:szCs w:val="26"/>
          <w:rtl/>
        </w:rPr>
        <w:t>בטיעוניו לעונש עמד ב"כ המאשימה על הפגיעה הקשה בערך המוגן של הגנת הציבור ושלומו</w:t>
      </w:r>
      <w:r>
        <w:rPr>
          <w:rFonts w:hint="cs"/>
          <w:sz w:val="26"/>
          <w:szCs w:val="26"/>
          <w:rtl/>
        </w:rPr>
        <w:t>, מפני פגיעתם הקשה של הסמים ושל הפשיעה הנלווית לשימוש בהם. לטענתו, מדובר בסם המכונה</w:t>
      </w:r>
      <w:r w:rsidRPr="0098023A">
        <w:rPr>
          <w:rFonts w:hint="cs"/>
          <w:sz w:val="26"/>
          <w:szCs w:val="26"/>
          <w:rtl/>
        </w:rPr>
        <w:t xml:space="preserve"> </w:t>
      </w:r>
      <w:r>
        <w:rPr>
          <w:rFonts w:hint="cs"/>
          <w:sz w:val="26"/>
          <w:szCs w:val="26"/>
          <w:rtl/>
        </w:rPr>
        <w:t>"סם</w:t>
      </w:r>
      <w:r w:rsidRPr="0098023A">
        <w:rPr>
          <w:rFonts w:hint="cs"/>
          <w:sz w:val="26"/>
          <w:szCs w:val="26"/>
          <w:rtl/>
        </w:rPr>
        <w:t xml:space="preserve"> פיצוציות"</w:t>
      </w:r>
      <w:r>
        <w:rPr>
          <w:rFonts w:hint="cs"/>
          <w:sz w:val="26"/>
          <w:szCs w:val="26"/>
          <w:rtl/>
        </w:rPr>
        <w:t xml:space="preserve">, וככזה יש למקם אותו ברף הבינוני של מדרג החומרה, בין קנבוס וחשיש לבין סמים "קשים" יותר כגון </w:t>
      </w:r>
      <w:r>
        <w:rPr>
          <w:rFonts w:hint="cs"/>
          <w:sz w:val="26"/>
          <w:szCs w:val="26"/>
        </w:rPr>
        <w:t>MDMA</w:t>
      </w:r>
      <w:r>
        <w:rPr>
          <w:rFonts w:hint="cs"/>
          <w:sz w:val="26"/>
          <w:szCs w:val="26"/>
          <w:rtl/>
        </w:rPr>
        <w:t xml:space="preserve"> או קוקאין. עוד הדגיש, ביחס לנסיבות הקשורות בביצוע העבירה, את התכנון המוקדם שהיה כרוך במעשים, את חלקו המרכזי של הנאשם בעבירות, את הכמות הגדולה של הסם שיובא ושהוחזק על ידי הנאשם ואת העובדה כי נתפס כשהוא מחזיק בכמויות מסחריות בשני סוגים שונים של סמים. הנזק הצפוי ממעשיו של הנאשם היה ניכר, ומדובר במי שפעל מתוך מניע כלכלי גרידא.  </w:t>
      </w:r>
    </w:p>
    <w:p w:rsidR="004A5D6F" w:rsidRPr="0098023A"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sidRPr="0098023A">
        <w:rPr>
          <w:rFonts w:hint="cs"/>
          <w:sz w:val="26"/>
          <w:szCs w:val="26"/>
          <w:rtl/>
        </w:rPr>
        <w:t xml:space="preserve">ביחס לנסיבות שאינן קשורות בביצוע העבירה </w:t>
      </w:r>
      <w:r>
        <w:rPr>
          <w:rFonts w:hint="cs"/>
          <w:sz w:val="26"/>
          <w:szCs w:val="26"/>
          <w:rtl/>
        </w:rPr>
        <w:t xml:space="preserve">הזכיר כי לחובת הנאשם </w:t>
      </w:r>
      <w:r w:rsidRPr="0098023A">
        <w:rPr>
          <w:rFonts w:hint="cs"/>
          <w:sz w:val="26"/>
          <w:szCs w:val="26"/>
          <w:rtl/>
        </w:rPr>
        <w:t xml:space="preserve">8 הרשעות קודמות, כאשר הרשעתו האחרונה </w:t>
      </w:r>
      <w:r>
        <w:rPr>
          <w:rFonts w:hint="cs"/>
          <w:sz w:val="26"/>
          <w:szCs w:val="26"/>
          <w:rtl/>
        </w:rPr>
        <w:t xml:space="preserve">הנה גם כן </w:t>
      </w:r>
      <w:r w:rsidRPr="0098023A">
        <w:rPr>
          <w:rFonts w:hint="cs"/>
          <w:sz w:val="26"/>
          <w:szCs w:val="26"/>
          <w:rtl/>
        </w:rPr>
        <w:t>בעבירת סמים,</w:t>
      </w:r>
      <w:r>
        <w:rPr>
          <w:rFonts w:hint="cs"/>
          <w:sz w:val="26"/>
          <w:szCs w:val="26"/>
          <w:rtl/>
        </w:rPr>
        <w:t xml:space="preserve"> בגינה אף</w:t>
      </w:r>
      <w:r w:rsidRPr="0098023A">
        <w:rPr>
          <w:rFonts w:hint="cs"/>
          <w:sz w:val="26"/>
          <w:szCs w:val="26"/>
          <w:rtl/>
        </w:rPr>
        <w:t xml:space="preserve"> </w:t>
      </w:r>
      <w:r>
        <w:rPr>
          <w:rFonts w:hint="cs"/>
          <w:sz w:val="26"/>
          <w:szCs w:val="26"/>
          <w:rtl/>
        </w:rPr>
        <w:t>נשא תקופת מאסר בפועל, ובכל זאת שב לסורו בחלוף שנים אחדות בלבד. הנאשם לא עבר כל הליך טיפולי ולא חלה הפחתה במסוכנותו. על רקע זה יש לתת משקל גם לשיקולי הרתעת היחיד, לצד שיקול הרתעת הרבים המתעורר במקרים מעין אלה.</w:t>
      </w:r>
      <w:r w:rsidRPr="0098023A">
        <w:rPr>
          <w:rFonts w:hint="cs"/>
          <w:sz w:val="26"/>
          <w:szCs w:val="26"/>
          <w:rtl/>
        </w:rPr>
        <w:t xml:space="preserve"> </w:t>
      </w:r>
      <w:r>
        <w:rPr>
          <w:rFonts w:hint="cs"/>
          <w:sz w:val="26"/>
          <w:szCs w:val="26"/>
          <w:rtl/>
        </w:rPr>
        <w:t>לצד הקולה יש להביא בחשבון את</w:t>
      </w:r>
      <w:r w:rsidRPr="0098023A">
        <w:rPr>
          <w:rFonts w:hint="cs"/>
          <w:sz w:val="26"/>
          <w:szCs w:val="26"/>
          <w:rtl/>
        </w:rPr>
        <w:t xml:space="preserve"> שיתוף הפעולה של הנאשם </w:t>
      </w:r>
      <w:r>
        <w:rPr>
          <w:rFonts w:hint="cs"/>
          <w:sz w:val="26"/>
          <w:szCs w:val="26"/>
          <w:rtl/>
        </w:rPr>
        <w:t>לאורך ה</w:t>
      </w:r>
      <w:r w:rsidRPr="0098023A">
        <w:rPr>
          <w:rFonts w:hint="cs"/>
          <w:sz w:val="26"/>
          <w:szCs w:val="26"/>
          <w:rtl/>
        </w:rPr>
        <w:t xml:space="preserve">הליך, </w:t>
      </w:r>
      <w:r>
        <w:rPr>
          <w:rFonts w:hint="cs"/>
          <w:sz w:val="26"/>
          <w:szCs w:val="26"/>
          <w:rtl/>
        </w:rPr>
        <w:t xml:space="preserve">את הודאתו, את </w:t>
      </w:r>
      <w:r w:rsidRPr="0098023A">
        <w:rPr>
          <w:rFonts w:hint="cs"/>
          <w:sz w:val="26"/>
          <w:szCs w:val="26"/>
          <w:rtl/>
        </w:rPr>
        <w:t xml:space="preserve">לקיחת </w:t>
      </w:r>
      <w:r>
        <w:rPr>
          <w:rFonts w:hint="cs"/>
          <w:sz w:val="26"/>
          <w:szCs w:val="26"/>
          <w:rtl/>
        </w:rPr>
        <w:t>ה</w:t>
      </w:r>
      <w:r w:rsidRPr="0098023A">
        <w:rPr>
          <w:rFonts w:hint="cs"/>
          <w:sz w:val="26"/>
          <w:szCs w:val="26"/>
          <w:rtl/>
        </w:rPr>
        <w:t>אחריות על מעשיו ו</w:t>
      </w:r>
      <w:r>
        <w:rPr>
          <w:rFonts w:hint="cs"/>
          <w:sz w:val="26"/>
          <w:szCs w:val="26"/>
          <w:rtl/>
        </w:rPr>
        <w:t>את החיסכון ב</w:t>
      </w:r>
      <w:r w:rsidRPr="0098023A">
        <w:rPr>
          <w:rFonts w:hint="cs"/>
          <w:sz w:val="26"/>
          <w:szCs w:val="26"/>
          <w:rtl/>
        </w:rPr>
        <w:t xml:space="preserve">זמן </w:t>
      </w:r>
      <w:r>
        <w:rPr>
          <w:rFonts w:hint="cs"/>
          <w:sz w:val="26"/>
          <w:szCs w:val="26"/>
          <w:rtl/>
        </w:rPr>
        <w:t>ה</w:t>
      </w:r>
      <w:r w:rsidRPr="0098023A">
        <w:rPr>
          <w:rFonts w:hint="cs"/>
          <w:sz w:val="26"/>
          <w:szCs w:val="26"/>
          <w:rtl/>
        </w:rPr>
        <w:t xml:space="preserve">שיפוטי. </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Pr>
          <w:rFonts w:hint="cs"/>
          <w:sz w:val="26"/>
          <w:szCs w:val="26"/>
          <w:rtl/>
        </w:rPr>
        <w:t xml:space="preserve">על יסוד נתונים אלה עתר התובע המלומד להציב </w:t>
      </w:r>
      <w:r w:rsidRPr="0098023A">
        <w:rPr>
          <w:rFonts w:hint="cs"/>
          <w:sz w:val="26"/>
          <w:szCs w:val="26"/>
          <w:rtl/>
        </w:rPr>
        <w:t xml:space="preserve">את מתחם הענישה </w:t>
      </w:r>
      <w:r>
        <w:rPr>
          <w:rFonts w:hint="cs"/>
          <w:sz w:val="26"/>
          <w:szCs w:val="26"/>
          <w:rtl/>
        </w:rPr>
        <w:t xml:space="preserve">על </w:t>
      </w:r>
      <w:r w:rsidRPr="0098023A">
        <w:rPr>
          <w:rFonts w:hint="cs"/>
          <w:sz w:val="26"/>
          <w:szCs w:val="26"/>
          <w:rtl/>
        </w:rPr>
        <w:t xml:space="preserve">טווח שבין 36 לבין 66 חודשי מאסר בפועל, </w:t>
      </w:r>
      <w:r>
        <w:rPr>
          <w:rFonts w:hint="cs"/>
          <w:sz w:val="26"/>
          <w:szCs w:val="26"/>
          <w:rtl/>
        </w:rPr>
        <w:t>וביקש</w:t>
      </w:r>
      <w:r w:rsidRPr="0098023A">
        <w:rPr>
          <w:rFonts w:hint="cs"/>
          <w:sz w:val="26"/>
          <w:szCs w:val="26"/>
          <w:rtl/>
        </w:rPr>
        <w:t xml:space="preserve"> לגזור את דינו של הנאשם באמצע המתחם, </w:t>
      </w:r>
      <w:r>
        <w:rPr>
          <w:rFonts w:hint="cs"/>
          <w:sz w:val="26"/>
          <w:szCs w:val="26"/>
          <w:rtl/>
        </w:rPr>
        <w:t xml:space="preserve">וכן להטיל עליו </w:t>
      </w:r>
      <w:r w:rsidRPr="0098023A">
        <w:rPr>
          <w:rFonts w:hint="cs"/>
          <w:sz w:val="26"/>
          <w:szCs w:val="26"/>
          <w:rtl/>
        </w:rPr>
        <w:t>קנס כספי משמעותי ומאסר על תנאי. ב"כ המאשימה הגיש א</w:t>
      </w:r>
      <w:r>
        <w:rPr>
          <w:rFonts w:hint="cs"/>
          <w:sz w:val="26"/>
          <w:szCs w:val="26"/>
          <w:rtl/>
        </w:rPr>
        <w:t>סופת פסיקה התומכת בעמדתו זו</w:t>
      </w:r>
      <w:r w:rsidRPr="0098023A">
        <w:rPr>
          <w:rFonts w:hint="cs"/>
          <w:sz w:val="26"/>
          <w:szCs w:val="26"/>
          <w:rtl/>
        </w:rPr>
        <w:t>.</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sidRPr="0098023A">
        <w:rPr>
          <w:rFonts w:hint="cs"/>
          <w:sz w:val="26"/>
          <w:szCs w:val="26"/>
          <w:rtl/>
        </w:rPr>
        <w:t xml:space="preserve">מנגד </w:t>
      </w:r>
      <w:r>
        <w:rPr>
          <w:rFonts w:hint="cs"/>
          <w:sz w:val="26"/>
          <w:szCs w:val="26"/>
          <w:rtl/>
        </w:rPr>
        <w:t>טען ב"כ הנאשם כי עסקינן ב</w:t>
      </w:r>
      <w:r w:rsidRPr="0098023A">
        <w:rPr>
          <w:rFonts w:hint="cs"/>
          <w:sz w:val="26"/>
          <w:szCs w:val="26"/>
          <w:rtl/>
        </w:rPr>
        <w:t xml:space="preserve">סם </w:t>
      </w:r>
      <w:r>
        <w:rPr>
          <w:rFonts w:hint="cs"/>
          <w:sz w:val="26"/>
          <w:szCs w:val="26"/>
          <w:rtl/>
        </w:rPr>
        <w:t xml:space="preserve">חדש יחסית </w:t>
      </w:r>
      <w:r w:rsidRPr="0098023A">
        <w:rPr>
          <w:rFonts w:hint="cs"/>
          <w:sz w:val="26"/>
          <w:szCs w:val="26"/>
          <w:rtl/>
        </w:rPr>
        <w:t xml:space="preserve">שאינו מוכר </w:t>
      </w:r>
      <w:r>
        <w:rPr>
          <w:rFonts w:hint="cs"/>
          <w:sz w:val="26"/>
          <w:szCs w:val="26"/>
          <w:rtl/>
        </w:rPr>
        <w:t>באופן נרחב</w:t>
      </w:r>
      <w:r w:rsidRPr="0098023A">
        <w:rPr>
          <w:rFonts w:hint="cs"/>
          <w:sz w:val="26"/>
          <w:szCs w:val="26"/>
          <w:rtl/>
        </w:rPr>
        <w:t xml:space="preserve">, </w:t>
      </w:r>
      <w:r>
        <w:rPr>
          <w:rFonts w:hint="cs"/>
          <w:sz w:val="26"/>
          <w:szCs w:val="26"/>
          <w:rtl/>
        </w:rPr>
        <w:t xml:space="preserve">וכי </w:t>
      </w:r>
      <w:r w:rsidRPr="0098023A">
        <w:rPr>
          <w:rFonts w:hint="cs"/>
          <w:sz w:val="26"/>
          <w:szCs w:val="26"/>
          <w:rtl/>
        </w:rPr>
        <w:t xml:space="preserve">במקרים כאלה אין להטיל את מלוא כובד העונש על כתפיהם של הנאשמים הראשונים. </w:t>
      </w:r>
      <w:r>
        <w:rPr>
          <w:rFonts w:hint="cs"/>
          <w:sz w:val="26"/>
          <w:szCs w:val="26"/>
          <w:rtl/>
        </w:rPr>
        <w:t>עוד ביקש לשכנע כי חלקו של הנאשם במעשים קטן באופן משמעותי</w:t>
      </w:r>
      <w:r w:rsidRPr="0098023A">
        <w:rPr>
          <w:rFonts w:hint="cs"/>
          <w:sz w:val="26"/>
          <w:szCs w:val="26"/>
          <w:rtl/>
        </w:rPr>
        <w:t xml:space="preserve"> מחלקו של </w:t>
      </w:r>
      <w:r>
        <w:rPr>
          <w:rFonts w:hint="cs"/>
          <w:sz w:val="26"/>
          <w:szCs w:val="26"/>
          <w:rtl/>
        </w:rPr>
        <w:t>אותו אחר</w:t>
      </w:r>
      <w:r w:rsidRPr="0098023A">
        <w:rPr>
          <w:rFonts w:hint="cs"/>
          <w:sz w:val="26"/>
          <w:szCs w:val="26"/>
          <w:rtl/>
        </w:rPr>
        <w:t>, שכן הנאשם רק אסף את שתי החבילות בעוד האחר קנה את הסמים ושלח אותם ארצה</w:t>
      </w:r>
      <w:r>
        <w:rPr>
          <w:rFonts w:hint="cs"/>
          <w:sz w:val="26"/>
          <w:szCs w:val="26"/>
          <w:rtl/>
        </w:rPr>
        <w:t xml:space="preserve">. ב"כ הנאשם הפנה לפסיקה מטעמו וביקש </w:t>
      </w:r>
      <w:r w:rsidRPr="00376DA5">
        <w:rPr>
          <w:rFonts w:hint="cs"/>
          <w:sz w:val="26"/>
          <w:szCs w:val="26"/>
          <w:rtl/>
        </w:rPr>
        <w:t>לאבחן</w:t>
      </w:r>
      <w:r>
        <w:rPr>
          <w:rFonts w:hint="cs"/>
          <w:sz w:val="26"/>
          <w:szCs w:val="26"/>
          <w:rtl/>
        </w:rPr>
        <w:t xml:space="preserve"> את הפסיקה שהגיש התובע. </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Pr>
          <w:rFonts w:hint="cs"/>
          <w:sz w:val="26"/>
          <w:szCs w:val="26"/>
          <w:rtl/>
        </w:rPr>
        <w:t>הסנגור המלומד הדגיש</w:t>
      </w:r>
      <w:r w:rsidRPr="0098023A">
        <w:rPr>
          <w:rFonts w:hint="cs"/>
          <w:sz w:val="26"/>
          <w:szCs w:val="26"/>
          <w:rtl/>
        </w:rPr>
        <w:t xml:space="preserve"> </w:t>
      </w:r>
      <w:r>
        <w:rPr>
          <w:rFonts w:hint="cs"/>
          <w:sz w:val="26"/>
          <w:szCs w:val="26"/>
          <w:rtl/>
        </w:rPr>
        <w:t>את נסיבותיו האישיות של הנאשם,</w:t>
      </w:r>
      <w:r w:rsidRPr="0098023A">
        <w:rPr>
          <w:rFonts w:hint="cs"/>
          <w:sz w:val="26"/>
          <w:szCs w:val="26"/>
          <w:rtl/>
        </w:rPr>
        <w:t xml:space="preserve"> </w:t>
      </w:r>
      <w:r>
        <w:rPr>
          <w:rFonts w:hint="cs"/>
          <w:sz w:val="26"/>
          <w:szCs w:val="26"/>
          <w:rtl/>
        </w:rPr>
        <w:t>ואת הקשיים האישיים עמם הוא מתמודד. לדבריו, הנאשם</w:t>
      </w:r>
      <w:r w:rsidRPr="0098023A">
        <w:rPr>
          <w:rFonts w:hint="cs"/>
          <w:sz w:val="26"/>
          <w:szCs w:val="26"/>
          <w:rtl/>
        </w:rPr>
        <w:t xml:space="preserve"> </w:t>
      </w:r>
      <w:r>
        <w:rPr>
          <w:rFonts w:hint="cs"/>
          <w:sz w:val="26"/>
          <w:szCs w:val="26"/>
          <w:rtl/>
        </w:rPr>
        <w:t>נשא אמנם</w:t>
      </w:r>
      <w:r w:rsidRPr="0098023A">
        <w:rPr>
          <w:rFonts w:hint="cs"/>
          <w:sz w:val="26"/>
          <w:szCs w:val="26"/>
          <w:rtl/>
        </w:rPr>
        <w:t xml:space="preserve"> </w:t>
      </w:r>
      <w:r>
        <w:rPr>
          <w:rFonts w:hint="cs"/>
          <w:sz w:val="26"/>
          <w:szCs w:val="26"/>
          <w:rtl/>
        </w:rPr>
        <w:t xml:space="preserve">בעבר </w:t>
      </w:r>
      <w:r w:rsidRPr="0098023A">
        <w:rPr>
          <w:rFonts w:hint="cs"/>
          <w:sz w:val="26"/>
          <w:szCs w:val="26"/>
          <w:rtl/>
        </w:rPr>
        <w:t xml:space="preserve">מאסר בגין עבירת סמים, אך </w:t>
      </w:r>
      <w:r>
        <w:rPr>
          <w:rFonts w:hint="cs"/>
          <w:sz w:val="26"/>
          <w:szCs w:val="26"/>
          <w:rtl/>
        </w:rPr>
        <w:t>מדובר במעשים שאירעו לפני</w:t>
      </w:r>
      <w:r w:rsidRPr="0098023A">
        <w:rPr>
          <w:rFonts w:hint="cs"/>
          <w:sz w:val="26"/>
          <w:szCs w:val="26"/>
          <w:rtl/>
        </w:rPr>
        <w:t xml:space="preserve"> 5 שנים</w:t>
      </w:r>
      <w:r>
        <w:rPr>
          <w:rFonts w:hint="cs"/>
          <w:sz w:val="26"/>
          <w:szCs w:val="26"/>
          <w:rtl/>
        </w:rPr>
        <w:t>, ומאז לא עבר עבירות נוספות.</w:t>
      </w:r>
      <w:r w:rsidRPr="0098023A">
        <w:rPr>
          <w:rFonts w:hint="cs"/>
          <w:sz w:val="26"/>
          <w:szCs w:val="26"/>
          <w:rtl/>
        </w:rPr>
        <w:t xml:space="preserve"> </w:t>
      </w:r>
      <w:r>
        <w:rPr>
          <w:rFonts w:hint="cs"/>
          <w:sz w:val="26"/>
          <w:szCs w:val="26"/>
          <w:rtl/>
        </w:rPr>
        <w:t>נוכח</w:t>
      </w:r>
      <w:r w:rsidRPr="0098023A">
        <w:rPr>
          <w:rFonts w:hint="cs"/>
          <w:sz w:val="26"/>
          <w:szCs w:val="26"/>
          <w:rtl/>
        </w:rPr>
        <w:t xml:space="preserve"> שיקולים אלו </w:t>
      </w:r>
      <w:r>
        <w:rPr>
          <w:rFonts w:hint="cs"/>
          <w:sz w:val="26"/>
          <w:szCs w:val="26"/>
          <w:rtl/>
        </w:rPr>
        <w:t xml:space="preserve">ציין את עמדתו לפיה על </w:t>
      </w:r>
      <w:r w:rsidRPr="0098023A">
        <w:rPr>
          <w:rFonts w:hint="cs"/>
          <w:sz w:val="26"/>
          <w:szCs w:val="26"/>
          <w:rtl/>
        </w:rPr>
        <w:t xml:space="preserve">מתחם </w:t>
      </w:r>
      <w:r>
        <w:rPr>
          <w:rFonts w:hint="cs"/>
          <w:sz w:val="26"/>
          <w:szCs w:val="26"/>
          <w:rtl/>
        </w:rPr>
        <w:t xml:space="preserve">הענישה במקרה זה </w:t>
      </w:r>
      <w:r w:rsidRPr="0098023A">
        <w:rPr>
          <w:rFonts w:hint="cs"/>
          <w:sz w:val="26"/>
          <w:szCs w:val="26"/>
          <w:rtl/>
        </w:rPr>
        <w:t>ל</w:t>
      </w:r>
      <w:r>
        <w:rPr>
          <w:rFonts w:hint="cs"/>
          <w:sz w:val="26"/>
          <w:szCs w:val="26"/>
          <w:rtl/>
        </w:rPr>
        <w:t>נוע</w:t>
      </w:r>
      <w:r w:rsidRPr="0098023A">
        <w:rPr>
          <w:rFonts w:hint="cs"/>
          <w:sz w:val="26"/>
          <w:szCs w:val="26"/>
          <w:rtl/>
        </w:rPr>
        <w:t xml:space="preserve"> בין 9 חודשי מאסר לריצוי בעבודות שירו</w:t>
      </w:r>
      <w:r>
        <w:rPr>
          <w:rFonts w:hint="cs"/>
          <w:sz w:val="26"/>
          <w:szCs w:val="26"/>
          <w:rtl/>
        </w:rPr>
        <w:t>ת לבין 30 חודשי מאסר בפועל, ו</w:t>
      </w:r>
      <w:r w:rsidRPr="0098023A">
        <w:rPr>
          <w:rFonts w:hint="cs"/>
          <w:sz w:val="26"/>
          <w:szCs w:val="26"/>
          <w:rtl/>
        </w:rPr>
        <w:t>יש למקם את הנאשם בחלקו התחתון של המתחם</w:t>
      </w:r>
      <w:r>
        <w:rPr>
          <w:rFonts w:hint="cs"/>
          <w:sz w:val="26"/>
          <w:szCs w:val="26"/>
          <w:rtl/>
        </w:rPr>
        <w:t xml:space="preserve"> ולהשית עליו 12 </w:t>
      </w:r>
      <w:r>
        <w:rPr>
          <w:sz w:val="26"/>
          <w:szCs w:val="26"/>
          <w:rtl/>
        </w:rPr>
        <w:t>–</w:t>
      </w:r>
      <w:r>
        <w:rPr>
          <w:rFonts w:hint="cs"/>
          <w:sz w:val="26"/>
          <w:szCs w:val="26"/>
          <w:rtl/>
        </w:rPr>
        <w:t xml:space="preserve"> 13 חודשי מאסר בפועל</w:t>
      </w:r>
      <w:r w:rsidRPr="0098023A">
        <w:rPr>
          <w:rFonts w:hint="cs"/>
          <w:sz w:val="26"/>
          <w:szCs w:val="26"/>
          <w:rtl/>
        </w:rPr>
        <w:t xml:space="preserve">. לעניין הקנס הכספי טען כי </w:t>
      </w:r>
      <w:r>
        <w:rPr>
          <w:rFonts w:hint="cs"/>
          <w:sz w:val="26"/>
          <w:szCs w:val="26"/>
          <w:rtl/>
        </w:rPr>
        <w:t>הנאשם לא הורשע בעבירת סחר ולא הפיק</w:t>
      </w:r>
      <w:r w:rsidRPr="0098023A">
        <w:rPr>
          <w:rFonts w:hint="cs"/>
          <w:sz w:val="26"/>
          <w:szCs w:val="26"/>
          <w:rtl/>
        </w:rPr>
        <w:t xml:space="preserve"> רווח כספי</w:t>
      </w:r>
      <w:r>
        <w:rPr>
          <w:rFonts w:hint="cs"/>
          <w:sz w:val="26"/>
          <w:szCs w:val="26"/>
          <w:rtl/>
        </w:rPr>
        <w:t xml:space="preserve">, ועל כן יש להשית </w:t>
      </w:r>
      <w:r w:rsidRPr="0098023A">
        <w:rPr>
          <w:rFonts w:hint="cs"/>
          <w:sz w:val="26"/>
          <w:szCs w:val="26"/>
          <w:rtl/>
        </w:rPr>
        <w:t>קנס כספי מדוד</w:t>
      </w:r>
      <w:r>
        <w:rPr>
          <w:rFonts w:hint="cs"/>
          <w:sz w:val="26"/>
          <w:szCs w:val="26"/>
          <w:rtl/>
        </w:rPr>
        <w:t xml:space="preserve"> בלבד</w:t>
      </w:r>
      <w:r w:rsidRPr="0098023A">
        <w:rPr>
          <w:rFonts w:hint="cs"/>
          <w:sz w:val="26"/>
          <w:szCs w:val="26"/>
          <w:rtl/>
        </w:rPr>
        <w:t>.</w:t>
      </w:r>
    </w:p>
    <w:p w:rsidR="004A5D6F" w:rsidRPr="0098023A"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sidRPr="0098023A">
        <w:rPr>
          <w:rFonts w:hint="cs"/>
          <w:sz w:val="26"/>
          <w:szCs w:val="26"/>
          <w:rtl/>
        </w:rPr>
        <w:t>לבסוף שמעתי את דברי הנאשם עצמו, אשר הביע חרטה עמוקה והתנצל על מעשיו</w:t>
      </w:r>
      <w:r>
        <w:rPr>
          <w:rFonts w:hint="cs"/>
          <w:sz w:val="26"/>
          <w:szCs w:val="26"/>
          <w:rtl/>
        </w:rPr>
        <w:t>. הנאשם הדגיש כי הוא רוצה לחזור</w:t>
      </w:r>
      <w:r w:rsidRPr="0098023A">
        <w:rPr>
          <w:rFonts w:hint="cs"/>
          <w:sz w:val="26"/>
          <w:szCs w:val="26"/>
          <w:rtl/>
        </w:rPr>
        <w:t xml:space="preserve"> </w:t>
      </w:r>
      <w:r>
        <w:rPr>
          <w:rFonts w:hint="cs"/>
          <w:sz w:val="26"/>
          <w:szCs w:val="26"/>
          <w:rtl/>
        </w:rPr>
        <w:t>ל</w:t>
      </w:r>
      <w:r w:rsidRPr="0098023A">
        <w:rPr>
          <w:rFonts w:hint="cs"/>
          <w:sz w:val="26"/>
          <w:szCs w:val="26"/>
          <w:rtl/>
        </w:rPr>
        <w:t>שגרת חייו ולבנות לעצמו חיים נורמטיביים.</w:t>
      </w:r>
    </w:p>
    <w:p w:rsidR="004A5D6F" w:rsidRDefault="004A5D6F" w:rsidP="004A5D6F">
      <w:pPr>
        <w:spacing w:line="360" w:lineRule="auto"/>
        <w:jc w:val="both"/>
        <w:rPr>
          <w:sz w:val="26"/>
          <w:szCs w:val="26"/>
          <w:rtl/>
        </w:rPr>
      </w:pPr>
    </w:p>
    <w:p w:rsidR="004A5D6F" w:rsidRPr="000C7045" w:rsidRDefault="004A5D6F" w:rsidP="004A5D6F">
      <w:pPr>
        <w:spacing w:line="360" w:lineRule="auto"/>
        <w:jc w:val="both"/>
        <w:rPr>
          <w:sz w:val="26"/>
          <w:szCs w:val="26"/>
          <w:rtl/>
        </w:rPr>
      </w:pPr>
    </w:p>
    <w:p w:rsidR="004A5D6F" w:rsidRPr="0098023A" w:rsidRDefault="004A5D6F" w:rsidP="004A5D6F">
      <w:pPr>
        <w:spacing w:line="360" w:lineRule="auto"/>
        <w:jc w:val="both"/>
        <w:rPr>
          <w:b/>
          <w:bCs/>
          <w:sz w:val="26"/>
          <w:szCs w:val="26"/>
          <w:u w:val="single"/>
          <w:rtl/>
        </w:rPr>
      </w:pPr>
      <w:r w:rsidRPr="0098023A">
        <w:rPr>
          <w:rFonts w:hint="cs"/>
          <w:b/>
          <w:bCs/>
          <w:sz w:val="26"/>
          <w:szCs w:val="26"/>
          <w:u w:val="single"/>
          <w:rtl/>
        </w:rPr>
        <w:t>דיון והכרעה:</w:t>
      </w:r>
    </w:p>
    <w:p w:rsidR="004A5D6F" w:rsidRDefault="004A5D6F" w:rsidP="004A5D6F">
      <w:pPr>
        <w:spacing w:line="360" w:lineRule="auto"/>
        <w:jc w:val="both"/>
        <w:rPr>
          <w:sz w:val="26"/>
          <w:szCs w:val="26"/>
          <w:rtl/>
        </w:rPr>
      </w:pPr>
      <w:r w:rsidRPr="0098023A">
        <w:rPr>
          <w:rFonts w:hint="cs"/>
          <w:sz w:val="26"/>
          <w:szCs w:val="26"/>
          <w:rtl/>
        </w:rPr>
        <w:t xml:space="preserve">ההלכה הפסוקה עמדה על ההכרח להיאבק בנגע הסמים ועל הצורך להעביר מסר מרתיע </w:t>
      </w:r>
      <w:r>
        <w:rPr>
          <w:rFonts w:hint="cs"/>
          <w:sz w:val="26"/>
          <w:szCs w:val="26"/>
          <w:rtl/>
        </w:rPr>
        <w:t>ובלתי מתפשר, בין היתר</w:t>
      </w:r>
      <w:r w:rsidRPr="0098023A">
        <w:rPr>
          <w:rFonts w:hint="cs"/>
          <w:sz w:val="26"/>
          <w:szCs w:val="26"/>
          <w:rtl/>
        </w:rPr>
        <w:t xml:space="preserve"> על-ידי הטלת עונשים מחמירים</w:t>
      </w:r>
      <w:r>
        <w:rPr>
          <w:rFonts w:hint="cs"/>
          <w:sz w:val="26"/>
          <w:szCs w:val="26"/>
          <w:rtl/>
        </w:rPr>
        <w:t>, איש איש על פי חלקו ומעמדו בשרשרת הפקת והפצת הסם</w:t>
      </w:r>
      <w:r w:rsidRPr="0098023A">
        <w:rPr>
          <w:rFonts w:hint="cs"/>
          <w:sz w:val="26"/>
          <w:szCs w:val="26"/>
          <w:rtl/>
        </w:rPr>
        <w:t>.</w:t>
      </w:r>
      <w:r>
        <w:rPr>
          <w:rFonts w:hint="cs"/>
          <w:sz w:val="26"/>
          <w:szCs w:val="26"/>
          <w:rtl/>
        </w:rPr>
        <w:t xml:space="preserve"> על תפקידו זה של בית המשפט, כחלק ממערכת כוללת של מאבק בתופעה רחבה זו, שנזקיה חמורים, עמד בית המשפט העליון לא פעם, ויפים בהקשר זה </w:t>
      </w:r>
      <w:r w:rsidRPr="0098023A">
        <w:rPr>
          <w:rFonts w:hint="cs"/>
          <w:sz w:val="26"/>
          <w:szCs w:val="26"/>
          <w:rtl/>
        </w:rPr>
        <w:t>דברי</w:t>
      </w:r>
      <w:r>
        <w:rPr>
          <w:rFonts w:hint="cs"/>
          <w:sz w:val="26"/>
          <w:szCs w:val="26"/>
          <w:rtl/>
        </w:rPr>
        <w:t>ו של</w:t>
      </w:r>
      <w:r w:rsidRPr="0098023A">
        <w:rPr>
          <w:rFonts w:hint="cs"/>
          <w:sz w:val="26"/>
          <w:szCs w:val="26"/>
          <w:rtl/>
        </w:rPr>
        <w:t xml:space="preserve"> כב' השופט</w:t>
      </w:r>
      <w:r w:rsidR="00696A3A">
        <w:rPr>
          <w:rFonts w:hint="cs"/>
          <w:sz w:val="26"/>
          <w:szCs w:val="26"/>
          <w:rtl/>
        </w:rPr>
        <w:t xml:space="preserve"> </w:t>
      </w:r>
      <w:r w:rsidRPr="0098023A">
        <w:rPr>
          <w:rFonts w:hint="cs"/>
          <w:sz w:val="26"/>
          <w:szCs w:val="26"/>
          <w:rtl/>
        </w:rPr>
        <w:t>רובינשטיין ב</w:t>
      </w:r>
      <w:hyperlink r:id="rId15" w:history="1">
        <w:r w:rsidR="00696A3A" w:rsidRPr="00696A3A">
          <w:rPr>
            <w:color w:val="0000FF"/>
            <w:sz w:val="26"/>
            <w:szCs w:val="26"/>
            <w:u w:val="single"/>
            <w:rtl/>
          </w:rPr>
          <w:t>ע"פ 972/11</w:t>
        </w:r>
      </w:hyperlink>
      <w:r>
        <w:rPr>
          <w:rFonts w:hint="cs"/>
          <w:sz w:val="26"/>
          <w:szCs w:val="26"/>
          <w:rtl/>
        </w:rPr>
        <w:t xml:space="preserve"> </w:t>
      </w:r>
      <w:r>
        <w:rPr>
          <w:rFonts w:hint="cs"/>
          <w:b/>
          <w:bCs/>
          <w:sz w:val="26"/>
          <w:szCs w:val="26"/>
          <w:rtl/>
        </w:rPr>
        <w:t>מ"י נ'</w:t>
      </w:r>
      <w:r w:rsidRPr="0098023A">
        <w:rPr>
          <w:rFonts w:hint="cs"/>
          <w:b/>
          <w:bCs/>
          <w:sz w:val="26"/>
          <w:szCs w:val="26"/>
          <w:rtl/>
        </w:rPr>
        <w:t xml:space="preserve"> יונה</w:t>
      </w:r>
      <w:r w:rsidR="00696A3A">
        <w:rPr>
          <w:rFonts w:hint="cs"/>
          <w:sz w:val="26"/>
          <w:szCs w:val="26"/>
          <w:rtl/>
        </w:rPr>
        <w:t xml:space="preserve"> </w:t>
      </w:r>
      <w:r w:rsidR="00A05150" w:rsidRPr="00A05150">
        <w:rPr>
          <w:sz w:val="22"/>
          <w:rtl/>
        </w:rPr>
        <w:t xml:space="preserve">[פורסם בנבו] </w:t>
      </w:r>
      <w:r w:rsidRPr="0098023A">
        <w:rPr>
          <w:rFonts w:hint="cs"/>
          <w:sz w:val="26"/>
          <w:szCs w:val="26"/>
          <w:rtl/>
        </w:rPr>
        <w:t>(4.7.2012):</w:t>
      </w:r>
    </w:p>
    <w:p w:rsidR="004A5D6F" w:rsidRPr="0098023A" w:rsidRDefault="004A5D6F" w:rsidP="004A5D6F">
      <w:pPr>
        <w:spacing w:line="360" w:lineRule="auto"/>
        <w:jc w:val="both"/>
        <w:rPr>
          <w:sz w:val="26"/>
          <w:szCs w:val="26"/>
          <w:rtl/>
        </w:rPr>
      </w:pPr>
    </w:p>
    <w:p w:rsidR="004A5D6F" w:rsidRPr="0098023A" w:rsidRDefault="004A5D6F" w:rsidP="004A5D6F">
      <w:pPr>
        <w:spacing w:line="360" w:lineRule="auto"/>
        <w:ind w:left="737" w:right="737"/>
        <w:jc w:val="both"/>
        <w:rPr>
          <w:sz w:val="26"/>
          <w:szCs w:val="26"/>
          <w:rtl/>
        </w:rPr>
      </w:pPr>
      <w:r w:rsidRPr="00E264B5">
        <w:rPr>
          <w:rFonts w:hint="cs"/>
          <w:sz w:val="26"/>
          <w:szCs w:val="26"/>
          <w:rtl/>
        </w:rPr>
        <w:t>"</w:t>
      </w:r>
      <w:r w:rsidRPr="0098023A">
        <w:rPr>
          <w:rFonts w:hint="cs"/>
          <w:b/>
          <w:bCs/>
          <w:sz w:val="26"/>
          <w:szCs w:val="26"/>
          <w:rtl/>
        </w:rPr>
        <w:t>את נגע הסמים יש לעקור מן השורש. ייצור, הפצה, סחר וכמובן גם שימוש בסמים – כל אלו מסבים נזק עצום. הנזק נגרם לא רק למעגל הסגור של המעורבים הישירים בביצוע העבירות, אלא גם לחברה בכללותה.</w:t>
      </w:r>
      <w:r w:rsidRPr="0098023A">
        <w:rPr>
          <w:rFonts w:hint="cs"/>
          <w:sz w:val="26"/>
          <w:szCs w:val="26"/>
          <w:rtl/>
        </w:rPr>
        <w:t xml:space="preserve"> </w:t>
      </w:r>
      <w:r w:rsidRPr="0098023A">
        <w:rPr>
          <w:rFonts w:hint="cs"/>
          <w:b/>
          <w:bCs/>
          <w:sz w:val="26"/>
          <w:szCs w:val="26"/>
          <w:rtl/>
        </w:rPr>
        <w:t>למאבק בנגע הסמים יש שותפים רבים. חלקם מתמקדים בחינוך מניעתי ובהסברה. אחרים מסייעים בהליכי הגמילה. לצידם פועלים גם אנשי אכיפת החוק, שתפקידם לסכל את עבירות הסמים וללכוד את העבריינים. אף בית המשפט נוטל חלק חשוב במאבק, באמצעות הטלת עונש מרתיע על מי שהורשע בעבירות סמים. בכל זאת תוך מתן משקל - בין היתר - לכמות הסם ואיכותו, טיב עבירת הסמים שבוצעה, תרומתו</w:t>
      </w:r>
      <w:r w:rsidRPr="0098023A">
        <w:rPr>
          <w:rFonts w:hint="cs"/>
          <w:sz w:val="26"/>
          <w:szCs w:val="26"/>
          <w:rtl/>
        </w:rPr>
        <w:t xml:space="preserve"> </w:t>
      </w:r>
      <w:r w:rsidRPr="0098023A">
        <w:rPr>
          <w:rFonts w:hint="cs"/>
          <w:b/>
          <w:bCs/>
          <w:sz w:val="26"/>
          <w:szCs w:val="26"/>
          <w:rtl/>
        </w:rPr>
        <w:t>של הנאשם להתגשמות העבירה ועברו הפלילי (השוו:</w:t>
      </w:r>
      <w:r w:rsidR="00696A3A">
        <w:rPr>
          <w:rFonts w:hint="cs"/>
          <w:b/>
          <w:bCs/>
          <w:sz w:val="26"/>
          <w:szCs w:val="26"/>
          <w:rtl/>
        </w:rPr>
        <w:t xml:space="preserve"> </w:t>
      </w:r>
      <w:hyperlink r:id="rId16" w:history="1">
        <w:r w:rsidR="00696A3A" w:rsidRPr="00696A3A">
          <w:rPr>
            <w:b/>
            <w:bCs/>
            <w:color w:val="0000FF"/>
            <w:sz w:val="26"/>
            <w:szCs w:val="26"/>
            <w:u w:val="single"/>
            <w:rtl/>
          </w:rPr>
          <w:t>ע"פ 8031/10</w:t>
        </w:r>
      </w:hyperlink>
      <w:r w:rsidR="00696A3A">
        <w:rPr>
          <w:rFonts w:hint="cs"/>
          <w:b/>
          <w:bCs/>
          <w:sz w:val="26"/>
          <w:szCs w:val="26"/>
          <w:rtl/>
        </w:rPr>
        <w:t xml:space="preserve"> </w:t>
      </w:r>
      <w:r w:rsidRPr="0098023A">
        <w:rPr>
          <w:rFonts w:hint="cs"/>
          <w:b/>
          <w:bCs/>
          <w:sz w:val="26"/>
          <w:szCs w:val="26"/>
          <w:rtl/>
        </w:rPr>
        <w:t>אורוסקו-צ'</w:t>
      </w:r>
      <w:r>
        <w:rPr>
          <w:rFonts w:hint="cs"/>
          <w:b/>
          <w:bCs/>
          <w:sz w:val="26"/>
          <w:szCs w:val="26"/>
          <w:rtl/>
        </w:rPr>
        <w:t xml:space="preserve">אבז נ' מדינת ישראל </w:t>
      </w:r>
      <w:r w:rsidR="00A05150" w:rsidRPr="00A05150">
        <w:rPr>
          <w:sz w:val="22"/>
          <w:rtl/>
        </w:rPr>
        <w:t xml:space="preserve">[פורסם בנבו] </w:t>
      </w:r>
      <w:r>
        <w:rPr>
          <w:rFonts w:hint="cs"/>
          <w:b/>
          <w:bCs/>
          <w:sz w:val="26"/>
          <w:szCs w:val="26"/>
          <w:rtl/>
        </w:rPr>
        <w:t>(1.3.2012)).</w:t>
      </w:r>
      <w:r w:rsidRPr="00E264B5">
        <w:rPr>
          <w:rFonts w:hint="cs"/>
          <w:sz w:val="26"/>
          <w:szCs w:val="26"/>
          <w:rtl/>
        </w:rPr>
        <w:t>"</w:t>
      </w:r>
    </w:p>
    <w:p w:rsidR="004A5D6F" w:rsidRDefault="004A5D6F" w:rsidP="004A5D6F">
      <w:pPr>
        <w:spacing w:line="360" w:lineRule="auto"/>
        <w:jc w:val="both"/>
        <w:rPr>
          <w:sz w:val="26"/>
          <w:szCs w:val="26"/>
          <w:rtl/>
        </w:rPr>
      </w:pPr>
    </w:p>
    <w:p w:rsidR="004A5D6F" w:rsidRPr="0098023A"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Pr>
          <w:rFonts w:hint="cs"/>
          <w:sz w:val="26"/>
          <w:szCs w:val="26"/>
          <w:rtl/>
        </w:rPr>
        <w:t>עבירות הסמים, ובפרט אלו העוסקות בהרחבת היקף שוק הסמים כגון עבירות הפקת הסם ועבירות הייבוא, ובהפצת הסם בדרך של סחר והחזקה שלא לשימוש עצמי בלבד, פוגעות פגיעה ממשית ב</w:t>
      </w:r>
      <w:r w:rsidRPr="00E0690F">
        <w:rPr>
          <w:rFonts w:hint="cs"/>
          <w:sz w:val="26"/>
          <w:szCs w:val="26"/>
          <w:rtl/>
        </w:rPr>
        <w:t xml:space="preserve">ערכים חברתיים </w:t>
      </w:r>
      <w:r>
        <w:rPr>
          <w:rFonts w:hint="cs"/>
          <w:sz w:val="26"/>
          <w:szCs w:val="26"/>
          <w:rtl/>
        </w:rPr>
        <w:t xml:space="preserve">בעלי משקל ובהם הצורך בהגנה על שלום הציבור, על </w:t>
      </w:r>
      <w:r w:rsidRPr="00E0690F">
        <w:rPr>
          <w:rFonts w:hint="cs"/>
          <w:sz w:val="26"/>
          <w:szCs w:val="26"/>
          <w:rtl/>
        </w:rPr>
        <w:t>בריאותו</w:t>
      </w:r>
      <w:r>
        <w:rPr>
          <w:rFonts w:hint="cs"/>
          <w:sz w:val="26"/>
          <w:szCs w:val="26"/>
          <w:rtl/>
        </w:rPr>
        <w:t>,</w:t>
      </w:r>
      <w:r w:rsidRPr="00E0690F">
        <w:rPr>
          <w:rFonts w:hint="cs"/>
          <w:sz w:val="26"/>
          <w:szCs w:val="26"/>
          <w:rtl/>
        </w:rPr>
        <w:t xml:space="preserve"> </w:t>
      </w:r>
      <w:r>
        <w:rPr>
          <w:rFonts w:hint="cs"/>
          <w:sz w:val="26"/>
          <w:szCs w:val="26"/>
          <w:rtl/>
        </w:rPr>
        <w:t xml:space="preserve">על </w:t>
      </w:r>
      <w:r w:rsidRPr="00E0690F">
        <w:rPr>
          <w:rFonts w:hint="cs"/>
          <w:sz w:val="26"/>
          <w:szCs w:val="26"/>
          <w:rtl/>
        </w:rPr>
        <w:t xml:space="preserve">ביטחונו האישי ועל רכושו. </w:t>
      </w:r>
      <w:r>
        <w:rPr>
          <w:rFonts w:hint="cs"/>
          <w:sz w:val="26"/>
          <w:szCs w:val="26"/>
          <w:rtl/>
        </w:rPr>
        <w:t xml:space="preserve">על עצמת הפגיעה והיקפה הנרחב עמד ביהמ"ש העליון במסגרת </w:t>
      </w:r>
      <w:hyperlink r:id="rId17" w:history="1">
        <w:r w:rsidR="00696A3A" w:rsidRPr="00696A3A">
          <w:rPr>
            <w:color w:val="0000FF"/>
            <w:sz w:val="26"/>
            <w:szCs w:val="26"/>
            <w:u w:val="single"/>
            <w:rtl/>
          </w:rPr>
          <w:t>ע"פ 1635/14</w:t>
        </w:r>
      </w:hyperlink>
      <w:r w:rsidR="00696A3A">
        <w:rPr>
          <w:rFonts w:hint="cs"/>
          <w:sz w:val="26"/>
          <w:szCs w:val="26"/>
        </w:rPr>
        <w:t xml:space="preserve"> </w:t>
      </w:r>
      <w:r w:rsidRPr="0098023A">
        <w:rPr>
          <w:rFonts w:hint="cs"/>
          <w:b/>
          <w:bCs/>
          <w:sz w:val="26"/>
          <w:szCs w:val="26"/>
          <w:rtl/>
        </w:rPr>
        <w:t>יהודה נ' מ"י</w:t>
      </w:r>
      <w:r w:rsidRPr="0098023A">
        <w:rPr>
          <w:rFonts w:hint="cs"/>
          <w:sz w:val="26"/>
          <w:szCs w:val="26"/>
          <w:rtl/>
        </w:rPr>
        <w:t xml:space="preserve"> </w:t>
      </w:r>
      <w:r w:rsidR="00A05150" w:rsidRPr="00A05150">
        <w:rPr>
          <w:sz w:val="22"/>
          <w:rtl/>
        </w:rPr>
        <w:t xml:space="preserve">[פורסם בנבו] </w:t>
      </w:r>
      <w:r>
        <w:rPr>
          <w:rFonts w:hint="cs"/>
          <w:sz w:val="26"/>
          <w:szCs w:val="26"/>
          <w:rtl/>
        </w:rPr>
        <w:t>(21.8.14)</w:t>
      </w:r>
      <w:r w:rsidRPr="0098023A">
        <w:rPr>
          <w:rFonts w:hint="cs"/>
          <w:sz w:val="26"/>
          <w:szCs w:val="26"/>
          <w:rtl/>
        </w:rPr>
        <w:t xml:space="preserve"> </w:t>
      </w:r>
      <w:r>
        <w:rPr>
          <w:rFonts w:hint="cs"/>
          <w:sz w:val="26"/>
          <w:szCs w:val="26"/>
          <w:rtl/>
        </w:rPr>
        <w:t xml:space="preserve">(להלן: </w:t>
      </w:r>
      <w:r>
        <w:rPr>
          <w:rFonts w:hint="cs"/>
          <w:b/>
          <w:bCs/>
          <w:sz w:val="26"/>
          <w:szCs w:val="26"/>
          <w:rtl/>
        </w:rPr>
        <w:t xml:space="preserve">"עניין </w:t>
      </w:r>
      <w:r w:rsidRPr="00E0690F">
        <w:rPr>
          <w:rFonts w:hint="cs"/>
          <w:b/>
          <w:bCs/>
          <w:sz w:val="26"/>
          <w:szCs w:val="26"/>
          <w:rtl/>
        </w:rPr>
        <w:t>יהודה</w:t>
      </w:r>
      <w:r>
        <w:rPr>
          <w:rFonts w:hint="cs"/>
          <w:sz w:val="26"/>
          <w:szCs w:val="26"/>
          <w:rtl/>
        </w:rPr>
        <w:t xml:space="preserve">") </w:t>
      </w:r>
      <w:r w:rsidRPr="00E0690F">
        <w:rPr>
          <w:rFonts w:hint="cs"/>
          <w:sz w:val="26"/>
          <w:szCs w:val="26"/>
          <w:rtl/>
        </w:rPr>
        <w:t>באומרו</w:t>
      </w:r>
      <w:r>
        <w:rPr>
          <w:rFonts w:hint="cs"/>
          <w:sz w:val="26"/>
          <w:szCs w:val="26"/>
          <w:rtl/>
        </w:rPr>
        <w:t>:</w:t>
      </w:r>
      <w:r w:rsidRPr="0098023A">
        <w:rPr>
          <w:rFonts w:hint="cs"/>
          <w:b/>
          <w:bCs/>
          <w:sz w:val="26"/>
          <w:szCs w:val="26"/>
          <w:rtl/>
        </w:rPr>
        <w:t xml:space="preserve"> </w:t>
      </w:r>
    </w:p>
    <w:p w:rsidR="004A5D6F" w:rsidRPr="0098023A" w:rsidRDefault="004A5D6F" w:rsidP="004A5D6F">
      <w:pPr>
        <w:spacing w:line="360" w:lineRule="auto"/>
        <w:jc w:val="both"/>
        <w:rPr>
          <w:sz w:val="26"/>
          <w:szCs w:val="26"/>
          <w:rtl/>
        </w:rPr>
      </w:pPr>
    </w:p>
    <w:p w:rsidR="004A5D6F" w:rsidRPr="0098023A" w:rsidRDefault="004A5D6F" w:rsidP="004A5D6F">
      <w:pPr>
        <w:spacing w:line="360" w:lineRule="auto"/>
        <w:ind w:left="737" w:right="737"/>
        <w:jc w:val="both"/>
        <w:rPr>
          <w:sz w:val="26"/>
          <w:szCs w:val="26"/>
          <w:rtl/>
        </w:rPr>
      </w:pPr>
      <w:r w:rsidRPr="0098023A">
        <w:rPr>
          <w:rFonts w:hint="cs"/>
          <w:b/>
          <w:bCs/>
          <w:sz w:val="26"/>
          <w:szCs w:val="26"/>
          <w:rtl/>
        </w:rPr>
        <w:t>"כידוע, השימוש בסם מסוכן אינו פוגע במשתמש לבדו, כי אם בבני משפחתו ובזרים לו, בסביבתו הקרובה והרחוקה, וסופה של השפעתו המחריבה להתפרס על פני החברה בכללותה. הנה כי כן, מעגלי ההרס הקשורים בשימוש בסמים מסוכנים ובייבואם מתרחבים והולכים, כמעגליה של אבן הפוגעת במים מורעלים</w:t>
      </w:r>
      <w:r w:rsidRPr="0098023A">
        <w:rPr>
          <w:rFonts w:hint="cs"/>
          <w:sz w:val="26"/>
          <w:szCs w:val="26"/>
          <w:rtl/>
        </w:rPr>
        <w:t>."</w:t>
      </w:r>
    </w:p>
    <w:p w:rsidR="004A5D6F" w:rsidRDefault="004A5D6F" w:rsidP="004A5D6F">
      <w:pPr>
        <w:spacing w:line="360" w:lineRule="auto"/>
        <w:ind w:left="737" w:right="737"/>
        <w:jc w:val="both"/>
        <w:rPr>
          <w:sz w:val="26"/>
          <w:szCs w:val="26"/>
          <w:rtl/>
        </w:rPr>
      </w:pPr>
    </w:p>
    <w:p w:rsidR="004A5D6F" w:rsidRPr="0098023A" w:rsidRDefault="004A5D6F" w:rsidP="004A5D6F">
      <w:pPr>
        <w:spacing w:line="360" w:lineRule="auto"/>
        <w:ind w:left="737" w:right="737"/>
        <w:jc w:val="both"/>
        <w:rPr>
          <w:sz w:val="26"/>
          <w:szCs w:val="26"/>
          <w:rtl/>
        </w:rPr>
      </w:pPr>
    </w:p>
    <w:p w:rsidR="004A5D6F" w:rsidRDefault="004A5D6F" w:rsidP="004A5D6F">
      <w:pPr>
        <w:spacing w:line="360" w:lineRule="auto"/>
        <w:jc w:val="both"/>
        <w:rPr>
          <w:sz w:val="26"/>
          <w:szCs w:val="26"/>
          <w:rtl/>
        </w:rPr>
      </w:pPr>
    </w:p>
    <w:p w:rsidR="004A5D6F" w:rsidRPr="00E0690F" w:rsidRDefault="004A5D6F" w:rsidP="004A5D6F">
      <w:pPr>
        <w:spacing w:line="360" w:lineRule="auto"/>
        <w:jc w:val="both"/>
        <w:rPr>
          <w:sz w:val="26"/>
          <w:szCs w:val="26"/>
          <w:rtl/>
        </w:rPr>
      </w:pPr>
      <w:r>
        <w:rPr>
          <w:rFonts w:hint="cs"/>
          <w:b/>
          <w:bCs/>
          <w:sz w:val="26"/>
          <w:szCs w:val="26"/>
          <w:rtl/>
        </w:rPr>
        <w:t>עניין יהודה</w:t>
      </w:r>
      <w:r>
        <w:rPr>
          <w:rFonts w:hint="cs"/>
          <w:sz w:val="26"/>
          <w:szCs w:val="26"/>
          <w:rtl/>
        </w:rPr>
        <w:t xml:space="preserve"> רלבנטי למקרה שלפנינו גם בהיבט נוסף, שכן בדומה למקרה הנוכחי מדובר היה שם בסם מסוג חדש יחסית ופחות מוכר. אף על פי כן מצא בית המשפט העליון באותו מקרה לדחות את ערעור הנאשם על עונש </w:t>
      </w:r>
      <w:r w:rsidRPr="00E56C33">
        <w:rPr>
          <w:rFonts w:hint="cs"/>
          <w:b/>
          <w:bCs/>
          <w:sz w:val="26"/>
          <w:szCs w:val="26"/>
          <w:rtl/>
        </w:rPr>
        <w:t xml:space="preserve">מאסר בן 30 חודשים שהושת עליו בגין ייבוא של כ-8 ק"ג "סם פיצוציות" </w:t>
      </w:r>
      <w:r>
        <w:rPr>
          <w:rFonts w:hint="cs"/>
          <w:sz w:val="26"/>
          <w:szCs w:val="26"/>
          <w:rtl/>
        </w:rPr>
        <w:t xml:space="preserve">המכיל חומר מסוג קאתינון. בדבריו עמד ביהמ"ש העליון על הצורך בענישה מחמירה, גם כאשר מדובר בסמים מוכרים פחות, תוך התאמת רף הענישה לטיב הסם, השפעותיו והסיכונים הכרוכים בו (ההדגשות שלי </w:t>
      </w:r>
      <w:r>
        <w:rPr>
          <w:sz w:val="26"/>
          <w:szCs w:val="26"/>
          <w:rtl/>
        </w:rPr>
        <w:t>–</w:t>
      </w:r>
      <w:r>
        <w:rPr>
          <w:rFonts w:hint="cs"/>
          <w:sz w:val="26"/>
          <w:szCs w:val="26"/>
          <w:rtl/>
        </w:rPr>
        <w:t xml:space="preserve"> ח.ט.):</w:t>
      </w:r>
    </w:p>
    <w:p w:rsidR="004A5D6F" w:rsidRDefault="004A5D6F" w:rsidP="004A5D6F">
      <w:pPr>
        <w:spacing w:line="360" w:lineRule="auto"/>
        <w:jc w:val="both"/>
        <w:rPr>
          <w:sz w:val="26"/>
          <w:szCs w:val="26"/>
          <w:rtl/>
        </w:rPr>
      </w:pPr>
    </w:p>
    <w:p w:rsidR="004A5D6F" w:rsidRPr="00E0690F" w:rsidRDefault="004A5D6F" w:rsidP="004A5D6F">
      <w:pPr>
        <w:spacing w:line="360" w:lineRule="auto"/>
        <w:ind w:left="737" w:right="737"/>
        <w:jc w:val="both"/>
        <w:rPr>
          <w:b/>
          <w:bCs/>
          <w:sz w:val="26"/>
          <w:szCs w:val="26"/>
          <w:rtl/>
        </w:rPr>
      </w:pPr>
      <w:r>
        <w:rPr>
          <w:rFonts w:hint="cs"/>
          <w:b/>
          <w:bCs/>
          <w:sz w:val="26"/>
          <w:szCs w:val="26"/>
          <w:rtl/>
        </w:rPr>
        <w:t>"</w:t>
      </w:r>
      <w:r w:rsidRPr="00E0690F">
        <w:rPr>
          <w:rFonts w:hint="cs"/>
          <w:b/>
          <w:bCs/>
          <w:sz w:val="26"/>
          <w:szCs w:val="26"/>
          <w:rtl/>
        </w:rPr>
        <w:t xml:space="preserve">חומרתן של עבירות סמים מסוכנים היא גבוהה, ומחייבת ענישה בהתאם. עניין זה הודגש, חזור והדגש, על ידי בית משפט זה (ראו, למשל, </w:t>
      </w:r>
      <w:hyperlink r:id="rId18" w:history="1">
        <w:r w:rsidR="00696A3A" w:rsidRPr="00696A3A">
          <w:rPr>
            <w:b/>
            <w:bCs/>
            <w:color w:val="0000FF"/>
            <w:sz w:val="26"/>
            <w:szCs w:val="26"/>
            <w:u w:val="single"/>
            <w:rtl/>
          </w:rPr>
          <w:t>ע"פ 4484/05</w:t>
        </w:r>
      </w:hyperlink>
      <w:r w:rsidRPr="00E0690F">
        <w:rPr>
          <w:rFonts w:hint="cs"/>
          <w:b/>
          <w:bCs/>
          <w:sz w:val="26"/>
          <w:szCs w:val="26"/>
          <w:rtl/>
        </w:rPr>
        <w:t xml:space="preserve"> גונן שגב נ' מדינת ישראל, </w:t>
      </w:r>
      <w:r w:rsidR="00A05150" w:rsidRPr="00A05150">
        <w:rPr>
          <w:sz w:val="22"/>
          <w:rtl/>
        </w:rPr>
        <w:t xml:space="preserve">[פורסם בנבו] </w:t>
      </w:r>
      <w:r w:rsidRPr="00E0690F">
        <w:rPr>
          <w:rFonts w:hint="cs"/>
          <w:b/>
          <w:bCs/>
          <w:sz w:val="26"/>
          <w:szCs w:val="26"/>
          <w:rtl/>
        </w:rPr>
        <w:t xml:space="preserve">בפסקה 6 (8.8.2006)). כפי שציין גם בית משפט קמא, הסמים המסוכנים פשטו בקרבנו כנגע חברתי, אשר השלכותיו הרסניות וסכנותיו רחבות היקף. </w:t>
      </w:r>
      <w:r w:rsidRPr="00E0690F">
        <w:rPr>
          <w:rFonts w:hint="cs"/>
          <w:b/>
          <w:bCs/>
          <w:sz w:val="26"/>
          <w:szCs w:val="26"/>
          <w:u w:val="single"/>
          <w:rtl/>
        </w:rPr>
        <w:t>בענייננו, יש פן נוסף בחומרת עבירת הסמים. עסקינן בסוג סם חדש יחסית לעומת סמים מוכרים יותר. כניסתו של סם חדש לזירה דורשת תגובה של ענישה הולמת. כל סם וקהל היעד שלו. כל סם ומרכיבי המשיכה שלו – מחיר, נגישות, תגובה פיסית. נדמה, כי ריבוי סוגי הסמים מביא לעלייה בשימוש בסמים בכללותו. הפסיקה מכירה בסמים חמורים יותר ופחות, אך יש לדעת את מאפייניו של כל סוג</w:t>
      </w:r>
      <w:r>
        <w:rPr>
          <w:rFonts w:hint="cs"/>
          <w:b/>
          <w:bCs/>
          <w:sz w:val="26"/>
          <w:szCs w:val="26"/>
          <w:rtl/>
        </w:rPr>
        <w:t>."</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Pr>
          <w:rFonts w:hint="cs"/>
          <w:sz w:val="26"/>
          <w:szCs w:val="26"/>
          <w:rtl/>
        </w:rPr>
        <w:t>במקרה שלפני, לא הוגשה חוות דעת בנוגע לטיבו ומאפייניו של הסם המסוכן שייבא הנאשם, וזאת לנוכח התנגדות הסנגור המלומד לבקשת התובע להגיש חוו"ד בנושאים אלה במסגרת הטיעונים לעונש. לפיכך, אין בידי מידע מפורט בנוגע לכלל המאפיינים הנוגעים לסם ולהשפעותיו. עם זאת, בחלוף השנים מאז הוכלל באוגוסט 2014 החומר מסוג אינדזול קרבוקסאמיד, על נגזרותיו המבניות, ב</w:t>
      </w:r>
      <w:hyperlink r:id="rId19" w:history="1">
        <w:r w:rsidR="00696A3A" w:rsidRPr="00696A3A">
          <w:rPr>
            <w:color w:val="0000FF"/>
            <w:sz w:val="26"/>
            <w:szCs w:val="26"/>
            <w:u w:val="single"/>
            <w:rtl/>
          </w:rPr>
          <w:t>פקודת הסמים המסוכנים</w:t>
        </w:r>
      </w:hyperlink>
      <w:r>
        <w:rPr>
          <w:rFonts w:hint="cs"/>
          <w:sz w:val="26"/>
          <w:szCs w:val="26"/>
          <w:rtl/>
        </w:rPr>
        <w:t xml:space="preserve">, הצטברו מספר החלטות מהן ניתן ללמוד על אופיו של הסם, ועל מיקומו במדרג החומרה בהשוואה לסמים אחרים, מוכרים יותר. </w:t>
      </w:r>
    </w:p>
    <w:p w:rsidR="004A5D6F" w:rsidRDefault="004A5D6F" w:rsidP="004A5D6F">
      <w:pPr>
        <w:spacing w:line="360" w:lineRule="auto"/>
        <w:jc w:val="both"/>
        <w:rPr>
          <w:sz w:val="26"/>
          <w:szCs w:val="26"/>
          <w:rtl/>
        </w:rPr>
      </w:pPr>
    </w:p>
    <w:p w:rsidR="004A5D6F" w:rsidRPr="00E56C33" w:rsidRDefault="004A5D6F" w:rsidP="004A5D6F">
      <w:pPr>
        <w:spacing w:line="360" w:lineRule="auto"/>
        <w:jc w:val="both"/>
        <w:rPr>
          <w:b/>
          <w:bCs/>
          <w:sz w:val="26"/>
          <w:szCs w:val="26"/>
          <w:rtl/>
        </w:rPr>
      </w:pPr>
      <w:r>
        <w:rPr>
          <w:rFonts w:hint="cs"/>
          <w:sz w:val="26"/>
          <w:szCs w:val="26"/>
          <w:rtl/>
        </w:rPr>
        <w:t>כך, ב</w:t>
      </w:r>
      <w:hyperlink r:id="rId20" w:history="1">
        <w:r w:rsidR="00696A3A" w:rsidRPr="00696A3A">
          <w:rPr>
            <w:color w:val="0000FF"/>
            <w:sz w:val="26"/>
            <w:szCs w:val="26"/>
            <w:u w:val="single"/>
            <w:rtl/>
          </w:rPr>
          <w:t>ת"פ (חי') 9572-01-15</w:t>
        </w:r>
      </w:hyperlink>
      <w:r>
        <w:rPr>
          <w:rFonts w:hint="cs"/>
          <w:sz w:val="26"/>
          <w:szCs w:val="26"/>
          <w:rtl/>
        </w:rPr>
        <w:t xml:space="preserve"> </w:t>
      </w:r>
      <w:r w:rsidRPr="00E3289D">
        <w:rPr>
          <w:rFonts w:hint="cs"/>
          <w:b/>
          <w:bCs/>
          <w:sz w:val="26"/>
          <w:szCs w:val="26"/>
          <w:rtl/>
        </w:rPr>
        <w:t>מ</w:t>
      </w:r>
      <w:r>
        <w:rPr>
          <w:rFonts w:hint="cs"/>
          <w:b/>
          <w:bCs/>
          <w:sz w:val="26"/>
          <w:szCs w:val="26"/>
          <w:rtl/>
        </w:rPr>
        <w:t>"י</w:t>
      </w:r>
      <w:r w:rsidRPr="00E3289D">
        <w:rPr>
          <w:rFonts w:hint="cs"/>
          <w:b/>
          <w:bCs/>
          <w:sz w:val="26"/>
          <w:szCs w:val="26"/>
          <w:rtl/>
        </w:rPr>
        <w:t xml:space="preserve"> נ' ותד ואח'</w:t>
      </w:r>
      <w:r>
        <w:rPr>
          <w:rFonts w:hint="cs"/>
          <w:sz w:val="26"/>
          <w:szCs w:val="26"/>
          <w:rtl/>
        </w:rPr>
        <w:t xml:space="preserve"> </w:t>
      </w:r>
      <w:r w:rsidR="00A05150" w:rsidRPr="00A05150">
        <w:rPr>
          <w:sz w:val="22"/>
          <w:rtl/>
        </w:rPr>
        <w:t xml:space="preserve">[פורסם בנבו] </w:t>
      </w:r>
      <w:r>
        <w:rPr>
          <w:rFonts w:hint="cs"/>
          <w:sz w:val="26"/>
          <w:szCs w:val="26"/>
          <w:rtl/>
        </w:rPr>
        <w:t>(3.6.15), בו נדונו עבירות שבוצעו ביחס לנגזרת אחרת של אינדזול קרבוקסאמיד (</w:t>
      </w:r>
      <w:r>
        <w:rPr>
          <w:sz w:val="26"/>
          <w:szCs w:val="26"/>
        </w:rPr>
        <w:t>5F-AMB</w:t>
      </w:r>
      <w:r>
        <w:rPr>
          <w:rFonts w:hint="cs"/>
          <w:sz w:val="26"/>
          <w:szCs w:val="26"/>
          <w:rtl/>
        </w:rPr>
        <w:t xml:space="preserve">), הובהר כי מדובר בסם הנמנה על משפחת הקנבינואידים הסינטטיים, הנמכרים תחת המותג הידוע "נייס גיא" ודומיו. באותו מקרה סקר ביהמ"ש המחוזי בחיפה את תכונותיהם הרעות של החומרים הללו והבהיר כי לנוכח מאפייניהם אלה אין להחיל על סמים ממשפחה זו את רמת הענישה המתונה באופן יחסי שנהוג להחיל על עבירות ביחס לסמים מסוג קנבוס או חשיש. עם זאת, ציין ביהמ"ש המחוזי באותו עניין כי מאחר וחומרים אלה הוכרזו כסמים פחות משנה עובר למתן גזר דינו, יש להעלות את רף הענישה באופן הדרגתי, ולא באבחה אחת. על רקע זה, נקבעו לצד עבירות של החזקה שלא לשימוש עצמי ועסקה בכ-15 ק"ג סם מסוכן </w:t>
      </w:r>
      <w:r w:rsidRPr="00E56C33">
        <w:rPr>
          <w:rFonts w:hint="cs"/>
          <w:b/>
          <w:bCs/>
          <w:sz w:val="26"/>
          <w:szCs w:val="26"/>
          <w:rtl/>
        </w:rPr>
        <w:t xml:space="preserve">מתחם של 2 עד 5 שנות מאסר ועונשים של 24-28 חודשי מאסר בפועל. </w:t>
      </w:r>
    </w:p>
    <w:p w:rsidR="004A5D6F" w:rsidRDefault="004A5D6F" w:rsidP="004A5D6F">
      <w:pPr>
        <w:spacing w:line="360" w:lineRule="auto"/>
        <w:jc w:val="both"/>
        <w:rPr>
          <w:sz w:val="26"/>
          <w:szCs w:val="26"/>
          <w:rtl/>
        </w:rPr>
      </w:pPr>
    </w:p>
    <w:p w:rsidR="004A5D6F" w:rsidRPr="00E0690F" w:rsidRDefault="004A5D6F" w:rsidP="004A5D6F">
      <w:pPr>
        <w:spacing w:line="360" w:lineRule="auto"/>
        <w:jc w:val="both"/>
        <w:rPr>
          <w:sz w:val="26"/>
          <w:szCs w:val="26"/>
          <w:rtl/>
        </w:rPr>
      </w:pPr>
      <w:r>
        <w:rPr>
          <w:rFonts w:hint="cs"/>
          <w:sz w:val="26"/>
          <w:szCs w:val="26"/>
          <w:rtl/>
        </w:rPr>
        <w:t xml:space="preserve">במסגרת </w:t>
      </w:r>
      <w:hyperlink r:id="rId21" w:history="1">
        <w:r w:rsidR="00696A3A" w:rsidRPr="00696A3A">
          <w:rPr>
            <w:color w:val="0000FF"/>
            <w:sz w:val="26"/>
            <w:szCs w:val="26"/>
            <w:u w:val="single"/>
            <w:rtl/>
          </w:rPr>
          <w:t>ע"פ 4915/15</w:t>
        </w:r>
      </w:hyperlink>
      <w:r>
        <w:rPr>
          <w:rFonts w:hint="cs"/>
          <w:sz w:val="26"/>
          <w:szCs w:val="26"/>
          <w:rtl/>
        </w:rPr>
        <w:t xml:space="preserve"> </w:t>
      </w:r>
      <w:r>
        <w:rPr>
          <w:rFonts w:hint="cs"/>
          <w:b/>
          <w:bCs/>
          <w:sz w:val="26"/>
          <w:szCs w:val="26"/>
          <w:rtl/>
        </w:rPr>
        <w:t>ותד נ' מ"</w:t>
      </w:r>
      <w:r w:rsidRPr="00E56C33">
        <w:rPr>
          <w:rFonts w:hint="cs"/>
          <w:sz w:val="26"/>
          <w:szCs w:val="26"/>
          <w:rtl/>
        </w:rPr>
        <w:t>י</w:t>
      </w:r>
      <w:r>
        <w:rPr>
          <w:rFonts w:hint="cs"/>
          <w:sz w:val="26"/>
          <w:szCs w:val="26"/>
          <w:rtl/>
        </w:rPr>
        <w:t xml:space="preserve"> </w:t>
      </w:r>
      <w:r w:rsidR="00A05150" w:rsidRPr="00A05150">
        <w:rPr>
          <w:sz w:val="22"/>
          <w:rtl/>
        </w:rPr>
        <w:t xml:space="preserve">[פורסם בנבו] </w:t>
      </w:r>
      <w:r>
        <w:rPr>
          <w:rFonts w:hint="cs"/>
          <w:sz w:val="26"/>
          <w:szCs w:val="26"/>
          <w:rtl/>
        </w:rPr>
        <w:t xml:space="preserve">(2.11.15), דחה בית המשפט העליון את ערעורם של הנאשמים בפרשה זו על העונש שהושת עליהם, והשיב בשני מישורים שונים לטענתם לפיה לא היה מקום להשית עליהם עונשים כה חמורים, עוד בטרם התגבשה מדיניות ענישה באשר לסם חדש זה:  </w:t>
      </w:r>
    </w:p>
    <w:p w:rsidR="004A5D6F" w:rsidRDefault="004A5D6F" w:rsidP="004A5D6F">
      <w:pPr>
        <w:spacing w:line="360" w:lineRule="auto"/>
        <w:jc w:val="both"/>
        <w:rPr>
          <w:rtl/>
        </w:rPr>
      </w:pPr>
    </w:p>
    <w:p w:rsidR="004A5D6F" w:rsidRPr="00E56C33" w:rsidRDefault="004A5D6F" w:rsidP="004A5D6F">
      <w:pPr>
        <w:spacing w:line="360" w:lineRule="auto"/>
        <w:ind w:left="737" w:right="737"/>
        <w:jc w:val="both"/>
        <w:rPr>
          <w:b/>
          <w:bCs/>
          <w:sz w:val="26"/>
          <w:szCs w:val="26"/>
          <w:rtl/>
        </w:rPr>
      </w:pPr>
      <w:r>
        <w:rPr>
          <w:rFonts w:hint="cs"/>
          <w:b/>
          <w:bCs/>
          <w:sz w:val="26"/>
          <w:szCs w:val="26"/>
          <w:rtl/>
        </w:rPr>
        <w:t>"</w:t>
      </w:r>
      <w:r w:rsidRPr="00E56C33">
        <w:rPr>
          <w:rFonts w:hint="cs"/>
          <w:b/>
          <w:bCs/>
          <w:sz w:val="26"/>
          <w:szCs w:val="26"/>
          <w:rtl/>
        </w:rPr>
        <w:t>המישור הראשון הוא טיבו של הסם ומהות הסכנה הנשקפת ממנו – כפי שהם עולים מחוות דעת המומחה שהציגה המדינה בבית המשפט המחוזי, לנוכח היותו "סם מסוכן חדש" ולא מוכר. חוות הדעת מלמדת כי הסם אמנם איננו מסוכן בעוצמה המיוחסת לסמים קשים, כגון הרואין, אך בד בבד הוא ניחן במאפיינים שונים שבגינם מסוכנותו עולה על זו של סמים שנחשבים קשים פחות, כגון חשיש או מריחואנה. לנוכח מיקומו של הסם במדרג הסיכון, מובן כי אין להקיש מן האמור בעניין מזרחי לענייננו, שכן מאפייניו האינדיבידואליים של הסם מחייבים התייחסות מחמירה לעבירות הקשורות בו כבר עתה. כפי שציינתי בעניין אחר, במקרים מסוימים "כניסתו של סם חדש לזירה דורשת תגובה של ענישה הולמת", לנוכח "תרומתו" להרחבת היקף השימוש בסמים (</w:t>
      </w:r>
      <w:hyperlink r:id="rId22" w:history="1">
        <w:r w:rsidR="00696A3A" w:rsidRPr="00696A3A">
          <w:rPr>
            <w:b/>
            <w:bCs/>
            <w:color w:val="0000FF"/>
            <w:sz w:val="26"/>
            <w:szCs w:val="26"/>
            <w:u w:val="single"/>
            <w:rtl/>
          </w:rPr>
          <w:t>ע"פ 1635/14</w:t>
        </w:r>
      </w:hyperlink>
      <w:r w:rsidRPr="00E56C33">
        <w:rPr>
          <w:rFonts w:hint="cs"/>
          <w:b/>
          <w:bCs/>
          <w:sz w:val="26"/>
          <w:szCs w:val="26"/>
          <w:rtl/>
        </w:rPr>
        <w:t xml:space="preserve"> יהודה נ' מדינת ישראל, </w:t>
      </w:r>
      <w:r w:rsidR="00A05150" w:rsidRPr="00A05150">
        <w:rPr>
          <w:b/>
          <w:bCs/>
          <w:sz w:val="22"/>
          <w:rtl/>
        </w:rPr>
        <w:t xml:space="preserve">[פורסם בנבו] </w:t>
      </w:r>
      <w:r w:rsidRPr="00E56C33">
        <w:rPr>
          <w:rFonts w:hint="cs"/>
          <w:b/>
          <w:bCs/>
          <w:sz w:val="26"/>
          <w:szCs w:val="26"/>
          <w:rtl/>
        </w:rPr>
        <w:t xml:space="preserve">פסקה 5 (21.8.2014)). על רקע מאפייניו הקונקרטיים של הסם נשוא ענייננו, דומה כי אין לייחס להופעתו זה-מקרוב משקל רב מדי לקולא. </w:t>
      </w:r>
    </w:p>
    <w:p w:rsidR="004A5D6F" w:rsidRPr="00E56C33" w:rsidRDefault="004A5D6F" w:rsidP="004A5D6F">
      <w:pPr>
        <w:spacing w:line="360" w:lineRule="auto"/>
        <w:ind w:left="737" w:right="737"/>
        <w:jc w:val="both"/>
        <w:rPr>
          <w:b/>
          <w:bCs/>
          <w:sz w:val="26"/>
          <w:szCs w:val="26"/>
          <w:rtl/>
        </w:rPr>
      </w:pPr>
    </w:p>
    <w:p w:rsidR="004A5D6F" w:rsidRPr="00E56C33" w:rsidRDefault="004A5D6F" w:rsidP="004A5D6F">
      <w:pPr>
        <w:spacing w:line="360" w:lineRule="auto"/>
        <w:ind w:left="737" w:right="737"/>
        <w:jc w:val="both"/>
        <w:rPr>
          <w:b/>
          <w:bCs/>
          <w:sz w:val="26"/>
          <w:szCs w:val="26"/>
          <w:rtl/>
        </w:rPr>
      </w:pPr>
      <w:r w:rsidRPr="00E56C33">
        <w:rPr>
          <w:rFonts w:hint="cs"/>
          <w:b/>
          <w:bCs/>
          <w:sz w:val="26"/>
          <w:szCs w:val="26"/>
          <w:rtl/>
        </w:rPr>
        <w:t>המישור השני הוא, כי בית המשפט המחוזי אמנם התחשב במידה מסוימת באלמנט ה"חידוש" שבהגדרת הסם כסם מסוכן, והדגיש כי "ההחמרה במדיניות הענישה בהקשר לקנבינואידים הסינטטיים... אינה יכולה להיעשות באבחה אחת". כך עשה, וכך ראוי שיעשה. נזכיר כי העונש המרבי בגין העבירות בהן הורשעו המערערים עומד על 20 שנות מאסר, כך שמתחמי הענישה שקבע בית המשפט קמא – שלא לדבר על העונש שהוטל על המערערים בפועל – אכן משקפים התחשבות שכזו.</w:t>
      </w:r>
      <w:r>
        <w:rPr>
          <w:rFonts w:hint="cs"/>
          <w:b/>
          <w:bCs/>
          <w:sz w:val="26"/>
          <w:szCs w:val="26"/>
          <w:rtl/>
        </w:rPr>
        <w:t>"</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p>
    <w:p w:rsidR="004A5D6F" w:rsidRDefault="004A5D6F" w:rsidP="004A5D6F">
      <w:pPr>
        <w:spacing w:line="360" w:lineRule="auto"/>
        <w:jc w:val="both"/>
        <w:rPr>
          <w:b/>
          <w:bCs/>
          <w:sz w:val="26"/>
          <w:szCs w:val="26"/>
          <w:rtl/>
        </w:rPr>
      </w:pPr>
      <w:r>
        <w:rPr>
          <w:rFonts w:hint="cs"/>
          <w:sz w:val="26"/>
          <w:szCs w:val="26"/>
          <w:rtl/>
        </w:rPr>
        <w:t xml:space="preserve">פסק דין נוסף שעסק בענישה הראויה בגין החזקת נגזרת של אינדזול קרבוקסאמיד הינו </w:t>
      </w:r>
      <w:hyperlink r:id="rId23" w:history="1">
        <w:r w:rsidR="00696A3A" w:rsidRPr="00696A3A">
          <w:rPr>
            <w:color w:val="0000FF"/>
            <w:sz w:val="26"/>
            <w:szCs w:val="26"/>
            <w:u w:val="single"/>
            <w:rtl/>
          </w:rPr>
          <w:t>עפ"ג (מרכז) 53350-08-16</w:t>
        </w:r>
      </w:hyperlink>
      <w:r>
        <w:rPr>
          <w:sz w:val="26"/>
          <w:szCs w:val="26"/>
          <w:rtl/>
        </w:rPr>
        <w:t xml:space="preserve"> </w:t>
      </w:r>
      <w:r w:rsidRPr="00B167BF">
        <w:rPr>
          <w:b/>
          <w:bCs/>
          <w:sz w:val="26"/>
          <w:szCs w:val="26"/>
          <w:rtl/>
        </w:rPr>
        <w:t>אלקנה נ' מ</w:t>
      </w:r>
      <w:r>
        <w:rPr>
          <w:rFonts w:hint="cs"/>
          <w:sz w:val="26"/>
          <w:szCs w:val="26"/>
          <w:rtl/>
        </w:rPr>
        <w:t>"י</w:t>
      </w:r>
      <w:r w:rsidRPr="00B167BF">
        <w:rPr>
          <w:sz w:val="26"/>
          <w:szCs w:val="26"/>
          <w:rtl/>
        </w:rPr>
        <w:t xml:space="preserve"> </w:t>
      </w:r>
      <w:r w:rsidR="00A05150" w:rsidRPr="00A05150">
        <w:rPr>
          <w:sz w:val="22"/>
          <w:rtl/>
        </w:rPr>
        <w:t xml:space="preserve">[פורסם בנבו] </w:t>
      </w:r>
      <w:r w:rsidRPr="00B167BF">
        <w:rPr>
          <w:sz w:val="26"/>
          <w:szCs w:val="26"/>
          <w:rtl/>
        </w:rPr>
        <w:t xml:space="preserve">(7.3.17) </w:t>
      </w:r>
      <w:r>
        <w:rPr>
          <w:rFonts w:hint="cs"/>
          <w:sz w:val="26"/>
          <w:szCs w:val="26"/>
          <w:rtl/>
        </w:rPr>
        <w:t xml:space="preserve">שם </w:t>
      </w:r>
      <w:r w:rsidRPr="00B167BF">
        <w:rPr>
          <w:sz w:val="26"/>
          <w:szCs w:val="26"/>
          <w:rtl/>
        </w:rPr>
        <w:t>נדון ערעור</w:t>
      </w:r>
      <w:r>
        <w:rPr>
          <w:rFonts w:hint="cs"/>
          <w:sz w:val="26"/>
          <w:szCs w:val="26"/>
          <w:rtl/>
        </w:rPr>
        <w:t>ו של מי שהורשע על פי הודאתו</w:t>
      </w:r>
      <w:r w:rsidRPr="00B167BF">
        <w:rPr>
          <w:sz w:val="26"/>
          <w:szCs w:val="26"/>
          <w:rtl/>
        </w:rPr>
        <w:t xml:space="preserve"> </w:t>
      </w:r>
      <w:r>
        <w:rPr>
          <w:rFonts w:hint="cs"/>
          <w:sz w:val="26"/>
          <w:szCs w:val="26"/>
          <w:rtl/>
        </w:rPr>
        <w:t>ב</w:t>
      </w:r>
      <w:r w:rsidRPr="00B167BF">
        <w:rPr>
          <w:sz w:val="26"/>
          <w:szCs w:val="26"/>
          <w:rtl/>
        </w:rPr>
        <w:t>בית משפט השלום</w:t>
      </w:r>
      <w:r>
        <w:rPr>
          <w:rFonts w:hint="cs"/>
          <w:sz w:val="26"/>
          <w:szCs w:val="26"/>
          <w:rtl/>
        </w:rPr>
        <w:t xml:space="preserve"> בכך ש</w:t>
      </w:r>
      <w:r w:rsidRPr="00B167BF">
        <w:rPr>
          <w:sz w:val="26"/>
          <w:szCs w:val="26"/>
          <w:rtl/>
        </w:rPr>
        <w:t>החזיק</w:t>
      </w:r>
      <w:r>
        <w:rPr>
          <w:rFonts w:hint="cs"/>
          <w:sz w:val="26"/>
          <w:szCs w:val="26"/>
          <w:rtl/>
        </w:rPr>
        <w:t xml:space="preserve"> במרץ 2015 </w:t>
      </w:r>
      <w:r w:rsidRPr="00B167BF">
        <w:rPr>
          <w:sz w:val="26"/>
          <w:szCs w:val="26"/>
          <w:rtl/>
        </w:rPr>
        <w:t xml:space="preserve">2.582 ק"ג </w:t>
      </w:r>
      <w:r>
        <w:rPr>
          <w:rFonts w:hint="cs"/>
          <w:sz w:val="26"/>
          <w:szCs w:val="26"/>
          <w:rtl/>
        </w:rPr>
        <w:t>מה</w:t>
      </w:r>
      <w:r w:rsidRPr="00B167BF">
        <w:rPr>
          <w:sz w:val="26"/>
          <w:szCs w:val="26"/>
          <w:rtl/>
        </w:rPr>
        <w:t xml:space="preserve">סם </w:t>
      </w:r>
      <w:r>
        <w:rPr>
          <w:rFonts w:hint="cs"/>
          <w:sz w:val="26"/>
          <w:szCs w:val="26"/>
          <w:rtl/>
        </w:rPr>
        <w:t xml:space="preserve">הנ"ל. </w:t>
      </w:r>
      <w:r>
        <w:rPr>
          <w:rFonts w:hint="cs"/>
          <w:b/>
          <w:bCs/>
          <w:sz w:val="26"/>
          <w:szCs w:val="26"/>
          <w:rtl/>
        </w:rPr>
        <w:t>בבית משפט השלום נקבע מתחם הנע בין 8 ל- 30 חודשי מאסר</w:t>
      </w:r>
      <w:r>
        <w:rPr>
          <w:rFonts w:hint="cs"/>
          <w:sz w:val="26"/>
          <w:szCs w:val="26"/>
          <w:rtl/>
        </w:rPr>
        <w:t xml:space="preserve">, ועל המערער הושת עונש של 10 </w:t>
      </w:r>
      <w:r>
        <w:rPr>
          <w:sz w:val="26"/>
          <w:szCs w:val="26"/>
          <w:rtl/>
        </w:rPr>
        <w:t>ח</w:t>
      </w:r>
      <w:r>
        <w:rPr>
          <w:rFonts w:hint="cs"/>
          <w:sz w:val="26"/>
          <w:szCs w:val="26"/>
          <w:rtl/>
        </w:rPr>
        <w:t>ודשי</w:t>
      </w:r>
      <w:r>
        <w:rPr>
          <w:sz w:val="26"/>
          <w:szCs w:val="26"/>
          <w:rtl/>
        </w:rPr>
        <w:t xml:space="preserve"> מאסר בפועל</w:t>
      </w:r>
      <w:r>
        <w:rPr>
          <w:rFonts w:hint="cs"/>
          <w:sz w:val="26"/>
          <w:szCs w:val="26"/>
          <w:rtl/>
        </w:rPr>
        <w:t xml:space="preserve">, על אף המלצה חיובית של שירות המבחן. ביהמ"ש המחוזי דחה את הערעור והותיר את עונש המאסר על כנו. </w:t>
      </w:r>
      <w:r w:rsidRPr="00B167BF">
        <w:rPr>
          <w:sz w:val="26"/>
          <w:szCs w:val="26"/>
          <w:rtl/>
        </w:rPr>
        <w:t xml:space="preserve"> </w:t>
      </w:r>
      <w:r>
        <w:rPr>
          <w:sz w:val="26"/>
          <w:szCs w:val="26"/>
          <w:rtl/>
        </w:rPr>
        <w:t xml:space="preserve"> </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Pr>
          <w:rFonts w:hint="cs"/>
          <w:sz w:val="26"/>
          <w:szCs w:val="26"/>
          <w:rtl/>
        </w:rPr>
        <w:t>גישה מקלה יותר ניתן למצוא ב</w:t>
      </w:r>
      <w:hyperlink r:id="rId24" w:history="1">
        <w:r w:rsidR="00696A3A" w:rsidRPr="00696A3A">
          <w:rPr>
            <w:color w:val="0000FF"/>
            <w:sz w:val="26"/>
            <w:szCs w:val="26"/>
            <w:u w:val="single"/>
            <w:rtl/>
          </w:rPr>
          <w:t>ת"פ (ת"א) 22611-02-17</w:t>
        </w:r>
      </w:hyperlink>
      <w:r>
        <w:rPr>
          <w:rFonts w:hint="cs"/>
          <w:sz w:val="26"/>
          <w:szCs w:val="26"/>
          <w:rtl/>
        </w:rPr>
        <w:t xml:space="preserve"> </w:t>
      </w:r>
      <w:r w:rsidRPr="00DB47D3">
        <w:rPr>
          <w:rFonts w:hint="cs"/>
          <w:b/>
          <w:bCs/>
          <w:sz w:val="26"/>
          <w:szCs w:val="26"/>
          <w:rtl/>
        </w:rPr>
        <w:t>מ</w:t>
      </w:r>
      <w:r>
        <w:rPr>
          <w:rFonts w:hint="cs"/>
          <w:b/>
          <w:bCs/>
          <w:sz w:val="26"/>
          <w:szCs w:val="26"/>
          <w:rtl/>
        </w:rPr>
        <w:t>"י</w:t>
      </w:r>
      <w:r w:rsidRPr="00DB47D3">
        <w:rPr>
          <w:rFonts w:hint="cs"/>
          <w:b/>
          <w:bCs/>
          <w:sz w:val="26"/>
          <w:szCs w:val="26"/>
          <w:rtl/>
        </w:rPr>
        <w:t xml:space="preserve"> נ' מרדוש</w:t>
      </w:r>
      <w:r>
        <w:rPr>
          <w:rFonts w:hint="cs"/>
          <w:sz w:val="26"/>
          <w:szCs w:val="26"/>
          <w:rtl/>
        </w:rPr>
        <w:t xml:space="preserve"> </w:t>
      </w:r>
      <w:r w:rsidR="00A05150" w:rsidRPr="00A05150">
        <w:rPr>
          <w:sz w:val="22"/>
          <w:rtl/>
        </w:rPr>
        <w:t xml:space="preserve">[פורסם בנבו] </w:t>
      </w:r>
      <w:r>
        <w:rPr>
          <w:rFonts w:hint="cs"/>
          <w:sz w:val="26"/>
          <w:szCs w:val="26"/>
          <w:rtl/>
        </w:rPr>
        <w:t xml:space="preserve">(17.5.18), שם הורשע הנאשם בהחזקת 1.085 ק"ג מהסם הנ"ל, שלא לצריכה עצמית, ונקבע מתחם ענישה </w:t>
      </w:r>
      <w:r>
        <w:rPr>
          <w:rFonts w:hint="cs"/>
          <w:b/>
          <w:bCs/>
          <w:sz w:val="26"/>
          <w:szCs w:val="26"/>
          <w:rtl/>
        </w:rPr>
        <w:t xml:space="preserve">של </w:t>
      </w:r>
      <w:r w:rsidRPr="00490DFD">
        <w:rPr>
          <w:rFonts w:hint="cs"/>
          <w:b/>
          <w:bCs/>
          <w:sz w:val="26"/>
          <w:szCs w:val="26"/>
          <w:rtl/>
        </w:rPr>
        <w:t xml:space="preserve">6 </w:t>
      </w:r>
      <w:r>
        <w:rPr>
          <w:rFonts w:hint="cs"/>
          <w:b/>
          <w:bCs/>
          <w:sz w:val="26"/>
          <w:szCs w:val="26"/>
          <w:rtl/>
        </w:rPr>
        <w:t>עד</w:t>
      </w:r>
      <w:r w:rsidRPr="00490DFD">
        <w:rPr>
          <w:rFonts w:hint="cs"/>
          <w:b/>
          <w:bCs/>
          <w:sz w:val="26"/>
          <w:szCs w:val="26"/>
          <w:rtl/>
        </w:rPr>
        <w:t xml:space="preserve"> 18 חודשי מאסר</w:t>
      </w:r>
      <w:r>
        <w:rPr>
          <w:rFonts w:hint="cs"/>
          <w:sz w:val="26"/>
          <w:szCs w:val="26"/>
          <w:rtl/>
        </w:rPr>
        <w:t xml:space="preserve"> בפועל. לאור העובדה כי לאחר מועד ביצוע העבירה קיבל הנאשם רישיון לשימוש בקנאביס רפואי ועל רקע מחלותיו הקשות, נגזר על הנאשם </w:t>
      </w:r>
      <w:r w:rsidRPr="00490DFD">
        <w:rPr>
          <w:rFonts w:hint="cs"/>
          <w:b/>
          <w:bCs/>
          <w:sz w:val="26"/>
          <w:szCs w:val="26"/>
          <w:rtl/>
        </w:rPr>
        <w:t>עונש מאסר על תנאי בלבד.</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Pr>
          <w:rFonts w:hint="cs"/>
          <w:sz w:val="26"/>
          <w:szCs w:val="26"/>
          <w:rtl/>
        </w:rPr>
        <w:t xml:space="preserve">עוד ראוי להזכיר את </w:t>
      </w:r>
      <w:hyperlink r:id="rId25" w:history="1">
        <w:r w:rsidR="00696A3A" w:rsidRPr="00696A3A">
          <w:rPr>
            <w:color w:val="0000FF"/>
            <w:sz w:val="26"/>
            <w:szCs w:val="26"/>
            <w:u w:val="single"/>
            <w:rtl/>
          </w:rPr>
          <w:t>ת"פ (ב"ש) 53457-11-15</w:t>
        </w:r>
      </w:hyperlink>
      <w:r>
        <w:rPr>
          <w:rFonts w:hint="cs"/>
          <w:sz w:val="26"/>
          <w:szCs w:val="26"/>
          <w:rtl/>
        </w:rPr>
        <w:t xml:space="preserve"> </w:t>
      </w:r>
      <w:r>
        <w:rPr>
          <w:rFonts w:hint="cs"/>
          <w:b/>
          <w:bCs/>
          <w:sz w:val="26"/>
          <w:szCs w:val="26"/>
          <w:rtl/>
        </w:rPr>
        <w:t>מ"י נ' איסטחרוב</w:t>
      </w:r>
      <w:r>
        <w:rPr>
          <w:rFonts w:hint="cs"/>
          <w:sz w:val="26"/>
          <w:szCs w:val="26"/>
          <w:rtl/>
        </w:rPr>
        <w:t xml:space="preserve"> </w:t>
      </w:r>
      <w:r w:rsidR="00A05150" w:rsidRPr="00A05150">
        <w:rPr>
          <w:sz w:val="22"/>
          <w:rtl/>
        </w:rPr>
        <w:t xml:space="preserve">[פורסם בנבו] </w:t>
      </w:r>
      <w:r>
        <w:rPr>
          <w:rFonts w:hint="cs"/>
          <w:sz w:val="26"/>
          <w:szCs w:val="26"/>
          <w:rtl/>
        </w:rPr>
        <w:t xml:space="preserve">(27.6.16), שם הושתו, במסגרת הסדר טיעון "סגור", 30 חודשי מאסר בפועל על בחור צעיר אשר הורשע בהחזקה שלא לשימוש עצמי של 21.25 ק"ג של סם מסוג </w:t>
      </w:r>
      <w:r w:rsidRPr="004A2532">
        <w:rPr>
          <w:rFonts w:cs="Times New Roman"/>
        </w:rPr>
        <w:t>AB-CHMINACA</w:t>
      </w:r>
      <w:r>
        <w:rPr>
          <w:rFonts w:hint="cs"/>
          <w:sz w:val="26"/>
          <w:szCs w:val="26"/>
          <w:rtl/>
        </w:rPr>
        <w:t xml:space="preserve">, המהווה גם כן נגזרת של אינדזול קרבוקסאמיד. </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Pr>
          <w:rFonts w:hint="cs"/>
          <w:sz w:val="26"/>
          <w:szCs w:val="26"/>
          <w:rtl/>
        </w:rPr>
        <w:t>ב"כ המאשימה הפנה בטיעוניו לפסיקה מכבידה יותר, במסגרתה נקבעו מתחמי ענישה והושתו עונשי מאסר ממושכים בגין עבירות שבוצעו ב"סמי פיצוציה". כך למשל, ב</w:t>
      </w:r>
      <w:hyperlink r:id="rId26" w:history="1">
        <w:r w:rsidR="00696A3A" w:rsidRPr="00696A3A">
          <w:rPr>
            <w:color w:val="0000FF"/>
            <w:sz w:val="26"/>
            <w:szCs w:val="26"/>
            <w:u w:val="single"/>
            <w:rtl/>
          </w:rPr>
          <w:t>ע"פ 4623/07</w:t>
        </w:r>
      </w:hyperlink>
      <w:r>
        <w:rPr>
          <w:rFonts w:hint="cs"/>
          <w:sz w:val="26"/>
          <w:szCs w:val="26"/>
          <w:rtl/>
        </w:rPr>
        <w:t xml:space="preserve"> </w:t>
      </w:r>
      <w:r w:rsidRPr="00A43228">
        <w:rPr>
          <w:rFonts w:hint="cs"/>
          <w:b/>
          <w:bCs/>
          <w:sz w:val="26"/>
          <w:szCs w:val="26"/>
          <w:rtl/>
        </w:rPr>
        <w:t>מ</w:t>
      </w:r>
      <w:r>
        <w:rPr>
          <w:rFonts w:hint="cs"/>
          <w:b/>
          <w:bCs/>
          <w:sz w:val="26"/>
          <w:szCs w:val="26"/>
          <w:rtl/>
        </w:rPr>
        <w:t>"י</w:t>
      </w:r>
      <w:r w:rsidRPr="00A43228">
        <w:rPr>
          <w:rFonts w:hint="cs"/>
          <w:b/>
          <w:bCs/>
          <w:sz w:val="26"/>
          <w:szCs w:val="26"/>
          <w:rtl/>
        </w:rPr>
        <w:t xml:space="preserve"> נ' אזרי</w:t>
      </w:r>
      <w:r>
        <w:rPr>
          <w:rFonts w:hint="cs"/>
          <w:sz w:val="26"/>
          <w:szCs w:val="26"/>
          <w:rtl/>
        </w:rPr>
        <w:t xml:space="preserve"> </w:t>
      </w:r>
      <w:r w:rsidR="00A05150" w:rsidRPr="00A05150">
        <w:rPr>
          <w:sz w:val="22"/>
          <w:rtl/>
        </w:rPr>
        <w:t xml:space="preserve">[פורסם בנבו] </w:t>
      </w:r>
      <w:r>
        <w:rPr>
          <w:rFonts w:hint="cs"/>
          <w:sz w:val="26"/>
          <w:szCs w:val="26"/>
          <w:rtl/>
        </w:rPr>
        <w:t xml:space="preserve">(31.10.07), גזר ביהמ"ש המחוזי 3 שנות מאסר בגין החזקת כ-9 ק"ג קאתינון, הידוע גם כ"חגיגת", ואילו ביהמ"ש העליון החמיר את העונש </w:t>
      </w:r>
      <w:r w:rsidRPr="00490DFD">
        <w:rPr>
          <w:rFonts w:hint="cs"/>
          <w:b/>
          <w:bCs/>
          <w:sz w:val="26"/>
          <w:szCs w:val="26"/>
          <w:rtl/>
        </w:rPr>
        <w:t>ל-4.5 שנות מאסר</w:t>
      </w:r>
      <w:r>
        <w:rPr>
          <w:rFonts w:hint="cs"/>
          <w:sz w:val="26"/>
          <w:szCs w:val="26"/>
          <w:rtl/>
        </w:rPr>
        <w:t xml:space="preserve">. </w:t>
      </w:r>
      <w:r>
        <w:rPr>
          <w:rFonts w:hint="cs"/>
          <w:b/>
          <w:bCs/>
          <w:sz w:val="26"/>
          <w:szCs w:val="26"/>
          <w:rtl/>
        </w:rPr>
        <w:t>בעניין יהודה</w:t>
      </w:r>
      <w:r>
        <w:rPr>
          <w:rFonts w:hint="cs"/>
          <w:sz w:val="26"/>
          <w:szCs w:val="26"/>
          <w:rtl/>
        </w:rPr>
        <w:t xml:space="preserve"> שכבר הוזכר, הושתו </w:t>
      </w:r>
      <w:r w:rsidRPr="004A2532">
        <w:rPr>
          <w:rFonts w:hint="cs"/>
          <w:b/>
          <w:bCs/>
          <w:sz w:val="26"/>
          <w:szCs w:val="26"/>
          <w:rtl/>
        </w:rPr>
        <w:t xml:space="preserve">עונשי מאסר בני 30 ו-42 חודשים </w:t>
      </w:r>
      <w:r>
        <w:rPr>
          <w:rFonts w:hint="cs"/>
          <w:sz w:val="26"/>
          <w:szCs w:val="26"/>
          <w:rtl/>
        </w:rPr>
        <w:t xml:space="preserve">בגין יבוא של "סם פיצוציות" המכיל קאתינון, אשר ביטאו את הרף התחתון של מתחמי הענישה שנקבעו על ידי בית המשפט. עוד אזכיר את </w:t>
      </w:r>
      <w:hyperlink r:id="rId27" w:history="1">
        <w:r w:rsidR="00696A3A" w:rsidRPr="00696A3A">
          <w:rPr>
            <w:color w:val="0000FF"/>
            <w:sz w:val="26"/>
            <w:szCs w:val="26"/>
            <w:u w:val="single"/>
            <w:rtl/>
          </w:rPr>
          <w:t>ת"פ (חי') 46018-03-14</w:t>
        </w:r>
      </w:hyperlink>
      <w:r>
        <w:rPr>
          <w:rFonts w:hint="cs"/>
          <w:sz w:val="26"/>
          <w:szCs w:val="26"/>
          <w:rtl/>
        </w:rPr>
        <w:t xml:space="preserve"> </w:t>
      </w:r>
      <w:r>
        <w:rPr>
          <w:rFonts w:hint="cs"/>
          <w:b/>
          <w:bCs/>
          <w:sz w:val="26"/>
          <w:szCs w:val="26"/>
          <w:rtl/>
        </w:rPr>
        <w:t>מ"י נ' טרסוב</w:t>
      </w:r>
      <w:r>
        <w:rPr>
          <w:rFonts w:hint="cs"/>
          <w:sz w:val="26"/>
          <w:szCs w:val="26"/>
          <w:rtl/>
        </w:rPr>
        <w:t xml:space="preserve"> </w:t>
      </w:r>
      <w:r w:rsidR="00A05150" w:rsidRPr="00A05150">
        <w:rPr>
          <w:sz w:val="22"/>
          <w:rtl/>
        </w:rPr>
        <w:t xml:space="preserve">[פורסם בנבו] </w:t>
      </w:r>
      <w:r>
        <w:rPr>
          <w:rFonts w:hint="cs"/>
          <w:sz w:val="26"/>
          <w:szCs w:val="26"/>
          <w:rtl/>
        </w:rPr>
        <w:t xml:space="preserve">(24.2.15), שם נקבעו </w:t>
      </w:r>
      <w:r w:rsidRPr="004A2532">
        <w:rPr>
          <w:rFonts w:hint="cs"/>
          <w:b/>
          <w:bCs/>
          <w:sz w:val="26"/>
          <w:szCs w:val="26"/>
          <w:rtl/>
        </w:rPr>
        <w:t xml:space="preserve">מתחמים של 18 עד 56 חודשי מאסר בגין ייבוא של 100 גרם ושל 12 עד 48 חודשי מאסר בגין החזקה של 6 גרם של סם מסוכן מסוג </w:t>
      </w:r>
      <w:r w:rsidRPr="00564E07">
        <w:rPr>
          <w:rFonts w:ascii="David" w:hAnsi="David"/>
          <w:b/>
          <w:bCs/>
          <w:sz w:val="26"/>
          <w:szCs w:val="26"/>
        </w:rPr>
        <w:t>JWH-210</w:t>
      </w:r>
      <w:r>
        <w:rPr>
          <w:rFonts w:hint="cs"/>
          <w:sz w:val="26"/>
          <w:szCs w:val="26"/>
          <w:rtl/>
        </w:rPr>
        <w:t xml:space="preserve">. החלטות אלה אינן ניתנות ליישום ישיר על ענייננו, בשים לב להכרח להתאים את מתחמי הענישה לטיבו הספציפי של הסם המדובר, מאפייניו והשפעותיו, כאמור בעניין יהודה, אך הן מבטאות היטב את הנחיות ביהמ"ש העליון בדבר ענישה מרתיעה והולמת, ובמיוחד בשים לב לכך שמאז הכללתו של הסם </w:t>
      </w:r>
      <w:r w:rsidRPr="00564E07">
        <w:rPr>
          <w:rFonts w:hint="cs"/>
          <w:sz w:val="26"/>
          <w:szCs w:val="26"/>
          <w:rtl/>
        </w:rPr>
        <w:t>ל</w:t>
      </w:r>
      <w:r>
        <w:rPr>
          <w:rFonts w:hint="cs"/>
          <w:sz w:val="26"/>
          <w:szCs w:val="26"/>
          <w:rtl/>
        </w:rPr>
        <w:t xml:space="preserve">פקודה חלפו כמעט 7 שנים, ואין מדובר עוד במקרים ראשונים של אכיפה. </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Pr>
          <w:rFonts w:hint="cs"/>
          <w:sz w:val="26"/>
          <w:szCs w:val="26"/>
          <w:rtl/>
        </w:rPr>
        <w:t xml:space="preserve">אם נפנה כעת ליישום ההלכות והעקרונות המנחים על המקרה שלפנינו, הרי שבעניינו של הנאשם מתקיימות, כפי שציין התובע, מספר בלתי מבוטל של נסיבות לחומרה. הנאשם חבר לאחר וביחד פעלו לייבא כשני ק"ג של קנבינואיד סינטטי, מתוך תכנון וסיכום מוקדם. חלקו של הנאשם במעשים משמעותי שכן הוא שתיאם את קבלת הסם והיה אמור להחזיק בו. לא זו אף זו, בביתו החזיק הוא כמות גדולה נוספת מאותו סם ממש, כארבעה ק"ג, וכן קילוגרם נוסף של סם מסוג קנבוס. מדובר אפוא במי שייבא סם שמסוכנותו ניכרת, והחזיק בביתו כמויות מסחריות משני סוגים שונים של סם, באופן המעיד על מעורבות עמוקה בעולם הסמים. הנזק שעלול היה להיגרם כתוצאה מהפצתם של סמים אלה לציבור הישראלי היה משמעותי, וכך היא גם עצמת הפגיעה של מעשיו של הנאשם בערכים המוגנים שפורטו לעיל. על רקע מכלול נסיבות אלה, ובשים לב לסוגי הסמים, לכמות הסם ולשילוב שבין עבירות הייבוא וההחזקה, אני סבור כי ראוי לקבוע  </w:t>
      </w:r>
      <w:r w:rsidRPr="001C244F">
        <w:rPr>
          <w:rFonts w:hint="cs"/>
          <w:b/>
          <w:bCs/>
          <w:sz w:val="26"/>
          <w:szCs w:val="26"/>
          <w:rtl/>
        </w:rPr>
        <w:t xml:space="preserve">מתחם עונש הולם </w:t>
      </w:r>
      <w:r>
        <w:rPr>
          <w:rFonts w:hint="cs"/>
          <w:b/>
          <w:bCs/>
          <w:sz w:val="26"/>
          <w:szCs w:val="26"/>
          <w:rtl/>
        </w:rPr>
        <w:t>ה</w:t>
      </w:r>
      <w:r w:rsidRPr="001C244F">
        <w:rPr>
          <w:rFonts w:hint="cs"/>
          <w:b/>
          <w:bCs/>
          <w:sz w:val="26"/>
          <w:szCs w:val="26"/>
          <w:rtl/>
        </w:rPr>
        <w:t>נע בין 2</w:t>
      </w:r>
      <w:r>
        <w:rPr>
          <w:rFonts w:hint="cs"/>
          <w:b/>
          <w:bCs/>
          <w:sz w:val="26"/>
          <w:szCs w:val="26"/>
          <w:rtl/>
        </w:rPr>
        <w:t>7</w:t>
      </w:r>
      <w:r w:rsidRPr="001C244F">
        <w:rPr>
          <w:rFonts w:hint="cs"/>
          <w:b/>
          <w:bCs/>
          <w:sz w:val="26"/>
          <w:szCs w:val="26"/>
          <w:rtl/>
        </w:rPr>
        <w:t xml:space="preserve"> </w:t>
      </w:r>
      <w:r>
        <w:rPr>
          <w:rFonts w:hint="cs"/>
          <w:b/>
          <w:bCs/>
          <w:sz w:val="26"/>
          <w:szCs w:val="26"/>
          <w:rtl/>
        </w:rPr>
        <w:t>ל-54</w:t>
      </w:r>
      <w:r w:rsidRPr="001C244F">
        <w:rPr>
          <w:rFonts w:hint="cs"/>
          <w:b/>
          <w:bCs/>
          <w:sz w:val="26"/>
          <w:szCs w:val="26"/>
          <w:rtl/>
        </w:rPr>
        <w:t xml:space="preserve"> חודשי מאסר בפועל.</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sidRPr="002644A3">
        <w:rPr>
          <w:rFonts w:hint="cs"/>
          <w:sz w:val="26"/>
          <w:szCs w:val="26"/>
          <w:rtl/>
        </w:rPr>
        <w:t>באשר לסיבות שאינן קשורות בביצוע העבירה, הרי שמדובר באדם כבן 41, אשר הודה במיוחס לו, נטל אחריות וחסך זמן ציבורי ניכר. מדברי בא כוחו עולה כי נסיבות חייו אינן פשוטות וכי גורלו לא שפר עליו.</w:t>
      </w:r>
      <w:r>
        <w:rPr>
          <w:rFonts w:hint="cs"/>
          <w:sz w:val="26"/>
          <w:szCs w:val="26"/>
          <w:rtl/>
        </w:rPr>
        <w:t xml:space="preserve"> נתונים אלה יביאו למיתון העונש שיושת על הנאשם וימנעו את מיצוי מלוא כובד הדין עמו. עם זאת, לא ניתן להתעלם מהעובדה כי לחובת הנאשם עבר פלילי רלבנטי, אשר אינו מאפשר למקם את עונשו בחלק התחתון של המתחם. עיון בגיליון ההרשעות הקודמות שלו מלמד כי לחובתו מספר לא מבוטל של הרשעות, בעיקר בתחום עבירות האלימות. הרשעות אלו לבדן אולי לא היו מצדיקות החמרה של ממש עם הנאשם, שהרי מדובר כיום בעבירות סמים ולא בעבירות אלימות, אלא שהרשעתו האחרונה מחודש מאי 2016 עוסקת כל כולה בעבירות סמים חמורות, לרבות תיווך בסם מסוכן ועבירות של סחר וסיוע לסחר בסם. בגין הרשעה זו נדון ל-15 חודשי מאסר בפועל, אך בעונש שהושת עליו לא היה כדי להרתיעו ולמנוע את חזרתו לביצוע עבירות דומות בחלוף שנים אחדות בלבד מאז שוחרר ממאסרו הקודם. </w:t>
      </w:r>
    </w:p>
    <w:p w:rsidR="004A5D6F" w:rsidRDefault="004A5D6F" w:rsidP="004A5D6F">
      <w:pPr>
        <w:spacing w:line="360" w:lineRule="auto"/>
        <w:jc w:val="both"/>
        <w:rPr>
          <w:sz w:val="26"/>
          <w:szCs w:val="26"/>
          <w:rtl/>
        </w:rPr>
      </w:pPr>
    </w:p>
    <w:p w:rsidR="004A5D6F" w:rsidRDefault="004A5D6F" w:rsidP="004A5D6F">
      <w:pPr>
        <w:spacing w:line="360" w:lineRule="auto"/>
        <w:jc w:val="both"/>
        <w:rPr>
          <w:sz w:val="26"/>
          <w:szCs w:val="26"/>
          <w:rtl/>
        </w:rPr>
      </w:pPr>
      <w:r>
        <w:rPr>
          <w:rFonts w:hint="cs"/>
          <w:sz w:val="26"/>
          <w:szCs w:val="26"/>
          <w:rtl/>
        </w:rPr>
        <w:t xml:space="preserve">במסגרת ההליך שלפני לא הופנה הנאשם לקבלת תסקיר, ולא הוצג כל מסמך או חוות דעת שבכוחם להצביע על שינוי באורחותיו של הנאשם או על הפחתת הסיכון הנשקף לציבור מצידו. בנסיבות אלה יש למקם את עונשו מעט מתחת לאמצע מתחם העונש ההולם שנקבע, לצד מאסר על תנאי וקנס כספי, אשר ייקח בחשבון את עונש המאסר הממושך ואת היכולות הכלכליות הדלות. </w:t>
      </w:r>
    </w:p>
    <w:p w:rsidR="004A5D6F" w:rsidRDefault="004A5D6F" w:rsidP="004A5D6F">
      <w:pPr>
        <w:spacing w:line="360" w:lineRule="auto"/>
        <w:jc w:val="both"/>
        <w:rPr>
          <w:sz w:val="26"/>
          <w:szCs w:val="26"/>
          <w:rtl/>
        </w:rPr>
      </w:pPr>
    </w:p>
    <w:p w:rsidR="004A5D6F" w:rsidRPr="000C7045" w:rsidRDefault="004A5D6F" w:rsidP="004A5D6F">
      <w:pPr>
        <w:spacing w:line="360" w:lineRule="auto"/>
        <w:jc w:val="both"/>
        <w:rPr>
          <w:b/>
          <w:bCs/>
          <w:sz w:val="26"/>
          <w:szCs w:val="26"/>
          <w:u w:val="single"/>
          <w:rtl/>
        </w:rPr>
      </w:pPr>
      <w:r w:rsidRPr="000C7045">
        <w:rPr>
          <w:rFonts w:hint="cs"/>
          <w:b/>
          <w:bCs/>
          <w:sz w:val="26"/>
          <w:szCs w:val="26"/>
          <w:u w:val="single"/>
          <w:rtl/>
        </w:rPr>
        <w:t>אשר על כן אני גוזר על הנאשם את העונשים הבאים:</w:t>
      </w:r>
    </w:p>
    <w:p w:rsidR="004A5D6F" w:rsidRDefault="004A5D6F" w:rsidP="004A5D6F">
      <w:pPr>
        <w:pStyle w:val="ListParagraph"/>
        <w:numPr>
          <w:ilvl w:val="0"/>
          <w:numId w:val="1"/>
        </w:numPr>
        <w:spacing w:after="0" w:line="360" w:lineRule="auto"/>
        <w:jc w:val="both"/>
        <w:rPr>
          <w:rFonts w:cs="David"/>
          <w:sz w:val="26"/>
          <w:szCs w:val="26"/>
        </w:rPr>
      </w:pPr>
      <w:r>
        <w:rPr>
          <w:rFonts w:cs="David" w:hint="cs"/>
          <w:sz w:val="26"/>
          <w:szCs w:val="26"/>
          <w:rtl/>
        </w:rPr>
        <w:t xml:space="preserve">36 חודשי מאסר בפועל, מיום המעצר </w:t>
      </w:r>
      <w:r>
        <w:rPr>
          <w:rFonts w:cs="David"/>
          <w:sz w:val="26"/>
          <w:szCs w:val="26"/>
          <w:rtl/>
        </w:rPr>
        <w:t>–</w:t>
      </w:r>
      <w:r>
        <w:rPr>
          <w:rFonts w:cs="David" w:hint="cs"/>
          <w:sz w:val="26"/>
          <w:szCs w:val="26"/>
          <w:rtl/>
        </w:rPr>
        <w:t xml:space="preserve"> 24.8.20. </w:t>
      </w:r>
    </w:p>
    <w:p w:rsidR="004A5D6F" w:rsidRDefault="004A5D6F" w:rsidP="004A5D6F">
      <w:pPr>
        <w:pStyle w:val="ListParagraph"/>
        <w:spacing w:after="0" w:line="360" w:lineRule="auto"/>
        <w:jc w:val="both"/>
        <w:rPr>
          <w:rFonts w:cs="David"/>
          <w:sz w:val="26"/>
          <w:szCs w:val="26"/>
        </w:rPr>
      </w:pPr>
      <w:r>
        <w:rPr>
          <w:rFonts w:cs="David" w:hint="cs"/>
          <w:sz w:val="26"/>
          <w:szCs w:val="26"/>
          <w:rtl/>
        </w:rPr>
        <w:t xml:space="preserve"> </w:t>
      </w:r>
    </w:p>
    <w:p w:rsidR="004A5D6F" w:rsidRDefault="004A5D6F" w:rsidP="004A5D6F">
      <w:pPr>
        <w:pStyle w:val="ListParagraph"/>
        <w:numPr>
          <w:ilvl w:val="0"/>
          <w:numId w:val="1"/>
        </w:numPr>
        <w:spacing w:after="0" w:line="360" w:lineRule="auto"/>
        <w:jc w:val="both"/>
        <w:rPr>
          <w:rFonts w:cs="David"/>
          <w:sz w:val="26"/>
          <w:szCs w:val="26"/>
        </w:rPr>
      </w:pPr>
      <w:r>
        <w:rPr>
          <w:rFonts w:cs="David" w:hint="cs"/>
          <w:sz w:val="26"/>
          <w:szCs w:val="26"/>
          <w:rtl/>
        </w:rPr>
        <w:t>12 חודשי מאסר על תנאי, והתנאי הוא כי במשך 3 שנים מיום שחרורו לא יעבור הנאשם כל עבירה מסוג פשע על פקודת הסמים.</w:t>
      </w:r>
    </w:p>
    <w:p w:rsidR="004A5D6F" w:rsidRPr="000A33DD" w:rsidRDefault="004A5D6F" w:rsidP="004A5D6F">
      <w:pPr>
        <w:spacing w:line="360" w:lineRule="auto"/>
        <w:jc w:val="both"/>
        <w:rPr>
          <w:sz w:val="26"/>
          <w:szCs w:val="26"/>
        </w:rPr>
      </w:pPr>
    </w:p>
    <w:p w:rsidR="004A5D6F" w:rsidRDefault="004A5D6F" w:rsidP="004A5D6F">
      <w:pPr>
        <w:pStyle w:val="ListParagraph"/>
        <w:numPr>
          <w:ilvl w:val="0"/>
          <w:numId w:val="1"/>
        </w:numPr>
        <w:spacing w:after="0" w:line="360" w:lineRule="auto"/>
        <w:jc w:val="both"/>
        <w:rPr>
          <w:rFonts w:cs="David"/>
          <w:sz w:val="26"/>
          <w:szCs w:val="26"/>
        </w:rPr>
      </w:pPr>
      <w:r>
        <w:rPr>
          <w:rFonts w:ascii="David" w:hAnsi="David" w:cs="David" w:hint="cs"/>
          <w:sz w:val="26"/>
          <w:szCs w:val="26"/>
          <w:rtl/>
        </w:rPr>
        <w:t xml:space="preserve">6 </w:t>
      </w:r>
      <w:r w:rsidRPr="006C1891">
        <w:rPr>
          <w:rFonts w:ascii="David" w:hAnsi="David" w:cs="David" w:hint="cs"/>
          <w:sz w:val="26"/>
          <w:szCs w:val="26"/>
          <w:rtl/>
        </w:rPr>
        <w:t>ח</w:t>
      </w:r>
      <w:r w:rsidRPr="006C1891">
        <w:rPr>
          <w:rFonts w:ascii="David" w:hAnsi="David" w:cs="David"/>
          <w:sz w:val="26"/>
          <w:szCs w:val="26"/>
          <w:rtl/>
        </w:rPr>
        <w:t>ודשי מאסר על תנאי, והתנאי הוא כי במשך 3 שנים מיום שחרורו מהמאסר לא יעבור הנאשם כל עבירה מסוג</w:t>
      </w:r>
      <w:r w:rsidRPr="006C1891">
        <w:rPr>
          <w:rFonts w:ascii="David" w:hAnsi="David" w:cs="David" w:hint="cs"/>
          <w:sz w:val="26"/>
          <w:szCs w:val="26"/>
          <w:rtl/>
        </w:rPr>
        <w:t xml:space="preserve"> עוון</w:t>
      </w:r>
      <w:r w:rsidRPr="006C1891">
        <w:rPr>
          <w:rFonts w:ascii="David" w:hAnsi="David" w:cs="David"/>
          <w:sz w:val="26"/>
          <w:szCs w:val="26"/>
          <w:rtl/>
        </w:rPr>
        <w:t xml:space="preserve"> על </w:t>
      </w:r>
      <w:hyperlink r:id="rId28" w:history="1">
        <w:r w:rsidR="00696A3A" w:rsidRPr="00696A3A">
          <w:rPr>
            <w:rFonts w:ascii="David" w:hAnsi="David" w:cs="David"/>
            <w:color w:val="0000FF"/>
            <w:sz w:val="26"/>
            <w:szCs w:val="26"/>
            <w:u w:val="single"/>
            <w:rtl/>
          </w:rPr>
          <w:t>פקודת הסמים המסוכנים</w:t>
        </w:r>
      </w:hyperlink>
      <w:r w:rsidRPr="006C1891">
        <w:rPr>
          <w:rFonts w:ascii="David" w:hAnsi="David" w:cs="David"/>
          <w:sz w:val="26"/>
          <w:szCs w:val="26"/>
          <w:rtl/>
        </w:rPr>
        <w:t>.</w:t>
      </w:r>
    </w:p>
    <w:p w:rsidR="004A5D6F" w:rsidRPr="000A33DD" w:rsidRDefault="004A5D6F" w:rsidP="004A5D6F">
      <w:pPr>
        <w:spacing w:line="360" w:lineRule="auto"/>
        <w:jc w:val="both"/>
        <w:rPr>
          <w:sz w:val="26"/>
          <w:szCs w:val="26"/>
        </w:rPr>
      </w:pPr>
    </w:p>
    <w:p w:rsidR="004A5D6F" w:rsidRPr="006C1891" w:rsidRDefault="004A5D6F" w:rsidP="004A5D6F">
      <w:pPr>
        <w:pStyle w:val="ListParagraph"/>
        <w:numPr>
          <w:ilvl w:val="0"/>
          <w:numId w:val="1"/>
        </w:numPr>
        <w:spacing w:after="0" w:line="360" w:lineRule="auto"/>
        <w:jc w:val="both"/>
        <w:rPr>
          <w:rFonts w:cs="David"/>
          <w:sz w:val="26"/>
          <w:szCs w:val="26"/>
          <w:rtl/>
        </w:rPr>
      </w:pPr>
      <w:r>
        <w:rPr>
          <w:rFonts w:cs="David" w:hint="cs"/>
          <w:sz w:val="26"/>
          <w:szCs w:val="26"/>
          <w:rtl/>
        </w:rPr>
        <w:t>קנס בסך 8,000 ₪ או 80 ימי מאסר תמורתו. הקנס ישולם ב-10 תשלומים חודשיים, שווים ורצופים, החל מיום 14.9.21.</w:t>
      </w:r>
    </w:p>
    <w:p w:rsidR="004A5D6F" w:rsidRDefault="004A5D6F" w:rsidP="004A5D6F">
      <w:pPr>
        <w:spacing w:line="360" w:lineRule="auto"/>
        <w:jc w:val="both"/>
        <w:rPr>
          <w:rFonts w:ascii="David" w:hAnsi="David"/>
          <w:b/>
          <w:bCs/>
          <w:sz w:val="26"/>
          <w:szCs w:val="26"/>
          <w:u w:val="single"/>
          <w:rtl/>
        </w:rPr>
      </w:pPr>
    </w:p>
    <w:p w:rsidR="004A5D6F" w:rsidRDefault="004A5D6F" w:rsidP="004A5D6F">
      <w:pPr>
        <w:spacing w:line="360" w:lineRule="auto"/>
        <w:jc w:val="both"/>
        <w:rPr>
          <w:rFonts w:ascii="David" w:hAnsi="David"/>
          <w:b/>
          <w:bCs/>
          <w:sz w:val="26"/>
          <w:szCs w:val="26"/>
          <w:u w:val="single"/>
          <w:rtl/>
        </w:rPr>
      </w:pPr>
    </w:p>
    <w:p w:rsidR="004A5D6F" w:rsidRDefault="004A5D6F" w:rsidP="004A5D6F">
      <w:pPr>
        <w:spacing w:line="360" w:lineRule="auto"/>
        <w:jc w:val="both"/>
        <w:rPr>
          <w:rFonts w:ascii="David" w:hAnsi="David"/>
          <w:b/>
          <w:bCs/>
          <w:sz w:val="26"/>
          <w:szCs w:val="26"/>
          <w:u w:val="single"/>
          <w:rtl/>
        </w:rPr>
      </w:pPr>
      <w:r>
        <w:rPr>
          <w:rFonts w:ascii="David" w:hAnsi="David" w:hint="cs"/>
          <w:b/>
          <w:bCs/>
          <w:sz w:val="26"/>
          <w:szCs w:val="26"/>
          <w:u w:val="single"/>
          <w:rtl/>
        </w:rPr>
        <w:t>הסמים יושמדו</w:t>
      </w:r>
    </w:p>
    <w:p w:rsidR="004A5D6F" w:rsidRDefault="004A5D6F" w:rsidP="004A5D6F">
      <w:pPr>
        <w:spacing w:line="360" w:lineRule="auto"/>
        <w:jc w:val="both"/>
        <w:rPr>
          <w:rFonts w:ascii="David" w:hAnsi="David"/>
          <w:b/>
          <w:bCs/>
          <w:sz w:val="26"/>
          <w:szCs w:val="26"/>
          <w:u w:val="single"/>
          <w:rtl/>
        </w:rPr>
      </w:pPr>
    </w:p>
    <w:p w:rsidR="004A5D6F" w:rsidRDefault="004A5D6F" w:rsidP="004A5D6F">
      <w:pPr>
        <w:spacing w:line="360" w:lineRule="auto"/>
        <w:jc w:val="both"/>
        <w:rPr>
          <w:rFonts w:ascii="David" w:hAnsi="David"/>
          <w:b/>
          <w:bCs/>
          <w:sz w:val="26"/>
          <w:szCs w:val="26"/>
          <w:u w:val="single"/>
          <w:rtl/>
        </w:rPr>
      </w:pPr>
    </w:p>
    <w:p w:rsidR="004A5D6F" w:rsidRPr="006C1891" w:rsidRDefault="00696A3A" w:rsidP="004A5D6F">
      <w:pPr>
        <w:spacing w:line="360" w:lineRule="auto"/>
        <w:jc w:val="both"/>
        <w:rPr>
          <w:rFonts w:ascii="David" w:hAnsi="David"/>
          <w:b/>
          <w:bCs/>
          <w:sz w:val="26"/>
          <w:szCs w:val="26"/>
          <w:u w:val="single"/>
          <w:rtl/>
        </w:rPr>
      </w:pPr>
      <w:r w:rsidRPr="00696A3A">
        <w:rPr>
          <w:rFonts w:ascii="David" w:hAnsi="David"/>
          <w:b/>
          <w:bCs/>
          <w:color w:val="FFFFFF"/>
          <w:sz w:val="2"/>
          <w:szCs w:val="2"/>
          <w:u w:val="single"/>
          <w:rtl/>
        </w:rPr>
        <w:t>5129371</w:t>
      </w:r>
      <w:r w:rsidR="004A5D6F" w:rsidRPr="006C1891">
        <w:rPr>
          <w:rFonts w:ascii="David" w:hAnsi="David" w:hint="cs"/>
          <w:b/>
          <w:bCs/>
          <w:sz w:val="26"/>
          <w:szCs w:val="26"/>
          <w:u w:val="single"/>
          <w:rtl/>
        </w:rPr>
        <w:t>זכות ערעור בתוך 45 ימים.</w:t>
      </w:r>
    </w:p>
    <w:p w:rsidR="004A5D6F" w:rsidRPr="00696A3A" w:rsidRDefault="00696A3A" w:rsidP="004A5D6F">
      <w:pPr>
        <w:spacing w:line="360" w:lineRule="auto"/>
        <w:jc w:val="both"/>
        <w:rPr>
          <w:color w:val="FFFFFF"/>
          <w:sz w:val="2"/>
          <w:szCs w:val="2"/>
          <w:rtl/>
        </w:rPr>
      </w:pPr>
      <w:r w:rsidRPr="00696A3A">
        <w:rPr>
          <w:color w:val="FFFFFF"/>
          <w:sz w:val="2"/>
          <w:szCs w:val="2"/>
          <w:rtl/>
        </w:rPr>
        <w:t>54678313</w:t>
      </w:r>
    </w:p>
    <w:p w:rsidR="004A5D6F" w:rsidRPr="002B7D23" w:rsidRDefault="004A5D6F" w:rsidP="004A5D6F">
      <w:pPr>
        <w:rPr>
          <w:rFonts w:ascii="David" w:hAnsi="David"/>
          <w:sz w:val="26"/>
          <w:szCs w:val="26"/>
          <w:rtl/>
        </w:rPr>
      </w:pPr>
    </w:p>
    <w:p w:rsidR="004A5D6F" w:rsidRPr="00A05150" w:rsidRDefault="00696A3A" w:rsidP="004A5D6F">
      <w:pPr>
        <w:rPr>
          <w:rFonts w:ascii="David" w:hAnsi="David"/>
          <w:b/>
          <w:bCs/>
          <w:sz w:val="26"/>
          <w:szCs w:val="26"/>
          <w:rtl/>
        </w:rPr>
      </w:pPr>
      <w:bookmarkStart w:id="8" w:name="Nitan"/>
      <w:r w:rsidRPr="00A05150">
        <w:rPr>
          <w:rFonts w:ascii="David" w:hAnsi="David"/>
          <w:b/>
          <w:bCs/>
          <w:sz w:val="26"/>
          <w:szCs w:val="26"/>
          <w:rtl/>
        </w:rPr>
        <w:t xml:space="preserve">ניתן היום,  כ"ו תמוז תשפ"א, 06 יולי 2021, במעמד הצדדים. </w:t>
      </w:r>
      <w:bookmarkEnd w:id="8"/>
    </w:p>
    <w:p w:rsidR="004A5D6F" w:rsidRPr="002B7D23" w:rsidRDefault="004A5D6F" w:rsidP="00696A3A">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rsidR="004A5D6F" w:rsidRPr="002B7D23" w:rsidRDefault="004A5D6F" w:rsidP="004A5D6F">
      <w:pPr>
        <w:jc w:val="center"/>
        <w:rPr>
          <w:rFonts w:ascii="David" w:hAnsi="David"/>
          <w:sz w:val="26"/>
          <w:szCs w:val="26"/>
          <w:rtl/>
        </w:rPr>
      </w:pPr>
    </w:p>
    <w:p w:rsidR="008F6993" w:rsidRPr="00696A3A" w:rsidRDefault="008F6993" w:rsidP="00696A3A">
      <w:pPr>
        <w:keepNext/>
        <w:rPr>
          <w:rFonts w:ascii="David" w:hAnsi="David"/>
          <w:color w:val="000000"/>
          <w:sz w:val="22"/>
          <w:szCs w:val="22"/>
          <w:rtl/>
        </w:rPr>
      </w:pPr>
    </w:p>
    <w:p w:rsidR="00696A3A" w:rsidRPr="00696A3A" w:rsidRDefault="00696A3A" w:rsidP="00696A3A">
      <w:pPr>
        <w:keepNext/>
        <w:rPr>
          <w:rFonts w:ascii="David" w:hAnsi="David"/>
          <w:color w:val="000000"/>
          <w:sz w:val="22"/>
          <w:szCs w:val="22"/>
          <w:rtl/>
        </w:rPr>
      </w:pPr>
      <w:r w:rsidRPr="00696A3A">
        <w:rPr>
          <w:rFonts w:ascii="David" w:hAnsi="David"/>
          <w:color w:val="000000"/>
          <w:sz w:val="22"/>
          <w:szCs w:val="22"/>
          <w:rtl/>
        </w:rPr>
        <w:t>חגי טרסי 54678313</w:t>
      </w:r>
    </w:p>
    <w:p w:rsidR="00696A3A" w:rsidRDefault="00696A3A" w:rsidP="00696A3A">
      <w:r w:rsidRPr="00696A3A">
        <w:rPr>
          <w:color w:val="000000"/>
          <w:rtl/>
        </w:rPr>
        <w:t>נוסח מסמך זה כפוף לשינויי ניסוח ועריכה</w:t>
      </w:r>
    </w:p>
    <w:p w:rsidR="00696A3A" w:rsidRDefault="00696A3A" w:rsidP="00696A3A">
      <w:pPr>
        <w:rPr>
          <w:rtl/>
        </w:rPr>
      </w:pPr>
    </w:p>
    <w:p w:rsidR="00696A3A" w:rsidRDefault="00696A3A" w:rsidP="00696A3A">
      <w:pPr>
        <w:jc w:val="center"/>
        <w:rPr>
          <w:color w:val="0000FF"/>
          <w:u w:val="single"/>
        </w:rPr>
      </w:pPr>
      <w:hyperlink r:id="rId29" w:history="1">
        <w:r>
          <w:rPr>
            <w:color w:val="0000FF"/>
            <w:u w:val="single"/>
            <w:rtl/>
          </w:rPr>
          <w:t>בעניין עריכה ושינויים במסמכי פסיקה, חקיקה ועוד באתר נבו – הקש כאן</w:t>
        </w:r>
      </w:hyperlink>
    </w:p>
    <w:p w:rsidR="00696A3A" w:rsidRPr="00696A3A" w:rsidRDefault="00696A3A" w:rsidP="00696A3A">
      <w:pPr>
        <w:jc w:val="center"/>
        <w:rPr>
          <w:color w:val="0000FF"/>
          <w:u w:val="single"/>
        </w:rPr>
      </w:pPr>
    </w:p>
    <w:sectPr w:rsidR="00696A3A" w:rsidRPr="00696A3A" w:rsidSect="00696A3A">
      <w:headerReference w:type="even" r:id="rId30"/>
      <w:headerReference w:type="default" r:id="rId31"/>
      <w:footerReference w:type="even" r:id="rId32"/>
      <w:footerReference w:type="default" r:id="rId33"/>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B0787" w:rsidRDefault="002B0787" w:rsidP="00682D7B">
      <w:r>
        <w:separator/>
      </w:r>
    </w:p>
  </w:endnote>
  <w:endnote w:type="continuationSeparator" w:id="0">
    <w:p w:rsidR="002B0787" w:rsidRDefault="002B0787" w:rsidP="00682D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altName w:val="Arial"/>
    <w:charset w:val="00"/>
    <w:family w:val="swiss"/>
    <w:pitch w:val="variable"/>
    <w:sig w:usb0="00001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6A3A" w:rsidRDefault="00696A3A" w:rsidP="00696A3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rsidR="00FF68EE" w:rsidRPr="00696A3A" w:rsidRDefault="00696A3A" w:rsidP="00696A3A">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6A3A" w:rsidRDefault="00696A3A" w:rsidP="00696A3A">
    <w:pPr>
      <w:pStyle w:val="Footer"/>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A0FD3">
      <w:rPr>
        <w:rFonts w:ascii="FrankRuehl" w:hAnsi="FrankRuehl" w:cs="FrankRuehl"/>
        <w:noProof/>
        <w:rtl/>
      </w:rPr>
      <w:t>1</w:t>
    </w:r>
    <w:r>
      <w:rPr>
        <w:rFonts w:ascii="FrankRuehl" w:hAnsi="FrankRuehl" w:cs="FrankRuehl"/>
        <w:rtl/>
      </w:rPr>
      <w:fldChar w:fldCharType="end"/>
    </w:r>
  </w:p>
  <w:p w:rsidR="00FF68EE" w:rsidRPr="00696A3A" w:rsidRDefault="00696A3A" w:rsidP="00696A3A">
    <w:pPr>
      <w:pStyle w:val="Footer"/>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B0787" w:rsidRDefault="002B0787" w:rsidP="00682D7B">
      <w:r>
        <w:separator/>
      </w:r>
    </w:p>
  </w:footnote>
  <w:footnote w:type="continuationSeparator" w:id="0">
    <w:p w:rsidR="002B0787" w:rsidRDefault="002B0787" w:rsidP="00682D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6A3A" w:rsidRPr="00696A3A" w:rsidRDefault="00696A3A" w:rsidP="00696A3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5778-09-20</w:t>
    </w:r>
    <w:r>
      <w:rPr>
        <w:rFonts w:ascii="David" w:hAnsi="David"/>
        <w:color w:val="000000"/>
        <w:sz w:val="22"/>
        <w:szCs w:val="22"/>
        <w:rtl/>
      </w:rPr>
      <w:tab/>
      <w:t xml:space="preserve"> מדינת ישראל נ' סטיב חדיד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96A3A" w:rsidRPr="00696A3A" w:rsidRDefault="00696A3A" w:rsidP="00696A3A">
    <w:pPr>
      <w:pStyle w:val="Header"/>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(מרכז) 5778-09-20</w:t>
    </w:r>
    <w:r>
      <w:rPr>
        <w:rFonts w:ascii="David" w:hAnsi="David"/>
        <w:color w:val="000000"/>
        <w:sz w:val="22"/>
        <w:szCs w:val="22"/>
        <w:rtl/>
      </w:rPr>
      <w:tab/>
      <w:t xml:space="preserve"> מדינת ישראל נ' סטיב חדיד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24252"/>
    <w:multiLevelType w:val="hybridMultilevel"/>
    <w:tmpl w:val="416E6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A5D6F"/>
    <w:rsid w:val="000A18C6"/>
    <w:rsid w:val="001B5A3B"/>
    <w:rsid w:val="002B0787"/>
    <w:rsid w:val="004A5D6F"/>
    <w:rsid w:val="00682D7B"/>
    <w:rsid w:val="00696A3A"/>
    <w:rsid w:val="00737229"/>
    <w:rsid w:val="00814DE0"/>
    <w:rsid w:val="008178CD"/>
    <w:rsid w:val="008F6993"/>
    <w:rsid w:val="00A05150"/>
    <w:rsid w:val="00AA0FD3"/>
    <w:rsid w:val="00E61B57"/>
    <w:rsid w:val="00F60AB6"/>
    <w:rsid w:val="00FE33A9"/>
    <w:rsid w:val="00FF68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9CD317AD-D3C0-4D27-96AD-1CBD6774E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A5D6F"/>
    <w:pPr>
      <w:bidi/>
    </w:pPr>
    <w:rPr>
      <w:rFonts w:ascii="Times New Roman" w:eastAsia="Times New Roman" w:hAnsi="Times New Roman" w:cs="David"/>
      <w:sz w:val="24"/>
      <w:szCs w:val="24"/>
      <w:lang w:eastAsia="en-US"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A5D6F"/>
    <w:pPr>
      <w:tabs>
        <w:tab w:val="center" w:pos="4153"/>
        <w:tab w:val="right" w:pos="8306"/>
      </w:tabs>
    </w:pPr>
  </w:style>
  <w:style w:type="character" w:customStyle="1" w:styleId="HeaderChar">
    <w:name w:val="Header Char"/>
    <w:link w:val="Header"/>
    <w:rsid w:val="004A5D6F"/>
    <w:rPr>
      <w:rFonts w:ascii="Times New Roman" w:eastAsia="Times New Roman" w:hAnsi="Times New Roman" w:cs="David"/>
      <w:sz w:val="24"/>
      <w:szCs w:val="24"/>
    </w:rPr>
  </w:style>
  <w:style w:type="paragraph" w:styleId="Footer">
    <w:name w:val="footer"/>
    <w:basedOn w:val="Normal"/>
    <w:link w:val="FooterChar"/>
    <w:rsid w:val="004A5D6F"/>
    <w:pPr>
      <w:tabs>
        <w:tab w:val="center" w:pos="4153"/>
        <w:tab w:val="right" w:pos="8306"/>
      </w:tabs>
    </w:pPr>
  </w:style>
  <w:style w:type="character" w:customStyle="1" w:styleId="FooterChar">
    <w:name w:val="Footer Char"/>
    <w:link w:val="Footer"/>
    <w:rsid w:val="004A5D6F"/>
    <w:rPr>
      <w:rFonts w:ascii="Times New Roman" w:eastAsia="Times New Roman" w:hAnsi="Times New Roman" w:cs="David"/>
      <w:sz w:val="24"/>
      <w:szCs w:val="24"/>
    </w:rPr>
  </w:style>
  <w:style w:type="table" w:styleId="TableGrid">
    <w:name w:val="Table Grid"/>
    <w:basedOn w:val="TableNormal"/>
    <w:rsid w:val="004A5D6F"/>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rsid w:val="004A5D6F"/>
  </w:style>
  <w:style w:type="character" w:styleId="Hyperlink">
    <w:name w:val="Hyperlink"/>
    <w:rsid w:val="004A5D6F"/>
    <w:rPr>
      <w:color w:val="0000FF"/>
      <w:u w:val="single"/>
    </w:rPr>
  </w:style>
  <w:style w:type="paragraph" w:styleId="ListParagraph">
    <w:name w:val="List Paragraph"/>
    <w:basedOn w:val="Normal"/>
    <w:qFormat/>
    <w:rsid w:val="004A5D6F"/>
    <w:pPr>
      <w:spacing w:after="160" w:line="259" w:lineRule="auto"/>
      <w:ind w:left="720"/>
      <w:contextualSpacing/>
    </w:pPr>
    <w:rPr>
      <w:rFonts w:ascii="Calibri" w:eastAsia="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c" TargetMode="External"/><Relationship Id="rId18" Type="http://schemas.openxmlformats.org/officeDocument/2006/relationships/hyperlink" Target="http://www.nevo.co.il/case/5753269" TargetMode="External"/><Relationship Id="rId26" Type="http://schemas.openxmlformats.org/officeDocument/2006/relationships/hyperlink" Target="http://www.nevo.co.il/case/5821173" TargetMode="External"/><Relationship Id="rId3" Type="http://schemas.openxmlformats.org/officeDocument/2006/relationships/settings" Target="settings.xml"/><Relationship Id="rId21" Type="http://schemas.openxmlformats.org/officeDocument/2006/relationships/hyperlink" Target="http://www.nevo.co.il/case/20443128" TargetMode="External"/><Relationship Id="rId34" Type="http://schemas.openxmlformats.org/officeDocument/2006/relationships/fontTable" Target="fontTable.xml"/><Relationship Id="rId7" Type="http://schemas.openxmlformats.org/officeDocument/2006/relationships/hyperlink" Target="http://www.nevo.co.il/law/4216" TargetMode="External"/><Relationship Id="rId12" Type="http://schemas.openxmlformats.org/officeDocument/2006/relationships/hyperlink" Target="http://www.nevo.co.il/law/4216/13" TargetMode="External"/><Relationship Id="rId17" Type="http://schemas.openxmlformats.org/officeDocument/2006/relationships/hyperlink" Target="http://www.nevo.co.il/case/13022249" TargetMode="External"/><Relationship Id="rId25" Type="http://schemas.openxmlformats.org/officeDocument/2006/relationships/hyperlink" Target="http://www.nevo.co.il/case/20749372" TargetMode="External"/><Relationship Id="rId33"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www.nevo.co.il/case/6119015" TargetMode="External"/><Relationship Id="rId20" Type="http://schemas.openxmlformats.org/officeDocument/2006/relationships/hyperlink" Target="http://www.nevo.co.il/case/18793705" TargetMode="External"/><Relationship Id="rId29" Type="http://schemas.openxmlformats.org/officeDocument/2006/relationships/hyperlink" Target="http://www.nevo.co.il/advertisements/nevo-100.doc"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21882858" TargetMode="External"/><Relationship Id="rId24" Type="http://schemas.openxmlformats.org/officeDocument/2006/relationships/hyperlink" Target="http://www.nevo.co.il/case/22237052"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case/5738608" TargetMode="External"/><Relationship Id="rId23" Type="http://schemas.openxmlformats.org/officeDocument/2006/relationships/hyperlink" Target="http://www.nevo.co.il/case/21882858" TargetMode="External"/><Relationship Id="rId28" Type="http://schemas.openxmlformats.org/officeDocument/2006/relationships/hyperlink" Target="http://www.nevo.co.il/law/4216" TargetMode="External"/><Relationship Id="rId10" Type="http://schemas.openxmlformats.org/officeDocument/2006/relationships/hyperlink" Target="http://www.nevo.co.il/law/4216" TargetMode="External"/><Relationship Id="rId19" Type="http://schemas.openxmlformats.org/officeDocument/2006/relationships/hyperlink" Target="http://www.nevo.co.il/law/4216"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4216/13" TargetMode="External"/><Relationship Id="rId14" Type="http://schemas.openxmlformats.org/officeDocument/2006/relationships/hyperlink" Target="http://www.nevo.co.il/law/4216" TargetMode="External"/><Relationship Id="rId22" Type="http://schemas.openxmlformats.org/officeDocument/2006/relationships/hyperlink" Target="http://www.nevo.co.il/case/13022249" TargetMode="External"/><Relationship Id="rId27" Type="http://schemas.openxmlformats.org/officeDocument/2006/relationships/hyperlink" Target="http://www.nevo.co.il/case/13075030" TargetMode="External"/><Relationship Id="rId30" Type="http://schemas.openxmlformats.org/officeDocument/2006/relationships/header" Target="header1.xml"/><Relationship Id="rId35" Type="http://schemas.openxmlformats.org/officeDocument/2006/relationships/theme" Target="theme/theme1.xml"/><Relationship Id="rId8" Type="http://schemas.openxmlformats.org/officeDocument/2006/relationships/hyperlink" Target="http://www.nevo.co.il/law/4216/7.c"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2973</Words>
  <Characters>16947</Characters>
  <Application>Microsoft Office Word</Application>
  <DocSecurity>4</DocSecurity>
  <Lines>141</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19881</CharactersWithSpaces>
  <SharedDoc>false</SharedDoc>
  <HLinks>
    <vt:vector size="138" baseType="variant">
      <vt:variant>
        <vt:i4>393283</vt:i4>
      </vt:variant>
      <vt:variant>
        <vt:i4>66</vt:i4>
      </vt:variant>
      <vt:variant>
        <vt:i4>0</vt:i4>
      </vt:variant>
      <vt:variant>
        <vt:i4>5</vt:i4>
      </vt:variant>
      <vt:variant>
        <vt:lpwstr>http://www.nevo.co.il/advertisements/nevo-100.doc</vt:lpwstr>
      </vt:variant>
      <vt:variant>
        <vt:lpwstr/>
      </vt:variant>
      <vt:variant>
        <vt:i4>8257637</vt:i4>
      </vt:variant>
      <vt:variant>
        <vt:i4>63</vt:i4>
      </vt:variant>
      <vt:variant>
        <vt:i4>0</vt:i4>
      </vt:variant>
      <vt:variant>
        <vt:i4>5</vt:i4>
      </vt:variant>
      <vt:variant>
        <vt:lpwstr>http://www.nevo.co.il/law/4216</vt:lpwstr>
      </vt:variant>
      <vt:variant>
        <vt:lpwstr/>
      </vt:variant>
      <vt:variant>
        <vt:i4>3604592</vt:i4>
      </vt:variant>
      <vt:variant>
        <vt:i4>60</vt:i4>
      </vt:variant>
      <vt:variant>
        <vt:i4>0</vt:i4>
      </vt:variant>
      <vt:variant>
        <vt:i4>5</vt:i4>
      </vt:variant>
      <vt:variant>
        <vt:lpwstr>http://www.nevo.co.il/case/13075030</vt:lpwstr>
      </vt:variant>
      <vt:variant>
        <vt:lpwstr/>
      </vt:variant>
      <vt:variant>
        <vt:i4>3473530</vt:i4>
      </vt:variant>
      <vt:variant>
        <vt:i4>57</vt:i4>
      </vt:variant>
      <vt:variant>
        <vt:i4>0</vt:i4>
      </vt:variant>
      <vt:variant>
        <vt:i4>5</vt:i4>
      </vt:variant>
      <vt:variant>
        <vt:lpwstr>http://www.nevo.co.il/case/5821173</vt:lpwstr>
      </vt:variant>
      <vt:variant>
        <vt:lpwstr/>
      </vt:variant>
      <vt:variant>
        <vt:i4>3866739</vt:i4>
      </vt:variant>
      <vt:variant>
        <vt:i4>54</vt:i4>
      </vt:variant>
      <vt:variant>
        <vt:i4>0</vt:i4>
      </vt:variant>
      <vt:variant>
        <vt:i4>5</vt:i4>
      </vt:variant>
      <vt:variant>
        <vt:lpwstr>http://www.nevo.co.il/case/20749372</vt:lpwstr>
      </vt:variant>
      <vt:variant>
        <vt:lpwstr/>
      </vt:variant>
      <vt:variant>
        <vt:i4>3276917</vt:i4>
      </vt:variant>
      <vt:variant>
        <vt:i4>51</vt:i4>
      </vt:variant>
      <vt:variant>
        <vt:i4>0</vt:i4>
      </vt:variant>
      <vt:variant>
        <vt:i4>5</vt:i4>
      </vt:variant>
      <vt:variant>
        <vt:lpwstr>http://www.nevo.co.il/case/22237052</vt:lpwstr>
      </vt:variant>
      <vt:variant>
        <vt:lpwstr/>
      </vt:variant>
      <vt:variant>
        <vt:i4>3997813</vt:i4>
      </vt:variant>
      <vt:variant>
        <vt:i4>48</vt:i4>
      </vt:variant>
      <vt:variant>
        <vt:i4>0</vt:i4>
      </vt:variant>
      <vt:variant>
        <vt:i4>5</vt:i4>
      </vt:variant>
      <vt:variant>
        <vt:lpwstr>http://www.nevo.co.il/case/21882858</vt:lpwstr>
      </vt:variant>
      <vt:variant>
        <vt:lpwstr/>
      </vt:variant>
      <vt:variant>
        <vt:i4>3604599</vt:i4>
      </vt:variant>
      <vt:variant>
        <vt:i4>45</vt:i4>
      </vt:variant>
      <vt:variant>
        <vt:i4>0</vt:i4>
      </vt:variant>
      <vt:variant>
        <vt:i4>5</vt:i4>
      </vt:variant>
      <vt:variant>
        <vt:lpwstr>http://www.nevo.co.il/case/13022249</vt:lpwstr>
      </vt:variant>
      <vt:variant>
        <vt:lpwstr/>
      </vt:variant>
      <vt:variant>
        <vt:i4>3604593</vt:i4>
      </vt:variant>
      <vt:variant>
        <vt:i4>42</vt:i4>
      </vt:variant>
      <vt:variant>
        <vt:i4>0</vt:i4>
      </vt:variant>
      <vt:variant>
        <vt:i4>5</vt:i4>
      </vt:variant>
      <vt:variant>
        <vt:lpwstr>http://www.nevo.co.il/case/20443128</vt:lpwstr>
      </vt:variant>
      <vt:variant>
        <vt:lpwstr/>
      </vt:variant>
      <vt:variant>
        <vt:i4>3473522</vt:i4>
      </vt:variant>
      <vt:variant>
        <vt:i4>39</vt:i4>
      </vt:variant>
      <vt:variant>
        <vt:i4>0</vt:i4>
      </vt:variant>
      <vt:variant>
        <vt:i4>5</vt:i4>
      </vt:variant>
      <vt:variant>
        <vt:lpwstr>http://www.nevo.co.il/case/18793705</vt:lpwstr>
      </vt:variant>
      <vt:variant>
        <vt:lpwstr/>
      </vt:variant>
      <vt:variant>
        <vt:i4>8257637</vt:i4>
      </vt:variant>
      <vt:variant>
        <vt:i4>36</vt:i4>
      </vt:variant>
      <vt:variant>
        <vt:i4>0</vt:i4>
      </vt:variant>
      <vt:variant>
        <vt:i4>5</vt:i4>
      </vt:variant>
      <vt:variant>
        <vt:lpwstr>http://www.nevo.co.il/law/4216</vt:lpwstr>
      </vt:variant>
      <vt:variant>
        <vt:lpwstr/>
      </vt:variant>
      <vt:variant>
        <vt:i4>3866742</vt:i4>
      </vt:variant>
      <vt:variant>
        <vt:i4>33</vt:i4>
      </vt:variant>
      <vt:variant>
        <vt:i4>0</vt:i4>
      </vt:variant>
      <vt:variant>
        <vt:i4>5</vt:i4>
      </vt:variant>
      <vt:variant>
        <vt:lpwstr>http://www.nevo.co.il/case/5753269</vt:lpwstr>
      </vt:variant>
      <vt:variant>
        <vt:lpwstr/>
      </vt:variant>
      <vt:variant>
        <vt:i4>3604599</vt:i4>
      </vt:variant>
      <vt:variant>
        <vt:i4>30</vt:i4>
      </vt:variant>
      <vt:variant>
        <vt:i4>0</vt:i4>
      </vt:variant>
      <vt:variant>
        <vt:i4>5</vt:i4>
      </vt:variant>
      <vt:variant>
        <vt:lpwstr>http://www.nevo.co.il/case/13022249</vt:lpwstr>
      </vt:variant>
      <vt:variant>
        <vt:lpwstr/>
      </vt:variant>
      <vt:variant>
        <vt:i4>3276925</vt:i4>
      </vt:variant>
      <vt:variant>
        <vt:i4>27</vt:i4>
      </vt:variant>
      <vt:variant>
        <vt:i4>0</vt:i4>
      </vt:variant>
      <vt:variant>
        <vt:i4>5</vt:i4>
      </vt:variant>
      <vt:variant>
        <vt:lpwstr>http://www.nevo.co.il/case/6119015</vt:lpwstr>
      </vt:variant>
      <vt:variant>
        <vt:lpwstr/>
      </vt:variant>
      <vt:variant>
        <vt:i4>3670139</vt:i4>
      </vt:variant>
      <vt:variant>
        <vt:i4>24</vt:i4>
      </vt:variant>
      <vt:variant>
        <vt:i4>0</vt:i4>
      </vt:variant>
      <vt:variant>
        <vt:i4>5</vt:i4>
      </vt:variant>
      <vt:variant>
        <vt:lpwstr>http://www.nevo.co.il/case/5738608</vt:lpwstr>
      </vt:variant>
      <vt:variant>
        <vt:lpwstr/>
      </vt:variant>
      <vt:variant>
        <vt:i4>8257637</vt:i4>
      </vt:variant>
      <vt:variant>
        <vt:i4>21</vt:i4>
      </vt:variant>
      <vt:variant>
        <vt:i4>0</vt:i4>
      </vt:variant>
      <vt:variant>
        <vt:i4>5</vt:i4>
      </vt:variant>
      <vt:variant>
        <vt:lpwstr>http://www.nevo.co.il/law/4216</vt:lpwstr>
      </vt:variant>
      <vt:variant>
        <vt:lpwstr/>
      </vt:variant>
      <vt:variant>
        <vt:i4>2752612</vt:i4>
      </vt:variant>
      <vt:variant>
        <vt:i4>18</vt:i4>
      </vt:variant>
      <vt:variant>
        <vt:i4>0</vt:i4>
      </vt:variant>
      <vt:variant>
        <vt:i4>5</vt:i4>
      </vt:variant>
      <vt:variant>
        <vt:lpwstr>http://www.nevo.co.il/law/4216/7.c</vt:lpwstr>
      </vt:variant>
      <vt:variant>
        <vt:lpwstr/>
      </vt:variant>
      <vt:variant>
        <vt:i4>5177418</vt:i4>
      </vt:variant>
      <vt:variant>
        <vt:i4>15</vt:i4>
      </vt:variant>
      <vt:variant>
        <vt:i4>0</vt:i4>
      </vt:variant>
      <vt:variant>
        <vt:i4>5</vt:i4>
      </vt:variant>
      <vt:variant>
        <vt:lpwstr>http://www.nevo.co.il/law/4216/13</vt:lpwstr>
      </vt:variant>
      <vt:variant>
        <vt:lpwstr/>
      </vt:variant>
      <vt:variant>
        <vt:i4>3997813</vt:i4>
      </vt:variant>
      <vt:variant>
        <vt:i4>12</vt:i4>
      </vt:variant>
      <vt:variant>
        <vt:i4>0</vt:i4>
      </vt:variant>
      <vt:variant>
        <vt:i4>5</vt:i4>
      </vt:variant>
      <vt:variant>
        <vt:lpwstr>http://www.nevo.co.il/case/21882858</vt:lpwstr>
      </vt:variant>
      <vt:variant>
        <vt:lpwstr/>
      </vt:variant>
      <vt:variant>
        <vt:i4>8257637</vt:i4>
      </vt:variant>
      <vt:variant>
        <vt:i4>9</vt:i4>
      </vt:variant>
      <vt:variant>
        <vt:i4>0</vt:i4>
      </vt:variant>
      <vt:variant>
        <vt:i4>5</vt:i4>
      </vt:variant>
      <vt:variant>
        <vt:lpwstr>http://www.nevo.co.il/law/4216</vt:lpwstr>
      </vt:variant>
      <vt:variant>
        <vt:lpwstr/>
      </vt:variant>
      <vt:variant>
        <vt:i4>5177418</vt:i4>
      </vt:variant>
      <vt:variant>
        <vt:i4>6</vt:i4>
      </vt:variant>
      <vt:variant>
        <vt:i4>0</vt:i4>
      </vt:variant>
      <vt:variant>
        <vt:i4>5</vt:i4>
      </vt:variant>
      <vt:variant>
        <vt:lpwstr>http://www.nevo.co.il/law/4216/13</vt:lpwstr>
      </vt:variant>
      <vt:variant>
        <vt:lpwstr/>
      </vt:variant>
      <vt:variant>
        <vt:i4>2752612</vt:i4>
      </vt:variant>
      <vt:variant>
        <vt:i4>3</vt:i4>
      </vt:variant>
      <vt:variant>
        <vt:i4>0</vt:i4>
      </vt:variant>
      <vt:variant>
        <vt:i4>5</vt:i4>
      </vt:variant>
      <vt:variant>
        <vt:lpwstr>http://www.nevo.co.il/law/4216/7.c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cloudconvert_7</cp:lastModifiedBy>
  <cp:revision>2</cp:revision>
  <dcterms:created xsi:type="dcterms:W3CDTF">2025-01-01T13:22:00Z</dcterms:created>
  <dcterms:modified xsi:type="dcterms:W3CDTF">2025-01-01T13:22:00Z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5778</vt:lpwstr>
  </property>
  <property fmtid="{D5CDD505-2E9C-101B-9397-08002B2CF9AE}" pid="6" name="NEWPARTB">
    <vt:lpwstr>09</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סטיב חדיד</vt:lpwstr>
  </property>
  <property fmtid="{D5CDD505-2E9C-101B-9397-08002B2CF9AE}" pid="10" name="LAWYER">
    <vt:lpwstr>שאדי כבהה</vt:lpwstr>
  </property>
  <property fmtid="{D5CDD505-2E9C-101B-9397-08002B2CF9AE}" pid="11" name="JUDGE">
    <vt:lpwstr>חגי טרסי</vt:lpwstr>
  </property>
  <property fmtid="{D5CDD505-2E9C-101B-9397-08002B2CF9AE}" pid="12" name="CITY">
    <vt:lpwstr>מרכז</vt:lpwstr>
  </property>
  <property fmtid="{D5CDD505-2E9C-101B-9397-08002B2CF9AE}" pid="13" name="DATE">
    <vt:lpwstr>20210706</vt:lpwstr>
  </property>
  <property fmtid="{D5CDD505-2E9C-101B-9397-08002B2CF9AE}" pid="14" name="TYPE_N_DATE">
    <vt:lpwstr>39020210706</vt:lpwstr>
  </property>
  <property fmtid="{D5CDD505-2E9C-101B-9397-08002B2CF9AE}" pid="15" name="WORDNUMPAGES">
    <vt:lpwstr>11</vt:lpwstr>
  </property>
  <property fmtid="{D5CDD505-2E9C-101B-9397-08002B2CF9AE}" pid="16" name="TYPE_ABS_DATE">
    <vt:lpwstr>390120210706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5738608;6119015;13022249:2;5753269;18793705;20443128;21882858;22237052;20749372;5821173;13075030</vt:lpwstr>
  </property>
  <property fmtid="{D5CDD505-2E9C-101B-9397-08002B2CF9AE}" pid="36" name="LAWLISTTMP1">
    <vt:lpwstr>4216/013;007.c</vt:lpwstr>
  </property>
  <property fmtid="{D5CDD505-2E9C-101B-9397-08002B2CF9AE}" pid="37" name="NOSE1ID">
    <vt:lpwstr>77</vt:lpwstr>
  </property>
  <property fmtid="{D5CDD505-2E9C-101B-9397-08002B2CF9AE}" pid="38" name="NOSE2ID">
    <vt:lpwstr>1446</vt:lpwstr>
  </property>
  <property fmtid="{D5CDD505-2E9C-101B-9397-08002B2CF9AE}" pid="39" name="NOSE3ID">
    <vt:lpwstr>8991</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סמים</vt:lpwstr>
  </property>
  <property fmtid="{D5CDD505-2E9C-101B-9397-08002B2CF9AE}" pid="43" name="NOSE12">
    <vt:lpwstr/>
  </property>
  <property fmtid="{D5CDD505-2E9C-101B-9397-08002B2CF9AE}" pid="44" name="NOSE22">
    <vt:lpwstr/>
  </property>
  <property fmtid="{D5CDD505-2E9C-101B-9397-08002B2CF9AE}" pid="45" name="NOSE32">
    <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20210720</vt:lpwstr>
  </property>
  <property fmtid="{D5CDD505-2E9C-101B-9397-08002B2CF9AE}" pid="71" name="METAKZER">
    <vt:lpwstr>קרן</vt:lpwstr>
  </property>
</Properties>
</file>