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0" w:type="auto"/>
        <w:jc w:val="center"/>
        <w:tblLook w:val="0000" w:firstRow="0" w:lastRow="0" w:firstColumn="0" w:lastColumn="0" w:noHBand="0" w:noVBand="0"/>
      </w:tblPr>
      <w:tblGrid>
        <w:gridCol w:w="5131"/>
        <w:gridCol w:w="3730"/>
      </w:tblGrid>
      <w:tr w:rsidR="002F767A" w:rsidRPr="00903C2F" w:rsidTr="00A95F8B">
        <w:trPr>
          <w:trHeight w:hRule="exact" w:val="418"/>
          <w:jc w:val="center"/>
        </w:trPr>
        <w:tc>
          <w:tcPr>
            <w:tcW w:w="8861" w:type="dxa"/>
            <w:gridSpan w:val="2"/>
          </w:tcPr>
          <w:p w:rsidR="002F767A" w:rsidRPr="00903C2F" w:rsidRDefault="002F767A" w:rsidP="00A95F8B">
            <w:pPr>
              <w:pStyle w:val="Header"/>
              <w:jc w:val="center"/>
              <w:rPr>
                <w:rFonts w:ascii="Tahoma" w:hAnsi="Tahoma"/>
                <w:color w:val="000080"/>
                <w:sz w:val="32"/>
                <w:szCs w:val="32"/>
                <w:rtl/>
              </w:rPr>
            </w:pPr>
            <w:bookmarkStart w:id="0" w:name="LastJudge"/>
            <w:r w:rsidRPr="00903C2F">
              <w:rPr>
                <w:rFonts w:ascii="Tahoma" w:hAnsi="Tahoma"/>
                <w:b/>
                <w:bCs/>
                <w:color w:val="000080"/>
                <w:sz w:val="32"/>
                <w:szCs w:val="32"/>
                <w:rtl/>
              </w:rPr>
              <w:t>בית המשפט המחוזי בתל אביב -יפו</w:t>
            </w:r>
          </w:p>
        </w:tc>
      </w:tr>
      <w:tr w:rsidR="002F767A" w:rsidRPr="00903C2F" w:rsidTr="00A95F8B">
        <w:trPr>
          <w:trHeight w:val="337"/>
          <w:jc w:val="center"/>
        </w:trPr>
        <w:tc>
          <w:tcPr>
            <w:tcW w:w="5131" w:type="dxa"/>
          </w:tcPr>
          <w:p w:rsidR="002F767A" w:rsidRPr="00903C2F" w:rsidRDefault="002F767A" w:rsidP="00A95F8B">
            <w:pPr>
              <w:rPr>
                <w:rFonts w:ascii="David" w:hAnsi="David"/>
                <w:b/>
                <w:bCs/>
                <w:sz w:val="26"/>
                <w:szCs w:val="26"/>
                <w:rtl/>
              </w:rPr>
            </w:pPr>
            <w:r w:rsidRPr="00903C2F">
              <w:rPr>
                <w:rFonts w:ascii="David" w:hAnsi="David"/>
                <w:b/>
                <w:bCs/>
                <w:sz w:val="26"/>
                <w:szCs w:val="26"/>
                <w:rtl/>
              </w:rPr>
              <w:t>ת"פ 53625-07-22 מדינת ישראל נ' בוגרד</w:t>
            </w:r>
          </w:p>
          <w:p w:rsidR="002F767A" w:rsidRPr="00903C2F" w:rsidRDefault="002F767A" w:rsidP="00A95F8B">
            <w:pPr>
              <w:pStyle w:val="Header"/>
              <w:rPr>
                <w:rFonts w:ascii="David" w:hAnsi="David"/>
                <w:b/>
                <w:bCs/>
                <w:sz w:val="28"/>
                <w:szCs w:val="28"/>
                <w:rtl/>
              </w:rPr>
            </w:pPr>
          </w:p>
        </w:tc>
        <w:tc>
          <w:tcPr>
            <w:tcW w:w="3730" w:type="dxa"/>
          </w:tcPr>
          <w:p w:rsidR="002F767A" w:rsidRPr="00903C2F" w:rsidRDefault="002F767A" w:rsidP="00A95F8B">
            <w:pPr>
              <w:pStyle w:val="Header"/>
              <w:jc w:val="right"/>
              <w:rPr>
                <w:rFonts w:ascii="David" w:hAnsi="David"/>
                <w:b/>
                <w:bCs/>
                <w:sz w:val="28"/>
                <w:szCs w:val="28"/>
                <w:rtl/>
              </w:rPr>
            </w:pPr>
            <w:r w:rsidRPr="00903C2F">
              <w:rPr>
                <w:rFonts w:ascii="David" w:hAnsi="David"/>
                <w:b/>
                <w:bCs/>
                <w:sz w:val="28"/>
                <w:szCs w:val="28"/>
                <w:rtl/>
              </w:rPr>
              <w:t>3 יולי 2024</w:t>
            </w:r>
          </w:p>
        </w:tc>
      </w:tr>
    </w:tbl>
    <w:p w:rsidR="002F767A" w:rsidRPr="00903C2F" w:rsidRDefault="002F767A" w:rsidP="002F767A">
      <w:pPr>
        <w:pStyle w:val="Header"/>
        <w:rPr>
          <w:rtl/>
        </w:rPr>
      </w:pPr>
      <w:r w:rsidRPr="00903C2F">
        <w:rPr>
          <w:rFonts w:hint="cs"/>
          <w:rtl/>
        </w:rPr>
        <w:t xml:space="preserve"> </w:t>
      </w:r>
    </w:p>
    <w:p w:rsidR="002F767A" w:rsidRPr="00903C2F" w:rsidRDefault="002F767A" w:rsidP="002F767A">
      <w:pPr>
        <w:rPr>
          <w:rtl/>
        </w:rPr>
      </w:pPr>
    </w:p>
    <w:p w:rsidR="002F767A" w:rsidRPr="00903C2F" w:rsidRDefault="002F767A" w:rsidP="002F767A">
      <w:pPr>
        <w:rPr>
          <w:rtl/>
        </w:rPr>
      </w:pPr>
    </w:p>
    <w:tbl>
      <w:tblPr>
        <w:bidiVisual/>
        <w:tblW w:w="8223" w:type="dxa"/>
        <w:tblInd w:w="551" w:type="dxa"/>
        <w:tblLook w:val="01E0" w:firstRow="1" w:lastRow="1" w:firstColumn="1" w:lastColumn="1" w:noHBand="0" w:noVBand="0"/>
      </w:tblPr>
      <w:tblGrid>
        <w:gridCol w:w="2301"/>
        <w:gridCol w:w="5866"/>
        <w:gridCol w:w="56"/>
      </w:tblGrid>
      <w:tr w:rsidR="002F767A" w:rsidRPr="00903C2F" w:rsidTr="002F767A">
        <w:trPr>
          <w:gridAfter w:val="1"/>
          <w:wAfter w:w="56" w:type="dxa"/>
        </w:trPr>
        <w:tc>
          <w:tcPr>
            <w:tcW w:w="8167" w:type="dxa"/>
            <w:gridSpan w:val="2"/>
            <w:shd w:val="clear" w:color="auto" w:fill="auto"/>
          </w:tcPr>
          <w:p w:rsidR="002F767A" w:rsidRPr="00903C2F" w:rsidRDefault="002F767A" w:rsidP="002F767A">
            <w:pPr>
              <w:spacing w:line="360" w:lineRule="auto"/>
              <w:jc w:val="both"/>
              <w:rPr>
                <w:b/>
                <w:bCs/>
                <w:rtl/>
              </w:rPr>
            </w:pPr>
            <w:r w:rsidRPr="00903C2F">
              <w:rPr>
                <w:rFonts w:hint="cs"/>
                <w:b/>
                <w:bCs/>
                <w:rtl/>
              </w:rPr>
              <w:t>בפני כב' השופט שמואל מלמד</w:t>
            </w:r>
          </w:p>
          <w:p w:rsidR="002F767A" w:rsidRPr="00903C2F" w:rsidRDefault="002F767A" w:rsidP="002F767A">
            <w:pPr>
              <w:jc w:val="right"/>
              <w:rPr>
                <w:b/>
                <w:bCs/>
                <w:sz w:val="26"/>
                <w:szCs w:val="26"/>
                <w:rtl/>
              </w:rPr>
            </w:pPr>
          </w:p>
        </w:tc>
      </w:tr>
      <w:tr w:rsidR="002F767A" w:rsidRPr="00903C2F" w:rsidTr="002F767A">
        <w:trPr>
          <w:cantSplit/>
          <w:trHeight w:val="724"/>
        </w:trPr>
        <w:tc>
          <w:tcPr>
            <w:tcW w:w="2301" w:type="dxa"/>
            <w:shd w:val="clear" w:color="auto" w:fill="auto"/>
          </w:tcPr>
          <w:p w:rsidR="002F767A" w:rsidRPr="00903C2F" w:rsidRDefault="002F767A" w:rsidP="002F767A">
            <w:pPr>
              <w:ind w:left="26"/>
              <w:jc w:val="right"/>
              <w:rPr>
                <w:b/>
                <w:bCs/>
                <w:sz w:val="26"/>
                <w:szCs w:val="26"/>
                <w:rtl/>
              </w:rPr>
            </w:pPr>
            <w:bookmarkStart w:id="1" w:name="FirstAppellant"/>
            <w:bookmarkStart w:id="2" w:name="FirstLawyer"/>
          </w:p>
          <w:p w:rsidR="002F767A" w:rsidRPr="00903C2F" w:rsidRDefault="002F767A" w:rsidP="002F767A">
            <w:pPr>
              <w:ind w:left="26"/>
              <w:rPr>
                <w:b/>
                <w:bCs/>
                <w:sz w:val="26"/>
                <w:szCs w:val="26"/>
                <w:rtl/>
              </w:rPr>
            </w:pPr>
            <w:r w:rsidRPr="00903C2F">
              <w:rPr>
                <w:rFonts w:hint="cs"/>
                <w:b/>
                <w:bCs/>
                <w:sz w:val="26"/>
                <w:szCs w:val="26"/>
                <w:rtl/>
              </w:rPr>
              <w:t>המאשימה</w:t>
            </w:r>
          </w:p>
        </w:tc>
        <w:tc>
          <w:tcPr>
            <w:tcW w:w="5922" w:type="dxa"/>
            <w:gridSpan w:val="2"/>
            <w:shd w:val="clear" w:color="auto" w:fill="auto"/>
          </w:tcPr>
          <w:p w:rsidR="002F767A" w:rsidRPr="00903C2F" w:rsidRDefault="002F767A" w:rsidP="002F767A">
            <w:pPr>
              <w:jc w:val="right"/>
              <w:rPr>
                <w:sz w:val="26"/>
                <w:szCs w:val="26"/>
                <w:rtl/>
              </w:rPr>
            </w:pPr>
          </w:p>
          <w:p w:rsidR="002F767A" w:rsidRPr="00903C2F" w:rsidRDefault="002F767A" w:rsidP="002F767A">
            <w:pPr>
              <w:spacing w:line="360" w:lineRule="auto"/>
              <w:rPr>
                <w:sz w:val="26"/>
                <w:szCs w:val="26"/>
                <w:rtl/>
              </w:rPr>
            </w:pPr>
            <w:r w:rsidRPr="00903C2F">
              <w:rPr>
                <w:rFonts w:hint="cs"/>
                <w:sz w:val="26"/>
                <w:szCs w:val="26"/>
                <w:rtl/>
              </w:rPr>
              <w:t xml:space="preserve"> </w:t>
            </w:r>
            <w:r w:rsidRPr="00903C2F">
              <w:rPr>
                <w:rFonts w:hint="cs"/>
                <w:b/>
                <w:bCs/>
                <w:sz w:val="26"/>
                <w:szCs w:val="26"/>
                <w:rtl/>
              </w:rPr>
              <w:t>מדינת ישראל</w:t>
            </w:r>
          </w:p>
          <w:p w:rsidR="002F767A" w:rsidRPr="00903C2F" w:rsidRDefault="002F767A" w:rsidP="002F767A">
            <w:pPr>
              <w:spacing w:line="360" w:lineRule="auto"/>
              <w:rPr>
                <w:sz w:val="26"/>
                <w:szCs w:val="26"/>
                <w:rtl/>
              </w:rPr>
            </w:pPr>
            <w:r w:rsidRPr="00903C2F">
              <w:rPr>
                <w:rFonts w:hint="cs"/>
                <w:sz w:val="26"/>
                <w:szCs w:val="26"/>
                <w:rtl/>
              </w:rPr>
              <w:t>על-ידי ב"כ עו"ד לילך כץ</w:t>
            </w:r>
          </w:p>
        </w:tc>
      </w:tr>
      <w:bookmarkEnd w:id="1"/>
      <w:bookmarkEnd w:id="2"/>
      <w:tr w:rsidR="002F767A" w:rsidRPr="00903C2F" w:rsidTr="002F767A">
        <w:tc>
          <w:tcPr>
            <w:tcW w:w="8223" w:type="dxa"/>
            <w:gridSpan w:val="3"/>
            <w:shd w:val="clear" w:color="auto" w:fill="auto"/>
            <w:vAlign w:val="center"/>
          </w:tcPr>
          <w:p w:rsidR="002F767A" w:rsidRPr="00903C2F" w:rsidRDefault="002F767A" w:rsidP="002F767A">
            <w:pPr>
              <w:jc w:val="center"/>
              <w:rPr>
                <w:rFonts w:ascii="Arial" w:hAnsi="Arial"/>
                <w:b/>
                <w:bCs/>
                <w:sz w:val="26"/>
                <w:szCs w:val="26"/>
                <w:rtl/>
              </w:rPr>
            </w:pPr>
          </w:p>
          <w:p w:rsidR="002F767A" w:rsidRPr="00903C2F" w:rsidRDefault="002F767A" w:rsidP="002F767A">
            <w:pPr>
              <w:jc w:val="center"/>
              <w:rPr>
                <w:rFonts w:ascii="Arial" w:hAnsi="Arial"/>
                <w:b/>
                <w:bCs/>
                <w:sz w:val="26"/>
                <w:szCs w:val="26"/>
                <w:rtl/>
              </w:rPr>
            </w:pPr>
            <w:r w:rsidRPr="00903C2F">
              <w:rPr>
                <w:rFonts w:ascii="Arial" w:hAnsi="Arial" w:hint="cs"/>
                <w:b/>
                <w:bCs/>
                <w:sz w:val="26"/>
                <w:szCs w:val="26"/>
                <w:rtl/>
              </w:rPr>
              <w:t>נגד</w:t>
            </w:r>
          </w:p>
          <w:p w:rsidR="002F767A" w:rsidRPr="00903C2F" w:rsidRDefault="002F767A" w:rsidP="002F767A">
            <w:pPr>
              <w:jc w:val="right"/>
              <w:rPr>
                <w:rFonts w:ascii="Arial" w:hAnsi="Arial"/>
                <w:b/>
                <w:bCs/>
                <w:sz w:val="26"/>
                <w:szCs w:val="26"/>
                <w:rtl/>
              </w:rPr>
            </w:pPr>
          </w:p>
        </w:tc>
      </w:tr>
      <w:tr w:rsidR="002F767A" w:rsidRPr="00903C2F" w:rsidTr="002F767A">
        <w:trPr>
          <w:trHeight w:val="537"/>
        </w:trPr>
        <w:tc>
          <w:tcPr>
            <w:tcW w:w="2301" w:type="dxa"/>
            <w:shd w:val="clear" w:color="auto" w:fill="auto"/>
          </w:tcPr>
          <w:p w:rsidR="002F767A" w:rsidRPr="00903C2F" w:rsidRDefault="002F767A" w:rsidP="002F767A">
            <w:pPr>
              <w:ind w:left="26"/>
              <w:rPr>
                <w:b/>
                <w:bCs/>
                <w:sz w:val="26"/>
                <w:szCs w:val="26"/>
                <w:rtl/>
              </w:rPr>
            </w:pPr>
            <w:r w:rsidRPr="00903C2F">
              <w:rPr>
                <w:rFonts w:hint="cs"/>
                <w:b/>
                <w:bCs/>
                <w:sz w:val="26"/>
                <w:szCs w:val="26"/>
                <w:rtl/>
              </w:rPr>
              <w:t>הנאשם</w:t>
            </w:r>
          </w:p>
        </w:tc>
        <w:tc>
          <w:tcPr>
            <w:tcW w:w="5922" w:type="dxa"/>
            <w:gridSpan w:val="2"/>
            <w:shd w:val="clear" w:color="auto" w:fill="auto"/>
          </w:tcPr>
          <w:p w:rsidR="002F767A" w:rsidRPr="00903C2F" w:rsidRDefault="002F767A" w:rsidP="002F767A">
            <w:pPr>
              <w:spacing w:line="360" w:lineRule="auto"/>
              <w:rPr>
                <w:b/>
                <w:bCs/>
                <w:sz w:val="26"/>
                <w:szCs w:val="26"/>
                <w:rtl/>
              </w:rPr>
            </w:pPr>
            <w:r w:rsidRPr="00903C2F">
              <w:rPr>
                <w:rFonts w:hint="cs"/>
                <w:b/>
                <w:bCs/>
                <w:sz w:val="26"/>
                <w:szCs w:val="26"/>
                <w:rtl/>
              </w:rPr>
              <w:t xml:space="preserve">יוסף בוגרד ת"ז  </w:t>
            </w:r>
            <w:r w:rsidR="00903C2F">
              <w:rPr>
                <w:b/>
                <w:bCs/>
                <w:sz w:val="26"/>
                <w:szCs w:val="26"/>
              </w:rPr>
              <w:t>xxxxxxxxxx</w:t>
            </w:r>
          </w:p>
          <w:p w:rsidR="002F767A" w:rsidRPr="00903C2F" w:rsidRDefault="002F767A" w:rsidP="002F767A">
            <w:pPr>
              <w:spacing w:line="360" w:lineRule="auto"/>
              <w:rPr>
                <w:sz w:val="26"/>
                <w:szCs w:val="26"/>
                <w:rtl/>
              </w:rPr>
            </w:pPr>
            <w:r w:rsidRPr="00903C2F">
              <w:rPr>
                <w:rFonts w:hint="cs"/>
                <w:sz w:val="26"/>
                <w:szCs w:val="26"/>
                <w:rtl/>
              </w:rPr>
              <w:t>על-ידי ב"כ עו"ד איתי כהן ועו"ד שלמה חדד</w:t>
            </w:r>
          </w:p>
        </w:tc>
      </w:tr>
    </w:tbl>
    <w:p w:rsidR="002F767A" w:rsidRPr="00903C2F" w:rsidRDefault="002F767A" w:rsidP="002F767A">
      <w:pPr>
        <w:rPr>
          <w:rtl/>
        </w:rPr>
      </w:pPr>
    </w:p>
    <w:p w:rsidR="00C845C3" w:rsidRPr="00C845C3" w:rsidRDefault="00C845C3" w:rsidP="00C845C3">
      <w:pPr>
        <w:spacing w:before="120" w:after="120" w:line="240" w:lineRule="exact"/>
        <w:ind w:left="283" w:hanging="283"/>
        <w:jc w:val="both"/>
        <w:rPr>
          <w:rFonts w:ascii="FrankRuehl" w:hAnsi="FrankRuehl" w:cs="FrankRuehl"/>
          <w:rtl/>
        </w:rPr>
      </w:pPr>
      <w:bookmarkStart w:id="3" w:name="LawTable"/>
      <w:bookmarkEnd w:id="3"/>
      <w:r w:rsidRPr="00C845C3">
        <w:rPr>
          <w:rFonts w:ascii="FrankRuehl" w:hAnsi="FrankRuehl" w:cs="FrankRuehl"/>
          <w:rtl/>
        </w:rPr>
        <w:t xml:space="preserve">חקיקה שאוזכרה: </w:t>
      </w:r>
    </w:p>
    <w:p w:rsidR="00C845C3" w:rsidRPr="00C845C3" w:rsidRDefault="00C845C3" w:rsidP="00C845C3">
      <w:pPr>
        <w:spacing w:before="120" w:after="120" w:line="240" w:lineRule="exact"/>
        <w:ind w:left="283" w:hanging="283"/>
        <w:jc w:val="both"/>
        <w:rPr>
          <w:rFonts w:ascii="FrankRuehl" w:hAnsi="FrankRuehl" w:cs="FrankRuehl"/>
          <w:color w:val="0000FF"/>
          <w:rtl/>
        </w:rPr>
      </w:pPr>
      <w:hyperlink r:id="rId7" w:history="1">
        <w:r w:rsidRPr="00C845C3">
          <w:rPr>
            <w:rStyle w:val="Hyperlink"/>
            <w:rFonts w:ascii="FrankRuehl" w:hAnsi="FrankRuehl" w:cs="FrankRuehl"/>
            <w:u w:val="none"/>
            <w:rtl/>
          </w:rPr>
          <w:t>פקודת הסמים המסוכנים [נוסח חדש], תשל"ג-1973</w:t>
        </w:r>
      </w:hyperlink>
      <w:r w:rsidRPr="00C845C3">
        <w:rPr>
          <w:rFonts w:ascii="FrankRuehl" w:hAnsi="FrankRuehl" w:cs="FrankRuehl"/>
          <w:color w:val="0000FF"/>
          <w:rtl/>
        </w:rPr>
        <w:t xml:space="preserve">: סע'  </w:t>
      </w:r>
      <w:hyperlink r:id="rId8" w:history="1">
        <w:r w:rsidRPr="00C845C3">
          <w:rPr>
            <w:rStyle w:val="Hyperlink"/>
            <w:rFonts w:ascii="FrankRuehl" w:hAnsi="FrankRuehl" w:cs="FrankRuehl"/>
            <w:u w:val="none"/>
          </w:rPr>
          <w:t>6</w:t>
        </w:r>
      </w:hyperlink>
      <w:r w:rsidRPr="00C845C3">
        <w:rPr>
          <w:rFonts w:ascii="FrankRuehl" w:hAnsi="FrankRuehl" w:cs="FrankRuehl"/>
          <w:color w:val="0000FF"/>
          <w:rtl/>
        </w:rPr>
        <w:t xml:space="preserve">, </w:t>
      </w:r>
      <w:hyperlink r:id="rId9" w:history="1">
        <w:r w:rsidRPr="00C845C3">
          <w:rPr>
            <w:rStyle w:val="Hyperlink"/>
            <w:rFonts w:ascii="FrankRuehl" w:hAnsi="FrankRuehl" w:cs="FrankRuehl"/>
            <w:u w:val="none"/>
          </w:rPr>
          <w:t>7.</w:t>
        </w:r>
        <w:r w:rsidRPr="00C845C3">
          <w:rPr>
            <w:rStyle w:val="Hyperlink"/>
            <w:rFonts w:ascii="FrankRuehl" w:hAnsi="FrankRuehl" w:cs="FrankRuehl"/>
            <w:u w:val="none"/>
            <w:rtl/>
          </w:rPr>
          <w:t>א</w:t>
        </w:r>
        <w:r w:rsidRPr="00C845C3">
          <w:rPr>
            <w:rStyle w:val="Hyperlink"/>
            <w:rFonts w:ascii="FrankRuehl" w:hAnsi="FrankRuehl" w:cs="FrankRuehl"/>
            <w:u w:val="none"/>
          </w:rPr>
          <w:t>.</w:t>
        </w:r>
      </w:hyperlink>
      <w:r w:rsidRPr="00C845C3">
        <w:rPr>
          <w:rFonts w:ascii="FrankRuehl" w:hAnsi="FrankRuehl" w:cs="FrankRuehl"/>
          <w:color w:val="0000FF"/>
          <w:rtl/>
        </w:rPr>
        <w:t xml:space="preserve">, </w:t>
      </w:r>
      <w:hyperlink r:id="rId10" w:history="1">
        <w:r w:rsidRPr="00C845C3">
          <w:rPr>
            <w:rStyle w:val="Hyperlink"/>
            <w:rFonts w:ascii="FrankRuehl" w:hAnsi="FrankRuehl" w:cs="FrankRuehl"/>
            <w:u w:val="none"/>
          </w:rPr>
          <w:t>7.</w:t>
        </w:r>
        <w:r w:rsidRPr="00C845C3">
          <w:rPr>
            <w:rStyle w:val="Hyperlink"/>
            <w:rFonts w:ascii="FrankRuehl" w:hAnsi="FrankRuehl" w:cs="FrankRuehl"/>
            <w:u w:val="none"/>
            <w:rtl/>
          </w:rPr>
          <w:t>ג</w:t>
        </w:r>
      </w:hyperlink>
      <w:r w:rsidRPr="00C845C3">
        <w:rPr>
          <w:rFonts w:ascii="FrankRuehl" w:hAnsi="FrankRuehl" w:cs="FrankRuehl"/>
          <w:color w:val="0000FF"/>
          <w:rtl/>
        </w:rPr>
        <w:t xml:space="preserve">, </w:t>
      </w:r>
      <w:hyperlink r:id="rId11" w:history="1">
        <w:r w:rsidRPr="00C845C3">
          <w:rPr>
            <w:rStyle w:val="Hyperlink"/>
            <w:rFonts w:ascii="FrankRuehl" w:hAnsi="FrankRuehl" w:cs="FrankRuehl"/>
            <w:u w:val="none"/>
          </w:rPr>
          <w:t>10</w:t>
        </w:r>
      </w:hyperlink>
    </w:p>
    <w:p w:rsidR="00C845C3" w:rsidRPr="00C845C3" w:rsidRDefault="00C845C3" w:rsidP="00C845C3">
      <w:pPr>
        <w:spacing w:before="120" w:after="120" w:line="240" w:lineRule="exact"/>
        <w:ind w:left="283" w:hanging="283"/>
        <w:jc w:val="both"/>
        <w:rPr>
          <w:rFonts w:ascii="FrankRuehl" w:hAnsi="FrankRuehl" w:cs="FrankRuehl"/>
          <w:color w:val="0000FF"/>
          <w:rtl/>
        </w:rPr>
      </w:pPr>
      <w:hyperlink r:id="rId12" w:history="1">
        <w:r w:rsidRPr="00C845C3">
          <w:rPr>
            <w:rStyle w:val="Hyperlink"/>
            <w:rFonts w:ascii="FrankRuehl" w:hAnsi="FrankRuehl" w:cs="FrankRuehl"/>
            <w:u w:val="none"/>
            <w:rtl/>
          </w:rPr>
          <w:t>חוק העונשין, תשל"ז-1977</w:t>
        </w:r>
      </w:hyperlink>
      <w:r w:rsidRPr="00C845C3">
        <w:rPr>
          <w:rFonts w:ascii="FrankRuehl" w:hAnsi="FrankRuehl" w:cs="FrankRuehl"/>
          <w:color w:val="0000FF"/>
          <w:rtl/>
        </w:rPr>
        <w:t xml:space="preserve">: סע'  </w:t>
      </w:r>
      <w:hyperlink r:id="rId13" w:history="1">
        <w:r w:rsidRPr="00C845C3">
          <w:rPr>
            <w:rStyle w:val="Hyperlink"/>
            <w:rFonts w:ascii="FrankRuehl" w:hAnsi="FrankRuehl" w:cs="FrankRuehl"/>
            <w:u w:val="none"/>
          </w:rPr>
          <w:t>40</w:t>
        </w:r>
      </w:hyperlink>
      <w:r w:rsidRPr="00C845C3">
        <w:rPr>
          <w:rFonts w:ascii="FrankRuehl" w:hAnsi="FrankRuehl" w:cs="FrankRuehl"/>
          <w:color w:val="0000FF"/>
          <w:rtl/>
        </w:rPr>
        <w:t xml:space="preserve">(ד), </w:t>
      </w:r>
      <w:hyperlink r:id="rId14" w:history="1">
        <w:r w:rsidRPr="00C845C3">
          <w:rPr>
            <w:rStyle w:val="Hyperlink"/>
            <w:rFonts w:ascii="FrankRuehl" w:hAnsi="FrankRuehl" w:cs="FrankRuehl"/>
            <w:u w:val="none"/>
          </w:rPr>
          <w:t xml:space="preserve">40 </w:t>
        </w:r>
        <w:r w:rsidRPr="00C845C3">
          <w:rPr>
            <w:rStyle w:val="Hyperlink"/>
            <w:rFonts w:ascii="FrankRuehl" w:hAnsi="FrankRuehl" w:cs="FrankRuehl"/>
            <w:u w:val="none"/>
            <w:rtl/>
          </w:rPr>
          <w:t>ג</w:t>
        </w:r>
      </w:hyperlink>
      <w:r w:rsidRPr="00C845C3">
        <w:rPr>
          <w:rFonts w:ascii="FrankRuehl" w:hAnsi="FrankRuehl" w:cs="FrankRuehl"/>
          <w:color w:val="0000FF"/>
          <w:rtl/>
        </w:rPr>
        <w:t xml:space="preserve">(א), </w:t>
      </w:r>
      <w:hyperlink r:id="rId15" w:history="1">
        <w:r w:rsidRPr="00C845C3">
          <w:rPr>
            <w:rStyle w:val="Hyperlink"/>
            <w:rFonts w:ascii="FrankRuehl" w:hAnsi="FrankRuehl" w:cs="FrankRuehl"/>
            <w:u w:val="none"/>
          </w:rPr>
          <w:t>400</w:t>
        </w:r>
      </w:hyperlink>
    </w:p>
    <w:p w:rsidR="00903C2F" w:rsidRPr="00C845C3" w:rsidRDefault="00903C2F" w:rsidP="00C845C3">
      <w:pPr>
        <w:jc w:val="center"/>
        <w:rPr>
          <w:sz w:val="30"/>
          <w:szCs w:val="30"/>
          <w:rtl/>
        </w:rPr>
      </w:pPr>
      <w:bookmarkStart w:id="4" w:name="LawTable_End"/>
      <w:bookmarkEnd w:id="4"/>
    </w:p>
    <w:p w:rsidR="00903C2F" w:rsidRPr="00903C2F" w:rsidRDefault="00903C2F" w:rsidP="00903C2F">
      <w:pPr>
        <w:jc w:val="center"/>
        <w:rPr>
          <w:b/>
          <w:bCs/>
          <w:sz w:val="30"/>
          <w:szCs w:val="30"/>
          <w:u w:val="single"/>
          <w:rtl/>
        </w:rPr>
      </w:pPr>
      <w:bookmarkStart w:id="5" w:name="PsakDin"/>
      <w:bookmarkEnd w:id="0"/>
      <w:r w:rsidRPr="00903C2F">
        <w:rPr>
          <w:b/>
          <w:bCs/>
          <w:sz w:val="30"/>
          <w:szCs w:val="30"/>
          <w:u w:val="single"/>
          <w:rtl/>
        </w:rPr>
        <w:t>גזר דין</w:t>
      </w:r>
    </w:p>
    <w:bookmarkEnd w:id="5"/>
    <w:p w:rsidR="002F767A" w:rsidRDefault="002F767A" w:rsidP="002F767A">
      <w:pPr>
        <w:rPr>
          <w:rtl/>
        </w:rPr>
      </w:pPr>
    </w:p>
    <w:p w:rsidR="002F767A" w:rsidRDefault="002F767A" w:rsidP="002F767A">
      <w:pPr>
        <w:rPr>
          <w:rtl/>
        </w:rPr>
      </w:pPr>
    </w:p>
    <w:p w:rsidR="002F767A" w:rsidRDefault="002F767A" w:rsidP="002F767A">
      <w:pPr>
        <w:spacing w:line="360" w:lineRule="auto"/>
        <w:ind w:left="720" w:hanging="720"/>
        <w:jc w:val="both"/>
        <w:rPr>
          <w:sz w:val="20"/>
          <w:rtl/>
          <w:lang w:eastAsia="he-IL"/>
        </w:rPr>
      </w:pPr>
      <w:r>
        <w:rPr>
          <w:rFonts w:hint="cs"/>
          <w:rtl/>
        </w:rPr>
        <w:t>1.</w:t>
      </w:r>
      <w:r>
        <w:rPr>
          <w:rtl/>
        </w:rPr>
        <w:tab/>
      </w:r>
      <w:bookmarkStart w:id="6" w:name="ABSTRACT_START"/>
      <w:bookmarkEnd w:id="6"/>
      <w:r w:rsidRPr="00DB3859">
        <w:rPr>
          <w:rFonts w:ascii="Arial" w:hAnsi="Arial"/>
          <w:rtl/>
        </w:rPr>
        <w:t xml:space="preserve">ביום </w:t>
      </w:r>
      <w:r w:rsidRPr="00DB3859">
        <w:rPr>
          <w:rFonts w:ascii="Arial" w:hAnsi="Arial" w:hint="cs"/>
          <w:rtl/>
        </w:rPr>
        <w:t>27.11.22</w:t>
      </w:r>
      <w:r w:rsidRPr="00DB3859">
        <w:rPr>
          <w:rFonts w:ascii="Arial" w:hAnsi="Arial"/>
          <w:rtl/>
        </w:rPr>
        <w:t xml:space="preserve"> הגיעו הצדדים להסדר</w:t>
      </w:r>
      <w:r w:rsidRPr="00DB3859">
        <w:rPr>
          <w:rFonts w:ascii="Arial" w:hAnsi="Arial" w:hint="cs"/>
          <w:rtl/>
        </w:rPr>
        <w:t xml:space="preserve"> לפני כבוד השופט שגיא</w:t>
      </w:r>
      <w:r w:rsidRPr="00DB3859">
        <w:rPr>
          <w:rFonts w:ascii="Arial" w:hAnsi="Arial"/>
          <w:rtl/>
        </w:rPr>
        <w:t xml:space="preserve"> לפיו, הנאש</w:t>
      </w:r>
      <w:r w:rsidRPr="00DB3859">
        <w:rPr>
          <w:rFonts w:ascii="Arial" w:hAnsi="Arial" w:hint="cs"/>
          <w:rtl/>
        </w:rPr>
        <w:t>ם</w:t>
      </w:r>
      <w:r w:rsidRPr="00DB3859">
        <w:rPr>
          <w:rFonts w:ascii="Arial" w:hAnsi="Arial"/>
          <w:rtl/>
        </w:rPr>
        <w:t xml:space="preserve"> הוד</w:t>
      </w:r>
      <w:r w:rsidRPr="00DB3859">
        <w:rPr>
          <w:rFonts w:ascii="Arial" w:hAnsi="Arial" w:hint="cs"/>
          <w:rtl/>
        </w:rPr>
        <w:t>ה</w:t>
      </w:r>
      <w:r w:rsidRPr="00DB3859">
        <w:rPr>
          <w:rFonts w:ascii="Arial" w:hAnsi="Arial"/>
          <w:rtl/>
        </w:rPr>
        <w:t xml:space="preserve"> והורשע בעובדות כתב האישום, </w:t>
      </w:r>
      <w:r w:rsidRPr="00DB3859">
        <w:rPr>
          <w:rFonts w:ascii="Arial" w:hAnsi="Arial" w:hint="cs"/>
          <w:rtl/>
        </w:rPr>
        <w:t>כשאין הסדר בין הצדדים לעניין העונש</w:t>
      </w:r>
      <w:r>
        <w:rPr>
          <w:rFonts w:hint="cs"/>
          <w:sz w:val="20"/>
          <w:rtl/>
          <w:lang w:eastAsia="he-IL"/>
        </w:rPr>
        <w:t>.</w:t>
      </w:r>
    </w:p>
    <w:p w:rsidR="002F767A" w:rsidRDefault="002F767A" w:rsidP="002F767A">
      <w:pPr>
        <w:ind w:left="720" w:hanging="720"/>
        <w:jc w:val="both"/>
        <w:rPr>
          <w:sz w:val="20"/>
          <w:rtl/>
          <w:lang w:eastAsia="he-IL"/>
        </w:rPr>
      </w:pPr>
      <w:bookmarkStart w:id="7" w:name="ABSTRACT_END"/>
      <w:bookmarkEnd w:id="7"/>
    </w:p>
    <w:p w:rsidR="002F767A" w:rsidRPr="00DB3859" w:rsidRDefault="002F767A" w:rsidP="002F767A">
      <w:pPr>
        <w:spacing w:line="360" w:lineRule="auto"/>
        <w:ind w:left="720" w:hanging="720"/>
        <w:jc w:val="both"/>
        <w:rPr>
          <w:sz w:val="20"/>
          <w:rtl/>
          <w:lang w:eastAsia="he-IL"/>
        </w:rPr>
      </w:pPr>
      <w:r>
        <w:rPr>
          <w:rFonts w:hint="cs"/>
          <w:sz w:val="20"/>
          <w:rtl/>
          <w:lang w:eastAsia="he-IL"/>
        </w:rPr>
        <w:t>2.</w:t>
      </w:r>
      <w:r>
        <w:rPr>
          <w:rFonts w:hint="cs"/>
          <w:sz w:val="20"/>
          <w:rtl/>
          <w:lang w:eastAsia="he-IL"/>
        </w:rPr>
        <w:tab/>
      </w:r>
      <w:r w:rsidRPr="00DB3859">
        <w:rPr>
          <w:sz w:val="20"/>
          <w:rtl/>
          <w:lang w:eastAsia="he-IL"/>
        </w:rPr>
        <w:t>נוכח הודאת</w:t>
      </w:r>
      <w:r w:rsidRPr="00DB3859">
        <w:rPr>
          <w:rFonts w:hint="cs"/>
          <w:sz w:val="20"/>
          <w:rtl/>
          <w:lang w:eastAsia="he-IL"/>
        </w:rPr>
        <w:t>ו של הנאשם</w:t>
      </w:r>
      <w:r w:rsidRPr="00DB3859">
        <w:rPr>
          <w:sz w:val="20"/>
          <w:rtl/>
          <w:lang w:eastAsia="he-IL"/>
        </w:rPr>
        <w:t xml:space="preserve"> </w:t>
      </w:r>
      <w:r w:rsidRPr="00DB3859">
        <w:rPr>
          <w:rFonts w:hint="cs"/>
          <w:sz w:val="20"/>
          <w:rtl/>
          <w:lang w:eastAsia="he-IL"/>
        </w:rPr>
        <w:t>הורשע</w:t>
      </w:r>
      <w:r w:rsidRPr="00DB3859">
        <w:rPr>
          <w:sz w:val="20"/>
          <w:rtl/>
          <w:lang w:eastAsia="he-IL"/>
        </w:rPr>
        <w:t xml:space="preserve"> במיוחס ל</w:t>
      </w:r>
      <w:r w:rsidRPr="00DB3859">
        <w:rPr>
          <w:rFonts w:hint="cs"/>
          <w:sz w:val="20"/>
          <w:rtl/>
          <w:lang w:eastAsia="he-IL"/>
        </w:rPr>
        <w:t>ו</w:t>
      </w:r>
      <w:r w:rsidRPr="00DB3859">
        <w:rPr>
          <w:sz w:val="20"/>
          <w:rtl/>
          <w:lang w:eastAsia="he-IL"/>
        </w:rPr>
        <w:t xml:space="preserve"> בכתב האישום המתוקן בעביר</w:t>
      </w:r>
      <w:r w:rsidRPr="00DB3859">
        <w:rPr>
          <w:rFonts w:hint="cs"/>
          <w:sz w:val="20"/>
          <w:rtl/>
          <w:lang w:eastAsia="he-IL"/>
        </w:rPr>
        <w:t>ות הבאות:</w:t>
      </w:r>
    </w:p>
    <w:p w:rsidR="002F767A" w:rsidRDefault="002F767A" w:rsidP="002F767A">
      <w:pPr>
        <w:snapToGrid w:val="0"/>
        <w:jc w:val="both"/>
        <w:rPr>
          <w:sz w:val="20"/>
          <w:rtl/>
          <w:lang w:eastAsia="he-IL"/>
        </w:rPr>
      </w:pPr>
    </w:p>
    <w:p w:rsidR="002F767A" w:rsidRDefault="002F767A" w:rsidP="002F767A">
      <w:pPr>
        <w:snapToGrid w:val="0"/>
        <w:spacing w:line="360" w:lineRule="auto"/>
        <w:ind w:left="720"/>
        <w:jc w:val="both"/>
        <w:rPr>
          <w:sz w:val="20"/>
          <w:rtl/>
          <w:lang w:eastAsia="he-IL"/>
        </w:rPr>
      </w:pPr>
      <w:r>
        <w:rPr>
          <w:rFonts w:hint="cs"/>
          <w:sz w:val="20"/>
          <w:rtl/>
          <w:lang w:eastAsia="he-IL"/>
        </w:rPr>
        <w:t>(א)</w:t>
      </w:r>
      <w:r>
        <w:rPr>
          <w:sz w:val="20"/>
          <w:rtl/>
          <w:lang w:eastAsia="he-IL"/>
        </w:rPr>
        <w:tab/>
      </w:r>
      <w:r w:rsidRPr="009D3C98">
        <w:rPr>
          <w:sz w:val="20"/>
          <w:rtl/>
          <w:lang w:eastAsia="he-IL"/>
        </w:rPr>
        <w:t xml:space="preserve">גידול, ייצור הפקה והכנת סמים מסוכנים, עבירה לפי </w:t>
      </w:r>
      <w:hyperlink r:id="rId16" w:history="1">
        <w:r w:rsidR="00C845C3" w:rsidRPr="00C845C3">
          <w:rPr>
            <w:rStyle w:val="Hyperlink"/>
            <w:color w:val="0000FF"/>
            <w:sz w:val="20"/>
            <w:rtl/>
            <w:lang w:eastAsia="he-IL"/>
          </w:rPr>
          <w:t>סעיף 6</w:t>
        </w:r>
      </w:hyperlink>
      <w:r w:rsidRPr="009D3C98">
        <w:rPr>
          <w:sz w:val="20"/>
          <w:rtl/>
          <w:lang w:eastAsia="he-IL"/>
        </w:rPr>
        <w:t xml:space="preserve"> ל</w:t>
      </w:r>
      <w:r w:rsidR="00C845C3" w:rsidRPr="00C845C3">
        <w:rPr>
          <w:sz w:val="20"/>
          <w:rtl/>
          <w:lang w:eastAsia="he-IL"/>
        </w:rPr>
        <w:t>פקודת הסמים</w:t>
      </w:r>
      <w:r w:rsidRPr="009D3C98">
        <w:rPr>
          <w:sz w:val="20"/>
          <w:rtl/>
          <w:lang w:eastAsia="he-IL"/>
        </w:rPr>
        <w:t>;</w:t>
      </w:r>
    </w:p>
    <w:p w:rsidR="002F767A" w:rsidRDefault="002F767A" w:rsidP="002F767A">
      <w:pPr>
        <w:snapToGrid w:val="0"/>
        <w:ind w:left="720"/>
        <w:jc w:val="both"/>
        <w:rPr>
          <w:sz w:val="20"/>
          <w:rtl/>
          <w:lang w:eastAsia="he-IL"/>
        </w:rPr>
      </w:pPr>
    </w:p>
    <w:p w:rsidR="002F767A" w:rsidRDefault="002F767A" w:rsidP="002F767A">
      <w:pPr>
        <w:snapToGrid w:val="0"/>
        <w:spacing w:line="360" w:lineRule="auto"/>
        <w:ind w:left="720"/>
        <w:jc w:val="both"/>
        <w:rPr>
          <w:sz w:val="20"/>
          <w:rtl/>
          <w:lang w:eastAsia="he-IL"/>
        </w:rPr>
      </w:pPr>
      <w:r>
        <w:rPr>
          <w:rFonts w:hint="cs"/>
          <w:sz w:val="20"/>
          <w:rtl/>
          <w:lang w:eastAsia="he-IL"/>
        </w:rPr>
        <w:t>(ב)</w:t>
      </w:r>
      <w:r>
        <w:rPr>
          <w:sz w:val="20"/>
          <w:rtl/>
          <w:lang w:eastAsia="he-IL"/>
        </w:rPr>
        <w:tab/>
      </w:r>
      <w:r w:rsidRPr="00DE0619">
        <w:rPr>
          <w:sz w:val="20"/>
          <w:rtl/>
          <w:lang w:eastAsia="he-IL"/>
        </w:rPr>
        <w:t xml:space="preserve">החזקת סם שלא לצריכה עצמית, עבירה לפי </w:t>
      </w:r>
      <w:hyperlink r:id="rId17" w:history="1">
        <w:r w:rsidR="00C845C3" w:rsidRPr="00C845C3">
          <w:rPr>
            <w:rStyle w:val="Hyperlink"/>
            <w:color w:val="0000FF"/>
            <w:sz w:val="20"/>
            <w:rtl/>
            <w:lang w:eastAsia="he-IL"/>
          </w:rPr>
          <w:t>סעיף 7(א)+(ג)</w:t>
        </w:r>
      </w:hyperlink>
      <w:r w:rsidRPr="00DE0619">
        <w:rPr>
          <w:sz w:val="20"/>
          <w:rtl/>
          <w:lang w:eastAsia="he-IL"/>
        </w:rPr>
        <w:t xml:space="preserve"> רישא לפקודת הסמים;</w:t>
      </w:r>
    </w:p>
    <w:p w:rsidR="002F767A" w:rsidRDefault="002F767A" w:rsidP="002F767A">
      <w:pPr>
        <w:snapToGrid w:val="0"/>
        <w:ind w:left="720"/>
        <w:jc w:val="both"/>
        <w:rPr>
          <w:sz w:val="20"/>
          <w:rtl/>
          <w:lang w:eastAsia="he-IL"/>
        </w:rPr>
      </w:pPr>
    </w:p>
    <w:p w:rsidR="002F767A" w:rsidRDefault="002F767A" w:rsidP="002F767A">
      <w:pPr>
        <w:snapToGrid w:val="0"/>
        <w:spacing w:line="360" w:lineRule="auto"/>
        <w:ind w:left="720"/>
        <w:jc w:val="both"/>
        <w:rPr>
          <w:sz w:val="20"/>
          <w:rtl/>
          <w:lang w:eastAsia="he-IL"/>
        </w:rPr>
      </w:pPr>
      <w:r>
        <w:rPr>
          <w:rFonts w:hint="cs"/>
          <w:sz w:val="20"/>
          <w:rtl/>
          <w:lang w:eastAsia="he-IL"/>
        </w:rPr>
        <w:t>(ג)</w:t>
      </w:r>
      <w:r>
        <w:rPr>
          <w:sz w:val="20"/>
          <w:rtl/>
          <w:lang w:eastAsia="he-IL"/>
        </w:rPr>
        <w:tab/>
      </w:r>
      <w:r>
        <w:rPr>
          <w:rFonts w:hint="cs"/>
          <w:sz w:val="20"/>
          <w:rtl/>
          <w:lang w:eastAsia="he-IL"/>
        </w:rPr>
        <w:t>ה</w:t>
      </w:r>
      <w:r w:rsidRPr="00DE0619">
        <w:rPr>
          <w:sz w:val="20"/>
          <w:rtl/>
          <w:lang w:eastAsia="he-IL"/>
        </w:rPr>
        <w:t xml:space="preserve">חזקת כלים המשמשים להכנת סם מסוכן, עבירה לפי </w:t>
      </w:r>
      <w:hyperlink r:id="rId18" w:history="1">
        <w:r w:rsidR="00C845C3" w:rsidRPr="00C845C3">
          <w:rPr>
            <w:rStyle w:val="Hyperlink"/>
            <w:color w:val="0000FF"/>
            <w:sz w:val="20"/>
            <w:rtl/>
            <w:lang w:eastAsia="he-IL"/>
          </w:rPr>
          <w:t>סעיף 10</w:t>
        </w:r>
      </w:hyperlink>
      <w:r w:rsidRPr="00DE0619">
        <w:rPr>
          <w:sz w:val="20"/>
          <w:rtl/>
          <w:lang w:eastAsia="he-IL"/>
        </w:rPr>
        <w:t xml:space="preserve"> רישא לפקודת הסמים;</w:t>
      </w:r>
    </w:p>
    <w:p w:rsidR="002F767A" w:rsidRDefault="002F767A" w:rsidP="002F767A">
      <w:pPr>
        <w:snapToGrid w:val="0"/>
        <w:ind w:left="720"/>
        <w:jc w:val="both"/>
        <w:rPr>
          <w:sz w:val="20"/>
          <w:rtl/>
          <w:lang w:eastAsia="he-IL"/>
        </w:rPr>
      </w:pPr>
    </w:p>
    <w:p w:rsidR="002F767A" w:rsidRDefault="002F767A" w:rsidP="002F767A">
      <w:pPr>
        <w:snapToGrid w:val="0"/>
        <w:spacing w:line="360" w:lineRule="auto"/>
        <w:ind w:left="720"/>
        <w:jc w:val="both"/>
        <w:rPr>
          <w:sz w:val="20"/>
          <w:rtl/>
          <w:lang w:eastAsia="he-IL"/>
        </w:rPr>
      </w:pPr>
      <w:r>
        <w:rPr>
          <w:rFonts w:hint="cs"/>
          <w:sz w:val="20"/>
          <w:rtl/>
          <w:lang w:eastAsia="he-IL"/>
        </w:rPr>
        <w:t>(ד)</w:t>
      </w:r>
      <w:r>
        <w:rPr>
          <w:sz w:val="20"/>
          <w:rtl/>
          <w:lang w:eastAsia="he-IL"/>
        </w:rPr>
        <w:tab/>
      </w:r>
      <w:r w:rsidRPr="00DE0619">
        <w:rPr>
          <w:sz w:val="20"/>
          <w:rtl/>
          <w:lang w:eastAsia="he-IL"/>
        </w:rPr>
        <w:t xml:space="preserve">נטילת חשמל שלא כדין, עבירה לפי </w:t>
      </w:r>
      <w:hyperlink r:id="rId19" w:history="1">
        <w:r w:rsidR="00C845C3" w:rsidRPr="00C845C3">
          <w:rPr>
            <w:rStyle w:val="Hyperlink"/>
            <w:color w:val="0000FF"/>
            <w:sz w:val="20"/>
            <w:rtl/>
            <w:lang w:eastAsia="he-IL"/>
          </w:rPr>
          <w:t>סעיף 400</w:t>
        </w:r>
      </w:hyperlink>
      <w:r w:rsidRPr="00DE0619">
        <w:rPr>
          <w:sz w:val="20"/>
          <w:rtl/>
          <w:lang w:eastAsia="he-IL"/>
        </w:rPr>
        <w:t xml:space="preserve"> ל</w:t>
      </w:r>
      <w:hyperlink r:id="rId20" w:history="1">
        <w:r w:rsidR="00903C2F" w:rsidRPr="00903C2F">
          <w:rPr>
            <w:color w:val="0000FF"/>
            <w:sz w:val="20"/>
            <w:u w:val="single"/>
            <w:rtl/>
            <w:lang w:eastAsia="he-IL"/>
          </w:rPr>
          <w:t>חוק העונשין</w:t>
        </w:r>
      </w:hyperlink>
      <w:r w:rsidRPr="00DE0619">
        <w:rPr>
          <w:sz w:val="20"/>
          <w:rtl/>
          <w:lang w:eastAsia="he-IL"/>
        </w:rPr>
        <w:t xml:space="preserve"> תשל"ז-1977.</w:t>
      </w:r>
    </w:p>
    <w:p w:rsidR="002F767A" w:rsidRDefault="002F767A" w:rsidP="002F767A">
      <w:pPr>
        <w:snapToGrid w:val="0"/>
        <w:spacing w:line="360" w:lineRule="auto"/>
        <w:jc w:val="both"/>
        <w:rPr>
          <w:sz w:val="20"/>
          <w:rtl/>
          <w:lang w:eastAsia="he-IL"/>
        </w:rPr>
      </w:pPr>
    </w:p>
    <w:p w:rsidR="002F767A" w:rsidRDefault="002F767A" w:rsidP="002F767A">
      <w:pPr>
        <w:snapToGrid w:val="0"/>
        <w:spacing w:line="360" w:lineRule="auto"/>
        <w:ind w:left="720" w:hanging="720"/>
        <w:jc w:val="both"/>
        <w:rPr>
          <w:rtl/>
        </w:rPr>
      </w:pPr>
      <w:r>
        <w:rPr>
          <w:rFonts w:hint="cs"/>
          <w:sz w:val="20"/>
          <w:rtl/>
          <w:lang w:eastAsia="he-IL"/>
        </w:rPr>
        <w:t>3.</w:t>
      </w:r>
      <w:r>
        <w:rPr>
          <w:rFonts w:hint="cs"/>
          <w:sz w:val="20"/>
          <w:rtl/>
          <w:lang w:eastAsia="he-IL"/>
        </w:rPr>
        <w:tab/>
      </w:r>
      <w:r w:rsidRPr="00504CC5">
        <w:rPr>
          <w:sz w:val="20"/>
          <w:rtl/>
          <w:lang w:eastAsia="he-IL"/>
        </w:rPr>
        <w:t>על פי עובדות כתב האישום</w:t>
      </w:r>
      <w:r w:rsidRPr="00504CC5">
        <w:rPr>
          <w:rFonts w:hint="cs"/>
          <w:sz w:val="20"/>
          <w:rtl/>
          <w:lang w:eastAsia="he-IL"/>
        </w:rPr>
        <w:t xml:space="preserve"> </w:t>
      </w:r>
      <w:r w:rsidRPr="00DB3859">
        <w:rPr>
          <w:rtl/>
        </w:rPr>
        <w:t>הנאשם הינו בעלים במשותף עם אשתו – שולמית בוגרד - ושלמה זלמן כהן של דירת הגג, שברחוב הרב כהנמן 124 בבני ברק (להלן: "הדירה"), מזה כשנה וחצי, ומתגורר בדירה ביחד עם אשתו ושני ילדיו.</w:t>
      </w:r>
    </w:p>
    <w:p w:rsidR="002F767A" w:rsidRDefault="002F767A" w:rsidP="002F767A">
      <w:pPr>
        <w:spacing w:line="360" w:lineRule="auto"/>
        <w:ind w:left="720"/>
        <w:jc w:val="both"/>
        <w:rPr>
          <w:rtl/>
        </w:rPr>
      </w:pPr>
      <w:r w:rsidRPr="00560BB3">
        <w:rPr>
          <w:rtl/>
        </w:rPr>
        <w:t>עובר ליום 18.7.22 בתאריך, שאינו ידוע במדויק למאשימה, הקים הנאשם בדירה מעבדה לגידול והפקת סם מסוכן מסוג קנבוס (להלן: "המעבדה"). הנאשם</w:t>
      </w:r>
      <w:r>
        <w:rPr>
          <w:rtl/>
        </w:rPr>
        <w:t xml:space="preserve"> צייד את המעבדה בציוד כדלקמן: 47 מנורות, 5 </w:t>
      </w:r>
      <w:r>
        <w:rPr>
          <w:rtl/>
        </w:rPr>
        <w:lastRenderedPageBreak/>
        <w:t>מזגנים, 2 מזגנים מרכזיים, 5 מזגנים ניידים, 15 מאווררים, 47 מנורות ושנאים, מפוח, משאבת מים ונורות חימום, וגידל שתילים של סם מסוכן מסוג קנבוס.</w:t>
      </w:r>
    </w:p>
    <w:p w:rsidR="002F767A" w:rsidRDefault="002F767A" w:rsidP="002F767A">
      <w:pPr>
        <w:spacing w:line="360" w:lineRule="auto"/>
        <w:ind w:left="720"/>
        <w:jc w:val="both"/>
        <w:rPr>
          <w:b/>
          <w:bCs/>
          <w:rtl/>
        </w:rPr>
      </w:pPr>
      <w:r>
        <w:rPr>
          <w:rtl/>
        </w:rPr>
        <w:t>לצורך הפעלת מעבדת הסמים נטל הנאשם במזיד ובמרמה חשמל שאינו זכאי לו, השתמש בו וגרם להטייתו ולבזבוז.</w:t>
      </w:r>
    </w:p>
    <w:p w:rsidR="002F767A" w:rsidRPr="00504CC5" w:rsidRDefault="002F767A" w:rsidP="002F767A">
      <w:pPr>
        <w:spacing w:line="360" w:lineRule="auto"/>
        <w:ind w:left="720"/>
        <w:jc w:val="both"/>
        <w:rPr>
          <w:b/>
          <w:bCs/>
          <w:rtl/>
        </w:rPr>
      </w:pPr>
      <w:r w:rsidRPr="00560BB3">
        <w:rPr>
          <w:rtl/>
        </w:rPr>
        <w:t xml:space="preserve">בתאריך 18.7.2022 שעה 14:20 הנאשם גידל והפיק במעבדה בדירה כ- 347 שתילים של סם מסוכן מסוג קנבוס, במשקל כולל של </w:t>
      </w:r>
      <w:r>
        <w:rPr>
          <w:rFonts w:hint="cs"/>
          <w:rtl/>
        </w:rPr>
        <w:t>52</w:t>
      </w:r>
      <w:r w:rsidRPr="00560BB3">
        <w:rPr>
          <w:rtl/>
        </w:rPr>
        <w:t xml:space="preserve"> ק"ג נטו, שלא לצריכתו העצמית, לא היתר וללא רישיון מאת המנהל.</w:t>
      </w:r>
    </w:p>
    <w:p w:rsidR="002F767A" w:rsidRPr="00560BB3" w:rsidRDefault="002F767A" w:rsidP="002F767A">
      <w:pPr>
        <w:spacing w:line="360" w:lineRule="auto"/>
        <w:ind w:left="720"/>
        <w:jc w:val="both"/>
      </w:pPr>
      <w:r w:rsidRPr="00560BB3">
        <w:rPr>
          <w:rtl/>
        </w:rPr>
        <w:t>במעשיו</w:t>
      </w:r>
      <w:r w:rsidRPr="00560BB3">
        <w:rPr>
          <w:rFonts w:ascii="Arial" w:hAnsi="Arial"/>
          <w:rtl/>
        </w:rPr>
        <w:t xml:space="preserve"> המתוארים לעיל החזיק, גידל, ייצר, הפיק והכין הנאשם סם מסוכן מסוג קנבוס, שלא לצריכתו העצמית וללא רישיון מאת המנהל, החזיק ברשותו כלים להכנת סמים מסוכנים שלא בהיתר, ונטל הנאשם חשמל שלא כדין.</w:t>
      </w:r>
    </w:p>
    <w:p w:rsidR="002F767A" w:rsidRPr="00560BB3" w:rsidRDefault="002F767A" w:rsidP="002F767A">
      <w:pPr>
        <w:spacing w:line="360" w:lineRule="auto"/>
        <w:rPr>
          <w:rtl/>
        </w:rPr>
      </w:pPr>
    </w:p>
    <w:p w:rsidR="002F767A" w:rsidRDefault="002F767A" w:rsidP="002F767A">
      <w:pPr>
        <w:spacing w:line="360" w:lineRule="auto"/>
        <w:ind w:left="720" w:hanging="720"/>
        <w:jc w:val="both"/>
        <w:rPr>
          <w:rtl/>
        </w:rPr>
      </w:pPr>
      <w:r>
        <w:rPr>
          <w:rFonts w:hint="cs"/>
          <w:rtl/>
        </w:rPr>
        <w:t>4.</w:t>
      </w:r>
      <w:r>
        <w:rPr>
          <w:rtl/>
        </w:rPr>
        <w:tab/>
      </w:r>
      <w:r>
        <w:rPr>
          <w:rFonts w:hint="cs"/>
          <w:rtl/>
        </w:rPr>
        <w:t xml:space="preserve">ב"כ המאשימה טענה בדיון מיום 30/5/24 כי למקרא התסקירים וכן עדות עדי האופי עולה לעמדתה כי אין מקום לחריגה ממתחם העונש הראוי ולקבל את המלצת שרות מבחן. ב"כ  המאשימה סיכמה את ההליך שהנאשם עבר וציינה כי </w:t>
      </w:r>
      <w:r>
        <w:rPr>
          <w:rtl/>
        </w:rPr>
        <w:t xml:space="preserve">לא כל טיפול פירושו חריגה משמעותית מהמתחם. </w:t>
      </w:r>
      <w:r>
        <w:rPr>
          <w:rFonts w:hint="cs"/>
          <w:rtl/>
        </w:rPr>
        <w:t>בעניין הזה הפנתה למספר פסקי דין.</w:t>
      </w:r>
      <w:r>
        <w:rPr>
          <w:rtl/>
        </w:rPr>
        <w:t xml:space="preserve"> </w:t>
      </w:r>
    </w:p>
    <w:p w:rsidR="002F767A" w:rsidRDefault="002F767A" w:rsidP="002F767A">
      <w:pPr>
        <w:spacing w:line="360" w:lineRule="auto"/>
        <w:ind w:left="720"/>
        <w:jc w:val="both"/>
        <w:rPr>
          <w:rtl/>
        </w:rPr>
      </w:pPr>
      <w:r>
        <w:rPr>
          <w:rFonts w:hint="cs"/>
          <w:rtl/>
        </w:rPr>
        <w:t xml:space="preserve">ב"כ המאשימה טענה </w:t>
      </w:r>
      <w:r>
        <w:rPr>
          <w:rtl/>
        </w:rPr>
        <w:t xml:space="preserve">לעניין כתב האישום </w:t>
      </w:r>
      <w:r>
        <w:rPr>
          <w:rFonts w:hint="cs"/>
          <w:rtl/>
        </w:rPr>
        <w:t>כי מדובר</w:t>
      </w:r>
      <w:r>
        <w:rPr>
          <w:rtl/>
        </w:rPr>
        <w:t xml:space="preserve"> </w:t>
      </w:r>
      <w:r>
        <w:rPr>
          <w:rFonts w:hint="cs"/>
          <w:rtl/>
        </w:rPr>
        <w:t>ב</w:t>
      </w:r>
      <w:r>
        <w:rPr>
          <w:rtl/>
        </w:rPr>
        <w:t xml:space="preserve">תעוזה, מעבדה שהנאשם הקים בדירת מגוריו, שם ילדיו גרים, שם מקיים חיי משפחה, ומצייד אותה בציוד יקר ערך. </w:t>
      </w:r>
      <w:r>
        <w:rPr>
          <w:rFonts w:hint="cs"/>
          <w:rtl/>
        </w:rPr>
        <w:t xml:space="preserve">ציינה כי היה </w:t>
      </w:r>
      <w:r>
        <w:rPr>
          <w:rtl/>
        </w:rPr>
        <w:t xml:space="preserve"> מס' לא מבוטל של מזגנים עם ציוד שנדרש למעבדה, כולל עבירה של גניבת חשמל, </w:t>
      </w:r>
      <w:r>
        <w:rPr>
          <w:rFonts w:hint="cs"/>
          <w:rtl/>
        </w:rPr>
        <w:t xml:space="preserve">ומדובר </w:t>
      </w:r>
      <w:r>
        <w:rPr>
          <w:rtl/>
        </w:rPr>
        <w:t xml:space="preserve">על 347 שתילים ו- 52 ק"ג נטו של סם מסוג קנאביס. </w:t>
      </w:r>
    </w:p>
    <w:p w:rsidR="002F767A" w:rsidRDefault="002F767A" w:rsidP="002F767A">
      <w:pPr>
        <w:spacing w:line="360" w:lineRule="auto"/>
        <w:ind w:left="720"/>
        <w:jc w:val="both"/>
        <w:rPr>
          <w:rtl/>
        </w:rPr>
      </w:pPr>
      <w:r>
        <w:rPr>
          <w:rFonts w:hint="cs"/>
          <w:rtl/>
        </w:rPr>
        <w:t xml:space="preserve">הגישה ב"כ המאשימה </w:t>
      </w:r>
      <w:r>
        <w:rPr>
          <w:rtl/>
        </w:rPr>
        <w:t xml:space="preserve">אסופת פסיקה לעניין המתחם. </w:t>
      </w:r>
      <w:r>
        <w:rPr>
          <w:rFonts w:hint="cs"/>
          <w:rtl/>
        </w:rPr>
        <w:t xml:space="preserve">וציינה כי המדינה עותרת </w:t>
      </w:r>
      <w:r>
        <w:rPr>
          <w:rtl/>
        </w:rPr>
        <w:t>למתחם הנע בין 30 חודשי מאסר ל- 60 חודשי מאסר.</w:t>
      </w:r>
    </w:p>
    <w:p w:rsidR="002F767A" w:rsidRDefault="002F767A" w:rsidP="002F767A">
      <w:pPr>
        <w:spacing w:line="360" w:lineRule="auto"/>
        <w:ind w:left="720"/>
        <w:jc w:val="both"/>
        <w:rPr>
          <w:rtl/>
        </w:rPr>
      </w:pPr>
      <w:r>
        <w:rPr>
          <w:rFonts w:hint="cs"/>
          <w:rtl/>
        </w:rPr>
        <w:t xml:space="preserve">ב"כ המאשימה טענה כי </w:t>
      </w:r>
      <w:r>
        <w:rPr>
          <w:rtl/>
        </w:rPr>
        <w:t xml:space="preserve">בשים לב לכתב האישום, העובדה שמדובר במעבדה, גניבת חשמל בנוסף לעבירת הסמים. </w:t>
      </w:r>
      <w:r>
        <w:rPr>
          <w:rFonts w:hint="cs"/>
          <w:rtl/>
        </w:rPr>
        <w:t xml:space="preserve">על </w:t>
      </w:r>
      <w:r>
        <w:rPr>
          <w:rtl/>
        </w:rPr>
        <w:t xml:space="preserve">בית המשפט לבחון לא רק את אינטרס השיקום, שהוא היחיד מבין מכלול האינטרסים, </w:t>
      </w:r>
      <w:r>
        <w:rPr>
          <w:rFonts w:hint="cs"/>
          <w:rtl/>
        </w:rPr>
        <w:t xml:space="preserve">אלא בית המשפט מונחה לבחון את </w:t>
      </w:r>
      <w:r>
        <w:rPr>
          <w:rtl/>
        </w:rPr>
        <w:t xml:space="preserve">עקרון ההלימה. </w:t>
      </w:r>
      <w:r>
        <w:rPr>
          <w:rFonts w:hint="cs"/>
          <w:rtl/>
        </w:rPr>
        <w:t>עתרה</w:t>
      </w:r>
      <w:r>
        <w:rPr>
          <w:rtl/>
        </w:rPr>
        <w:t xml:space="preserve"> למקם את הנאשם ברף התחתון של המתחם, בדגש על כך שהוא נעדר עבר פלילי בצירוף מאסר על-תנאי, קנס, וחילוט הציוד.</w:t>
      </w:r>
    </w:p>
    <w:p w:rsidR="002F767A" w:rsidRDefault="002F767A" w:rsidP="002F767A">
      <w:pPr>
        <w:spacing w:line="360" w:lineRule="auto"/>
      </w:pPr>
    </w:p>
    <w:p w:rsidR="002F767A" w:rsidRDefault="002F767A" w:rsidP="002F767A">
      <w:pPr>
        <w:spacing w:line="360" w:lineRule="auto"/>
        <w:ind w:left="720" w:hanging="720"/>
        <w:jc w:val="both"/>
        <w:rPr>
          <w:rtl/>
        </w:rPr>
      </w:pPr>
      <w:r>
        <w:rPr>
          <w:rFonts w:hint="cs"/>
          <w:rtl/>
        </w:rPr>
        <w:t>5.</w:t>
      </w:r>
      <w:r>
        <w:rPr>
          <w:rtl/>
        </w:rPr>
        <w:tab/>
      </w:r>
      <w:r>
        <w:rPr>
          <w:rFonts w:hint="cs"/>
          <w:rtl/>
        </w:rPr>
        <w:t xml:space="preserve">ב"כ נאשם טען בדיון לפניי כי מדברי ב"כ המאשימה לאדם נורמטיבי אין שיקולי שיקום, אלא הוא צריך ללכת לכלא, להיחשף לעברייניים שונים. טען ב"כ הנאשם כי ביום 30.5.23 התקיים דיון בפני כב' השופט בני שגיא, בהחלטתו צוין כי המלצת שרות המבחן הייתה מוקדמת ביחס לעומקו של ההליך הטיפולי שעבר הנאשם עד כה, יש צורך בהעמקת הליכי השיקום. על כן בית המשפט הורה לשרות המבחן לעקוב אחר התקדמות הנאשם בהליך הטיפולי. טען כי ביום 4.1.24 התקיים דיון נוסף, נכתב בהחלטה כי התסקיר כלל המלצה לריצוי מאסר בעבודות שירות, המשקפת כברת דרך משמעותית המחייבת סטייה ממתחמי הענישה. ב"כ הנאשם טען כי גם כב' השופט שגיא היה ערך לכברת הדרך השיקומית שעובר הנאשם. טען ב"כ הנאשם כי מדובר בנאשם בן 30, נשוי, אב לשני ילדים, אשתו בהריון בחודש שמיני, אחד מילדיו אובחן עם בעיות קשב וריכוז, אובחן על הרצף האוטיסטי. ציין כי הילד קשור לנאשם. הנאשם נעדר עבר פלילי קודם. שבמהלך ההליך, פתח עסק לאפיית מצות וכי העסק רובו ככולו תלוי בנאשם. ב"כ הנאשם טען כי  העסק מעסיק מס' רב של עובדים  ובמידה ויוטל על הנאשם עונש מאסר, יפוטרו כאשר גם שמשפחתו של הנאשם חיה מהעסק הזה. כשהנאשם המפרנס היחיד בבית. </w:t>
      </w:r>
    </w:p>
    <w:p w:rsidR="002F767A" w:rsidRDefault="002F767A" w:rsidP="002F767A">
      <w:pPr>
        <w:spacing w:line="360" w:lineRule="auto"/>
        <w:ind w:left="720"/>
        <w:jc w:val="both"/>
        <w:rPr>
          <w:rtl/>
        </w:rPr>
      </w:pPr>
      <w:r>
        <w:rPr>
          <w:rFonts w:hint="cs"/>
          <w:rtl/>
        </w:rPr>
        <w:lastRenderedPageBreak/>
        <w:t xml:space="preserve">ב"כ הנאשם טען אודות העולה מהתסקיר וציין כי כיום הנאשם לא נמצא עם אותם גורמים שוליים. הנאשם לקח אחריות וכבר בהליך החקירות הודה. הגיע להסכם תשלום חובות עם חב' החשמל. </w:t>
      </w:r>
    </w:p>
    <w:p w:rsidR="002F767A" w:rsidRDefault="002F767A" w:rsidP="002F767A">
      <w:pPr>
        <w:spacing w:line="360" w:lineRule="auto"/>
        <w:ind w:left="720"/>
        <w:jc w:val="both"/>
        <w:rPr>
          <w:rtl/>
        </w:rPr>
      </w:pPr>
      <w:r>
        <w:rPr>
          <w:rFonts w:hint="cs"/>
          <w:rtl/>
        </w:rPr>
        <w:t xml:space="preserve">ב"כ הנאשם טען כי כל עדי האופי שהעידו השינוי העמוק שחל בנאשם מרגע יציאתו מהמעצר דרך שרות המבחן והליכי הטיפול בשרות המבחן. ב"כ הנאשם טען לעניין תיקון 113, בנסיבות הקשורות בביצוע העבירה, לטענתו העבירות נעברו על-ידי הנאשם בשל חששו מפגיעה בו ולחצים יומיומיים שקיבל מאנשים שוליים. ציין כי בדירה לא נתפסו משקלים ושקיות המוכנות להפצה. הגיש אסופת פסיקה וטען כי  המתחם מלמד על בין מאסר ועל בדרך של עבודות שירות ועד 18 חודשי מאסר בפועל. </w:t>
      </w:r>
    </w:p>
    <w:p w:rsidR="002F767A" w:rsidRDefault="002F767A" w:rsidP="002F767A">
      <w:pPr>
        <w:spacing w:line="360" w:lineRule="auto"/>
        <w:ind w:left="720"/>
        <w:jc w:val="both"/>
        <w:rPr>
          <w:rtl/>
        </w:rPr>
      </w:pPr>
      <w:r>
        <w:rPr>
          <w:rFonts w:hint="cs"/>
          <w:rtl/>
        </w:rPr>
        <w:t xml:space="preserve">ב"כ הנאשם ביקש מבית המשפט לחרוג ממתחם העונש ההולם בשל שיקולי שיקום, כעולה </w:t>
      </w:r>
      <w:hyperlink r:id="rId21" w:history="1">
        <w:r w:rsidR="00C845C3" w:rsidRPr="00C845C3">
          <w:rPr>
            <w:rStyle w:val="Hyperlink"/>
            <w:rFonts w:hint="eastAsia"/>
            <w:color w:val="0000FF"/>
            <w:rtl/>
          </w:rPr>
          <w:t>מסעיף</w:t>
        </w:r>
        <w:r w:rsidR="00C845C3" w:rsidRPr="00C845C3">
          <w:rPr>
            <w:rStyle w:val="Hyperlink"/>
            <w:color w:val="0000FF"/>
            <w:rtl/>
          </w:rPr>
          <w:t xml:space="preserve"> 40(ד)</w:t>
        </w:r>
      </w:hyperlink>
      <w:r>
        <w:rPr>
          <w:rFonts w:hint="cs"/>
          <w:rtl/>
        </w:rPr>
        <w:t xml:space="preserve"> ל</w:t>
      </w:r>
      <w:hyperlink r:id="rId22" w:history="1">
        <w:r w:rsidR="00903C2F" w:rsidRPr="00903C2F">
          <w:rPr>
            <w:color w:val="0000FF"/>
            <w:u w:val="single"/>
            <w:rtl/>
          </w:rPr>
          <w:t>חוק העונשין</w:t>
        </w:r>
      </w:hyperlink>
      <w:r>
        <w:rPr>
          <w:rFonts w:hint="cs"/>
          <w:rtl/>
        </w:rPr>
        <w:t>. טען כי מדובר בהליך שיקומי אינטנסיבי של פרק זמן, של מעל שנה וחצי, תוך הבעת נכונות מלאה לתהליך השיקום ורכישת כלים ומיומנויות לשתף את הקרובים אליו בקשיים אותם הוא עובר. ב"כ הנאשם ציין כי הנאשם עבר כברת דרך אשר עתידה להימשך אף לאחר גזר הדין, כל זאת במידה ובית המשפט יורה על צו מבחן, ועונש מאסר בדרך של עבודות שירות.</w:t>
      </w:r>
    </w:p>
    <w:p w:rsidR="002F767A" w:rsidRDefault="002F767A" w:rsidP="002F767A">
      <w:pPr>
        <w:spacing w:line="360" w:lineRule="auto"/>
        <w:ind w:left="720"/>
        <w:jc w:val="both"/>
        <w:rPr>
          <w:rtl/>
        </w:rPr>
      </w:pPr>
      <w:r>
        <w:rPr>
          <w:rFonts w:hint="cs"/>
          <w:rtl/>
        </w:rPr>
        <w:t xml:space="preserve">ב"כ הנאשם חזר ואמר כי הנאשם הבין את הפסול במעשיו, הביע חרטה אמיתית וכנה. הנאשם לא נמצא במקום בו היה. טען כי בשים לב למורכבות המשפחתית עם מצבו של בנו וכן אשתו ההרה ביקש </w:t>
      </w:r>
      <w:r>
        <w:rPr>
          <w:rtl/>
        </w:rPr>
        <w:t>מבית המשפט להטיל על הנאשם עונש של 6 חודשי מאסר לריצוי בדרך של עבודות שירות וצו מבחן, כהמלצת שרות המבחן</w:t>
      </w:r>
      <w:r>
        <w:rPr>
          <w:rFonts w:hint="cs"/>
          <w:rtl/>
        </w:rPr>
        <w:t>.</w:t>
      </w:r>
    </w:p>
    <w:p w:rsidR="002F767A" w:rsidRDefault="002F767A" w:rsidP="002F767A">
      <w:pPr>
        <w:spacing w:line="360" w:lineRule="auto"/>
      </w:pPr>
    </w:p>
    <w:p w:rsidR="002F767A" w:rsidRDefault="002F767A" w:rsidP="002F767A">
      <w:pPr>
        <w:spacing w:line="360" w:lineRule="auto"/>
        <w:ind w:left="720" w:hanging="720"/>
        <w:jc w:val="both"/>
        <w:rPr>
          <w:rtl/>
        </w:rPr>
      </w:pPr>
      <w:r>
        <w:rPr>
          <w:rFonts w:hint="cs"/>
          <w:rtl/>
        </w:rPr>
        <w:t>6.</w:t>
      </w:r>
      <w:r>
        <w:rPr>
          <w:rtl/>
        </w:rPr>
        <w:tab/>
      </w:r>
      <w:r>
        <w:rPr>
          <w:rFonts w:hint="cs"/>
          <w:rtl/>
        </w:rPr>
        <w:t xml:space="preserve">הנאשם בדיון לפניי מסר כי היה </w:t>
      </w:r>
      <w:r>
        <w:rPr>
          <w:rtl/>
        </w:rPr>
        <w:t>בן אדם אחר עד שנכנס</w:t>
      </w:r>
      <w:r w:rsidRPr="00AF3BB8">
        <w:rPr>
          <w:rtl/>
        </w:rPr>
        <w:t xml:space="preserve"> למעצר</w:t>
      </w:r>
      <w:r>
        <w:rPr>
          <w:rFonts w:hint="cs"/>
          <w:rtl/>
        </w:rPr>
        <w:t xml:space="preserve">. מסר כי השתנה </w:t>
      </w:r>
      <w:r w:rsidRPr="00AF3BB8">
        <w:rPr>
          <w:rtl/>
        </w:rPr>
        <w:t xml:space="preserve">לחלוטין. </w:t>
      </w:r>
      <w:r>
        <w:rPr>
          <w:rFonts w:hint="cs"/>
          <w:rtl/>
        </w:rPr>
        <w:t>ציין כי עבר</w:t>
      </w:r>
      <w:r w:rsidRPr="00AF3BB8">
        <w:rPr>
          <w:rtl/>
        </w:rPr>
        <w:t xml:space="preserve"> שיעור לכל החיים, </w:t>
      </w:r>
      <w:r>
        <w:rPr>
          <w:rFonts w:hint="cs"/>
          <w:rtl/>
        </w:rPr>
        <w:t>הבין</w:t>
      </w:r>
      <w:r w:rsidRPr="00AF3BB8">
        <w:rPr>
          <w:rtl/>
        </w:rPr>
        <w:t xml:space="preserve"> את הערך של המשפחה, של הילדים. </w:t>
      </w:r>
      <w:r>
        <w:rPr>
          <w:rFonts w:hint="cs"/>
          <w:rtl/>
        </w:rPr>
        <w:t>ה</w:t>
      </w:r>
      <w:r w:rsidRPr="00AF3BB8">
        <w:rPr>
          <w:rtl/>
        </w:rPr>
        <w:t>חל לראות דברים בצורה הרבה יותר מחושבת ושקולה.</w:t>
      </w:r>
    </w:p>
    <w:p w:rsidR="002F767A" w:rsidRDefault="002F767A" w:rsidP="002F767A">
      <w:pPr>
        <w:spacing w:line="360" w:lineRule="auto"/>
      </w:pPr>
    </w:p>
    <w:p w:rsidR="002F767A" w:rsidRDefault="002F767A" w:rsidP="002F767A">
      <w:pPr>
        <w:spacing w:line="360" w:lineRule="auto"/>
        <w:ind w:left="720" w:hanging="720"/>
        <w:jc w:val="both"/>
        <w:rPr>
          <w:rtl/>
        </w:rPr>
      </w:pPr>
      <w:r>
        <w:rPr>
          <w:rFonts w:hint="cs"/>
          <w:rtl/>
        </w:rPr>
        <w:t>7.</w:t>
      </w:r>
      <w:r>
        <w:rPr>
          <w:rtl/>
        </w:rPr>
        <w:tab/>
      </w:r>
      <w:r>
        <w:rPr>
          <w:rFonts w:hint="cs"/>
          <w:rtl/>
        </w:rPr>
        <w:t xml:space="preserve">בעניינו של הנאשם התקבל תסקיר שרות מבחן למבוגרים מיום 17.5.23 לפיו </w:t>
      </w:r>
      <w:r>
        <w:rPr>
          <w:rFonts w:hint="cs"/>
        </w:rPr>
        <w:t xml:space="preserve"> </w:t>
      </w:r>
      <w:r>
        <w:rPr>
          <w:rFonts w:hint="cs"/>
          <w:rtl/>
        </w:rPr>
        <w:t xml:space="preserve">הנאשם כבן 29 המנהל אורח חיים חרדי, נשוי ואב לשני קטינים. שיתף את שרות מבחן כי מגיל צעיר סבל מבעיות קשב וריכוז וסיים 13 שנ"ל במסגרות דתיות, יצא לשוק העבודה ובהמשך קיבל פטור משרות צבאי. עבד לאורך השנים ולאחרונה פתח עסק עצמאי. </w:t>
      </w:r>
    </w:p>
    <w:p w:rsidR="002F767A" w:rsidRDefault="002F767A" w:rsidP="002F767A">
      <w:pPr>
        <w:spacing w:line="360" w:lineRule="auto"/>
        <w:ind w:left="720"/>
        <w:jc w:val="both"/>
        <w:rPr>
          <w:rtl/>
        </w:rPr>
      </w:pPr>
      <w:r>
        <w:rPr>
          <w:rFonts w:hint="cs"/>
          <w:rtl/>
        </w:rPr>
        <w:t>הנאשם שיתף את שרות מבחן אודות מצבו המשפחתי וכן היות בנו הצעיר בשלבי אבחון לגבי מוגבלותו בשל בעיות התפתחות. שרות מבחן ציין כי אין לנאשם הרשעות קודמות. בהתייחסותו לעבירה הנוכחית הוא לקח אחריות, ביטא צער וחרטה בגינם לצד הכרה בחומרתם. תיאר את הרקע למעשיו, מעורבות בהימורים שהחלה כנער בישיבה. שיתף כי חיפש פתרונות ומתחרט שלא פנה למשפחתו לקבל סיוע והסתיר את מעשיו והתנהלותו מפני אשתו ובני משפחת מוצאו. הנאשם מסר כי כיום אינו נמצא בקשר עם גורמים שוליים, אינו חייב כספים, שיתף את הקשיים שחווה בעת מעצרו. הדגיש כי כיום פועל לשיקום מצבו באמצעות טיפול.</w:t>
      </w:r>
    </w:p>
    <w:p w:rsidR="002F767A" w:rsidRPr="0021535C" w:rsidRDefault="002F767A" w:rsidP="002F767A">
      <w:pPr>
        <w:spacing w:line="360" w:lineRule="auto"/>
        <w:ind w:left="720"/>
        <w:jc w:val="both"/>
        <w:rPr>
          <w:rtl/>
        </w:rPr>
      </w:pPr>
      <w:r>
        <w:rPr>
          <w:rFonts w:hint="cs"/>
          <w:rtl/>
        </w:rPr>
        <w:t>שרות מבחן מציין כי הנאשם נרתם מההליך הטיפולי, מקפיד להגיע למפגשים פרטניים ומשתתף בקבוצה. נערך לנאשם הערכת סיכון לעבריינות וסיכויי לשיקום ממנו עולה כי שרות מבחן מתרשם כי הנאשם אינו מאופיין בדפוסי חשיבה שוליים מושרשים ולו כוחות ויכולת, לצד מוטיבציה לנהל אורח חיים תקין. חשוב שהנאשם ימשיך בהליך על מנת להפחית סיכון מצדו. שרות מבחן ציין כי בשקלול כל הנתונים מדובר במעורבות ראשונה ויחידה שעליה לקח אחריות וניכרים מאמציו לשינוי. לפיכך שרות מבחן ממליץ על הטלת צו מבחן למשך שנה, במסגרתו ימשיך בהליך הטיפול והשיקום. המליצו להשית עליו ענישה קונקרטית של מאסר בעבודות שרות, אשר יחדד את חומרת העבירה ומאידך יאפשר המשך ההליך הטיפולי והשיקומי, הטלת מע"ת.</w:t>
      </w:r>
    </w:p>
    <w:p w:rsidR="002F767A" w:rsidRDefault="002F767A" w:rsidP="002F767A">
      <w:pPr>
        <w:spacing w:line="360" w:lineRule="auto"/>
        <w:rPr>
          <w:rtl/>
        </w:rPr>
      </w:pPr>
    </w:p>
    <w:p w:rsidR="002F767A" w:rsidRDefault="002F767A" w:rsidP="002F767A">
      <w:pPr>
        <w:spacing w:line="360" w:lineRule="auto"/>
        <w:ind w:left="720" w:hanging="720"/>
        <w:jc w:val="both"/>
        <w:rPr>
          <w:rtl/>
        </w:rPr>
      </w:pPr>
      <w:r>
        <w:rPr>
          <w:rFonts w:hint="cs"/>
          <w:rtl/>
        </w:rPr>
        <w:t>8.</w:t>
      </w:r>
      <w:r>
        <w:rPr>
          <w:rtl/>
        </w:rPr>
        <w:tab/>
      </w:r>
      <w:r>
        <w:rPr>
          <w:rFonts w:hint="cs"/>
          <w:rtl/>
        </w:rPr>
        <w:t>בעניינו של הנאשם התקבל תסקיר שרות מבחן למבוגרים מיום 27.11.23 לפיו עולה כי הנאשם השתלב בקבוצה ייעודית, דווח כי הנאשם נמצא בשלב ראשוני אך הביע מוטיבציה. ועולה מהתסקיר כי התחזקה התרשמות שרות מבחן ממאמציו של הנאשם לעריכת שינוי משמעותי וחיובי. במהלך הדחיה לא נפתחו לנאשם תיקים נוספים. לפיכך שרות מבחן חזר על המלצתו לאמץ את הפן הטיפולי השיקומי ולהעמיד את הנאשם בצו מבחן למשך שנה וכן הטלת עבודות שרות.</w:t>
      </w:r>
    </w:p>
    <w:p w:rsidR="002F767A" w:rsidRDefault="002F767A" w:rsidP="002F767A">
      <w:pPr>
        <w:spacing w:line="360" w:lineRule="auto"/>
        <w:rPr>
          <w:rtl/>
        </w:rPr>
      </w:pPr>
    </w:p>
    <w:p w:rsidR="002F767A" w:rsidRPr="00B05847" w:rsidRDefault="002F767A" w:rsidP="002F767A">
      <w:pPr>
        <w:spacing w:line="360" w:lineRule="auto"/>
        <w:rPr>
          <w:rtl/>
        </w:rPr>
      </w:pPr>
    </w:p>
    <w:p w:rsidR="002F767A" w:rsidRDefault="002F767A" w:rsidP="002F767A">
      <w:pPr>
        <w:spacing w:line="360" w:lineRule="auto"/>
        <w:ind w:left="720" w:hanging="720"/>
        <w:jc w:val="both"/>
        <w:rPr>
          <w:rtl/>
        </w:rPr>
      </w:pPr>
      <w:r>
        <w:rPr>
          <w:rFonts w:hint="cs"/>
          <w:rtl/>
        </w:rPr>
        <w:t>9.</w:t>
      </w:r>
      <w:r>
        <w:rPr>
          <w:rtl/>
        </w:rPr>
        <w:tab/>
      </w:r>
      <w:r>
        <w:rPr>
          <w:rFonts w:hint="cs"/>
          <w:rtl/>
        </w:rPr>
        <w:t>בעניינו של הנאשם התקבל תסקיר שרות מבחן למבוגרים מיום 1.5.24 לפיו במהלך תקופת הדחיה הנאשם שמר על קשר רציף עם שרות המבחן והמשיך בטיפול. שרות מבחן מציין התרשמות ממאמציו של הנאשם לערוך שינוי וכי סבורים שבהליך שיקום זה יש בכדי להפחית מן הסיכון להישנות ביצוע עבירות דומות, לפיכך שרות מבחן חזר על המלצתו.</w:t>
      </w:r>
    </w:p>
    <w:p w:rsidR="002F767A" w:rsidRPr="00B05847" w:rsidRDefault="002F767A" w:rsidP="002F767A">
      <w:pPr>
        <w:spacing w:line="360" w:lineRule="auto"/>
        <w:rPr>
          <w:rtl/>
        </w:rPr>
      </w:pPr>
    </w:p>
    <w:p w:rsidR="002F767A" w:rsidRPr="006E23AA" w:rsidRDefault="002F767A" w:rsidP="002F767A">
      <w:pPr>
        <w:spacing w:line="360" w:lineRule="auto"/>
        <w:ind w:left="720" w:hanging="720"/>
        <w:jc w:val="both"/>
      </w:pPr>
      <w:r>
        <w:rPr>
          <w:rFonts w:ascii="David" w:hAnsi="David" w:hint="cs"/>
          <w:rtl/>
        </w:rPr>
        <w:t>10.</w:t>
      </w:r>
      <w:r>
        <w:rPr>
          <w:rFonts w:ascii="David" w:hAnsi="David" w:hint="cs"/>
          <w:rtl/>
        </w:rPr>
        <w:tab/>
      </w:r>
      <w:r w:rsidRPr="004760F3">
        <w:rPr>
          <w:rFonts w:ascii="David" w:hAnsi="David"/>
          <w:rtl/>
        </w:rPr>
        <w:t xml:space="preserve">העבירות אותן ביצע הנאשם הינן עבירות חמורות, בביצוע העברות פגע הנאשם בערכים מוגנים של שלום הציבור, בריאותו וביטחונו, שמירה על הסדר הציבורי החברתי וכן פגיעה ביכולת המניעה של התנהלות פלילית סביב שוק הסמים שעה שהנאשם תרם להכנסת סם יש מאין לשוק בו נערכת מלחמה יום יומית </w:t>
      </w:r>
      <w:r w:rsidRPr="004760F3">
        <w:rPr>
          <w:rFonts w:ascii="David" w:hAnsi="David" w:hint="cs"/>
          <w:rtl/>
        </w:rPr>
        <w:t xml:space="preserve">של גורמי האכיפה בהרחבת </w:t>
      </w:r>
      <w:r w:rsidRPr="004760F3">
        <w:rPr>
          <w:rFonts w:ascii="David" w:hAnsi="David"/>
          <w:rtl/>
        </w:rPr>
        <w:t>שוק הסמים והפצת הסם.</w:t>
      </w:r>
    </w:p>
    <w:p w:rsidR="002F767A" w:rsidRDefault="002F767A" w:rsidP="002F767A"/>
    <w:p w:rsidR="002F767A" w:rsidRDefault="002F767A" w:rsidP="002F767A">
      <w:pPr>
        <w:spacing w:line="360" w:lineRule="auto"/>
        <w:ind w:left="720" w:hanging="720"/>
        <w:jc w:val="both"/>
        <w:rPr>
          <w:rtl/>
        </w:rPr>
      </w:pPr>
      <w:r>
        <w:rPr>
          <w:rFonts w:hint="cs"/>
          <w:rtl/>
        </w:rPr>
        <w:t>11.</w:t>
      </w:r>
      <w:r>
        <w:rPr>
          <w:rFonts w:hint="cs"/>
          <w:rtl/>
        </w:rPr>
        <w:tab/>
        <w:t>מדיניות הענישה הנוהגת בה לידי ביטוי בגזרי דין רבים נוכח העובדה כי למעשה מדובר בעבירה נפוצה החוזרת על עצמה. בנסיבות אלו אביא דוגמאות למדיניות הענישה בבית המשפט העליון ובבתי משפט המחוזיים.</w:t>
      </w:r>
    </w:p>
    <w:p w:rsidR="002F767A" w:rsidRPr="00D75F72" w:rsidRDefault="002F767A" w:rsidP="002F767A">
      <w:pPr>
        <w:pStyle w:val="Subtitle"/>
        <w:ind w:left="720"/>
        <w:rPr>
          <w:color w:val="auto"/>
        </w:rPr>
      </w:pPr>
      <w:r>
        <w:rPr>
          <w:rFonts w:hint="cs"/>
          <w:color w:val="auto"/>
          <w:rtl/>
        </w:rPr>
        <w:t>ב</w:t>
      </w:r>
      <w:r w:rsidRPr="00D75F72">
        <w:rPr>
          <w:rFonts w:hint="cs"/>
          <w:color w:val="auto"/>
          <w:rtl/>
        </w:rPr>
        <w:t>עליון</w:t>
      </w:r>
    </w:p>
    <w:p w:rsidR="002F767A" w:rsidRDefault="00903C2F" w:rsidP="002F767A">
      <w:pPr>
        <w:spacing w:line="360" w:lineRule="auto"/>
        <w:ind w:left="720"/>
        <w:jc w:val="both"/>
        <w:rPr>
          <w:rtl/>
        </w:rPr>
      </w:pPr>
      <w:hyperlink r:id="rId23" w:history="1">
        <w:r w:rsidRPr="00903C2F">
          <w:rPr>
            <w:color w:val="0000FF"/>
            <w:u w:val="single"/>
            <w:rtl/>
          </w:rPr>
          <w:t>ע"פ 7661/22</w:t>
        </w:r>
      </w:hyperlink>
      <w:r w:rsidR="002F767A">
        <w:rPr>
          <w:rFonts w:hint="cs"/>
          <w:rtl/>
        </w:rPr>
        <w:t xml:space="preserve"> </w:t>
      </w:r>
      <w:r w:rsidR="002F767A">
        <w:rPr>
          <w:rFonts w:hint="cs"/>
          <w:b/>
          <w:bCs/>
          <w:rtl/>
        </w:rPr>
        <w:t>שחב נ' מדינת ישראל</w:t>
      </w:r>
      <w:r w:rsidR="002F767A">
        <w:rPr>
          <w:rFonts w:hint="cs"/>
          <w:rtl/>
        </w:rPr>
        <w:t xml:space="preserve"> (14.12.2022) - המערער הורשע על יסוד הודאתו במסגרת הסדר טיעון בעבירות של ייצור, הכנה והפקת סם מסוכן ונטילת חשמל במרמה, בכך שהקים מעבדה בדירה ששכר וגידל בה קנבוס במשקל כולל של </w:t>
      </w:r>
      <w:r w:rsidR="002F767A">
        <w:rPr>
          <w:rFonts w:hint="cs"/>
          <w:b/>
          <w:bCs/>
          <w:rtl/>
        </w:rPr>
        <w:t>50 ק"ג</w:t>
      </w:r>
      <w:r w:rsidR="002F767A">
        <w:rPr>
          <w:rFonts w:hint="cs"/>
          <w:rtl/>
        </w:rPr>
        <w:t xml:space="preserve">. באותו מקרה נקבע </w:t>
      </w:r>
      <w:r w:rsidR="002F767A">
        <w:rPr>
          <w:rFonts w:hint="cs"/>
          <w:b/>
          <w:bCs/>
          <w:rtl/>
        </w:rPr>
        <w:t>מתחם שנע בין 23 ל-51 חודשי מאסר</w:t>
      </w:r>
      <w:r w:rsidR="002F767A">
        <w:rPr>
          <w:rFonts w:hint="cs"/>
          <w:rtl/>
        </w:rPr>
        <w:t>, המערער מוקמם בתחתית המתחם חרף עברו הפלילי, מטעמי שיקום, נדון ל- 23 חודשי מאסר בפועל. ערעור שהוגש על חומרת העונש התקבל ובית המשפט העליון השית עליו עונש של 15 חודשי מאסר בפועל, זאת נוכח הנסיבות הייחודיות של המקרה וההליך השיקומי המרשים שעשה המערער.</w:t>
      </w:r>
    </w:p>
    <w:p w:rsidR="002F767A" w:rsidRDefault="002F767A" w:rsidP="002F767A">
      <w:pPr>
        <w:ind w:left="720"/>
        <w:rPr>
          <w:rtl/>
        </w:rPr>
      </w:pPr>
    </w:p>
    <w:p w:rsidR="002F767A" w:rsidRDefault="00903C2F" w:rsidP="002F767A">
      <w:pPr>
        <w:spacing w:line="360" w:lineRule="auto"/>
        <w:ind w:left="720"/>
        <w:jc w:val="both"/>
        <w:rPr>
          <w:rtl/>
        </w:rPr>
      </w:pPr>
      <w:hyperlink r:id="rId24" w:history="1">
        <w:r w:rsidRPr="00903C2F">
          <w:rPr>
            <w:color w:val="0000FF"/>
            <w:u w:val="single"/>
            <w:rtl/>
          </w:rPr>
          <w:t>ע"פ 3378/21</w:t>
        </w:r>
      </w:hyperlink>
      <w:r w:rsidR="002F767A">
        <w:rPr>
          <w:rFonts w:hint="cs"/>
          <w:rtl/>
        </w:rPr>
        <w:t xml:space="preserve"> </w:t>
      </w:r>
      <w:r w:rsidR="002F767A">
        <w:rPr>
          <w:rFonts w:hint="cs"/>
          <w:b/>
          <w:bCs/>
          <w:rtl/>
        </w:rPr>
        <w:t>אליהו נ' מדינת ישראל</w:t>
      </w:r>
      <w:r w:rsidR="002F767A">
        <w:rPr>
          <w:rFonts w:hint="cs"/>
          <w:rtl/>
        </w:rPr>
        <w:t xml:space="preserve"> (5.7.2021) - המערער הורשע על יסוד הודאתו במסגרת הסדר טיעון בעבירות של ייצור, הכנה והפקת סם מסוכן ונטילת חשמל במרמה, בכך שהקים מעבדה בבית ששכר וגידל בה קנבוס במשקל כולל של </w:t>
      </w:r>
      <w:r w:rsidR="002F767A">
        <w:rPr>
          <w:rFonts w:hint="cs"/>
          <w:b/>
          <w:bCs/>
          <w:rtl/>
        </w:rPr>
        <w:t>54 ק"ג</w:t>
      </w:r>
      <w:r w:rsidR="002F767A">
        <w:rPr>
          <w:rFonts w:hint="cs"/>
          <w:rtl/>
        </w:rPr>
        <w:t xml:space="preserve">. בית המשפט המחוזי קבע </w:t>
      </w:r>
      <w:r w:rsidR="002F767A">
        <w:rPr>
          <w:rFonts w:hint="cs"/>
          <w:b/>
          <w:bCs/>
          <w:rtl/>
        </w:rPr>
        <w:t>מתחם שנע בין 14 ל-36 חודשי מאסר</w:t>
      </w:r>
      <w:r w:rsidR="002F767A">
        <w:rPr>
          <w:rFonts w:hint="cs"/>
          <w:rtl/>
        </w:rPr>
        <w:t>, אך חרג מגבולות המתחם שקבע משיקולי שיקום, השית על המבקש 10 חודשי מאסר בפועל. ערעור שהוגש על חומרת העונש התקבל ובית המשפט העליון השית עליו עונש של 9 חודשי עבודות שירות, לצד צו מבחן, זאת נוכח הנסיבות הייחודיות של המקרה והתהליך השיקומי המרשים שעשה המערער.</w:t>
      </w:r>
    </w:p>
    <w:p w:rsidR="002F767A" w:rsidRDefault="00903C2F" w:rsidP="002F767A">
      <w:pPr>
        <w:spacing w:line="360" w:lineRule="auto"/>
        <w:ind w:left="720"/>
        <w:jc w:val="both"/>
        <w:rPr>
          <w:rtl/>
        </w:rPr>
      </w:pPr>
      <w:hyperlink r:id="rId25" w:history="1">
        <w:r w:rsidRPr="00903C2F">
          <w:rPr>
            <w:color w:val="0000FF"/>
            <w:u w:val="single"/>
            <w:rtl/>
          </w:rPr>
          <w:t>רע"פ 3287/21</w:t>
        </w:r>
      </w:hyperlink>
      <w:r w:rsidR="002F767A">
        <w:rPr>
          <w:rFonts w:hint="cs"/>
          <w:rtl/>
        </w:rPr>
        <w:t xml:space="preserve"> </w:t>
      </w:r>
      <w:r w:rsidR="002F767A">
        <w:rPr>
          <w:rFonts w:hint="cs"/>
          <w:b/>
          <w:bCs/>
          <w:rtl/>
        </w:rPr>
        <w:t>עתמין נ' מדינת ישראל</w:t>
      </w:r>
      <w:r w:rsidR="002F767A">
        <w:rPr>
          <w:rFonts w:hint="cs"/>
          <w:rtl/>
        </w:rPr>
        <w:t xml:space="preserve"> (12.5.2021) - המבקש הורשע על יסוד הודאתו במסגרת הסדר טיעון בעבירות של ייצור, הכנה והפקת סם מסוכן והחזקת סם מסוכן שלא לצריכה עצמית, בכך שגידל בביתו ובחממה </w:t>
      </w:r>
      <w:r w:rsidR="002F767A">
        <w:rPr>
          <w:rFonts w:hint="cs"/>
          <w:color w:val="000000"/>
          <w:rtl/>
        </w:rPr>
        <w:t>בחצרו</w:t>
      </w:r>
      <w:r w:rsidR="002F767A">
        <w:rPr>
          <w:rFonts w:hint="cs"/>
          <w:rtl/>
        </w:rPr>
        <w:t xml:space="preserve"> סם מסוכן מסוג קנבוס במשקל כולל של </w:t>
      </w:r>
      <w:r w:rsidR="002F767A">
        <w:rPr>
          <w:rFonts w:hint="cs"/>
          <w:b/>
          <w:bCs/>
          <w:rtl/>
        </w:rPr>
        <w:t>57 ק"ג</w:t>
      </w:r>
      <w:r w:rsidR="002F767A">
        <w:rPr>
          <w:rFonts w:hint="cs"/>
          <w:rtl/>
        </w:rPr>
        <w:t xml:space="preserve">. בית משפט השלום קבע מתחם ענישה שנע בין 20 ל-40 חודשי מאסר, אך חרג מגבולות המתחם שקבע, והשית על המבקש 9 חודשי מאסר לריצוי בדרך של עבודות שירות בשל שיקולי שיקום. ערעור שהוגש על קולת העונש התקבל, ובית המשפט המחוזי קבע </w:t>
      </w:r>
      <w:r w:rsidR="002F767A">
        <w:rPr>
          <w:rFonts w:hint="cs"/>
          <w:b/>
          <w:bCs/>
          <w:rtl/>
        </w:rPr>
        <w:t>מתחם ענישה שנע בין 24 ל-48 חודשי מאסר</w:t>
      </w:r>
      <w:r w:rsidR="002F767A">
        <w:rPr>
          <w:rFonts w:hint="cs"/>
          <w:rtl/>
        </w:rPr>
        <w:t>. בהתחשב בשיקולי שיקום, ובשים לב לכלל לפיו ערכאת הערעור אינה ממצה את הדין, השית על המבקש 20 חודשי מאסר בלבד, לצד ענישה נלווית. בית המשפט העליון דחה את בקשת רשות הערעור שהגיש המבקש.</w:t>
      </w:r>
    </w:p>
    <w:p w:rsidR="002F767A" w:rsidRDefault="002F767A" w:rsidP="002F767A">
      <w:pPr>
        <w:spacing w:line="360" w:lineRule="auto"/>
        <w:ind w:left="720"/>
        <w:jc w:val="both"/>
        <w:rPr>
          <w:rtl/>
        </w:rPr>
      </w:pPr>
    </w:p>
    <w:p w:rsidR="002F767A" w:rsidRDefault="00903C2F" w:rsidP="002F767A">
      <w:pPr>
        <w:spacing w:line="360" w:lineRule="auto"/>
        <w:ind w:left="720"/>
        <w:jc w:val="both"/>
        <w:rPr>
          <w:rtl/>
        </w:rPr>
      </w:pPr>
      <w:hyperlink r:id="rId26" w:history="1">
        <w:r w:rsidRPr="00903C2F">
          <w:rPr>
            <w:color w:val="0000FF"/>
            <w:u w:val="single"/>
            <w:rtl/>
          </w:rPr>
          <w:t>רע"פ 174/21</w:t>
        </w:r>
      </w:hyperlink>
      <w:r w:rsidR="002F767A">
        <w:rPr>
          <w:rFonts w:hint="cs"/>
          <w:rtl/>
        </w:rPr>
        <w:t xml:space="preserve"> </w:t>
      </w:r>
      <w:r w:rsidR="002F767A">
        <w:rPr>
          <w:rFonts w:hint="cs"/>
          <w:b/>
          <w:bCs/>
          <w:rtl/>
        </w:rPr>
        <w:t>סויסה נ' מדינת ישראל</w:t>
      </w:r>
      <w:r w:rsidR="002F767A">
        <w:rPr>
          <w:rFonts w:hint="cs"/>
          <w:rtl/>
        </w:rPr>
        <w:t xml:space="preserve"> (25.2.2021) - המבקש הורשע על יסוד הודאתו במסגרת הסדר טיעון בעבירות של ייצור, הכנה והפקת סם מסוכן והחזקת סם מסוכן שלא לצריכה עצמית בכך ששכר שתי יחידות ומחסן הצמודים לבית קרקע בהם הקים מעבדה לגידול קנבוס </w:t>
      </w:r>
      <w:r w:rsidR="002F767A">
        <w:rPr>
          <w:rFonts w:hint="cs"/>
          <w:b/>
          <w:bCs/>
          <w:rtl/>
        </w:rPr>
        <w:t>במשקל כולל של 38 ק"ג</w:t>
      </w:r>
      <w:r w:rsidR="002F767A">
        <w:rPr>
          <w:rFonts w:hint="cs"/>
          <w:rtl/>
        </w:rPr>
        <w:t xml:space="preserve">. בית משפט השלום קבע </w:t>
      </w:r>
      <w:r w:rsidR="002F767A">
        <w:rPr>
          <w:rFonts w:hint="cs"/>
          <w:b/>
          <w:bCs/>
          <w:color w:val="000000"/>
          <w:rtl/>
        </w:rPr>
        <w:t>מתחם</w:t>
      </w:r>
      <w:r w:rsidR="002F767A">
        <w:rPr>
          <w:rFonts w:hint="cs"/>
          <w:b/>
          <w:bCs/>
          <w:rtl/>
        </w:rPr>
        <w:t xml:space="preserve"> ענישה שנע בין 10 ל-28 חודשי מאסר</w:t>
      </w:r>
      <w:r w:rsidR="002F767A">
        <w:rPr>
          <w:rFonts w:hint="cs"/>
          <w:rtl/>
        </w:rPr>
        <w:t xml:space="preserve">, אך חרג מהמתחם שקבע והשית על המבקש 9 חודשי מאסר לריצוי בעבודות שירות בשל שיקולי שיקום. ערעור שהוגש על קולת העונש התקבל, ובית המשפט המחוזי קבע </w:t>
      </w:r>
      <w:r w:rsidR="002F767A">
        <w:rPr>
          <w:rFonts w:hint="cs"/>
          <w:b/>
          <w:bCs/>
          <w:rtl/>
        </w:rPr>
        <w:t>מתחם ענישה שנע בין 15 ל-30 חודשי מאסר</w:t>
      </w:r>
      <w:r w:rsidR="002F767A">
        <w:rPr>
          <w:rFonts w:hint="cs"/>
          <w:rtl/>
        </w:rPr>
        <w:t xml:space="preserve">. בהתחשב בשיקולי שיקום ובשים לב לכלל שלפיו ערכאת הערעור אינה ממצה את הדין, השית על המבקש 12 חודשי מאסר, לצד ענישה נלווית. בית המשפט העליון דחה את בקשת רשות הערעור שהגיש המבקש. </w:t>
      </w:r>
    </w:p>
    <w:p w:rsidR="002F767A" w:rsidRDefault="002F767A" w:rsidP="002F767A">
      <w:pPr>
        <w:ind w:left="720"/>
        <w:jc w:val="both"/>
      </w:pPr>
    </w:p>
    <w:p w:rsidR="002F767A" w:rsidRDefault="00903C2F" w:rsidP="002F767A">
      <w:pPr>
        <w:spacing w:line="360" w:lineRule="auto"/>
        <w:ind w:left="720"/>
        <w:jc w:val="both"/>
        <w:rPr>
          <w:rtl/>
        </w:rPr>
      </w:pPr>
      <w:hyperlink r:id="rId27" w:history="1">
        <w:r w:rsidRPr="00903C2F">
          <w:rPr>
            <w:color w:val="0000FF"/>
            <w:u w:val="single"/>
            <w:rtl/>
          </w:rPr>
          <w:t>רע"פ 6041/18</w:t>
        </w:r>
      </w:hyperlink>
      <w:r w:rsidR="002F767A">
        <w:rPr>
          <w:rFonts w:hint="cs"/>
          <w:rtl/>
        </w:rPr>
        <w:t xml:space="preserve"> </w:t>
      </w:r>
      <w:r w:rsidR="002F767A">
        <w:rPr>
          <w:rFonts w:hint="cs"/>
          <w:b/>
          <w:bCs/>
          <w:rtl/>
        </w:rPr>
        <w:t xml:space="preserve">כהן נ' מדינת ישראל </w:t>
      </w:r>
      <w:r w:rsidR="002F767A">
        <w:rPr>
          <w:rFonts w:hint="cs"/>
          <w:rtl/>
        </w:rPr>
        <w:t xml:space="preserve">(22.10.2018) - המבקש הורשע על יסוד הודאתו במסגרת הסדר טיעון בעבירות של ייצור, הכנה והפקת סם מסוכן, וגניבת חשמל בכך שגידל קנבוס </w:t>
      </w:r>
      <w:r w:rsidR="002F767A">
        <w:rPr>
          <w:rFonts w:hint="cs"/>
          <w:b/>
          <w:bCs/>
          <w:rtl/>
        </w:rPr>
        <w:t xml:space="preserve">במשקל כולל של 39.5 ק"ג </w:t>
      </w:r>
      <w:r w:rsidR="002F767A">
        <w:rPr>
          <w:rFonts w:hint="cs"/>
          <w:rtl/>
        </w:rPr>
        <w:t xml:space="preserve">וגנב חשמל בשווי 40,000 ₪. בית משפט השלום קבע </w:t>
      </w:r>
      <w:r w:rsidR="002F767A">
        <w:rPr>
          <w:rFonts w:hint="cs"/>
          <w:b/>
          <w:bCs/>
          <w:rtl/>
        </w:rPr>
        <w:t>מתחם ענישה שנע בין 18 ל-36 חודשי מאסר</w:t>
      </w:r>
      <w:r w:rsidR="002F767A">
        <w:rPr>
          <w:rFonts w:hint="cs"/>
          <w:rtl/>
        </w:rPr>
        <w:t>, והשית על המבקש 20 חודשי מאסר, תוך מתן משקל לשיקולי שיקום אך חרף המלצת שירות המבחן לחריגה מהמתחם. בית המשפט המחוזי ובית המשפט העליון דחו את הערעורים שהגיש המבקש על חומרת העונש.</w:t>
      </w:r>
    </w:p>
    <w:p w:rsidR="002F767A" w:rsidRDefault="002F767A" w:rsidP="002F767A">
      <w:pPr>
        <w:ind w:left="720"/>
        <w:jc w:val="both"/>
      </w:pPr>
    </w:p>
    <w:p w:rsidR="002F767A" w:rsidRDefault="00903C2F" w:rsidP="002F767A">
      <w:pPr>
        <w:spacing w:line="360" w:lineRule="auto"/>
        <w:ind w:left="720"/>
        <w:jc w:val="both"/>
        <w:rPr>
          <w:rtl/>
        </w:rPr>
      </w:pPr>
      <w:hyperlink r:id="rId28" w:history="1">
        <w:r w:rsidRPr="00903C2F">
          <w:rPr>
            <w:color w:val="0000FF"/>
            <w:u w:val="single"/>
            <w:rtl/>
          </w:rPr>
          <w:t>ע"פ 2194/14</w:t>
        </w:r>
      </w:hyperlink>
      <w:r w:rsidR="002F767A">
        <w:rPr>
          <w:rFonts w:hint="cs"/>
          <w:rtl/>
        </w:rPr>
        <w:t xml:space="preserve"> </w:t>
      </w:r>
      <w:r w:rsidR="002F767A">
        <w:rPr>
          <w:rFonts w:hint="cs"/>
          <w:b/>
          <w:bCs/>
          <w:rtl/>
        </w:rPr>
        <w:t xml:space="preserve">בן שמעון נ' מדינת ישראל </w:t>
      </w:r>
      <w:r w:rsidR="002F767A">
        <w:rPr>
          <w:rFonts w:hint="cs"/>
          <w:rtl/>
        </w:rPr>
        <w:t xml:space="preserve">(10.9.2014) - המערער הורשע על יסוד הודאתו בעבירות של גידול סם מסוכן, החזקת סם מסוכן שלא לצריכה עצמית והחזקת כלים המשמשים להכנת סם מסוכן בכך ששכר דירה וגידל בה קנבוס </w:t>
      </w:r>
      <w:r w:rsidR="002F767A">
        <w:rPr>
          <w:rFonts w:hint="cs"/>
          <w:b/>
          <w:bCs/>
          <w:rtl/>
        </w:rPr>
        <w:t>במשקל כולל של 33.5 ק"ג</w:t>
      </w:r>
      <w:r w:rsidR="002F767A">
        <w:rPr>
          <w:rFonts w:hint="cs"/>
          <w:rtl/>
        </w:rPr>
        <w:t xml:space="preserve">. בית המשפט המחוזי קבע </w:t>
      </w:r>
      <w:r w:rsidR="002F767A">
        <w:rPr>
          <w:rFonts w:hint="cs"/>
          <w:b/>
          <w:bCs/>
          <w:rtl/>
        </w:rPr>
        <w:t>מתחם ענישה שנע בין 18 ל-30 חודשי מאסר</w:t>
      </w:r>
      <w:r w:rsidR="002F767A">
        <w:rPr>
          <w:rFonts w:hint="cs"/>
          <w:rtl/>
        </w:rPr>
        <w:t xml:space="preserve">, והשית על המערער 23 חודשי מאסר (27 כולל הפעלת מאסר על תנאי), לצד ענישה נלווית. בית המשפט העליון קיבל ערעור שהוגש על חומרת העונש והעמיד את עונשו של המערער על 20 חודשי מאסר בשל שיקולי שיקום (והפעלת התנאי בחופף). </w:t>
      </w:r>
    </w:p>
    <w:p w:rsidR="002F767A" w:rsidRPr="005105CF" w:rsidRDefault="002F767A" w:rsidP="002F767A">
      <w:pPr>
        <w:pStyle w:val="Subtitle"/>
        <w:spacing w:line="240" w:lineRule="auto"/>
        <w:ind w:left="720"/>
        <w:rPr>
          <w:color w:val="auto"/>
        </w:rPr>
      </w:pPr>
      <w:r>
        <w:rPr>
          <w:rFonts w:hint="cs"/>
          <w:color w:val="auto"/>
          <w:rtl/>
        </w:rPr>
        <w:t>ב</w:t>
      </w:r>
      <w:r w:rsidRPr="005105CF">
        <w:rPr>
          <w:rFonts w:hint="cs"/>
          <w:color w:val="auto"/>
          <w:rtl/>
        </w:rPr>
        <w:t>מחוזי</w:t>
      </w:r>
    </w:p>
    <w:p w:rsidR="002F767A" w:rsidRDefault="002F767A" w:rsidP="002F767A">
      <w:pPr>
        <w:spacing w:line="360" w:lineRule="auto"/>
        <w:ind w:left="720"/>
        <w:jc w:val="both"/>
        <w:rPr>
          <w:rtl/>
        </w:rPr>
      </w:pPr>
      <w:r>
        <w:rPr>
          <w:rFonts w:hint="cs"/>
          <w:rtl/>
        </w:rPr>
        <w:t xml:space="preserve">ת"פ (מחוזי 16097-08-21) </w:t>
      </w:r>
      <w:r>
        <w:rPr>
          <w:rFonts w:hint="cs"/>
          <w:b/>
          <w:bCs/>
          <w:rtl/>
        </w:rPr>
        <w:t xml:space="preserve">מדינת ישראל נ' עומר עומרי חמו </w:t>
      </w:r>
      <w:r>
        <w:rPr>
          <w:rFonts w:hint="cs"/>
          <w:rtl/>
        </w:rPr>
        <w:t xml:space="preserve">(29.05.2023) - הנאשם הורשע על יסוד הודאתו בעבירות של </w:t>
      </w:r>
      <w:r>
        <w:rPr>
          <w:rFonts w:hint="cs"/>
          <w:color w:val="000000"/>
          <w:rtl/>
        </w:rPr>
        <w:t>ייצור</w:t>
      </w:r>
      <w:r>
        <w:rPr>
          <w:rFonts w:hint="cs"/>
          <w:rtl/>
        </w:rPr>
        <w:t xml:space="preserve">, הכנה והפקה של סם מסוכן, החזקת כלים המשמשים להכנת סם מסוכן ונטילת חשמל. בכך שהקים בדירה ששכר מעבדה וגידל בה קנבוס </w:t>
      </w:r>
      <w:r>
        <w:rPr>
          <w:rFonts w:hint="cs"/>
          <w:b/>
          <w:bCs/>
          <w:rtl/>
        </w:rPr>
        <w:t>במשקל כולל של 112.87 ק"ג</w:t>
      </w:r>
      <w:r>
        <w:rPr>
          <w:rFonts w:hint="cs"/>
          <w:rtl/>
        </w:rPr>
        <w:t xml:space="preserve">. במקרה זה נקבע </w:t>
      </w:r>
      <w:r>
        <w:rPr>
          <w:rFonts w:hint="cs"/>
          <w:b/>
          <w:bCs/>
          <w:rtl/>
        </w:rPr>
        <w:t>מתחם ענישה שנע בין 22 ל-46 חודשי מאסר</w:t>
      </w:r>
      <w:r>
        <w:rPr>
          <w:rFonts w:hint="cs"/>
          <w:rtl/>
        </w:rPr>
        <w:t>, נדון ל- 9 חודשי מאסר בדרך של עבודות שירות, לצד ענישה נלווית. החריגה מטעמי שיקום.</w:t>
      </w:r>
    </w:p>
    <w:p w:rsidR="002F767A" w:rsidRDefault="002F767A" w:rsidP="002F767A">
      <w:pPr>
        <w:ind w:left="720"/>
        <w:jc w:val="both"/>
        <w:rPr>
          <w:rtl/>
        </w:rPr>
      </w:pPr>
    </w:p>
    <w:p w:rsidR="002F767A" w:rsidRDefault="00903C2F" w:rsidP="002F767A">
      <w:pPr>
        <w:spacing w:line="360" w:lineRule="auto"/>
        <w:ind w:left="720"/>
        <w:jc w:val="both"/>
        <w:rPr>
          <w:rtl/>
        </w:rPr>
      </w:pPr>
      <w:hyperlink r:id="rId29" w:history="1">
        <w:r w:rsidRPr="00903C2F">
          <w:rPr>
            <w:color w:val="0000FF"/>
            <w:u w:val="single"/>
            <w:rtl/>
          </w:rPr>
          <w:t>ת"פ (מחוזי ת"א) 1277-05-20</w:t>
        </w:r>
      </w:hyperlink>
      <w:r w:rsidR="002F767A">
        <w:rPr>
          <w:rFonts w:hint="cs"/>
          <w:rtl/>
        </w:rPr>
        <w:t xml:space="preserve"> </w:t>
      </w:r>
      <w:r w:rsidR="002F767A">
        <w:rPr>
          <w:rFonts w:hint="cs"/>
          <w:b/>
          <w:bCs/>
          <w:rtl/>
        </w:rPr>
        <w:t xml:space="preserve">מדינת ישראל נ' שוב ואח' </w:t>
      </w:r>
      <w:r w:rsidR="002F767A">
        <w:rPr>
          <w:rFonts w:hint="cs"/>
          <w:rtl/>
        </w:rPr>
        <w:t xml:space="preserve">(16.11.2022) - הנאשם הורשע על יסוד הודאתו בעבירות של </w:t>
      </w:r>
      <w:r w:rsidR="002F767A">
        <w:rPr>
          <w:rFonts w:hint="cs"/>
          <w:color w:val="000000"/>
          <w:rtl/>
        </w:rPr>
        <w:t>ייצור</w:t>
      </w:r>
      <w:r w:rsidR="002F767A">
        <w:rPr>
          <w:rFonts w:hint="cs"/>
          <w:rtl/>
        </w:rPr>
        <w:t xml:space="preserve">, הכנה והפקה של סם מסוכן, החזקת סם מסוכן שלא לצריכה עצמית, החזקת חצרים לשם הכנת סם מסוכן, קשירת קשר לביצוע פשע וגניבת חשמל, בכך שהקים מעבדה וגידל בה קנבוס </w:t>
      </w:r>
      <w:r w:rsidR="002F767A">
        <w:rPr>
          <w:rFonts w:hint="cs"/>
          <w:b/>
          <w:bCs/>
          <w:rtl/>
        </w:rPr>
        <w:t>במשקל כולל של 46 ק"ג</w:t>
      </w:r>
      <w:r w:rsidR="002F767A">
        <w:rPr>
          <w:rFonts w:hint="cs"/>
          <w:rtl/>
        </w:rPr>
        <w:t xml:space="preserve">. במקרה זה נקבע </w:t>
      </w:r>
      <w:r w:rsidR="002F767A">
        <w:rPr>
          <w:rFonts w:hint="cs"/>
          <w:b/>
          <w:bCs/>
          <w:rtl/>
        </w:rPr>
        <w:t>מתחם ענישה שנע בין 20 ל-45 חודשי מאסר</w:t>
      </w:r>
      <w:r w:rsidR="002F767A">
        <w:rPr>
          <w:rFonts w:hint="cs"/>
          <w:rtl/>
        </w:rPr>
        <w:t>, נדון ל- 20 חודשי מאסר בפועל, לצד ענישה נלווית.</w:t>
      </w:r>
    </w:p>
    <w:p w:rsidR="002F767A" w:rsidRDefault="002F767A" w:rsidP="002F767A">
      <w:pPr>
        <w:ind w:left="720"/>
        <w:jc w:val="both"/>
        <w:rPr>
          <w:rtl/>
        </w:rPr>
      </w:pPr>
    </w:p>
    <w:p w:rsidR="002F767A" w:rsidRDefault="00903C2F" w:rsidP="002F767A">
      <w:pPr>
        <w:spacing w:line="360" w:lineRule="auto"/>
        <w:ind w:left="720"/>
        <w:jc w:val="both"/>
        <w:rPr>
          <w:rtl/>
        </w:rPr>
      </w:pPr>
      <w:hyperlink r:id="rId30" w:history="1">
        <w:r w:rsidRPr="00903C2F">
          <w:rPr>
            <w:color w:val="0000FF"/>
            <w:u w:val="single"/>
            <w:rtl/>
          </w:rPr>
          <w:t>ת"פ (מחוזי ב"ש) 32956-11-20</w:t>
        </w:r>
      </w:hyperlink>
      <w:r w:rsidR="002F767A">
        <w:rPr>
          <w:rFonts w:hint="cs"/>
          <w:rtl/>
        </w:rPr>
        <w:t xml:space="preserve"> </w:t>
      </w:r>
      <w:r w:rsidR="002F767A">
        <w:rPr>
          <w:rFonts w:hint="cs"/>
          <w:b/>
          <w:bCs/>
          <w:rtl/>
        </w:rPr>
        <w:t xml:space="preserve">מדינת ישראל נ' אזולאי </w:t>
      </w:r>
      <w:r w:rsidR="002F767A">
        <w:rPr>
          <w:rFonts w:hint="cs"/>
          <w:rtl/>
        </w:rPr>
        <w:t xml:space="preserve">(22.06.2022) - הנאשם הורשע על יסוד הודאתו בעבירות של </w:t>
      </w:r>
      <w:r w:rsidR="002F767A">
        <w:rPr>
          <w:rFonts w:hint="cs"/>
          <w:color w:val="000000"/>
          <w:rtl/>
        </w:rPr>
        <w:t>ייצור</w:t>
      </w:r>
      <w:r w:rsidR="002F767A">
        <w:rPr>
          <w:rFonts w:hint="cs"/>
          <w:rtl/>
        </w:rPr>
        <w:t xml:space="preserve">, הכנה והפקה של סם מסוכן, ונטילת חשמל בכך שהקים בבית ששכר מעבדה וגידל בה קנבוס </w:t>
      </w:r>
      <w:r w:rsidR="002F767A">
        <w:rPr>
          <w:rFonts w:hint="cs"/>
          <w:b/>
          <w:bCs/>
          <w:rtl/>
        </w:rPr>
        <w:t>במשקל כולל של 72 ק"ג</w:t>
      </w:r>
      <w:r w:rsidR="002F767A">
        <w:rPr>
          <w:rFonts w:hint="cs"/>
          <w:rtl/>
        </w:rPr>
        <w:t>. במקרה זה לא נקבע מתחם אולם בהסכמת הצדדים כי יש לסטות ממתחם העונש משיקולי שיקום, נדון ל- 9 חודשי מאסר בדרך של עבודות שירות, לצד ענישה נלווית.</w:t>
      </w:r>
    </w:p>
    <w:p w:rsidR="002F767A" w:rsidRDefault="00903C2F" w:rsidP="002F767A">
      <w:pPr>
        <w:spacing w:line="360" w:lineRule="auto"/>
        <w:ind w:left="720"/>
        <w:jc w:val="both"/>
        <w:rPr>
          <w:rtl/>
        </w:rPr>
      </w:pPr>
      <w:hyperlink r:id="rId31" w:history="1">
        <w:r w:rsidRPr="00903C2F">
          <w:rPr>
            <w:color w:val="0000FF"/>
            <w:u w:val="single"/>
            <w:rtl/>
          </w:rPr>
          <w:t>ת"פ (מחוזי ב"ש) 61099-12-18</w:t>
        </w:r>
      </w:hyperlink>
      <w:r w:rsidR="002F767A">
        <w:rPr>
          <w:rFonts w:hint="cs"/>
          <w:rtl/>
        </w:rPr>
        <w:t xml:space="preserve"> </w:t>
      </w:r>
      <w:r w:rsidR="002F767A">
        <w:rPr>
          <w:rFonts w:hint="cs"/>
          <w:b/>
          <w:bCs/>
          <w:rtl/>
        </w:rPr>
        <w:t xml:space="preserve">מדינת ישראל נ' חסן </w:t>
      </w:r>
      <w:r w:rsidR="002F767A">
        <w:rPr>
          <w:rFonts w:hint="cs"/>
          <w:rtl/>
        </w:rPr>
        <w:t xml:space="preserve">(02.12.2021) - הנאשם הורשע על יסוד הודאתו בעבירות של </w:t>
      </w:r>
      <w:r w:rsidR="002F767A">
        <w:rPr>
          <w:rFonts w:hint="cs"/>
          <w:color w:val="000000"/>
          <w:rtl/>
        </w:rPr>
        <w:t>ייצור</w:t>
      </w:r>
      <w:r w:rsidR="002F767A">
        <w:rPr>
          <w:rFonts w:hint="cs"/>
          <w:rtl/>
        </w:rPr>
        <w:t xml:space="preserve">, הכנה והפקה של סם מסוכן, החזקת סם מסוכן שלא לצריכה עצמית, נטילת חשמל, והיזק לרכוש בזדון בכך ששכר דירה והקים מעבדה וגידל בה קנבוס </w:t>
      </w:r>
      <w:r w:rsidR="002F767A">
        <w:rPr>
          <w:rFonts w:hint="cs"/>
          <w:b/>
          <w:bCs/>
          <w:rtl/>
        </w:rPr>
        <w:t>במשקל כולל של 60 ק"ג</w:t>
      </w:r>
      <w:r w:rsidR="002F767A">
        <w:rPr>
          <w:rFonts w:hint="cs"/>
          <w:rtl/>
        </w:rPr>
        <w:t xml:space="preserve">. במקרה זה נקבע </w:t>
      </w:r>
      <w:r w:rsidR="002F767A">
        <w:rPr>
          <w:rFonts w:hint="cs"/>
          <w:b/>
          <w:bCs/>
          <w:rtl/>
        </w:rPr>
        <w:t>מתחם ענישה שנע בין 18 ל-30 חודשי מאסר</w:t>
      </w:r>
      <w:r w:rsidR="002F767A">
        <w:rPr>
          <w:rFonts w:hint="cs"/>
          <w:rtl/>
        </w:rPr>
        <w:t>, נדון ל- 9 חודשי מאסר בעבודות שירות, לצד ענישה נלווית.</w:t>
      </w:r>
    </w:p>
    <w:p w:rsidR="002F767A" w:rsidRDefault="002F767A" w:rsidP="002F767A">
      <w:pPr>
        <w:spacing w:line="360" w:lineRule="auto"/>
        <w:ind w:left="720"/>
        <w:jc w:val="both"/>
        <w:rPr>
          <w:rtl/>
        </w:rPr>
      </w:pPr>
    </w:p>
    <w:p w:rsidR="002F767A" w:rsidRDefault="00903C2F" w:rsidP="002F767A">
      <w:pPr>
        <w:spacing w:line="360" w:lineRule="auto"/>
        <w:ind w:left="720"/>
        <w:jc w:val="both"/>
        <w:rPr>
          <w:rtl/>
        </w:rPr>
      </w:pPr>
      <w:hyperlink r:id="rId32" w:history="1">
        <w:r w:rsidRPr="00903C2F">
          <w:rPr>
            <w:color w:val="0000FF"/>
            <w:u w:val="single"/>
            <w:rtl/>
          </w:rPr>
          <w:t>ת"פ (מחוזי ת"א) 28847-09-20</w:t>
        </w:r>
      </w:hyperlink>
      <w:r w:rsidR="002F767A">
        <w:rPr>
          <w:rFonts w:hint="cs"/>
          <w:rtl/>
        </w:rPr>
        <w:t xml:space="preserve"> </w:t>
      </w:r>
      <w:r w:rsidR="002F767A">
        <w:rPr>
          <w:rFonts w:hint="cs"/>
          <w:b/>
          <w:bCs/>
          <w:rtl/>
        </w:rPr>
        <w:t>מדינת ישראל נ' יבלונקה</w:t>
      </w:r>
      <w:r w:rsidR="002F767A">
        <w:rPr>
          <w:rFonts w:hint="cs"/>
          <w:rtl/>
        </w:rPr>
        <w:t xml:space="preserve"> (12.9.2021) - הנאשם הורשע על יסוד הודאתו בעבירות של ייצור, הכנה והפקה של סם מסוכן, החזקת סם מסוכן שלא לצריכה עצמית, החזקת חצרים לשם </w:t>
      </w:r>
      <w:r w:rsidR="002F767A">
        <w:rPr>
          <w:rFonts w:hint="cs"/>
          <w:color w:val="000000"/>
          <w:rtl/>
        </w:rPr>
        <w:t>הכנת</w:t>
      </w:r>
      <w:r w:rsidR="002F767A">
        <w:rPr>
          <w:rFonts w:hint="cs"/>
          <w:rtl/>
        </w:rPr>
        <w:t xml:space="preserve"> סם מסוכן והחזקת כלים המשמשים להכנת סם מסוכן בכך שהקים מעבדה בבית פרטי ששכר, בסיוע של אחר, כבענייננו, וגידל בה קנבוס </w:t>
      </w:r>
      <w:r w:rsidR="002F767A">
        <w:rPr>
          <w:rFonts w:hint="cs"/>
          <w:b/>
          <w:bCs/>
          <w:rtl/>
        </w:rPr>
        <w:t>במשקל כולל של 47 ק"ג</w:t>
      </w:r>
      <w:r w:rsidR="002F767A">
        <w:rPr>
          <w:rFonts w:hint="cs"/>
          <w:rtl/>
        </w:rPr>
        <w:t xml:space="preserve">. במקרה זה נקבע </w:t>
      </w:r>
      <w:r w:rsidR="002F767A">
        <w:rPr>
          <w:rFonts w:hint="cs"/>
          <w:b/>
          <w:bCs/>
          <w:rtl/>
        </w:rPr>
        <w:t>מתחם ענישה שנע בין 20 ל-45 חודשי מאסר</w:t>
      </w:r>
      <w:r w:rsidR="002F767A">
        <w:rPr>
          <w:rFonts w:hint="cs"/>
          <w:rtl/>
        </w:rPr>
        <w:t>, נדון ל- 20 חודשי מאסר בפועל, לצד ענישה נלווית, בהתחשב בכך שהייתה זו הרשעתו הראשונה בפלילים.</w:t>
      </w:r>
    </w:p>
    <w:p w:rsidR="002F767A" w:rsidRDefault="002F767A" w:rsidP="002F767A">
      <w:pPr>
        <w:spacing w:line="360" w:lineRule="auto"/>
        <w:ind w:left="720"/>
        <w:jc w:val="both"/>
        <w:rPr>
          <w:rtl/>
        </w:rPr>
      </w:pPr>
    </w:p>
    <w:p w:rsidR="002F767A" w:rsidRDefault="00903C2F" w:rsidP="002F767A">
      <w:pPr>
        <w:spacing w:line="360" w:lineRule="auto"/>
        <w:ind w:left="720"/>
        <w:jc w:val="both"/>
      </w:pPr>
      <w:hyperlink r:id="rId33" w:history="1">
        <w:r w:rsidRPr="00903C2F">
          <w:rPr>
            <w:color w:val="0000FF"/>
            <w:u w:val="single"/>
            <w:rtl/>
          </w:rPr>
          <w:t>ת"פ (מחוזי ת"א) 28397-10-19</w:t>
        </w:r>
      </w:hyperlink>
      <w:r w:rsidR="002F767A">
        <w:rPr>
          <w:rFonts w:hint="cs"/>
          <w:rtl/>
        </w:rPr>
        <w:t xml:space="preserve"> </w:t>
      </w:r>
      <w:r w:rsidR="002F767A">
        <w:rPr>
          <w:rFonts w:hint="cs"/>
          <w:b/>
          <w:bCs/>
          <w:rtl/>
        </w:rPr>
        <w:t>מדינת ישראל נ' פרולוב</w:t>
      </w:r>
      <w:r w:rsidR="002F767A">
        <w:rPr>
          <w:rFonts w:hint="cs"/>
          <w:rtl/>
        </w:rPr>
        <w:t xml:space="preserve"> (3.3.2021) - הנאשם הורשע על יסוד הודאתו בעבירות של ייצור, הכנה והפקה של סם מסוכן, החזקת סם מסוכן שלא לצריכה עצמית, החזקת כלים המשמשים </w:t>
      </w:r>
      <w:r w:rsidR="002F767A">
        <w:rPr>
          <w:rFonts w:hint="cs"/>
          <w:color w:val="000000"/>
          <w:rtl/>
        </w:rPr>
        <w:t>להכנת</w:t>
      </w:r>
      <w:r w:rsidR="002F767A">
        <w:rPr>
          <w:rFonts w:hint="cs"/>
          <w:rtl/>
        </w:rPr>
        <w:t xml:space="preserve"> סם מסוכן ונטילת חשמל שלא כדין בכך שהחזיק ותפעל מעבדה בה גידל קנבוס </w:t>
      </w:r>
      <w:r w:rsidR="002F767A">
        <w:rPr>
          <w:rFonts w:hint="cs"/>
          <w:b/>
          <w:bCs/>
          <w:rtl/>
        </w:rPr>
        <w:t>במשקל כולל של 50 ק"ג</w:t>
      </w:r>
      <w:r w:rsidR="002F767A">
        <w:rPr>
          <w:rFonts w:hint="cs"/>
          <w:rtl/>
        </w:rPr>
        <w:t xml:space="preserve">. באותו מקרה נקבע </w:t>
      </w:r>
      <w:r w:rsidR="002F767A">
        <w:rPr>
          <w:rFonts w:hint="cs"/>
          <w:b/>
          <w:bCs/>
          <w:rtl/>
        </w:rPr>
        <w:t>מתחם ענישה שנע בין 23 ל-51 חודשי מאסר</w:t>
      </w:r>
      <w:r w:rsidR="002F767A">
        <w:rPr>
          <w:rFonts w:hint="cs"/>
          <w:rtl/>
        </w:rPr>
        <w:t xml:space="preserve">, נדון ל- 23 חודשי מאסר בפועל, לצד ענישה נלווית. </w:t>
      </w:r>
    </w:p>
    <w:p w:rsidR="002F767A" w:rsidRDefault="002F767A" w:rsidP="002F767A">
      <w:pPr>
        <w:spacing w:line="360" w:lineRule="auto"/>
        <w:ind w:left="720"/>
        <w:jc w:val="both"/>
        <w:rPr>
          <w:rtl/>
        </w:rPr>
      </w:pPr>
    </w:p>
    <w:p w:rsidR="002F767A" w:rsidRDefault="00903C2F" w:rsidP="002F767A">
      <w:pPr>
        <w:spacing w:line="360" w:lineRule="auto"/>
        <w:ind w:left="720"/>
        <w:jc w:val="both"/>
        <w:rPr>
          <w:rtl/>
        </w:rPr>
      </w:pPr>
      <w:hyperlink r:id="rId34" w:history="1">
        <w:r w:rsidRPr="00903C2F">
          <w:rPr>
            <w:color w:val="0000FF"/>
            <w:u w:val="single"/>
            <w:rtl/>
          </w:rPr>
          <w:t>ת"פ (מחוזי ת"א) 6090-10-19</w:t>
        </w:r>
      </w:hyperlink>
      <w:r w:rsidR="002F767A">
        <w:rPr>
          <w:rFonts w:hint="cs"/>
          <w:rtl/>
        </w:rPr>
        <w:t xml:space="preserve"> </w:t>
      </w:r>
      <w:r w:rsidR="002F767A">
        <w:rPr>
          <w:rFonts w:hint="cs"/>
          <w:b/>
          <w:bCs/>
          <w:rtl/>
        </w:rPr>
        <w:t xml:space="preserve">מדינת ישראל נ' פלופסקי </w:t>
      </w:r>
      <w:r w:rsidR="002F767A">
        <w:rPr>
          <w:rFonts w:hint="cs"/>
          <w:rtl/>
        </w:rPr>
        <w:t xml:space="preserve">(13.7.2020) - הנאשם הורשע על יסוד הודאתו בעבירות של </w:t>
      </w:r>
      <w:r w:rsidR="002F767A">
        <w:rPr>
          <w:rFonts w:hint="cs"/>
          <w:color w:val="000000"/>
          <w:rtl/>
        </w:rPr>
        <w:t>ייצור</w:t>
      </w:r>
      <w:r w:rsidR="002F767A">
        <w:rPr>
          <w:rFonts w:hint="cs"/>
          <w:rtl/>
        </w:rPr>
        <w:t xml:space="preserve">, הכנה והפקה של סם מסוכן, החזקת סם מסוכן שלא לצריכה עצמית וגניבת חשמל בכך שהקים מעבדה וגידל בה קנבוס </w:t>
      </w:r>
      <w:r w:rsidR="002F767A">
        <w:rPr>
          <w:rFonts w:hint="cs"/>
          <w:b/>
          <w:bCs/>
          <w:rtl/>
        </w:rPr>
        <w:t>במשקל כולל של 52 ק"ג</w:t>
      </w:r>
      <w:r w:rsidR="002F767A">
        <w:rPr>
          <w:rFonts w:hint="cs"/>
          <w:rtl/>
        </w:rPr>
        <w:t xml:space="preserve">. באותו מקרה נקבע </w:t>
      </w:r>
      <w:r w:rsidR="002F767A">
        <w:rPr>
          <w:rFonts w:hint="cs"/>
          <w:b/>
          <w:bCs/>
          <w:rtl/>
        </w:rPr>
        <w:t>מתחם ענישה שנע בין 24 ל-52 חודשי מאסר</w:t>
      </w:r>
      <w:r w:rsidR="002F767A">
        <w:rPr>
          <w:rFonts w:hint="cs"/>
          <w:rtl/>
        </w:rPr>
        <w:t xml:space="preserve">, נדון ל- 24 חודשי מאסר, לצד ענישה נלווית. </w:t>
      </w:r>
    </w:p>
    <w:p w:rsidR="002F767A" w:rsidRDefault="002F767A" w:rsidP="002F767A">
      <w:pPr>
        <w:spacing w:line="360" w:lineRule="auto"/>
        <w:ind w:left="720"/>
        <w:jc w:val="both"/>
        <w:rPr>
          <w:rtl/>
        </w:rPr>
      </w:pPr>
    </w:p>
    <w:p w:rsidR="002F767A" w:rsidRDefault="00903C2F" w:rsidP="002F767A">
      <w:pPr>
        <w:spacing w:line="360" w:lineRule="auto"/>
        <w:ind w:left="720"/>
        <w:jc w:val="both"/>
        <w:rPr>
          <w:rtl/>
        </w:rPr>
      </w:pPr>
      <w:hyperlink r:id="rId35" w:history="1">
        <w:r w:rsidRPr="00903C2F">
          <w:rPr>
            <w:color w:val="0000FF"/>
            <w:u w:val="single"/>
            <w:rtl/>
          </w:rPr>
          <w:t>ת"פ (מחוזי ת"א) 35223-09-19</w:t>
        </w:r>
      </w:hyperlink>
      <w:r w:rsidR="002F767A">
        <w:rPr>
          <w:rFonts w:hint="cs"/>
          <w:rtl/>
        </w:rPr>
        <w:t xml:space="preserve"> </w:t>
      </w:r>
      <w:r w:rsidR="002F767A">
        <w:rPr>
          <w:rFonts w:hint="cs"/>
          <w:b/>
          <w:bCs/>
          <w:rtl/>
        </w:rPr>
        <w:t xml:space="preserve">מדינת ישראל נ' הורוביץ </w:t>
      </w:r>
      <w:r w:rsidR="002F767A">
        <w:rPr>
          <w:rFonts w:hint="cs"/>
          <w:rtl/>
        </w:rPr>
        <w:t xml:space="preserve">(9.3.2020) - הנאשם הורשע על יסוד הודאתו בעבירות של </w:t>
      </w:r>
      <w:r w:rsidR="002F767A">
        <w:rPr>
          <w:rFonts w:hint="cs"/>
          <w:color w:val="000000"/>
          <w:rtl/>
        </w:rPr>
        <w:t>ייצור</w:t>
      </w:r>
      <w:r w:rsidR="002F767A">
        <w:rPr>
          <w:rFonts w:hint="cs"/>
          <w:rtl/>
        </w:rPr>
        <w:t xml:space="preserve">, הכנה והפקה של סם מסוכן, החזקת סם מסוכן שלא לצריכה עצמית, החזקת חצרים לשם הכנת סם מסוכן והחזקת כלים המשמשים להכנת סם מסוכן בכך שהקים בוילה ששכר מעבדה וגידל בה קנבוס </w:t>
      </w:r>
      <w:r w:rsidR="002F767A">
        <w:rPr>
          <w:rFonts w:hint="cs"/>
          <w:b/>
          <w:bCs/>
          <w:rtl/>
        </w:rPr>
        <w:t>במשקל כולל של 54 ק"ג</w:t>
      </w:r>
      <w:r w:rsidR="002F767A">
        <w:rPr>
          <w:rFonts w:hint="cs"/>
          <w:rtl/>
        </w:rPr>
        <w:t xml:space="preserve">. במקרה זה נקבע </w:t>
      </w:r>
      <w:r w:rsidR="002F767A">
        <w:rPr>
          <w:rFonts w:hint="cs"/>
          <w:b/>
          <w:bCs/>
          <w:rtl/>
        </w:rPr>
        <w:t>מתחם ענישה שנע בין 22 ל-50 חודשי מאסר</w:t>
      </w:r>
      <w:r w:rsidR="002F767A">
        <w:rPr>
          <w:rFonts w:hint="cs"/>
          <w:rtl/>
        </w:rPr>
        <w:t>, נדון ל- 28 חודשי מאסר בפועל, לצד ענישה נלווית.</w:t>
      </w:r>
    </w:p>
    <w:p w:rsidR="002F767A" w:rsidRDefault="002F767A" w:rsidP="002F767A">
      <w:pPr>
        <w:spacing w:line="360" w:lineRule="auto"/>
        <w:ind w:left="720"/>
        <w:jc w:val="both"/>
        <w:rPr>
          <w:rtl/>
        </w:rPr>
      </w:pPr>
    </w:p>
    <w:p w:rsidR="002F767A" w:rsidRDefault="002F767A" w:rsidP="002F767A">
      <w:pPr>
        <w:snapToGrid w:val="0"/>
        <w:spacing w:line="360" w:lineRule="auto"/>
        <w:ind w:left="720" w:hanging="720"/>
        <w:jc w:val="both"/>
        <w:rPr>
          <w:rtl/>
        </w:rPr>
      </w:pPr>
      <w:r>
        <w:rPr>
          <w:rFonts w:hint="cs"/>
          <w:rtl/>
          <w:lang w:eastAsia="he-IL"/>
        </w:rPr>
        <w:t>12.</w:t>
      </w:r>
      <w:r>
        <w:rPr>
          <w:rFonts w:hint="cs"/>
          <w:rtl/>
          <w:lang w:eastAsia="he-IL"/>
        </w:rPr>
        <w:tab/>
        <w:t xml:space="preserve">בהתאם לסעיף </w:t>
      </w:r>
      <w:hyperlink r:id="rId36" w:history="1">
        <w:r w:rsidR="00C845C3" w:rsidRPr="00C845C3">
          <w:rPr>
            <w:rStyle w:val="Hyperlink"/>
            <w:color w:val="0000FF"/>
            <w:rtl/>
            <w:lang w:eastAsia="he-IL"/>
          </w:rPr>
          <w:t>40 ג(א)</w:t>
        </w:r>
      </w:hyperlink>
      <w:r>
        <w:rPr>
          <w:rFonts w:hint="cs"/>
          <w:rtl/>
          <w:lang w:eastAsia="he-IL"/>
        </w:rPr>
        <w:t xml:space="preserve"> ל</w:t>
      </w:r>
      <w:hyperlink r:id="rId37" w:history="1">
        <w:r w:rsidR="00903C2F" w:rsidRPr="00903C2F">
          <w:rPr>
            <w:color w:val="0000FF"/>
            <w:u w:val="single"/>
            <w:rtl/>
            <w:lang w:eastAsia="he-IL"/>
          </w:rPr>
          <w:t>חוק העונשין</w:t>
        </w:r>
      </w:hyperlink>
      <w:r>
        <w:rPr>
          <w:rFonts w:hint="cs"/>
          <w:rtl/>
          <w:lang w:eastAsia="he-IL"/>
        </w:rPr>
        <w:t xml:space="preserve"> התשל"ז – 1977, בית המשפט יקבע מתחם עונש הולם למעשה העבירה שביצע הנאשם בהתאם לעיקרון המנחה, ולשם כך יתחשב בערך החברתי שנפגע מביצוע העבירה, במידת הפגיעה בו, </w:t>
      </w:r>
      <w:r w:rsidRPr="009C0BAE">
        <w:rPr>
          <w:rtl/>
        </w:rPr>
        <w:t>בהתקיימותן של נסיבות הקשורות בביצוע העבירה, התכנון שקדם לביצוע העבירה;</w:t>
      </w:r>
      <w:r>
        <w:rPr>
          <w:rFonts w:hint="cs"/>
          <w:rtl/>
        </w:rPr>
        <w:t xml:space="preserve"> </w:t>
      </w:r>
      <w:r w:rsidRPr="009C0BAE">
        <w:rPr>
          <w:rtl/>
        </w:rPr>
        <w:t>הנזק שנגרם מביצוע העבירה;</w:t>
      </w:r>
      <w:r>
        <w:rPr>
          <w:rFonts w:hint="cs"/>
          <w:rtl/>
        </w:rPr>
        <w:t xml:space="preserve"> </w:t>
      </w:r>
      <w:r w:rsidRPr="009C0BAE">
        <w:rPr>
          <w:rtl/>
        </w:rPr>
        <w:t>הסיבות שהביאו את הנאשם לבצע את העבירה;</w:t>
      </w:r>
      <w:r>
        <w:rPr>
          <w:rFonts w:hint="cs"/>
          <w:rtl/>
          <w:lang w:eastAsia="he-IL"/>
        </w:rPr>
        <w:t xml:space="preserve"> במדיניות הענישה הנהוגה ובנסיבות הקשורות בביצוע העבירה. </w:t>
      </w:r>
      <w:r w:rsidRPr="00A46626">
        <w:rPr>
          <w:rFonts w:hint="cs"/>
          <w:rtl/>
          <w:lang w:eastAsia="he-IL"/>
        </w:rPr>
        <w:t xml:space="preserve">כפי שניתן לראות מדיניות הענישה הנוהגת בעבירות של גידול סם במשקל סביב ה- 50 ק"ג היא די אחידה והיא נעה בין 18- 36 חודשי מאסר. </w:t>
      </w:r>
      <w:r>
        <w:rPr>
          <w:rFonts w:hint="cs"/>
          <w:rtl/>
          <w:lang w:eastAsia="he-IL"/>
        </w:rPr>
        <w:t xml:space="preserve">שני מתחמי הענישה שהציגו הצדדים, המדינה בין 30-60 חודשי מאסר והסנגור עבודות שירות ועד 18 חודשי מאסר אינם תואמים את מדיניות הענישה הנוהגת. סבורני כי מתחם העונש ההולם יהיה בהתאם לפסיקה הנוהגת בין 18 </w:t>
      </w:r>
      <w:r>
        <w:rPr>
          <w:rtl/>
          <w:lang w:eastAsia="he-IL"/>
        </w:rPr>
        <w:t>–</w:t>
      </w:r>
      <w:r>
        <w:rPr>
          <w:rFonts w:hint="cs"/>
          <w:rtl/>
          <w:lang w:eastAsia="he-IL"/>
        </w:rPr>
        <w:t xml:space="preserve"> 36 חודשי מאסר. </w:t>
      </w:r>
    </w:p>
    <w:p w:rsidR="002F767A" w:rsidRDefault="002F767A" w:rsidP="002F767A">
      <w:pPr>
        <w:snapToGrid w:val="0"/>
        <w:spacing w:line="360" w:lineRule="auto"/>
        <w:ind w:left="720" w:hanging="720"/>
        <w:jc w:val="both"/>
      </w:pPr>
    </w:p>
    <w:p w:rsidR="002F767A" w:rsidRDefault="002F767A" w:rsidP="002F767A">
      <w:pPr>
        <w:snapToGrid w:val="0"/>
        <w:spacing w:line="360" w:lineRule="auto"/>
        <w:ind w:left="720" w:hanging="720"/>
        <w:jc w:val="both"/>
      </w:pPr>
      <w:r>
        <w:rPr>
          <w:rFonts w:hint="cs"/>
          <w:rtl/>
        </w:rPr>
        <w:t>13.</w:t>
      </w:r>
      <w:r>
        <w:rPr>
          <w:rFonts w:hint="cs"/>
          <w:rtl/>
        </w:rPr>
        <w:tab/>
        <w:t xml:space="preserve">השאלה בתיק זה בהקשר לעונש ההולם היא האם יש לחרוג ממתחם הענישה ואם אכן יש לחרוג ממתחם העונש מהי מידת הסטייה הנדרשת. הסנגור הציג פסיקה של מאסר בעבודות שירות למשך 9 חודשים ואולם לאחר עיון בפסיקה זו. כלל הפסיקה נגעה לחריגה ממתחם העונש ההולם בשל שיקולי שיקום. עיינתי בפסיקה, ממנה עולה כי מדובר בהליכי שיקום משמעותיים. </w:t>
      </w:r>
    </w:p>
    <w:p w:rsidR="002F767A" w:rsidRDefault="002F767A" w:rsidP="002F767A">
      <w:pPr>
        <w:pStyle w:val="ListParagraph"/>
        <w:spacing w:line="360" w:lineRule="auto"/>
        <w:rPr>
          <w:rtl/>
        </w:rPr>
      </w:pPr>
    </w:p>
    <w:p w:rsidR="002F767A" w:rsidRDefault="002F767A" w:rsidP="002F767A">
      <w:pPr>
        <w:snapToGrid w:val="0"/>
        <w:spacing w:line="360" w:lineRule="auto"/>
        <w:ind w:left="720" w:hanging="720"/>
        <w:jc w:val="both"/>
      </w:pPr>
      <w:r>
        <w:rPr>
          <w:rFonts w:hint="cs"/>
          <w:rtl/>
        </w:rPr>
        <w:t>14.</w:t>
      </w:r>
      <w:r>
        <w:rPr>
          <w:rFonts w:hint="cs"/>
          <w:rtl/>
        </w:rPr>
        <w:tab/>
        <w:t>עיינתי בתסקירי שירות המבחן ואכן נראה כי הנאשם השתלב בהליכי שיקום. השאלה העומדת לבחינה היא באם יש בהליכי שיקום אלו כדי להביא לחריגה המצדיקה ענישה של עבודות שירות. לאחר עיון בתסקירי שירות המבחן אני סבור כי חריגה במקרה שלנו לענישה בדרך של עבודות שירות היא חריגה משמעותית מאד שאינה מוצדקת מהאמור בתסקירים. שירות המבחן אכן ציין כי יש מקום להטיל על הנאשם ענישה של עבודות שירות. אולם המלצה זו נסובה סביב באפקט הקרימינוגני יותר מאשר בהסתמך על תוצאות ההליך הטיפולי. חשוב לזכור כי הנאשם מצוי בהליך טיפולי מאז חודש אוקטובר 2022 עת החל את הטיפול ביחידה להתמכרויות בבני ברק. הערכת המטפל היא כי עדיין על המבקש לרכוש כלים על מנת לסייע לו להתמודד בצורה אדפטיבית עם רגשות קשים ושליליים ועם תחושת מצוקה ופגיעות שעמדו ברקע לביצוע העבירות. בקשר עם שירות המבחן הנאשם שולב בהליך טיפולי במסגרת שירות המבחן רק בחודש מרץ 2024 בשל קושי להשתלב בקבוצה אחרת והוא נמצא כעת בשלב ראשוני והתחלתי של ההליך. בית המשפט היה מצפה בשלב זה לאחר שנה וחצי של טיפול כי הנאשם יהיה בשלבים מתקדמים מאד של הטיפול לפני סיומו ולא במקום בו הוא מצוי. על פניו ההתרשמות מהאמור בתסקירים ומידת ההתקדמות של הנאשם היא כי המוטיבציה לשיקום של הנאשם אינה ברמה כזו שהנאשם מקדם את הליך השיקום, אלא ההתרשמות כי הנאשם עושה מאמצי שיקום לצורך היחלצות ממאסר.</w:t>
      </w:r>
    </w:p>
    <w:p w:rsidR="002F767A" w:rsidRDefault="002F767A" w:rsidP="002F767A">
      <w:pPr>
        <w:pStyle w:val="ListParagraph"/>
        <w:spacing w:line="360" w:lineRule="auto"/>
        <w:rPr>
          <w:rtl/>
        </w:rPr>
      </w:pPr>
    </w:p>
    <w:p w:rsidR="002F767A" w:rsidRDefault="002F767A" w:rsidP="002F767A">
      <w:pPr>
        <w:snapToGrid w:val="0"/>
        <w:spacing w:line="360" w:lineRule="auto"/>
        <w:ind w:left="720" w:hanging="720"/>
        <w:jc w:val="both"/>
      </w:pPr>
      <w:r>
        <w:rPr>
          <w:rFonts w:hint="cs"/>
          <w:rtl/>
        </w:rPr>
        <w:t>15.</w:t>
      </w:r>
      <w:r>
        <w:rPr>
          <w:rFonts w:hint="cs"/>
          <w:rtl/>
        </w:rPr>
        <w:tab/>
        <w:t xml:space="preserve">בנסיבות האמורות בהתחשב בהליך טיפולי שנראה על פניו כהליך מדשדש ומתקדם באיטיות נוכח העובדה כי מוצע ע"י שירות המבחן צו מבחן של שנה, שלא ברור לאור התנהלות הנאשם כי יש בו די. איני סבור כי ניתן לחרוג בצורה כה משמעותית כפי שעותרת ההגנה. ואולם על מנת לחזק את הנאשם בהתחשב במאמצים שערך תקופה ארוכה יש מקום לחריגה מסוימת מהמתחם בשל הליכי השיקום להם נרתם ובתקווה שאכן נתרם מהם. </w:t>
      </w:r>
    </w:p>
    <w:p w:rsidR="002F767A" w:rsidRDefault="002F767A" w:rsidP="002F767A">
      <w:pPr>
        <w:pStyle w:val="ListParagraph"/>
        <w:spacing w:line="360" w:lineRule="auto"/>
        <w:rPr>
          <w:rtl/>
        </w:rPr>
      </w:pPr>
    </w:p>
    <w:p w:rsidR="002F767A" w:rsidRDefault="002F767A" w:rsidP="002F767A">
      <w:pPr>
        <w:snapToGrid w:val="0"/>
        <w:spacing w:line="360" w:lineRule="auto"/>
        <w:ind w:left="720" w:hanging="720"/>
        <w:jc w:val="both"/>
      </w:pPr>
      <w:r>
        <w:rPr>
          <w:rFonts w:hint="cs"/>
          <w:rtl/>
        </w:rPr>
        <w:t>16.</w:t>
      </w:r>
      <w:r>
        <w:rPr>
          <w:rFonts w:hint="cs"/>
          <w:rtl/>
        </w:rPr>
        <w:tab/>
        <w:t>אציין כי הנאשם נשלח לממונה על עבודות השירות בטרם מתן גז"ד. במסגרת ההחלטה לשלוח את הנאשם צוין כי אין בשליחתו כדי שהנאשם יפתח ציפיות לעניין העונש.</w:t>
      </w:r>
    </w:p>
    <w:p w:rsidR="002F767A" w:rsidRDefault="002F767A" w:rsidP="002F767A">
      <w:pPr>
        <w:pStyle w:val="ListParagraph"/>
        <w:spacing w:line="360" w:lineRule="auto"/>
        <w:rPr>
          <w:rtl/>
        </w:rPr>
      </w:pPr>
    </w:p>
    <w:p w:rsidR="002F767A" w:rsidRDefault="002F767A" w:rsidP="002F767A">
      <w:pPr>
        <w:snapToGrid w:val="0"/>
        <w:spacing w:line="360" w:lineRule="auto"/>
        <w:ind w:left="720" w:hanging="720"/>
        <w:jc w:val="both"/>
      </w:pPr>
      <w:r>
        <w:rPr>
          <w:rFonts w:hint="cs"/>
          <w:rtl/>
        </w:rPr>
        <w:t>17.</w:t>
      </w:r>
      <w:r>
        <w:rPr>
          <w:rFonts w:hint="cs"/>
          <w:rtl/>
        </w:rPr>
        <w:tab/>
        <w:t>בהינתן המתחם האמור, יש לגזור את עונשו של הנאשם תוך שקילת המתחם ותוך התחשבות בנסיבות המשליכות על קביעת העונש המתאים, כאשר בענייננו יש לתת משקל להלימה בגזירת העונש לביצוע העבירה ע"י הנאשם; נסיבות ביצוע העבירה וחומרתה; מידת הפגיעה בערך המוגן; גילו של הנאשם; הנסיבות עליהן עמדו הצדדים בטיעוניהם; הודאתו המצביעה על נטילת אחריות; היותו נעדר עבר פלילי; ההליך השיקומי כפי שהוא מתואר ע"י שירות המבחן בתסקיריו.</w:t>
      </w:r>
    </w:p>
    <w:p w:rsidR="002F767A" w:rsidRDefault="002F767A" w:rsidP="002F767A">
      <w:pPr>
        <w:pStyle w:val="ListParagraph"/>
        <w:rPr>
          <w:b/>
          <w:rtl/>
        </w:rPr>
      </w:pPr>
    </w:p>
    <w:p w:rsidR="002F767A" w:rsidRDefault="002F767A" w:rsidP="002F767A">
      <w:pPr>
        <w:pStyle w:val="ListParagraph"/>
        <w:rPr>
          <w:b/>
          <w:rtl/>
        </w:rPr>
      </w:pPr>
    </w:p>
    <w:p w:rsidR="002F767A" w:rsidRDefault="002F767A" w:rsidP="002F767A">
      <w:pPr>
        <w:pStyle w:val="ListParagraph"/>
        <w:rPr>
          <w:b/>
          <w:rtl/>
        </w:rPr>
      </w:pPr>
    </w:p>
    <w:p w:rsidR="002F767A" w:rsidRDefault="002F767A" w:rsidP="002F767A">
      <w:pPr>
        <w:pStyle w:val="ListParagraph"/>
        <w:rPr>
          <w:b/>
          <w:rtl/>
        </w:rPr>
      </w:pPr>
    </w:p>
    <w:p w:rsidR="002F767A" w:rsidRPr="00D830B6" w:rsidRDefault="002F767A" w:rsidP="002F767A">
      <w:pPr>
        <w:pStyle w:val="ListParagraph"/>
        <w:rPr>
          <w:b/>
          <w:rtl/>
        </w:rPr>
      </w:pPr>
    </w:p>
    <w:p w:rsidR="002F767A" w:rsidRPr="00D830B6" w:rsidRDefault="002F767A" w:rsidP="002F767A">
      <w:pPr>
        <w:snapToGrid w:val="0"/>
        <w:spacing w:line="360" w:lineRule="auto"/>
        <w:ind w:left="720" w:hanging="720"/>
        <w:jc w:val="both"/>
        <w:rPr>
          <w:rtl/>
        </w:rPr>
      </w:pPr>
      <w:r>
        <w:rPr>
          <w:rFonts w:hint="cs"/>
          <w:b/>
          <w:rtl/>
        </w:rPr>
        <w:t>18.</w:t>
      </w:r>
      <w:r>
        <w:rPr>
          <w:rFonts w:hint="cs"/>
          <w:b/>
          <w:rtl/>
        </w:rPr>
        <w:tab/>
      </w:r>
      <w:r w:rsidRPr="001229D9">
        <w:rPr>
          <w:rFonts w:hint="cs"/>
          <w:b/>
          <w:rtl/>
        </w:rPr>
        <w:t>לאחר ששמעתי את הצדדים בהתחשב בטיעוניהם, בנסיבות המקרה והעניין ועל פי כל השיקולים הצריכים לגזר הדין אני קובע כי אלה העונשים שאני משית על הנאשם:</w:t>
      </w:r>
    </w:p>
    <w:p w:rsidR="002F767A" w:rsidRDefault="002F767A" w:rsidP="002F767A">
      <w:pPr>
        <w:spacing w:line="360" w:lineRule="auto"/>
        <w:jc w:val="both"/>
        <w:rPr>
          <w:b/>
          <w:bCs/>
          <w:rtl/>
        </w:rPr>
      </w:pPr>
    </w:p>
    <w:p w:rsidR="002F767A" w:rsidRDefault="002F767A" w:rsidP="002F767A">
      <w:pPr>
        <w:pStyle w:val="ListParagraph"/>
        <w:numPr>
          <w:ilvl w:val="0"/>
          <w:numId w:val="1"/>
        </w:numPr>
        <w:snapToGrid w:val="0"/>
        <w:spacing w:line="360" w:lineRule="auto"/>
        <w:jc w:val="both"/>
      </w:pPr>
      <w:r>
        <w:rPr>
          <w:rtl/>
        </w:rPr>
        <w:t xml:space="preserve">אני דן את הנאשם לעונש מאסר למשך </w:t>
      </w:r>
      <w:r>
        <w:rPr>
          <w:rFonts w:hint="cs"/>
          <w:rtl/>
        </w:rPr>
        <w:t xml:space="preserve">12 </w:t>
      </w:r>
      <w:r>
        <w:rPr>
          <w:rtl/>
        </w:rPr>
        <w:t>חודשים</w:t>
      </w:r>
      <w:r>
        <w:rPr>
          <w:rFonts w:hint="cs"/>
          <w:rtl/>
        </w:rPr>
        <w:t xml:space="preserve"> (בניכוי ימי מעצרו 18.07.22 ועד 14.09.22).</w:t>
      </w:r>
    </w:p>
    <w:p w:rsidR="002F767A" w:rsidRPr="00AC7750" w:rsidRDefault="002F767A" w:rsidP="002F767A">
      <w:pPr>
        <w:spacing w:line="360" w:lineRule="auto"/>
        <w:jc w:val="both"/>
        <w:rPr>
          <w:rtl/>
        </w:rPr>
      </w:pPr>
    </w:p>
    <w:p w:rsidR="002F767A" w:rsidRDefault="002F767A" w:rsidP="002F767A">
      <w:pPr>
        <w:pStyle w:val="ListParagraph"/>
        <w:numPr>
          <w:ilvl w:val="0"/>
          <w:numId w:val="1"/>
        </w:numPr>
        <w:snapToGrid w:val="0"/>
        <w:spacing w:line="360" w:lineRule="auto"/>
        <w:jc w:val="both"/>
      </w:pPr>
      <w:r>
        <w:rPr>
          <w:rtl/>
        </w:rPr>
        <w:t xml:space="preserve">אני דן את הנאשם למאסר למשך </w:t>
      </w:r>
      <w:r>
        <w:rPr>
          <w:rFonts w:hint="cs"/>
          <w:rtl/>
        </w:rPr>
        <w:t>9</w:t>
      </w:r>
      <w:r>
        <w:rPr>
          <w:b/>
          <w:bCs/>
          <w:rtl/>
        </w:rPr>
        <w:t xml:space="preserve"> </w:t>
      </w:r>
      <w:r>
        <w:rPr>
          <w:rtl/>
        </w:rPr>
        <w:t>חודשים וזאת על תנאי למשך שלוש שנים. התנאי הוא שלא יעבור א</w:t>
      </w:r>
      <w:r>
        <w:rPr>
          <w:rFonts w:hint="cs"/>
          <w:rtl/>
        </w:rPr>
        <w:t>ח</w:t>
      </w:r>
      <w:r>
        <w:rPr>
          <w:rtl/>
        </w:rPr>
        <w:t>ת העביר</w:t>
      </w:r>
      <w:r>
        <w:rPr>
          <w:rFonts w:hint="cs"/>
          <w:rtl/>
        </w:rPr>
        <w:t>ות</w:t>
      </w:r>
      <w:r>
        <w:rPr>
          <w:rtl/>
        </w:rPr>
        <w:t xml:space="preserve"> בה</w:t>
      </w:r>
      <w:r>
        <w:rPr>
          <w:rFonts w:hint="cs"/>
          <w:rtl/>
        </w:rPr>
        <w:t>ן</w:t>
      </w:r>
      <w:r>
        <w:rPr>
          <w:rtl/>
        </w:rPr>
        <w:t xml:space="preserve"> הורשע</w:t>
      </w:r>
      <w:r>
        <w:rPr>
          <w:rFonts w:hint="cs"/>
          <w:rtl/>
        </w:rPr>
        <w:t xml:space="preserve">. </w:t>
      </w:r>
    </w:p>
    <w:p w:rsidR="002F767A" w:rsidRDefault="002F767A" w:rsidP="002F767A">
      <w:pPr>
        <w:pStyle w:val="ListParagraph"/>
        <w:rPr>
          <w:rtl/>
        </w:rPr>
      </w:pPr>
    </w:p>
    <w:p w:rsidR="002F767A" w:rsidRDefault="002F767A" w:rsidP="002F767A">
      <w:pPr>
        <w:pStyle w:val="ListParagraph"/>
        <w:numPr>
          <w:ilvl w:val="0"/>
          <w:numId w:val="1"/>
        </w:numPr>
        <w:snapToGrid w:val="0"/>
        <w:spacing w:line="360" w:lineRule="auto"/>
        <w:jc w:val="both"/>
      </w:pPr>
      <w:r>
        <w:rPr>
          <w:rtl/>
        </w:rPr>
        <w:t xml:space="preserve">הנאשם ישלם קנס בסך </w:t>
      </w:r>
      <w:r>
        <w:rPr>
          <w:rFonts w:hint="cs"/>
          <w:rtl/>
        </w:rPr>
        <w:t>5,000</w:t>
      </w:r>
      <w:r>
        <w:rPr>
          <w:rtl/>
        </w:rPr>
        <w:t xml:space="preserve"> </w:t>
      </w:r>
      <w:r>
        <w:rPr>
          <w:b/>
          <w:bCs/>
          <w:rtl/>
        </w:rPr>
        <w:t xml:space="preserve">₪ </w:t>
      </w:r>
      <w:r>
        <w:rPr>
          <w:rtl/>
        </w:rPr>
        <w:t xml:space="preserve">או </w:t>
      </w:r>
      <w:r>
        <w:rPr>
          <w:rFonts w:hint="cs"/>
          <w:rtl/>
        </w:rPr>
        <w:t>50</w:t>
      </w:r>
      <w:r>
        <w:rPr>
          <w:rtl/>
        </w:rPr>
        <w:t xml:space="preserve"> ימי מאסר תמורתם. </w:t>
      </w:r>
    </w:p>
    <w:p w:rsidR="002F767A" w:rsidRDefault="002F767A" w:rsidP="002F767A">
      <w:pPr>
        <w:pStyle w:val="ListParagraph"/>
        <w:spacing w:line="360" w:lineRule="auto"/>
        <w:jc w:val="both"/>
        <w:rPr>
          <w:rtl/>
        </w:rPr>
      </w:pPr>
      <w:r>
        <w:rPr>
          <w:rtl/>
        </w:rPr>
        <w:t>הקנס ישולם עד ליום</w:t>
      </w:r>
      <w:r>
        <w:rPr>
          <w:rFonts w:hint="cs"/>
          <w:rtl/>
        </w:rPr>
        <w:t xml:space="preserve"> 01.10.24. </w:t>
      </w:r>
    </w:p>
    <w:p w:rsidR="002F767A" w:rsidRDefault="002F767A" w:rsidP="002F767A">
      <w:pPr>
        <w:pStyle w:val="ListParagraph"/>
        <w:spacing w:line="360" w:lineRule="auto"/>
        <w:jc w:val="both"/>
        <w:rPr>
          <w:rtl/>
        </w:rPr>
      </w:pPr>
    </w:p>
    <w:p w:rsidR="002F767A" w:rsidRDefault="002F767A" w:rsidP="002F767A">
      <w:pPr>
        <w:pStyle w:val="ListParagraph"/>
        <w:numPr>
          <w:ilvl w:val="0"/>
          <w:numId w:val="1"/>
        </w:numPr>
        <w:spacing w:line="360" w:lineRule="auto"/>
        <w:jc w:val="both"/>
        <w:rPr>
          <w:rtl/>
        </w:rPr>
      </w:pPr>
      <w:r>
        <w:rPr>
          <w:rFonts w:hint="cs"/>
          <w:rtl/>
        </w:rPr>
        <w:t>אני מכריז על הנאשם סוחר סמים ומורה על חילוט הרכוש כאמור בכתב האישום.</w:t>
      </w:r>
    </w:p>
    <w:p w:rsidR="002F767A" w:rsidRDefault="002F767A" w:rsidP="002F767A">
      <w:pPr>
        <w:autoSpaceDE w:val="0"/>
        <w:autoSpaceDN w:val="0"/>
        <w:adjustRightInd w:val="0"/>
        <w:spacing w:line="360" w:lineRule="auto"/>
        <w:rPr>
          <w:rtl/>
        </w:rPr>
      </w:pPr>
    </w:p>
    <w:p w:rsidR="002F767A" w:rsidRDefault="002F767A" w:rsidP="002F767A">
      <w:pPr>
        <w:autoSpaceDE w:val="0"/>
        <w:autoSpaceDN w:val="0"/>
        <w:adjustRightInd w:val="0"/>
        <w:spacing w:line="360" w:lineRule="auto"/>
        <w:rPr>
          <w:b/>
          <w:bCs/>
          <w:u w:val="single"/>
          <w:rtl/>
        </w:rPr>
      </w:pPr>
      <w:r>
        <w:rPr>
          <w:rFonts w:hint="cs"/>
          <w:b/>
          <w:bCs/>
          <w:u w:val="single"/>
          <w:rtl/>
        </w:rPr>
        <w:t>המזכירות תשלח פרוטוקול הדיון לשירות המבחן.</w:t>
      </w:r>
    </w:p>
    <w:p w:rsidR="002F767A" w:rsidRDefault="002F767A" w:rsidP="002F767A">
      <w:pPr>
        <w:spacing w:line="360" w:lineRule="auto"/>
        <w:jc w:val="both"/>
        <w:rPr>
          <w:rtl/>
        </w:rPr>
      </w:pPr>
    </w:p>
    <w:p w:rsidR="002F767A" w:rsidRDefault="002F767A" w:rsidP="002F767A">
      <w:pPr>
        <w:spacing w:line="360" w:lineRule="auto"/>
        <w:ind w:left="720" w:hanging="720"/>
        <w:jc w:val="both"/>
        <w:rPr>
          <w:b/>
          <w:bCs/>
          <w:u w:val="single"/>
          <w:rtl/>
        </w:rPr>
      </w:pPr>
      <w:r>
        <w:rPr>
          <w:rFonts w:hint="cs"/>
          <w:b/>
          <w:bCs/>
          <w:u w:val="single"/>
          <w:rtl/>
        </w:rPr>
        <w:t>זכות ערעור לבית המשפט העליון, תוך 45 יום מהיום.</w:t>
      </w:r>
    </w:p>
    <w:p w:rsidR="002F767A" w:rsidRDefault="002F767A" w:rsidP="002F767A">
      <w:pPr>
        <w:spacing w:line="360" w:lineRule="auto"/>
        <w:ind w:left="720" w:hanging="720"/>
        <w:jc w:val="both"/>
        <w:rPr>
          <w:b/>
          <w:bCs/>
          <w:u w:val="single"/>
          <w:rtl/>
        </w:rPr>
      </w:pPr>
    </w:p>
    <w:p w:rsidR="002F767A" w:rsidRDefault="002F767A" w:rsidP="002F767A">
      <w:pPr>
        <w:spacing w:line="360" w:lineRule="auto"/>
        <w:jc w:val="both"/>
        <w:rPr>
          <w:b/>
          <w:bCs/>
          <w:u w:val="single"/>
          <w:rtl/>
        </w:rPr>
      </w:pPr>
      <w:r>
        <w:rPr>
          <w:rFonts w:hint="cs"/>
          <w:b/>
          <w:bCs/>
          <w:u w:val="single"/>
          <w:rtl/>
        </w:rPr>
        <w:t>במידה וקיימים מוצגים נוספים על הרכוש המחולט הרי שהם יישמדו, יחולטו, יושבו לבעליהם על פי שיקול הדעת של קצין החקירות.</w:t>
      </w:r>
    </w:p>
    <w:p w:rsidR="002F767A" w:rsidRDefault="002F767A" w:rsidP="002F767A">
      <w:pPr>
        <w:spacing w:line="360" w:lineRule="auto"/>
        <w:rPr>
          <w:rtl/>
        </w:rPr>
      </w:pPr>
    </w:p>
    <w:p w:rsidR="002F767A" w:rsidRDefault="002F767A" w:rsidP="002F767A">
      <w:pPr>
        <w:spacing w:line="360" w:lineRule="auto"/>
        <w:jc w:val="both"/>
        <w:rPr>
          <w:b/>
          <w:bCs/>
          <w:u w:val="single"/>
        </w:rPr>
      </w:pPr>
      <w:r>
        <w:rPr>
          <w:rFonts w:hint="cs"/>
          <w:b/>
          <w:bCs/>
          <w:u w:val="single"/>
          <w:rtl/>
        </w:rPr>
        <w:t>ככל</w:t>
      </w:r>
      <w:r>
        <w:rPr>
          <w:rFonts w:hint="cs"/>
          <w:b/>
          <w:bCs/>
          <w:u w:val="single"/>
        </w:rPr>
        <w:t xml:space="preserve"> </w:t>
      </w:r>
      <w:r>
        <w:rPr>
          <w:rFonts w:hint="cs"/>
          <w:b/>
          <w:bCs/>
          <w:u w:val="single"/>
          <w:rtl/>
        </w:rPr>
        <w:t>שהופקד</w:t>
      </w:r>
      <w:r>
        <w:rPr>
          <w:rFonts w:hint="cs"/>
          <w:b/>
          <w:bCs/>
          <w:u w:val="single"/>
        </w:rPr>
        <w:t xml:space="preserve"> </w:t>
      </w:r>
      <w:r>
        <w:rPr>
          <w:rFonts w:hint="cs"/>
          <w:b/>
          <w:bCs/>
          <w:u w:val="single"/>
          <w:rtl/>
        </w:rPr>
        <w:t>פיקדון</w:t>
      </w:r>
      <w:r>
        <w:rPr>
          <w:rFonts w:hint="cs"/>
          <w:b/>
          <w:bCs/>
          <w:u w:val="single"/>
        </w:rPr>
        <w:t xml:space="preserve"> </w:t>
      </w:r>
      <w:r>
        <w:rPr>
          <w:rFonts w:hint="cs"/>
          <w:b/>
          <w:bCs/>
          <w:u w:val="single"/>
          <w:rtl/>
        </w:rPr>
        <w:t>בתיק</w:t>
      </w:r>
      <w:r>
        <w:rPr>
          <w:rFonts w:hint="cs"/>
          <w:b/>
          <w:bCs/>
          <w:u w:val="single"/>
        </w:rPr>
        <w:t xml:space="preserve"> </w:t>
      </w:r>
      <w:r>
        <w:rPr>
          <w:rFonts w:hint="cs"/>
          <w:b/>
          <w:bCs/>
          <w:u w:val="single"/>
          <w:rtl/>
        </w:rPr>
        <w:t>זה או בתיקים קשורים על-ידי</w:t>
      </w:r>
      <w:r>
        <w:rPr>
          <w:rFonts w:hint="cs"/>
          <w:b/>
          <w:bCs/>
          <w:u w:val="single"/>
        </w:rPr>
        <w:t xml:space="preserve"> </w:t>
      </w:r>
      <w:r>
        <w:rPr>
          <w:rFonts w:hint="cs"/>
          <w:b/>
          <w:bCs/>
          <w:u w:val="single"/>
          <w:rtl/>
        </w:rPr>
        <w:t>הנאשם, הקנס יקוזז מהפיקדון ואת היתרה יש</w:t>
      </w:r>
      <w:r>
        <w:rPr>
          <w:rFonts w:hint="cs"/>
          <w:b/>
          <w:bCs/>
          <w:u w:val="single"/>
        </w:rPr>
        <w:t xml:space="preserve"> </w:t>
      </w:r>
      <w:r>
        <w:rPr>
          <w:rFonts w:hint="cs"/>
          <w:b/>
          <w:bCs/>
          <w:u w:val="single"/>
          <w:rtl/>
        </w:rPr>
        <w:t>להחזיר</w:t>
      </w:r>
      <w:r>
        <w:rPr>
          <w:rFonts w:hint="cs"/>
          <w:b/>
          <w:bCs/>
          <w:u w:val="single"/>
        </w:rPr>
        <w:t xml:space="preserve"> </w:t>
      </w:r>
      <w:r>
        <w:rPr>
          <w:rFonts w:hint="cs"/>
          <w:b/>
          <w:bCs/>
          <w:u w:val="single"/>
          <w:rtl/>
        </w:rPr>
        <w:t>לידיו</w:t>
      </w:r>
      <w:r>
        <w:rPr>
          <w:rFonts w:hint="cs"/>
          <w:b/>
          <w:bCs/>
          <w:u w:val="single"/>
        </w:rPr>
        <w:t xml:space="preserve"> </w:t>
      </w:r>
      <w:r>
        <w:rPr>
          <w:rFonts w:hint="cs"/>
          <w:b/>
          <w:bCs/>
          <w:u w:val="single"/>
          <w:rtl/>
        </w:rPr>
        <w:t>או</w:t>
      </w:r>
      <w:r>
        <w:rPr>
          <w:rFonts w:hint="cs"/>
          <w:b/>
          <w:bCs/>
          <w:u w:val="single"/>
        </w:rPr>
        <w:t xml:space="preserve"> </w:t>
      </w:r>
      <w:r>
        <w:rPr>
          <w:rFonts w:hint="cs"/>
          <w:b/>
          <w:bCs/>
          <w:u w:val="single"/>
          <w:rtl/>
        </w:rPr>
        <w:t>לגורם</w:t>
      </w:r>
      <w:r>
        <w:rPr>
          <w:rFonts w:hint="cs"/>
          <w:b/>
          <w:bCs/>
          <w:u w:val="single"/>
        </w:rPr>
        <w:t xml:space="preserve"> </w:t>
      </w:r>
      <w:r>
        <w:rPr>
          <w:rFonts w:hint="cs"/>
          <w:b/>
          <w:bCs/>
          <w:u w:val="single"/>
          <w:rtl/>
        </w:rPr>
        <w:t>אחר</w:t>
      </w:r>
      <w:r>
        <w:rPr>
          <w:rFonts w:hint="cs"/>
          <w:b/>
          <w:bCs/>
          <w:u w:val="single"/>
        </w:rPr>
        <w:t xml:space="preserve"> </w:t>
      </w:r>
      <w:r>
        <w:rPr>
          <w:rFonts w:hint="cs"/>
          <w:b/>
          <w:bCs/>
          <w:u w:val="single"/>
          <w:rtl/>
        </w:rPr>
        <w:t>לפי</w:t>
      </w:r>
      <w:r>
        <w:rPr>
          <w:rFonts w:hint="cs"/>
          <w:b/>
          <w:bCs/>
          <w:u w:val="single"/>
        </w:rPr>
        <w:t xml:space="preserve"> </w:t>
      </w:r>
      <w:r>
        <w:rPr>
          <w:rFonts w:hint="cs"/>
          <w:b/>
          <w:bCs/>
          <w:u w:val="single"/>
          <w:rtl/>
        </w:rPr>
        <w:t>בקשת</w:t>
      </w:r>
      <w:r>
        <w:rPr>
          <w:rFonts w:hint="cs"/>
          <w:b/>
          <w:bCs/>
          <w:u w:val="single"/>
        </w:rPr>
        <w:t xml:space="preserve"> </w:t>
      </w:r>
      <w:r>
        <w:rPr>
          <w:rFonts w:hint="cs"/>
          <w:b/>
          <w:bCs/>
          <w:u w:val="single"/>
          <w:rtl/>
        </w:rPr>
        <w:t>הנאשם, בהיעדר</w:t>
      </w:r>
      <w:r>
        <w:rPr>
          <w:rFonts w:hint="cs"/>
          <w:b/>
          <w:bCs/>
          <w:u w:val="single"/>
        </w:rPr>
        <w:t xml:space="preserve"> </w:t>
      </w:r>
      <w:r>
        <w:rPr>
          <w:rFonts w:hint="cs"/>
          <w:b/>
          <w:bCs/>
          <w:u w:val="single"/>
          <w:rtl/>
        </w:rPr>
        <w:t>מניעה</w:t>
      </w:r>
      <w:r>
        <w:rPr>
          <w:rFonts w:hint="cs"/>
          <w:b/>
          <w:bCs/>
          <w:u w:val="single"/>
        </w:rPr>
        <w:t xml:space="preserve"> </w:t>
      </w:r>
      <w:r>
        <w:rPr>
          <w:rFonts w:hint="cs"/>
          <w:b/>
          <w:bCs/>
          <w:u w:val="single"/>
          <w:rtl/>
        </w:rPr>
        <w:t>על-פי</w:t>
      </w:r>
      <w:r>
        <w:rPr>
          <w:rFonts w:hint="cs"/>
          <w:b/>
          <w:bCs/>
          <w:u w:val="single"/>
        </w:rPr>
        <w:t xml:space="preserve"> </w:t>
      </w:r>
      <w:r>
        <w:rPr>
          <w:rFonts w:hint="cs"/>
          <w:b/>
          <w:bCs/>
          <w:u w:val="single"/>
          <w:rtl/>
        </w:rPr>
        <w:t xml:space="preserve">דין. זאת לאחר הצגת אישור על התייצבות למאסר. </w:t>
      </w:r>
    </w:p>
    <w:p w:rsidR="002F767A" w:rsidRPr="00AC7750" w:rsidRDefault="002F767A" w:rsidP="002F767A">
      <w:pPr>
        <w:spacing w:line="360" w:lineRule="auto"/>
        <w:rPr>
          <w:rtl/>
        </w:rPr>
      </w:pPr>
    </w:p>
    <w:p w:rsidR="002F767A" w:rsidRDefault="002F767A" w:rsidP="002F767A">
      <w:pPr>
        <w:spacing w:line="360" w:lineRule="auto"/>
        <w:ind w:left="720" w:hanging="720"/>
        <w:jc w:val="both"/>
        <w:rPr>
          <w:b/>
          <w:bCs/>
          <w:u w:val="single"/>
          <w:rtl/>
        </w:rPr>
      </w:pPr>
      <w:r>
        <w:rPr>
          <w:rFonts w:hint="cs"/>
          <w:b/>
          <w:bCs/>
          <w:u w:val="single"/>
          <w:rtl/>
        </w:rPr>
        <w:t>המרשם הפלילי הושב לידיה הנאמנות של התביעה</w:t>
      </w:r>
    </w:p>
    <w:p w:rsidR="002F767A" w:rsidRDefault="002F767A" w:rsidP="002F767A">
      <w:pPr>
        <w:spacing w:line="360" w:lineRule="auto"/>
        <w:jc w:val="both"/>
        <w:rPr>
          <w:b/>
          <w:bCs/>
          <w:u w:val="single"/>
          <w:rtl/>
        </w:rPr>
      </w:pPr>
    </w:p>
    <w:p w:rsidR="002F767A" w:rsidRDefault="002F767A" w:rsidP="002F767A">
      <w:pPr>
        <w:spacing w:line="360" w:lineRule="auto"/>
        <w:jc w:val="both"/>
        <w:rPr>
          <w:b/>
          <w:bCs/>
          <w:u w:val="single"/>
          <w:rtl/>
        </w:rPr>
      </w:pPr>
      <w:r w:rsidRPr="00E85526">
        <w:rPr>
          <w:b/>
          <w:bCs/>
          <w:u w:val="single"/>
          <w:rtl/>
        </w:rPr>
        <w:t xml:space="preserve">הנאשם </w:t>
      </w:r>
      <w:r w:rsidR="00903C2F">
        <w:rPr>
          <w:b/>
          <w:bCs/>
          <w:u w:val="single"/>
        </w:rPr>
        <w:t xml:space="preserve"> </w:t>
      </w:r>
      <w:r w:rsidRPr="00E85526">
        <w:rPr>
          <w:b/>
          <w:bCs/>
          <w:u w:val="single"/>
          <w:rtl/>
        </w:rPr>
        <w:t>יתייצב</w:t>
      </w:r>
      <w:r w:rsidRPr="00E85526">
        <w:rPr>
          <w:b/>
          <w:bCs/>
          <w:u w:val="single"/>
        </w:rPr>
        <w:t xml:space="preserve"> </w:t>
      </w:r>
      <w:r w:rsidRPr="00E85526">
        <w:rPr>
          <w:b/>
          <w:bCs/>
          <w:u w:val="single"/>
          <w:rtl/>
        </w:rPr>
        <w:t>לשאת</w:t>
      </w:r>
      <w:r w:rsidRPr="00E85526">
        <w:rPr>
          <w:b/>
          <w:bCs/>
          <w:u w:val="single"/>
        </w:rPr>
        <w:t xml:space="preserve"> </w:t>
      </w:r>
      <w:r w:rsidRPr="00E85526">
        <w:rPr>
          <w:b/>
          <w:bCs/>
          <w:u w:val="single"/>
          <w:rtl/>
        </w:rPr>
        <w:t>בעונש</w:t>
      </w:r>
      <w:r w:rsidRPr="00E85526">
        <w:rPr>
          <w:b/>
          <w:bCs/>
          <w:u w:val="single"/>
        </w:rPr>
        <w:t xml:space="preserve"> </w:t>
      </w:r>
      <w:r w:rsidRPr="00E85526">
        <w:rPr>
          <w:b/>
          <w:bCs/>
          <w:u w:val="single"/>
          <w:rtl/>
        </w:rPr>
        <w:t>המאסר</w:t>
      </w:r>
      <w:r w:rsidRPr="00E85526">
        <w:rPr>
          <w:b/>
          <w:bCs/>
          <w:u w:val="single"/>
        </w:rPr>
        <w:t xml:space="preserve"> </w:t>
      </w:r>
      <w:r w:rsidRPr="00E85526">
        <w:rPr>
          <w:b/>
          <w:bCs/>
          <w:u w:val="single"/>
          <w:rtl/>
        </w:rPr>
        <w:t>בפועל</w:t>
      </w:r>
      <w:r w:rsidRPr="00E85526">
        <w:rPr>
          <w:b/>
          <w:bCs/>
          <w:u w:val="single"/>
        </w:rPr>
        <w:t xml:space="preserve"> </w:t>
      </w:r>
      <w:r w:rsidRPr="00E85526">
        <w:rPr>
          <w:b/>
          <w:bCs/>
          <w:u w:val="single"/>
          <w:rtl/>
        </w:rPr>
        <w:t>שהוטל</w:t>
      </w:r>
      <w:r w:rsidRPr="00E85526">
        <w:rPr>
          <w:b/>
          <w:bCs/>
          <w:u w:val="single"/>
        </w:rPr>
        <w:t xml:space="preserve"> </w:t>
      </w:r>
      <w:r w:rsidRPr="00E85526">
        <w:rPr>
          <w:b/>
          <w:bCs/>
          <w:u w:val="single"/>
          <w:rtl/>
        </w:rPr>
        <w:t xml:space="preserve">עליו במסגרת גזר דין זה ביום </w:t>
      </w:r>
      <w:r>
        <w:rPr>
          <w:rFonts w:hint="cs"/>
          <w:b/>
          <w:bCs/>
          <w:u w:val="single"/>
          <w:rtl/>
        </w:rPr>
        <w:t xml:space="preserve">18.08.24 </w:t>
      </w:r>
      <w:r w:rsidRPr="00E85526">
        <w:rPr>
          <w:b/>
          <w:bCs/>
          <w:u w:val="single"/>
          <w:rtl/>
        </w:rPr>
        <w:t>עד</w:t>
      </w:r>
      <w:r w:rsidRPr="00E85526">
        <w:rPr>
          <w:b/>
          <w:bCs/>
          <w:u w:val="single"/>
        </w:rPr>
        <w:t xml:space="preserve"> </w:t>
      </w:r>
      <w:r w:rsidRPr="00E85526">
        <w:rPr>
          <w:b/>
          <w:bCs/>
          <w:u w:val="single"/>
          <w:rtl/>
        </w:rPr>
        <w:t>השעה</w:t>
      </w:r>
      <w:r w:rsidRPr="00E85526">
        <w:rPr>
          <w:b/>
          <w:bCs/>
          <w:u w:val="single"/>
        </w:rPr>
        <w:t xml:space="preserve"> 10:00 </w:t>
      </w:r>
      <w:r w:rsidRPr="00E85526">
        <w:rPr>
          <w:b/>
          <w:bCs/>
          <w:u w:val="single"/>
          <w:rtl/>
        </w:rPr>
        <w:t>בימ</w:t>
      </w:r>
      <w:r w:rsidRPr="00E85526">
        <w:rPr>
          <w:b/>
          <w:bCs/>
          <w:u w:val="single"/>
        </w:rPr>
        <w:t>"</w:t>
      </w:r>
      <w:r w:rsidRPr="00E85526">
        <w:rPr>
          <w:b/>
          <w:bCs/>
          <w:u w:val="single"/>
          <w:rtl/>
        </w:rPr>
        <w:t>ר</w:t>
      </w:r>
      <w:r w:rsidRPr="00E85526">
        <w:rPr>
          <w:b/>
          <w:bCs/>
          <w:u w:val="single"/>
        </w:rPr>
        <w:t xml:space="preserve"> </w:t>
      </w:r>
      <w:r w:rsidRPr="00E85526">
        <w:rPr>
          <w:b/>
          <w:bCs/>
          <w:u w:val="single"/>
          <w:rtl/>
        </w:rPr>
        <w:t>הדרים, או</w:t>
      </w:r>
      <w:r w:rsidRPr="00E85526">
        <w:rPr>
          <w:b/>
          <w:bCs/>
          <w:u w:val="single"/>
        </w:rPr>
        <w:t xml:space="preserve"> </w:t>
      </w:r>
      <w:r w:rsidRPr="00E85526">
        <w:rPr>
          <w:b/>
          <w:bCs/>
          <w:u w:val="single"/>
          <w:rtl/>
        </w:rPr>
        <w:t>במקום</w:t>
      </w:r>
      <w:r w:rsidRPr="00E85526">
        <w:rPr>
          <w:b/>
          <w:bCs/>
          <w:u w:val="single"/>
        </w:rPr>
        <w:t xml:space="preserve"> </w:t>
      </w:r>
      <w:r w:rsidRPr="00E85526">
        <w:rPr>
          <w:b/>
          <w:bCs/>
          <w:u w:val="single"/>
          <w:rtl/>
        </w:rPr>
        <w:t>אחר</w:t>
      </w:r>
      <w:r w:rsidRPr="00E85526">
        <w:rPr>
          <w:b/>
          <w:bCs/>
          <w:u w:val="single"/>
        </w:rPr>
        <w:t xml:space="preserve"> </w:t>
      </w:r>
      <w:r w:rsidRPr="00E85526">
        <w:rPr>
          <w:b/>
          <w:bCs/>
          <w:u w:val="single"/>
          <w:rtl/>
        </w:rPr>
        <w:t>על</w:t>
      </w:r>
      <w:r w:rsidRPr="00E85526">
        <w:rPr>
          <w:b/>
          <w:bCs/>
          <w:u w:val="single"/>
        </w:rPr>
        <w:t xml:space="preserve"> </w:t>
      </w:r>
      <w:r w:rsidRPr="00E85526">
        <w:rPr>
          <w:b/>
          <w:bCs/>
          <w:u w:val="single"/>
          <w:rtl/>
        </w:rPr>
        <w:t>פי</w:t>
      </w:r>
      <w:r w:rsidRPr="00E85526">
        <w:rPr>
          <w:b/>
          <w:bCs/>
          <w:u w:val="single"/>
        </w:rPr>
        <w:t xml:space="preserve"> </w:t>
      </w:r>
      <w:r w:rsidRPr="00E85526">
        <w:rPr>
          <w:b/>
          <w:bCs/>
          <w:u w:val="single"/>
          <w:rtl/>
        </w:rPr>
        <w:t>החלטת</w:t>
      </w:r>
      <w:r w:rsidRPr="00E85526">
        <w:rPr>
          <w:b/>
          <w:bCs/>
          <w:u w:val="single"/>
        </w:rPr>
        <w:t xml:space="preserve"> </w:t>
      </w:r>
      <w:r w:rsidRPr="00E85526">
        <w:rPr>
          <w:b/>
          <w:bCs/>
          <w:u w:val="single"/>
          <w:rtl/>
        </w:rPr>
        <w:t>שירות</w:t>
      </w:r>
      <w:r w:rsidRPr="00E85526">
        <w:rPr>
          <w:b/>
          <w:bCs/>
          <w:u w:val="single"/>
        </w:rPr>
        <w:t xml:space="preserve"> </w:t>
      </w:r>
      <w:r w:rsidRPr="00E85526">
        <w:rPr>
          <w:b/>
          <w:bCs/>
          <w:u w:val="single"/>
          <w:rtl/>
        </w:rPr>
        <w:t>בתי</w:t>
      </w:r>
      <w:r w:rsidRPr="00E85526">
        <w:rPr>
          <w:b/>
          <w:bCs/>
          <w:u w:val="single"/>
        </w:rPr>
        <w:t xml:space="preserve"> </w:t>
      </w:r>
      <w:r w:rsidRPr="00E85526">
        <w:rPr>
          <w:b/>
          <w:bCs/>
          <w:u w:val="single"/>
          <w:rtl/>
        </w:rPr>
        <w:t>הסוהר</w:t>
      </w:r>
      <w:r w:rsidRPr="00E85526">
        <w:rPr>
          <w:b/>
          <w:bCs/>
          <w:u w:val="single"/>
        </w:rPr>
        <w:t>,</w:t>
      </w:r>
      <w:r w:rsidRPr="00E85526">
        <w:rPr>
          <w:b/>
          <w:bCs/>
          <w:u w:val="single"/>
          <w:rtl/>
        </w:rPr>
        <w:t xml:space="preserve"> </w:t>
      </w:r>
      <w:r w:rsidRPr="00E85526">
        <w:rPr>
          <w:rFonts w:hint="cs"/>
          <w:b/>
          <w:bCs/>
          <w:u w:val="single"/>
          <w:rtl/>
        </w:rPr>
        <w:t>כשברשתו</w:t>
      </w:r>
      <w:r w:rsidRPr="00E85526">
        <w:rPr>
          <w:b/>
          <w:bCs/>
          <w:u w:val="single"/>
        </w:rPr>
        <w:t xml:space="preserve"> </w:t>
      </w:r>
      <w:r w:rsidRPr="00E85526">
        <w:rPr>
          <w:b/>
          <w:bCs/>
          <w:u w:val="single"/>
          <w:rtl/>
        </w:rPr>
        <w:t>תעודת</w:t>
      </w:r>
      <w:r w:rsidRPr="00E85526">
        <w:rPr>
          <w:b/>
          <w:bCs/>
          <w:u w:val="single"/>
        </w:rPr>
        <w:t xml:space="preserve"> </w:t>
      </w:r>
      <w:r w:rsidRPr="00E85526">
        <w:rPr>
          <w:b/>
          <w:bCs/>
          <w:u w:val="single"/>
          <w:rtl/>
        </w:rPr>
        <w:t>זהות</w:t>
      </w:r>
      <w:r w:rsidRPr="00E85526">
        <w:rPr>
          <w:b/>
          <w:bCs/>
          <w:u w:val="single"/>
        </w:rPr>
        <w:t xml:space="preserve"> </w:t>
      </w:r>
      <w:r w:rsidRPr="00E85526">
        <w:rPr>
          <w:b/>
          <w:bCs/>
          <w:u w:val="single"/>
          <w:rtl/>
        </w:rPr>
        <w:t>או</w:t>
      </w:r>
      <w:r w:rsidRPr="00E85526">
        <w:rPr>
          <w:b/>
          <w:bCs/>
          <w:u w:val="single"/>
        </w:rPr>
        <w:t xml:space="preserve"> </w:t>
      </w:r>
      <w:r w:rsidRPr="00E85526">
        <w:rPr>
          <w:b/>
          <w:bCs/>
          <w:u w:val="single"/>
          <w:rtl/>
        </w:rPr>
        <w:t>דרכון. על</w:t>
      </w:r>
      <w:r w:rsidRPr="00E85526">
        <w:rPr>
          <w:b/>
          <w:bCs/>
          <w:u w:val="single"/>
        </w:rPr>
        <w:t xml:space="preserve"> </w:t>
      </w:r>
      <w:r w:rsidRPr="00E85526">
        <w:rPr>
          <w:b/>
          <w:bCs/>
          <w:u w:val="single"/>
          <w:rtl/>
        </w:rPr>
        <w:t>הנאשם</w:t>
      </w:r>
      <w:r w:rsidRPr="00E85526">
        <w:rPr>
          <w:b/>
          <w:bCs/>
          <w:u w:val="single"/>
        </w:rPr>
        <w:t xml:space="preserve"> </w:t>
      </w:r>
      <w:r w:rsidRPr="00E85526">
        <w:rPr>
          <w:b/>
          <w:bCs/>
          <w:u w:val="single"/>
          <w:rtl/>
        </w:rPr>
        <w:t>לתאם</w:t>
      </w:r>
      <w:r w:rsidRPr="00E85526">
        <w:rPr>
          <w:b/>
          <w:bCs/>
          <w:u w:val="single"/>
        </w:rPr>
        <w:t xml:space="preserve"> </w:t>
      </w:r>
      <w:r w:rsidRPr="00E85526">
        <w:rPr>
          <w:b/>
          <w:bCs/>
          <w:u w:val="single"/>
          <w:rtl/>
        </w:rPr>
        <w:t>את</w:t>
      </w:r>
      <w:r w:rsidRPr="00E85526">
        <w:rPr>
          <w:b/>
          <w:bCs/>
          <w:u w:val="single"/>
        </w:rPr>
        <w:t xml:space="preserve"> </w:t>
      </w:r>
      <w:r w:rsidRPr="00E85526">
        <w:rPr>
          <w:b/>
          <w:bCs/>
          <w:u w:val="single"/>
          <w:rtl/>
        </w:rPr>
        <w:t>הכניסה</w:t>
      </w:r>
      <w:r w:rsidRPr="00E85526">
        <w:rPr>
          <w:b/>
          <w:bCs/>
          <w:u w:val="single"/>
        </w:rPr>
        <w:t xml:space="preserve"> </w:t>
      </w:r>
      <w:r w:rsidRPr="00E85526">
        <w:rPr>
          <w:b/>
          <w:bCs/>
          <w:u w:val="single"/>
          <w:rtl/>
        </w:rPr>
        <w:t>למאסר, כולל האפשרות</w:t>
      </w:r>
      <w:r w:rsidRPr="00E85526">
        <w:rPr>
          <w:b/>
          <w:bCs/>
          <w:u w:val="single"/>
        </w:rPr>
        <w:t xml:space="preserve"> </w:t>
      </w:r>
      <w:r w:rsidRPr="00E85526">
        <w:rPr>
          <w:b/>
          <w:bCs/>
          <w:u w:val="single"/>
          <w:rtl/>
        </w:rPr>
        <w:t>למיון</w:t>
      </w:r>
      <w:r w:rsidRPr="00E85526">
        <w:rPr>
          <w:b/>
          <w:bCs/>
          <w:u w:val="single"/>
        </w:rPr>
        <w:t xml:space="preserve"> </w:t>
      </w:r>
      <w:r w:rsidRPr="00E85526">
        <w:rPr>
          <w:b/>
          <w:bCs/>
          <w:u w:val="single"/>
          <w:rtl/>
        </w:rPr>
        <w:t>מוקדם, עם</w:t>
      </w:r>
      <w:r w:rsidRPr="00E85526">
        <w:rPr>
          <w:b/>
          <w:bCs/>
          <w:u w:val="single"/>
        </w:rPr>
        <w:t xml:space="preserve"> </w:t>
      </w:r>
      <w:r w:rsidRPr="00E85526">
        <w:rPr>
          <w:b/>
          <w:bCs/>
          <w:u w:val="single"/>
          <w:rtl/>
        </w:rPr>
        <w:t>ענף</w:t>
      </w:r>
      <w:r w:rsidRPr="00E85526">
        <w:rPr>
          <w:b/>
          <w:bCs/>
          <w:u w:val="single"/>
        </w:rPr>
        <w:t xml:space="preserve"> </w:t>
      </w:r>
      <w:r w:rsidRPr="00E85526">
        <w:rPr>
          <w:b/>
          <w:bCs/>
          <w:u w:val="single"/>
          <w:rtl/>
        </w:rPr>
        <w:t>אבחון</w:t>
      </w:r>
      <w:r w:rsidRPr="00E85526">
        <w:rPr>
          <w:b/>
          <w:bCs/>
          <w:u w:val="single"/>
        </w:rPr>
        <w:t xml:space="preserve"> </w:t>
      </w:r>
      <w:r w:rsidRPr="00E85526">
        <w:rPr>
          <w:b/>
          <w:bCs/>
          <w:u w:val="single"/>
          <w:rtl/>
        </w:rPr>
        <w:t>ומיון</w:t>
      </w:r>
      <w:r w:rsidRPr="00E85526">
        <w:rPr>
          <w:b/>
          <w:bCs/>
          <w:u w:val="single"/>
        </w:rPr>
        <w:t xml:space="preserve"> </w:t>
      </w:r>
      <w:r w:rsidRPr="00E85526">
        <w:rPr>
          <w:b/>
          <w:bCs/>
          <w:u w:val="single"/>
          <w:rtl/>
        </w:rPr>
        <w:t>של</w:t>
      </w:r>
      <w:r w:rsidRPr="00E85526">
        <w:rPr>
          <w:b/>
          <w:bCs/>
          <w:u w:val="single"/>
        </w:rPr>
        <w:t xml:space="preserve"> </w:t>
      </w:r>
      <w:r w:rsidRPr="00E85526">
        <w:rPr>
          <w:b/>
          <w:bCs/>
          <w:u w:val="single"/>
          <w:rtl/>
        </w:rPr>
        <w:t>שירות</w:t>
      </w:r>
      <w:r w:rsidRPr="00E85526">
        <w:rPr>
          <w:b/>
          <w:bCs/>
          <w:u w:val="single"/>
        </w:rPr>
        <w:t xml:space="preserve"> </w:t>
      </w:r>
      <w:r w:rsidRPr="00E85526">
        <w:rPr>
          <w:b/>
          <w:bCs/>
          <w:u w:val="single"/>
          <w:rtl/>
        </w:rPr>
        <w:t>בתי</w:t>
      </w:r>
      <w:r w:rsidRPr="00E85526">
        <w:rPr>
          <w:b/>
          <w:bCs/>
          <w:u w:val="single"/>
        </w:rPr>
        <w:t xml:space="preserve"> </w:t>
      </w:r>
      <w:r w:rsidRPr="00E85526">
        <w:rPr>
          <w:b/>
          <w:bCs/>
          <w:u w:val="single"/>
          <w:rtl/>
        </w:rPr>
        <w:t xml:space="preserve">הסוהר, בטלפונים 074-7831077 או 074-7831078. </w:t>
      </w:r>
    </w:p>
    <w:p w:rsidR="002F767A" w:rsidRDefault="002F767A" w:rsidP="002F767A">
      <w:pPr>
        <w:jc w:val="both"/>
        <w:rPr>
          <w:b/>
          <w:bCs/>
          <w:u w:val="single"/>
          <w:rtl/>
        </w:rPr>
      </w:pPr>
    </w:p>
    <w:p w:rsidR="002F767A" w:rsidRDefault="00903C2F" w:rsidP="002F767A">
      <w:pPr>
        <w:rPr>
          <w:rtl/>
        </w:rPr>
      </w:pPr>
      <w:bookmarkStart w:id="8" w:name="Nitan"/>
      <w:r w:rsidRPr="00903C2F">
        <w:rPr>
          <w:b/>
          <w:bCs/>
          <w:color w:val="FFFFFF"/>
          <w:sz w:val="2"/>
          <w:szCs w:val="2"/>
          <w:rtl/>
        </w:rPr>
        <w:t>5129371</w:t>
      </w:r>
      <w:r>
        <w:rPr>
          <w:b/>
          <w:bCs/>
          <w:rtl/>
        </w:rPr>
        <w:t xml:space="preserve">ניתן והודע היום כ"ז סיון תשפ"ד, 03/07/2024 במעמד הצדדים. </w:t>
      </w:r>
      <w:bookmarkEnd w:id="8"/>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2F767A" w:rsidTr="002F767A">
        <w:trPr>
          <w:trHeight w:val="316"/>
          <w:jc w:val="right"/>
        </w:trPr>
        <w:tc>
          <w:tcPr>
            <w:tcW w:w="3936" w:type="dxa"/>
            <w:tcBorders>
              <w:top w:val="nil"/>
              <w:left w:val="nil"/>
              <w:bottom w:val="single" w:sz="4" w:space="0" w:color="auto"/>
              <w:right w:val="nil"/>
            </w:tcBorders>
            <w:shd w:val="clear" w:color="auto" w:fill="auto"/>
            <w:vAlign w:val="center"/>
          </w:tcPr>
          <w:p w:rsidR="002F767A" w:rsidRPr="00903C2F" w:rsidRDefault="00903C2F" w:rsidP="002F767A">
            <w:pPr>
              <w:jc w:val="center"/>
              <w:rPr>
                <w:color w:val="FFFFFF"/>
                <w:sz w:val="2"/>
                <w:szCs w:val="2"/>
                <w:rtl/>
              </w:rPr>
            </w:pPr>
            <w:r w:rsidRPr="00903C2F">
              <w:rPr>
                <w:color w:val="FFFFFF"/>
                <w:sz w:val="2"/>
                <w:szCs w:val="2"/>
                <w:rtl/>
              </w:rPr>
              <w:t>54678313</w:t>
            </w:r>
          </w:p>
          <w:p w:rsidR="002F767A" w:rsidRDefault="002F767A" w:rsidP="002F767A">
            <w:pPr>
              <w:jc w:val="center"/>
            </w:pPr>
          </w:p>
        </w:tc>
      </w:tr>
      <w:tr w:rsidR="002F767A" w:rsidTr="002F767A">
        <w:trPr>
          <w:trHeight w:val="361"/>
          <w:jc w:val="right"/>
        </w:trPr>
        <w:tc>
          <w:tcPr>
            <w:tcW w:w="3936" w:type="dxa"/>
            <w:tcBorders>
              <w:top w:val="single" w:sz="4" w:space="0" w:color="auto"/>
              <w:left w:val="nil"/>
              <w:bottom w:val="nil"/>
              <w:right w:val="nil"/>
            </w:tcBorders>
            <w:shd w:val="clear" w:color="auto" w:fill="auto"/>
            <w:vAlign w:val="center"/>
          </w:tcPr>
          <w:p w:rsidR="002F767A" w:rsidRPr="002F767A" w:rsidRDefault="002F767A" w:rsidP="002F767A">
            <w:pPr>
              <w:jc w:val="center"/>
              <w:rPr>
                <w:b/>
                <w:bCs/>
                <w:rtl/>
              </w:rPr>
            </w:pPr>
            <w:r w:rsidRPr="002F767A">
              <w:rPr>
                <w:b/>
                <w:bCs/>
                <w:rtl/>
              </w:rPr>
              <w:t>שמואל</w:t>
            </w:r>
            <w:r w:rsidRPr="002F767A">
              <w:rPr>
                <w:rFonts w:hint="cs"/>
                <w:b/>
                <w:bCs/>
                <w:rtl/>
              </w:rPr>
              <w:t xml:space="preserve"> </w:t>
            </w:r>
            <w:r w:rsidRPr="002F767A">
              <w:rPr>
                <w:b/>
                <w:bCs/>
                <w:rtl/>
              </w:rPr>
              <w:t>מלמד</w:t>
            </w:r>
            <w:r w:rsidRPr="002F767A">
              <w:rPr>
                <w:rFonts w:hint="cs"/>
                <w:b/>
                <w:bCs/>
                <w:rtl/>
              </w:rPr>
              <w:t xml:space="preserve">, </w:t>
            </w:r>
            <w:r w:rsidRPr="002F767A">
              <w:rPr>
                <w:b/>
                <w:bCs/>
                <w:rtl/>
              </w:rPr>
              <w:t>שופט</w:t>
            </w:r>
          </w:p>
        </w:tc>
      </w:tr>
    </w:tbl>
    <w:p w:rsidR="002F767A" w:rsidRPr="00C845C3" w:rsidRDefault="00C845C3" w:rsidP="002F767A">
      <w:pPr>
        <w:spacing w:line="360" w:lineRule="auto"/>
        <w:jc w:val="both"/>
        <w:rPr>
          <w:b/>
          <w:bCs/>
          <w:color w:val="FFFFFF"/>
          <w:sz w:val="2"/>
          <w:szCs w:val="2"/>
          <w:u w:val="single"/>
        </w:rPr>
      </w:pPr>
      <w:r w:rsidRPr="00C845C3">
        <w:rPr>
          <w:b/>
          <w:bCs/>
          <w:color w:val="FFFFFF"/>
          <w:sz w:val="2"/>
          <w:szCs w:val="2"/>
          <w:u w:val="single"/>
          <w:rtl/>
        </w:rPr>
        <w:t>5129371</w:t>
      </w:r>
    </w:p>
    <w:p w:rsidR="00B607B9" w:rsidRPr="00C845C3" w:rsidRDefault="00C845C3" w:rsidP="00903C2F">
      <w:pPr>
        <w:keepNext/>
        <w:rPr>
          <w:rFonts w:ascii="David" w:hAnsi="David"/>
          <w:color w:val="FFFFFF"/>
          <w:sz w:val="2"/>
          <w:szCs w:val="2"/>
          <w:rtl/>
        </w:rPr>
      </w:pPr>
      <w:r w:rsidRPr="00C845C3">
        <w:rPr>
          <w:rFonts w:ascii="David" w:hAnsi="David"/>
          <w:color w:val="FFFFFF"/>
          <w:sz w:val="2"/>
          <w:szCs w:val="2"/>
          <w:rtl/>
        </w:rPr>
        <w:t>54678313</w:t>
      </w:r>
    </w:p>
    <w:p w:rsidR="00903C2F" w:rsidRPr="00903C2F" w:rsidRDefault="00903C2F" w:rsidP="00903C2F">
      <w:pPr>
        <w:keepNext/>
        <w:rPr>
          <w:rFonts w:ascii="David" w:hAnsi="David"/>
          <w:color w:val="000000"/>
          <w:sz w:val="22"/>
          <w:szCs w:val="22"/>
          <w:rtl/>
        </w:rPr>
      </w:pPr>
      <w:r w:rsidRPr="00903C2F">
        <w:rPr>
          <w:rFonts w:ascii="David" w:hAnsi="David"/>
          <w:color w:val="000000"/>
          <w:sz w:val="22"/>
          <w:szCs w:val="22"/>
          <w:rtl/>
        </w:rPr>
        <w:t>שמואל מלמד 54678313</w:t>
      </w:r>
    </w:p>
    <w:p w:rsidR="00903C2F" w:rsidRDefault="00903C2F" w:rsidP="00903C2F">
      <w:r w:rsidRPr="00903C2F">
        <w:rPr>
          <w:color w:val="000000"/>
          <w:rtl/>
        </w:rPr>
        <w:t>נוסח מסמך זה כפוף לשינויי ניסוח ועריכה</w:t>
      </w:r>
    </w:p>
    <w:p w:rsidR="00903C2F" w:rsidRDefault="00903C2F" w:rsidP="00903C2F">
      <w:pPr>
        <w:rPr>
          <w:rtl/>
        </w:rPr>
      </w:pPr>
    </w:p>
    <w:p w:rsidR="00903C2F" w:rsidRDefault="00903C2F" w:rsidP="00903C2F">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p>
    <w:p w:rsidR="00C845C3" w:rsidRPr="00C845C3" w:rsidRDefault="00C845C3" w:rsidP="00C845C3">
      <w:pPr>
        <w:keepNext/>
        <w:rPr>
          <w:rFonts w:ascii="David" w:hAnsi="David"/>
          <w:color w:val="000000"/>
          <w:sz w:val="22"/>
          <w:szCs w:val="22"/>
          <w:rtl/>
        </w:rPr>
      </w:pPr>
    </w:p>
    <w:sectPr w:rsidR="00C845C3" w:rsidRPr="00C845C3" w:rsidSect="00C845C3">
      <w:headerReference w:type="even" r:id="rId39"/>
      <w:headerReference w:type="default" r:id="rId40"/>
      <w:footerReference w:type="even" r:id="rId41"/>
      <w:footerReference w:type="default" r:id="rId42"/>
      <w:pgSz w:w="11907" w:h="16840" w:code="9"/>
      <w:pgMar w:top="1701" w:right="1077" w:bottom="1134" w:left="1077"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1772A" w:rsidRDefault="0071772A" w:rsidP="00436F39">
      <w:r>
        <w:separator/>
      </w:r>
    </w:p>
  </w:endnote>
  <w:endnote w:type="continuationSeparator" w:id="0">
    <w:p w:rsidR="0071772A" w:rsidRDefault="0071772A" w:rsidP="00436F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845C3" w:rsidRDefault="00C845C3" w:rsidP="00C845C3">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rsidR="00A95F8B" w:rsidRPr="00C845C3" w:rsidRDefault="00C845C3" w:rsidP="00C845C3">
    <w:pPr>
      <w:pStyle w:val="Footer"/>
      <w:pBdr>
        <w:top w:val="single" w:sz="4" w:space="1" w:color="auto"/>
        <w:between w:val="single" w:sz="4" w:space="0" w:color="auto"/>
      </w:pBdr>
      <w:spacing w:after="60"/>
      <w:jc w:val="center"/>
      <w:rPr>
        <w:rFonts w:ascii="FrankRuehl" w:hAnsi="FrankRuehl" w:cs="FrankRuehl"/>
        <w:color w:val="000000"/>
      </w:rPr>
    </w:pPr>
    <w:r w:rsidRPr="00C845C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845C3" w:rsidRDefault="00C845C3" w:rsidP="00C845C3">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E5E39">
      <w:rPr>
        <w:rFonts w:ascii="FrankRuehl" w:hAnsi="FrankRuehl" w:cs="FrankRuehl"/>
        <w:noProof/>
        <w:rtl/>
      </w:rPr>
      <w:t>1</w:t>
    </w:r>
    <w:r>
      <w:rPr>
        <w:rFonts w:ascii="FrankRuehl" w:hAnsi="FrankRuehl" w:cs="FrankRuehl"/>
        <w:rtl/>
      </w:rPr>
      <w:fldChar w:fldCharType="end"/>
    </w:r>
  </w:p>
  <w:p w:rsidR="00A95F8B" w:rsidRPr="00C845C3" w:rsidRDefault="00C845C3" w:rsidP="00C845C3">
    <w:pPr>
      <w:pStyle w:val="Footer"/>
      <w:pBdr>
        <w:top w:val="single" w:sz="4" w:space="1" w:color="auto"/>
        <w:between w:val="single" w:sz="4" w:space="0" w:color="auto"/>
      </w:pBdr>
      <w:spacing w:after="60"/>
      <w:jc w:val="center"/>
      <w:rPr>
        <w:rFonts w:ascii="FrankRuehl" w:hAnsi="FrankRuehl" w:cs="FrankRuehl"/>
        <w:color w:val="000000"/>
      </w:rPr>
    </w:pPr>
    <w:r w:rsidRPr="00C845C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1772A" w:rsidRDefault="0071772A" w:rsidP="00436F39">
      <w:r>
        <w:separator/>
      </w:r>
    </w:p>
  </w:footnote>
  <w:footnote w:type="continuationSeparator" w:id="0">
    <w:p w:rsidR="0071772A" w:rsidRDefault="0071772A" w:rsidP="00436F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03C2F" w:rsidRPr="00C845C3" w:rsidRDefault="00C845C3" w:rsidP="00C845C3">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53625-07-22</w:t>
    </w:r>
    <w:r>
      <w:rPr>
        <w:rFonts w:ascii="David" w:hAnsi="David"/>
        <w:color w:val="000000"/>
        <w:sz w:val="22"/>
        <w:szCs w:val="22"/>
        <w:rtl/>
      </w:rPr>
      <w:tab/>
      <w:t xml:space="preserve"> מדינת ישראל נ' יוסף בוגרד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03C2F" w:rsidRPr="00C845C3" w:rsidRDefault="00C845C3" w:rsidP="00C845C3">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53625-07-22</w:t>
    </w:r>
    <w:r>
      <w:rPr>
        <w:rFonts w:ascii="David" w:hAnsi="David"/>
        <w:color w:val="000000"/>
        <w:sz w:val="22"/>
        <w:szCs w:val="22"/>
        <w:rtl/>
      </w:rPr>
      <w:tab/>
      <w:t xml:space="preserve"> מדינת ישראל נ' יוסף בוגרד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655741"/>
    <w:multiLevelType w:val="hybridMultilevel"/>
    <w:tmpl w:val="5038E856"/>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63453165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F767A"/>
    <w:rsid w:val="002F767A"/>
    <w:rsid w:val="00436F39"/>
    <w:rsid w:val="0071772A"/>
    <w:rsid w:val="00903C2F"/>
    <w:rsid w:val="009A4E4C"/>
    <w:rsid w:val="009C5AFE"/>
    <w:rsid w:val="00A95F8B"/>
    <w:rsid w:val="00B607B9"/>
    <w:rsid w:val="00BD0B3D"/>
    <w:rsid w:val="00C845C3"/>
    <w:rsid w:val="00CE5E3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05DD606E-D712-491E-ACB4-7EF3BEDBC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F767A"/>
    <w:pPr>
      <w:bidi/>
    </w:pPr>
    <w:rPr>
      <w:rFonts w:ascii="Times New Roman" w:eastAsia="Times New Roman" w:hAnsi="Times New Roman" w:cs="David"/>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F767A"/>
    <w:pPr>
      <w:tabs>
        <w:tab w:val="center" w:pos="4153"/>
        <w:tab w:val="right" w:pos="8306"/>
      </w:tabs>
    </w:pPr>
  </w:style>
  <w:style w:type="character" w:customStyle="1" w:styleId="HeaderChar">
    <w:name w:val="Header Char"/>
    <w:link w:val="Header"/>
    <w:rsid w:val="002F767A"/>
    <w:rPr>
      <w:rFonts w:ascii="Times New Roman" w:eastAsia="Times New Roman" w:hAnsi="Times New Roman" w:cs="David"/>
      <w:sz w:val="24"/>
      <w:szCs w:val="24"/>
    </w:rPr>
  </w:style>
  <w:style w:type="paragraph" w:styleId="Footer">
    <w:name w:val="footer"/>
    <w:basedOn w:val="Normal"/>
    <w:link w:val="FooterChar"/>
    <w:rsid w:val="002F767A"/>
    <w:pPr>
      <w:tabs>
        <w:tab w:val="center" w:pos="4153"/>
        <w:tab w:val="right" w:pos="8306"/>
      </w:tabs>
    </w:pPr>
  </w:style>
  <w:style w:type="character" w:customStyle="1" w:styleId="FooterChar">
    <w:name w:val="Footer Char"/>
    <w:link w:val="Footer"/>
    <w:rsid w:val="002F767A"/>
    <w:rPr>
      <w:rFonts w:ascii="Times New Roman" w:eastAsia="Times New Roman" w:hAnsi="Times New Roman" w:cs="David"/>
      <w:sz w:val="24"/>
      <w:szCs w:val="24"/>
    </w:rPr>
  </w:style>
  <w:style w:type="table" w:styleId="TableGrid">
    <w:name w:val="Table Grid"/>
    <w:basedOn w:val="TableNormal"/>
    <w:rsid w:val="002F767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2F767A"/>
  </w:style>
  <w:style w:type="paragraph" w:styleId="ListParagraph">
    <w:name w:val="List Paragraph"/>
    <w:basedOn w:val="Normal"/>
    <w:qFormat/>
    <w:rsid w:val="002F767A"/>
    <w:pPr>
      <w:ind w:left="720"/>
      <w:contextualSpacing/>
    </w:pPr>
  </w:style>
  <w:style w:type="paragraph" w:styleId="Subtitle">
    <w:name w:val="Subtitle"/>
    <w:basedOn w:val="Normal"/>
    <w:next w:val="Normal"/>
    <w:link w:val="SubtitleChar"/>
    <w:qFormat/>
    <w:rsid w:val="002F767A"/>
    <w:pPr>
      <w:spacing w:before="240" w:after="240" w:line="360" w:lineRule="auto"/>
      <w:jc w:val="both"/>
    </w:pPr>
    <w:rPr>
      <w:rFonts w:ascii="David" w:hAnsi="David"/>
      <w:color w:val="5A5A5A"/>
      <w:spacing w:val="15"/>
      <w:u w:val="single"/>
    </w:rPr>
  </w:style>
  <w:style w:type="character" w:customStyle="1" w:styleId="SubtitleChar">
    <w:name w:val="Subtitle Char"/>
    <w:link w:val="Subtitle"/>
    <w:rsid w:val="002F767A"/>
    <w:rPr>
      <w:rFonts w:ascii="David" w:eastAsia="Times New Roman" w:hAnsi="David" w:cs="David"/>
      <w:color w:val="5A5A5A"/>
      <w:spacing w:val="15"/>
      <w:sz w:val="24"/>
      <w:szCs w:val="24"/>
      <w:u w:val="single"/>
    </w:rPr>
  </w:style>
  <w:style w:type="character" w:styleId="Hyperlink">
    <w:name w:val="Hyperlink"/>
    <w:rsid w:val="00903C2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d" TargetMode="External"/><Relationship Id="rId18" Type="http://schemas.openxmlformats.org/officeDocument/2006/relationships/hyperlink" Target="http://www.nevo.co.il/law/4216/10" TargetMode="External"/><Relationship Id="rId26" Type="http://schemas.openxmlformats.org/officeDocument/2006/relationships/hyperlink" Target="http://www.nevo.co.il/case/27313460" TargetMode="External"/><Relationship Id="rId39" Type="http://schemas.openxmlformats.org/officeDocument/2006/relationships/header" Target="header1.xml"/><Relationship Id="rId21" Type="http://schemas.openxmlformats.org/officeDocument/2006/relationships/hyperlink" Target="http://www.nevo.co.il/law/70301/40.d" TargetMode="External"/><Relationship Id="rId34" Type="http://schemas.openxmlformats.org/officeDocument/2006/relationships/hyperlink" Target="http://www.nevo.co.il/case/26084597" TargetMode="External"/><Relationship Id="rId42"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6" TargetMode="External"/><Relationship Id="rId20" Type="http://schemas.openxmlformats.org/officeDocument/2006/relationships/hyperlink" Target="http://www.nevo.co.il/law/70301" TargetMode="External"/><Relationship Id="rId29" Type="http://schemas.openxmlformats.org/officeDocument/2006/relationships/hyperlink" Target="http://www.nevo.co.il/case/26634965"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0" TargetMode="External"/><Relationship Id="rId24" Type="http://schemas.openxmlformats.org/officeDocument/2006/relationships/hyperlink" Target="http://www.nevo.co.il/case/27624179" TargetMode="External"/><Relationship Id="rId32" Type="http://schemas.openxmlformats.org/officeDocument/2006/relationships/hyperlink" Target="http://www.nevo.co.il/case/26998241" TargetMode="External"/><Relationship Id="rId37" Type="http://schemas.openxmlformats.org/officeDocument/2006/relationships/hyperlink" Target="http://www.nevo.co.il/law/70301"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400" TargetMode="External"/><Relationship Id="rId23" Type="http://schemas.openxmlformats.org/officeDocument/2006/relationships/hyperlink" Target="http://www.nevo.co.il/case/29128305" TargetMode="External"/><Relationship Id="rId28" Type="http://schemas.openxmlformats.org/officeDocument/2006/relationships/hyperlink" Target="http://www.nevo.co.il/case/13070717" TargetMode="External"/><Relationship Id="rId36" Type="http://schemas.openxmlformats.org/officeDocument/2006/relationships/hyperlink" Target="http://www.nevo.co.il/law/70301/40c.a" TargetMode="External"/><Relationship Id="rId10" Type="http://schemas.openxmlformats.org/officeDocument/2006/relationships/hyperlink" Target="http://www.nevo.co.il/law/4216/7.c" TargetMode="External"/><Relationship Id="rId19" Type="http://schemas.openxmlformats.org/officeDocument/2006/relationships/hyperlink" Target="http://www.nevo.co.il/law/70301/400" TargetMode="External"/><Relationship Id="rId31" Type="http://schemas.openxmlformats.org/officeDocument/2006/relationships/hyperlink" Target="http://www.nevo.co.il/case/25263984"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70301/40c.a"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24929127" TargetMode="External"/><Relationship Id="rId30" Type="http://schemas.openxmlformats.org/officeDocument/2006/relationships/hyperlink" Target="http://www.nevo.co.il/case/27154487" TargetMode="External"/><Relationship Id="rId35" Type="http://schemas.openxmlformats.org/officeDocument/2006/relationships/hyperlink" Target="http://www.nevo.co.il/case/26039206" TargetMode="External"/><Relationship Id="rId43" Type="http://schemas.openxmlformats.org/officeDocument/2006/relationships/fontTable" Target="fontTable.xm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7.a.;7.c" TargetMode="External"/><Relationship Id="rId25" Type="http://schemas.openxmlformats.org/officeDocument/2006/relationships/hyperlink" Target="http://www.nevo.co.il/case/27615803" TargetMode="External"/><Relationship Id="rId33" Type="http://schemas.openxmlformats.org/officeDocument/2006/relationships/hyperlink" Target="http://www.nevo.co.il/case/26112530"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3107</Words>
  <Characters>17710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20776</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7995492</vt:i4>
      </vt:variant>
      <vt:variant>
        <vt:i4>90</vt:i4>
      </vt:variant>
      <vt:variant>
        <vt:i4>0</vt:i4>
      </vt:variant>
      <vt:variant>
        <vt:i4>5</vt:i4>
      </vt:variant>
      <vt:variant>
        <vt:lpwstr>http://www.nevo.co.il/law/70301</vt:lpwstr>
      </vt:variant>
      <vt:variant>
        <vt:lpwstr/>
      </vt:variant>
      <vt:variant>
        <vt:i4>4915202</vt:i4>
      </vt:variant>
      <vt:variant>
        <vt:i4>87</vt:i4>
      </vt:variant>
      <vt:variant>
        <vt:i4>0</vt:i4>
      </vt:variant>
      <vt:variant>
        <vt:i4>5</vt:i4>
      </vt:variant>
      <vt:variant>
        <vt:lpwstr>http://www.nevo.co.il/law/70301/40c.a</vt:lpwstr>
      </vt:variant>
      <vt:variant>
        <vt:lpwstr/>
      </vt:variant>
      <vt:variant>
        <vt:i4>3866739</vt:i4>
      </vt:variant>
      <vt:variant>
        <vt:i4>84</vt:i4>
      </vt:variant>
      <vt:variant>
        <vt:i4>0</vt:i4>
      </vt:variant>
      <vt:variant>
        <vt:i4>5</vt:i4>
      </vt:variant>
      <vt:variant>
        <vt:lpwstr>http://www.nevo.co.il/case/26039206</vt:lpwstr>
      </vt:variant>
      <vt:variant>
        <vt:lpwstr/>
      </vt:variant>
      <vt:variant>
        <vt:i4>4128895</vt:i4>
      </vt:variant>
      <vt:variant>
        <vt:i4>81</vt:i4>
      </vt:variant>
      <vt:variant>
        <vt:i4>0</vt:i4>
      </vt:variant>
      <vt:variant>
        <vt:i4>5</vt:i4>
      </vt:variant>
      <vt:variant>
        <vt:lpwstr>http://www.nevo.co.il/case/26084597</vt:lpwstr>
      </vt:variant>
      <vt:variant>
        <vt:lpwstr/>
      </vt:variant>
      <vt:variant>
        <vt:i4>3276918</vt:i4>
      </vt:variant>
      <vt:variant>
        <vt:i4>78</vt:i4>
      </vt:variant>
      <vt:variant>
        <vt:i4>0</vt:i4>
      </vt:variant>
      <vt:variant>
        <vt:i4>5</vt:i4>
      </vt:variant>
      <vt:variant>
        <vt:lpwstr>http://www.nevo.co.il/case/26112530</vt:lpwstr>
      </vt:variant>
      <vt:variant>
        <vt:lpwstr/>
      </vt:variant>
      <vt:variant>
        <vt:i4>3604601</vt:i4>
      </vt:variant>
      <vt:variant>
        <vt:i4>75</vt:i4>
      </vt:variant>
      <vt:variant>
        <vt:i4>0</vt:i4>
      </vt:variant>
      <vt:variant>
        <vt:i4>5</vt:i4>
      </vt:variant>
      <vt:variant>
        <vt:lpwstr>http://www.nevo.co.il/case/26998241</vt:lpwstr>
      </vt:variant>
      <vt:variant>
        <vt:lpwstr/>
      </vt:variant>
      <vt:variant>
        <vt:i4>3866750</vt:i4>
      </vt:variant>
      <vt:variant>
        <vt:i4>72</vt:i4>
      </vt:variant>
      <vt:variant>
        <vt:i4>0</vt:i4>
      </vt:variant>
      <vt:variant>
        <vt:i4>5</vt:i4>
      </vt:variant>
      <vt:variant>
        <vt:lpwstr>http://www.nevo.co.il/case/25263984</vt:lpwstr>
      </vt:variant>
      <vt:variant>
        <vt:lpwstr/>
      </vt:variant>
      <vt:variant>
        <vt:i4>4128882</vt:i4>
      </vt:variant>
      <vt:variant>
        <vt:i4>69</vt:i4>
      </vt:variant>
      <vt:variant>
        <vt:i4>0</vt:i4>
      </vt:variant>
      <vt:variant>
        <vt:i4>5</vt:i4>
      </vt:variant>
      <vt:variant>
        <vt:lpwstr>http://www.nevo.co.il/case/27154487</vt:lpwstr>
      </vt:variant>
      <vt:variant>
        <vt:lpwstr/>
      </vt:variant>
      <vt:variant>
        <vt:i4>3539064</vt:i4>
      </vt:variant>
      <vt:variant>
        <vt:i4>66</vt:i4>
      </vt:variant>
      <vt:variant>
        <vt:i4>0</vt:i4>
      </vt:variant>
      <vt:variant>
        <vt:i4>5</vt:i4>
      </vt:variant>
      <vt:variant>
        <vt:lpwstr>http://www.nevo.co.il/case/26634965</vt:lpwstr>
      </vt:variant>
      <vt:variant>
        <vt:lpwstr/>
      </vt:variant>
      <vt:variant>
        <vt:i4>3145847</vt:i4>
      </vt:variant>
      <vt:variant>
        <vt:i4>63</vt:i4>
      </vt:variant>
      <vt:variant>
        <vt:i4>0</vt:i4>
      </vt:variant>
      <vt:variant>
        <vt:i4>5</vt:i4>
      </vt:variant>
      <vt:variant>
        <vt:lpwstr>http://www.nevo.co.il/case/13070717</vt:lpwstr>
      </vt:variant>
      <vt:variant>
        <vt:lpwstr/>
      </vt:variant>
      <vt:variant>
        <vt:i4>3145843</vt:i4>
      </vt:variant>
      <vt:variant>
        <vt:i4>60</vt:i4>
      </vt:variant>
      <vt:variant>
        <vt:i4>0</vt:i4>
      </vt:variant>
      <vt:variant>
        <vt:i4>5</vt:i4>
      </vt:variant>
      <vt:variant>
        <vt:lpwstr>http://www.nevo.co.il/case/24929127</vt:lpwstr>
      </vt:variant>
      <vt:variant>
        <vt:lpwstr/>
      </vt:variant>
      <vt:variant>
        <vt:i4>3407990</vt:i4>
      </vt:variant>
      <vt:variant>
        <vt:i4>57</vt:i4>
      </vt:variant>
      <vt:variant>
        <vt:i4>0</vt:i4>
      </vt:variant>
      <vt:variant>
        <vt:i4>5</vt:i4>
      </vt:variant>
      <vt:variant>
        <vt:lpwstr>http://www.nevo.co.il/case/27313460</vt:lpwstr>
      </vt:variant>
      <vt:variant>
        <vt:lpwstr/>
      </vt:variant>
      <vt:variant>
        <vt:i4>3211386</vt:i4>
      </vt:variant>
      <vt:variant>
        <vt:i4>54</vt:i4>
      </vt:variant>
      <vt:variant>
        <vt:i4>0</vt:i4>
      </vt:variant>
      <vt:variant>
        <vt:i4>5</vt:i4>
      </vt:variant>
      <vt:variant>
        <vt:lpwstr>http://www.nevo.co.il/case/27615803</vt:lpwstr>
      </vt:variant>
      <vt:variant>
        <vt:lpwstr/>
      </vt:variant>
      <vt:variant>
        <vt:i4>3604592</vt:i4>
      </vt:variant>
      <vt:variant>
        <vt:i4>51</vt:i4>
      </vt:variant>
      <vt:variant>
        <vt:i4>0</vt:i4>
      </vt:variant>
      <vt:variant>
        <vt:i4>5</vt:i4>
      </vt:variant>
      <vt:variant>
        <vt:lpwstr>http://www.nevo.co.il/case/27624179</vt:lpwstr>
      </vt:variant>
      <vt:variant>
        <vt:lpwstr/>
      </vt:variant>
      <vt:variant>
        <vt:i4>3866748</vt:i4>
      </vt:variant>
      <vt:variant>
        <vt:i4>48</vt:i4>
      </vt:variant>
      <vt:variant>
        <vt:i4>0</vt:i4>
      </vt:variant>
      <vt:variant>
        <vt:i4>5</vt:i4>
      </vt:variant>
      <vt:variant>
        <vt:lpwstr>http://www.nevo.co.il/case/29128305</vt:lpwstr>
      </vt:variant>
      <vt:variant>
        <vt:lpwstr/>
      </vt:variant>
      <vt:variant>
        <vt:i4>7995492</vt:i4>
      </vt:variant>
      <vt:variant>
        <vt:i4>45</vt:i4>
      </vt:variant>
      <vt:variant>
        <vt:i4>0</vt:i4>
      </vt:variant>
      <vt:variant>
        <vt:i4>5</vt:i4>
      </vt:variant>
      <vt:variant>
        <vt:lpwstr>http://www.nevo.co.il/law/70301</vt:lpwstr>
      </vt:variant>
      <vt:variant>
        <vt:lpwstr/>
      </vt:variant>
      <vt:variant>
        <vt:i4>65615</vt:i4>
      </vt:variant>
      <vt:variant>
        <vt:i4>42</vt:i4>
      </vt:variant>
      <vt:variant>
        <vt:i4>0</vt:i4>
      </vt:variant>
      <vt:variant>
        <vt:i4>5</vt:i4>
      </vt:variant>
      <vt:variant>
        <vt:lpwstr>http://www.nevo.co.il/law/70301/40.d</vt:lpwstr>
      </vt:variant>
      <vt:variant>
        <vt:lpwstr/>
      </vt:variant>
      <vt:variant>
        <vt:i4>7995492</vt:i4>
      </vt:variant>
      <vt:variant>
        <vt:i4>39</vt:i4>
      </vt:variant>
      <vt:variant>
        <vt:i4>0</vt:i4>
      </vt:variant>
      <vt:variant>
        <vt:i4>5</vt:i4>
      </vt:variant>
      <vt:variant>
        <vt:lpwstr>http://www.nevo.co.il/law/70301</vt:lpwstr>
      </vt:variant>
      <vt:variant>
        <vt:lpwstr/>
      </vt:variant>
      <vt:variant>
        <vt:i4>6619233</vt:i4>
      </vt:variant>
      <vt:variant>
        <vt:i4>36</vt:i4>
      </vt:variant>
      <vt:variant>
        <vt:i4>0</vt:i4>
      </vt:variant>
      <vt:variant>
        <vt:i4>5</vt:i4>
      </vt:variant>
      <vt:variant>
        <vt:lpwstr>http://www.nevo.co.il/law/70301/400</vt:lpwstr>
      </vt:variant>
      <vt:variant>
        <vt:lpwstr/>
      </vt:variant>
      <vt:variant>
        <vt:i4>5177418</vt:i4>
      </vt:variant>
      <vt:variant>
        <vt:i4>33</vt:i4>
      </vt:variant>
      <vt:variant>
        <vt:i4>0</vt:i4>
      </vt:variant>
      <vt:variant>
        <vt:i4>5</vt:i4>
      </vt:variant>
      <vt:variant>
        <vt:lpwstr>http://www.nevo.co.il/law/4216/10</vt:lpwstr>
      </vt:variant>
      <vt:variant>
        <vt:lpwstr/>
      </vt:variant>
      <vt:variant>
        <vt:i4>3997821</vt:i4>
      </vt:variant>
      <vt:variant>
        <vt:i4>30</vt:i4>
      </vt:variant>
      <vt:variant>
        <vt:i4>0</vt:i4>
      </vt:variant>
      <vt:variant>
        <vt:i4>5</vt:i4>
      </vt:variant>
      <vt:variant>
        <vt:lpwstr>http://www.nevo.co.il/law/4216/7.a.;7.c</vt:lpwstr>
      </vt:variant>
      <vt:variant>
        <vt:lpwstr/>
      </vt:variant>
      <vt:variant>
        <vt:i4>4718666</vt:i4>
      </vt:variant>
      <vt:variant>
        <vt:i4>27</vt:i4>
      </vt:variant>
      <vt:variant>
        <vt:i4>0</vt:i4>
      </vt:variant>
      <vt:variant>
        <vt:i4>5</vt:i4>
      </vt:variant>
      <vt:variant>
        <vt:lpwstr>http://www.nevo.co.il/law/4216/6</vt:lpwstr>
      </vt:variant>
      <vt:variant>
        <vt:lpwstr/>
      </vt:variant>
      <vt:variant>
        <vt:i4>6619233</vt:i4>
      </vt:variant>
      <vt:variant>
        <vt:i4>24</vt:i4>
      </vt:variant>
      <vt:variant>
        <vt:i4>0</vt:i4>
      </vt:variant>
      <vt:variant>
        <vt:i4>5</vt:i4>
      </vt:variant>
      <vt:variant>
        <vt:lpwstr>http://www.nevo.co.il/law/70301/400</vt:lpwstr>
      </vt:variant>
      <vt:variant>
        <vt:lpwstr/>
      </vt:variant>
      <vt:variant>
        <vt:i4>4915202</vt:i4>
      </vt:variant>
      <vt:variant>
        <vt:i4>21</vt:i4>
      </vt:variant>
      <vt:variant>
        <vt:i4>0</vt:i4>
      </vt:variant>
      <vt:variant>
        <vt:i4>5</vt:i4>
      </vt:variant>
      <vt:variant>
        <vt:lpwstr>http://www.nevo.co.il/law/70301/40c.a</vt:lpwstr>
      </vt:variant>
      <vt:variant>
        <vt:lpwstr/>
      </vt:variant>
      <vt:variant>
        <vt:i4>65615</vt:i4>
      </vt:variant>
      <vt:variant>
        <vt:i4>18</vt:i4>
      </vt:variant>
      <vt:variant>
        <vt:i4>0</vt:i4>
      </vt:variant>
      <vt:variant>
        <vt:i4>5</vt:i4>
      </vt:variant>
      <vt:variant>
        <vt:lpwstr>http://www.nevo.co.il/law/70301/40.d</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5177418</vt:i4>
      </vt:variant>
      <vt:variant>
        <vt:i4>12</vt:i4>
      </vt:variant>
      <vt:variant>
        <vt:i4>0</vt:i4>
      </vt:variant>
      <vt:variant>
        <vt:i4>5</vt:i4>
      </vt:variant>
      <vt:variant>
        <vt:lpwstr>http://www.nevo.co.il/law/4216/10</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איתי רזומנקו</cp:lastModifiedBy>
  <cp:revision>2</cp:revision>
  <dcterms:created xsi:type="dcterms:W3CDTF">2024-12-03T08:35:00Z</dcterms:created>
  <dcterms:modified xsi:type="dcterms:W3CDTF">2024-12-03T08:35:00Z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53625</vt:lpwstr>
  </property>
  <property fmtid="{D5CDD505-2E9C-101B-9397-08002B2CF9AE}" pid="6" name="NEWPARTB">
    <vt:lpwstr>07</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יוסף בוגרד</vt:lpwstr>
  </property>
  <property fmtid="{D5CDD505-2E9C-101B-9397-08002B2CF9AE}" pid="10" name="LAWYER">
    <vt:lpwstr>לילך כץ;איתי כהן ;שלמה חדד</vt:lpwstr>
  </property>
  <property fmtid="{D5CDD505-2E9C-101B-9397-08002B2CF9AE}" pid="11" name="JUDGE">
    <vt:lpwstr>שמואל מלמד</vt:lpwstr>
  </property>
  <property fmtid="{D5CDD505-2E9C-101B-9397-08002B2CF9AE}" pid="12" name="CITY">
    <vt:lpwstr>ת"א</vt:lpwstr>
  </property>
  <property fmtid="{D5CDD505-2E9C-101B-9397-08002B2CF9AE}" pid="13" name="DATE">
    <vt:lpwstr>20240703</vt:lpwstr>
  </property>
  <property fmtid="{D5CDD505-2E9C-101B-9397-08002B2CF9AE}" pid="14" name="TYPE_N_DATE">
    <vt:lpwstr>39020240703</vt:lpwstr>
  </property>
  <property fmtid="{D5CDD505-2E9C-101B-9397-08002B2CF9AE}" pid="15" name="CASESLISTTMP1">
    <vt:lpwstr>29128305;27624179;27615803;27313460;24929127;13070717;26634965;27154487;25263984;26998241;26112530;26084597;26039206</vt:lpwstr>
  </property>
  <property fmtid="{D5CDD505-2E9C-101B-9397-08002B2CF9AE}" pid="16" name="CASENOTES1">
    <vt:lpwstr>ProcID=275&amp;PartA=16097&amp;PartB=08&amp;PartC=21</vt:lpwstr>
  </property>
  <property fmtid="{D5CDD505-2E9C-101B-9397-08002B2CF9AE}" pid="17" name="WORDNUMPAGES">
    <vt:lpwstr>9</vt:lpwstr>
  </property>
  <property fmtid="{D5CDD505-2E9C-101B-9397-08002B2CF9AE}" pid="18" name="TYPE_ABS_DATE">
    <vt:lpwstr>390020240703</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4216/006;007.a;007.c;010</vt:lpwstr>
  </property>
  <property fmtid="{D5CDD505-2E9C-101B-9397-08002B2CF9AE}" pid="38" name="LAWLISTTMP2">
    <vt:lpwstr>70301/400;040.d;040c.a</vt:lpwstr>
  </property>
</Properties>
</file>