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2"/>
        <w:gridCol w:w="3667"/>
        <w:gridCol w:w="99"/>
      </w:tblGrid>
      <w:tr w:rsidR="004B1B25" w:rsidRPr="004B6C0F" w:rsidTr="00A23EAC">
        <w:trPr>
          <w:gridAfter w:val="1"/>
          <w:wAfter w:w="99" w:type="dxa"/>
          <w:trHeight w:hRule="exact" w:val="418"/>
          <w:jc w:val="center"/>
        </w:trPr>
        <w:tc>
          <w:tcPr>
            <w:tcW w:w="8721" w:type="dxa"/>
            <w:gridSpan w:val="4"/>
          </w:tcPr>
          <w:p w:rsidR="004B1B25" w:rsidRPr="004B6C0F" w:rsidRDefault="004B1B25" w:rsidP="006829F8">
            <w:pPr>
              <w:pStyle w:val="Header"/>
              <w:jc w:val="center"/>
              <w:rPr>
                <w:rFonts w:ascii="Tahoma" w:hAnsi="Tahoma" w:cs="Tahoma"/>
                <w:color w:val="000080"/>
                <w:rtl/>
              </w:rPr>
            </w:pPr>
            <w:bookmarkStart w:id="0" w:name="LastJudge"/>
            <w:r w:rsidRPr="004B6C0F">
              <w:rPr>
                <w:rFonts w:ascii="Tahoma" w:hAnsi="Tahoma" w:cs="Tahoma"/>
                <w:b/>
                <w:bCs/>
                <w:color w:val="000080"/>
                <w:rtl/>
              </w:rPr>
              <w:t>בית המשפט המחוזי מרכז-לוד</w:t>
            </w:r>
          </w:p>
        </w:tc>
      </w:tr>
      <w:tr w:rsidR="004B1B25" w:rsidRPr="004B6C0F" w:rsidTr="00A23EAC">
        <w:trPr>
          <w:gridAfter w:val="1"/>
          <w:wAfter w:w="99" w:type="dxa"/>
          <w:trHeight w:val="337"/>
          <w:jc w:val="center"/>
        </w:trPr>
        <w:tc>
          <w:tcPr>
            <w:tcW w:w="5054" w:type="dxa"/>
            <w:gridSpan w:val="3"/>
          </w:tcPr>
          <w:p w:rsidR="004B1B25" w:rsidRPr="004B6C0F" w:rsidRDefault="004B1B25" w:rsidP="006829F8">
            <w:pPr>
              <w:rPr>
                <w:rFonts w:cs="FrankRuehl"/>
                <w:sz w:val="28"/>
                <w:szCs w:val="28"/>
                <w:rtl/>
              </w:rPr>
            </w:pPr>
            <w:r w:rsidRPr="004B6C0F">
              <w:rPr>
                <w:rFonts w:cs="FrankRuehl"/>
                <w:sz w:val="28"/>
                <w:szCs w:val="28"/>
                <w:rtl/>
              </w:rPr>
              <w:t>ת"פ</w:t>
            </w:r>
            <w:r w:rsidRPr="004B6C0F">
              <w:rPr>
                <w:rFonts w:cs="FrankRuehl" w:hint="cs"/>
                <w:sz w:val="28"/>
                <w:szCs w:val="28"/>
                <w:rtl/>
              </w:rPr>
              <w:t xml:space="preserve"> </w:t>
            </w:r>
            <w:r w:rsidRPr="004B6C0F">
              <w:rPr>
                <w:rFonts w:cs="FrankRuehl"/>
                <w:sz w:val="28"/>
                <w:szCs w:val="28"/>
                <w:rtl/>
              </w:rPr>
              <w:t>1990-11-22</w:t>
            </w:r>
            <w:r w:rsidRPr="004B6C0F">
              <w:rPr>
                <w:rFonts w:cs="FrankRuehl" w:hint="cs"/>
                <w:sz w:val="28"/>
                <w:szCs w:val="28"/>
                <w:rtl/>
              </w:rPr>
              <w:t xml:space="preserve"> </w:t>
            </w:r>
            <w:r w:rsidRPr="004B6C0F">
              <w:rPr>
                <w:rFonts w:cs="FrankRuehl"/>
                <w:sz w:val="28"/>
                <w:szCs w:val="28"/>
                <w:rtl/>
              </w:rPr>
              <w:t>מדינת ישראל נ' אזארי</w:t>
            </w:r>
          </w:p>
          <w:p w:rsidR="004B1B25" w:rsidRPr="004B6C0F" w:rsidRDefault="004B1B25" w:rsidP="006829F8">
            <w:pPr>
              <w:pStyle w:val="Header"/>
              <w:rPr>
                <w:rFonts w:cs="FrankRuehl"/>
                <w:sz w:val="28"/>
                <w:szCs w:val="28"/>
                <w:rtl/>
              </w:rPr>
            </w:pPr>
          </w:p>
        </w:tc>
        <w:tc>
          <w:tcPr>
            <w:tcW w:w="3667" w:type="dxa"/>
          </w:tcPr>
          <w:p w:rsidR="004B1B25" w:rsidRPr="004B6C0F" w:rsidRDefault="004B1B25" w:rsidP="006829F8">
            <w:pPr>
              <w:pStyle w:val="Header"/>
              <w:jc w:val="right"/>
              <w:rPr>
                <w:rFonts w:cs="FrankRuehl"/>
                <w:sz w:val="28"/>
                <w:szCs w:val="28"/>
                <w:rtl/>
              </w:rPr>
            </w:pPr>
          </w:p>
        </w:tc>
      </w:tr>
      <w:tr w:rsidR="004B1B25" w:rsidRPr="004B6C0F"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4B1B25" w:rsidRPr="004B6C0F" w:rsidRDefault="004B1B25" w:rsidP="004B1B25">
            <w:pPr>
              <w:jc w:val="both"/>
              <w:rPr>
                <w:rFonts w:ascii="David" w:hAnsi="David"/>
                <w:sz w:val="26"/>
                <w:szCs w:val="26"/>
              </w:rPr>
            </w:pPr>
            <w:r w:rsidRPr="004B6C0F">
              <w:rPr>
                <w:rFonts w:hint="cs"/>
                <w:rtl/>
              </w:rPr>
              <w:t xml:space="preserve"> </w:t>
            </w:r>
            <w:r w:rsidRPr="004B6C0F">
              <w:rPr>
                <w:rFonts w:ascii="David" w:hAnsi="David" w:hint="cs"/>
                <w:sz w:val="26"/>
                <w:szCs w:val="26"/>
                <w:rtl/>
              </w:rPr>
              <w:t>ל</w:t>
            </w:r>
            <w:r w:rsidRPr="004B6C0F">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rsidR="004B1B25" w:rsidRPr="004B6C0F" w:rsidRDefault="004B1B25" w:rsidP="006829F8">
            <w:pPr>
              <w:rPr>
                <w:rFonts w:ascii="David" w:hAnsi="David"/>
                <w:b/>
                <w:bCs/>
                <w:sz w:val="26"/>
                <w:szCs w:val="26"/>
                <w:rtl/>
              </w:rPr>
            </w:pPr>
            <w:r w:rsidRPr="004B6C0F">
              <w:rPr>
                <w:rFonts w:ascii="David" w:hAnsi="David"/>
                <w:b/>
                <w:bCs/>
                <w:sz w:val="26"/>
                <w:szCs w:val="26"/>
                <w:rtl/>
              </w:rPr>
              <w:t>כבוד השופטת  מרב גרינברג</w:t>
            </w:r>
          </w:p>
          <w:p w:rsidR="004B1B25" w:rsidRPr="004B6C0F" w:rsidRDefault="004B1B25" w:rsidP="006829F8">
            <w:pPr>
              <w:rPr>
                <w:rFonts w:ascii="David" w:hAnsi="David"/>
                <w:sz w:val="26"/>
                <w:szCs w:val="26"/>
                <w:rtl/>
              </w:rPr>
            </w:pPr>
          </w:p>
          <w:p w:rsidR="004B1B25" w:rsidRPr="004B6C0F" w:rsidRDefault="004B1B25" w:rsidP="004B1B25">
            <w:pPr>
              <w:jc w:val="both"/>
              <w:rPr>
                <w:rFonts w:ascii="David" w:hAnsi="David"/>
                <w:sz w:val="26"/>
                <w:szCs w:val="26"/>
              </w:rPr>
            </w:pPr>
          </w:p>
        </w:tc>
      </w:tr>
      <w:tr w:rsidR="004B1B25" w:rsidRPr="004B6C0F"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4B1B25" w:rsidRPr="004B6C0F" w:rsidRDefault="004B1B25" w:rsidP="004B1B25">
            <w:pPr>
              <w:jc w:val="both"/>
              <w:rPr>
                <w:rFonts w:ascii="David" w:hAnsi="David"/>
                <w:sz w:val="26"/>
                <w:szCs w:val="26"/>
              </w:rPr>
            </w:pPr>
            <w:bookmarkStart w:id="1" w:name="FirstAppellant"/>
            <w:bookmarkStart w:id="2" w:name="FirstLawyer"/>
            <w:r w:rsidRPr="004B6C0F">
              <w:rPr>
                <w:rFonts w:ascii="David" w:hAnsi="David"/>
                <w:sz w:val="26"/>
                <w:szCs w:val="26"/>
                <w:rtl/>
              </w:rPr>
              <w:t>בעניין:</w:t>
            </w:r>
          </w:p>
        </w:tc>
        <w:tc>
          <w:tcPr>
            <w:tcW w:w="3219" w:type="dxa"/>
            <w:tcBorders>
              <w:top w:val="nil"/>
              <w:left w:val="nil"/>
              <w:bottom w:val="nil"/>
              <w:right w:val="nil"/>
            </w:tcBorders>
            <w:shd w:val="clear" w:color="auto" w:fill="auto"/>
          </w:tcPr>
          <w:p w:rsidR="004B1B25" w:rsidRPr="004B6C0F" w:rsidRDefault="004B1B25" w:rsidP="004B1B25">
            <w:pPr>
              <w:suppressLineNumbers/>
            </w:pPr>
            <w:r w:rsidRPr="004B6C0F">
              <w:rPr>
                <w:rFonts w:ascii="Arial" w:hAnsi="Arial" w:hint="cs"/>
                <w:b/>
                <w:bCs/>
                <w:sz w:val="26"/>
                <w:szCs w:val="26"/>
                <w:rtl/>
              </w:rPr>
              <w:t>ה</w:t>
            </w:r>
            <w:r w:rsidRPr="004B6C0F">
              <w:rPr>
                <w:rFonts w:ascii="Arial" w:hAnsi="Arial"/>
                <w:b/>
                <w:bCs/>
                <w:sz w:val="26"/>
                <w:szCs w:val="26"/>
                <w:rtl/>
              </w:rPr>
              <w:t>מאשימה</w:t>
            </w:r>
          </w:p>
          <w:p w:rsidR="004B1B25" w:rsidRPr="004B6C0F" w:rsidRDefault="004B1B25" w:rsidP="006829F8">
            <w:pPr>
              <w:rPr>
                <w:rFonts w:ascii="David" w:hAnsi="David"/>
                <w:sz w:val="26"/>
                <w:szCs w:val="26"/>
              </w:rPr>
            </w:pPr>
          </w:p>
        </w:tc>
        <w:tc>
          <w:tcPr>
            <w:tcW w:w="4678" w:type="dxa"/>
            <w:gridSpan w:val="3"/>
            <w:tcBorders>
              <w:top w:val="nil"/>
              <w:left w:val="nil"/>
              <w:bottom w:val="nil"/>
              <w:right w:val="nil"/>
            </w:tcBorders>
            <w:shd w:val="clear" w:color="auto" w:fill="auto"/>
            <w:vAlign w:val="center"/>
          </w:tcPr>
          <w:p w:rsidR="004B1B25" w:rsidRPr="004B6C0F" w:rsidRDefault="004B1B25" w:rsidP="004B1B25">
            <w:pPr>
              <w:suppressLineNumbers/>
              <w:rPr>
                <w:rFonts w:ascii="Arial" w:hAnsi="Arial"/>
                <w:b/>
                <w:bCs/>
                <w:sz w:val="26"/>
                <w:szCs w:val="26"/>
                <w:rtl/>
              </w:rPr>
            </w:pPr>
            <w:r w:rsidRPr="004B6C0F">
              <w:rPr>
                <w:rFonts w:ascii="Arial" w:hAnsi="Arial"/>
                <w:b/>
                <w:bCs/>
                <w:sz w:val="26"/>
                <w:szCs w:val="26"/>
                <w:rtl/>
              </w:rPr>
              <w:t>מדינת ישראל</w:t>
            </w:r>
            <w:r w:rsidRPr="004B6C0F">
              <w:rPr>
                <w:rFonts w:ascii="Arial" w:hAnsi="Arial" w:hint="cs"/>
                <w:b/>
                <w:bCs/>
                <w:sz w:val="26"/>
                <w:szCs w:val="26"/>
                <w:rtl/>
              </w:rPr>
              <w:t xml:space="preserve"> </w:t>
            </w:r>
          </w:p>
          <w:p w:rsidR="004B1B25" w:rsidRPr="004B6C0F" w:rsidRDefault="004B1B25" w:rsidP="004B1B25">
            <w:pPr>
              <w:suppressLineNumbers/>
            </w:pPr>
            <w:r w:rsidRPr="004B6C0F">
              <w:rPr>
                <w:rFonts w:ascii="Arial" w:hAnsi="Arial"/>
                <w:b/>
                <w:bCs/>
                <w:sz w:val="26"/>
                <w:szCs w:val="26"/>
                <w:rtl/>
              </w:rPr>
              <w:t>ע"י ב"כ עוה"ד</w:t>
            </w:r>
            <w:r w:rsidRPr="004B6C0F">
              <w:rPr>
                <w:rFonts w:ascii="Arial" w:hAnsi="Arial" w:hint="cs"/>
                <w:b/>
                <w:bCs/>
                <w:sz w:val="26"/>
                <w:szCs w:val="26"/>
                <w:rtl/>
              </w:rPr>
              <w:t xml:space="preserve"> יעל תרם</w:t>
            </w:r>
          </w:p>
          <w:p w:rsidR="004B1B25" w:rsidRPr="004B6C0F" w:rsidRDefault="004B1B25" w:rsidP="006829F8">
            <w:pPr>
              <w:rPr>
                <w:rFonts w:ascii="David" w:hAnsi="David"/>
                <w:sz w:val="26"/>
                <w:szCs w:val="26"/>
              </w:rPr>
            </w:pPr>
          </w:p>
        </w:tc>
      </w:tr>
      <w:bookmarkEnd w:id="1"/>
      <w:bookmarkEnd w:id="2"/>
      <w:tr w:rsidR="004B1B25" w:rsidRPr="004B6C0F"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4B1B25" w:rsidRPr="004B6C0F" w:rsidRDefault="004B1B25" w:rsidP="004B1B25">
            <w:pPr>
              <w:jc w:val="both"/>
              <w:rPr>
                <w:rFonts w:ascii="David" w:hAnsi="David"/>
                <w:sz w:val="26"/>
                <w:szCs w:val="26"/>
                <w:rtl/>
              </w:rPr>
            </w:pPr>
          </w:p>
        </w:tc>
        <w:tc>
          <w:tcPr>
            <w:tcW w:w="7897" w:type="dxa"/>
            <w:gridSpan w:val="4"/>
            <w:tcBorders>
              <w:top w:val="nil"/>
              <w:left w:val="nil"/>
              <w:bottom w:val="nil"/>
              <w:right w:val="nil"/>
            </w:tcBorders>
            <w:shd w:val="clear" w:color="auto" w:fill="auto"/>
          </w:tcPr>
          <w:p w:rsidR="004B1B25" w:rsidRPr="004B6C0F" w:rsidRDefault="004B1B25" w:rsidP="004B1B25">
            <w:pPr>
              <w:jc w:val="center"/>
              <w:rPr>
                <w:rFonts w:ascii="David" w:hAnsi="David"/>
                <w:b/>
                <w:bCs/>
                <w:sz w:val="26"/>
                <w:szCs w:val="26"/>
                <w:rtl/>
              </w:rPr>
            </w:pPr>
          </w:p>
          <w:p w:rsidR="004B1B25" w:rsidRPr="004B6C0F" w:rsidRDefault="004B1B25" w:rsidP="004B1B25">
            <w:pPr>
              <w:jc w:val="center"/>
              <w:rPr>
                <w:rFonts w:ascii="David" w:hAnsi="David"/>
                <w:b/>
                <w:bCs/>
                <w:sz w:val="26"/>
                <w:szCs w:val="26"/>
                <w:rtl/>
              </w:rPr>
            </w:pPr>
            <w:r w:rsidRPr="004B6C0F">
              <w:rPr>
                <w:rFonts w:ascii="David" w:hAnsi="David"/>
                <w:b/>
                <w:bCs/>
                <w:sz w:val="26"/>
                <w:szCs w:val="26"/>
                <w:rtl/>
              </w:rPr>
              <w:t>נגד</w:t>
            </w:r>
          </w:p>
          <w:p w:rsidR="004B1B25" w:rsidRPr="004B6C0F" w:rsidRDefault="004B1B25" w:rsidP="004B1B25">
            <w:pPr>
              <w:jc w:val="both"/>
              <w:rPr>
                <w:rFonts w:ascii="David" w:hAnsi="David"/>
                <w:sz w:val="26"/>
                <w:szCs w:val="26"/>
              </w:rPr>
            </w:pPr>
          </w:p>
        </w:tc>
      </w:tr>
      <w:tr w:rsidR="004B1B25" w:rsidRPr="004B6C0F" w:rsidTr="00A23E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4B1B25" w:rsidRPr="004B6C0F" w:rsidRDefault="004B1B25" w:rsidP="006829F8">
            <w:pPr>
              <w:rPr>
                <w:rFonts w:ascii="David" w:hAnsi="David"/>
                <w:sz w:val="26"/>
                <w:szCs w:val="26"/>
                <w:rtl/>
              </w:rPr>
            </w:pPr>
          </w:p>
        </w:tc>
        <w:tc>
          <w:tcPr>
            <w:tcW w:w="3219" w:type="dxa"/>
            <w:tcBorders>
              <w:top w:val="nil"/>
              <w:left w:val="nil"/>
              <w:bottom w:val="nil"/>
              <w:right w:val="nil"/>
            </w:tcBorders>
            <w:shd w:val="clear" w:color="auto" w:fill="auto"/>
          </w:tcPr>
          <w:p w:rsidR="004B1B25" w:rsidRPr="004B6C0F" w:rsidRDefault="004B1B25" w:rsidP="006829F8">
            <w:pPr>
              <w:rPr>
                <w:rFonts w:ascii="Arial" w:hAnsi="Arial"/>
                <w:b/>
                <w:bCs/>
                <w:sz w:val="26"/>
                <w:szCs w:val="26"/>
                <w:rtl/>
              </w:rPr>
            </w:pPr>
            <w:r w:rsidRPr="004B6C0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4B1B25" w:rsidRPr="004B6C0F" w:rsidRDefault="004B1B25" w:rsidP="004B1B25">
            <w:pPr>
              <w:suppressLineNumbers/>
              <w:rPr>
                <w:rFonts w:ascii="Arial" w:hAnsi="Arial"/>
                <w:b/>
                <w:bCs/>
                <w:sz w:val="26"/>
                <w:szCs w:val="26"/>
                <w:rtl/>
              </w:rPr>
            </w:pPr>
            <w:r w:rsidRPr="004B6C0F">
              <w:rPr>
                <w:rFonts w:ascii="Arial" w:hAnsi="Arial"/>
                <w:b/>
                <w:bCs/>
                <w:sz w:val="26"/>
                <w:szCs w:val="26"/>
                <w:rtl/>
              </w:rPr>
              <w:t>אליהו אלי אזארי</w:t>
            </w:r>
            <w:r w:rsidRPr="004B6C0F">
              <w:rPr>
                <w:rFonts w:ascii="Arial" w:hAnsi="Arial" w:hint="cs"/>
                <w:b/>
                <w:bCs/>
                <w:sz w:val="26"/>
                <w:szCs w:val="26"/>
                <w:rtl/>
              </w:rPr>
              <w:t xml:space="preserve"> </w:t>
            </w:r>
          </w:p>
          <w:p w:rsidR="004B1B25" w:rsidRPr="004B6C0F" w:rsidRDefault="004B1B25" w:rsidP="004B1B25">
            <w:pPr>
              <w:suppressLineNumbers/>
            </w:pPr>
            <w:r w:rsidRPr="004B6C0F">
              <w:rPr>
                <w:rFonts w:ascii="Arial" w:hAnsi="Arial"/>
                <w:b/>
                <w:bCs/>
                <w:sz w:val="26"/>
                <w:szCs w:val="26"/>
                <w:rtl/>
              </w:rPr>
              <w:t>ע"י ב"כ עוה"</w:t>
            </w:r>
            <w:r w:rsidRPr="004B6C0F">
              <w:rPr>
                <w:rFonts w:ascii="Arial" w:hAnsi="Arial" w:hint="cs"/>
                <w:b/>
                <w:bCs/>
                <w:sz w:val="26"/>
                <w:szCs w:val="26"/>
                <w:rtl/>
              </w:rPr>
              <w:t>ד אילן חכם</w:t>
            </w:r>
          </w:p>
          <w:p w:rsidR="004B1B25" w:rsidRPr="004B6C0F" w:rsidRDefault="004B1B25" w:rsidP="006829F8">
            <w:pPr>
              <w:rPr>
                <w:rFonts w:ascii="David" w:hAnsi="David"/>
                <w:sz w:val="26"/>
                <w:szCs w:val="26"/>
              </w:rPr>
            </w:pPr>
          </w:p>
        </w:tc>
      </w:tr>
    </w:tbl>
    <w:p w:rsidR="004B6C0F" w:rsidRPr="004B6C0F" w:rsidRDefault="004B6C0F" w:rsidP="004B6C0F">
      <w:pPr>
        <w:spacing w:before="120" w:after="120" w:line="240" w:lineRule="exact"/>
        <w:ind w:left="283" w:hanging="283"/>
        <w:jc w:val="both"/>
        <w:rPr>
          <w:rFonts w:ascii="FrankRuehl" w:hAnsi="FrankRuehl" w:cs="FrankRuehl"/>
          <w:rtl/>
        </w:rPr>
      </w:pPr>
    </w:p>
    <w:p w:rsidR="004B6C0F" w:rsidRPr="004B6C0F" w:rsidRDefault="004B6C0F" w:rsidP="004B6C0F">
      <w:pPr>
        <w:rPr>
          <w:sz w:val="26"/>
          <w:szCs w:val="26"/>
          <w:rtl/>
        </w:rPr>
      </w:pPr>
    </w:p>
    <w:p w:rsidR="00A23EAC" w:rsidRPr="00A23EAC" w:rsidRDefault="00A23EAC" w:rsidP="00A23EAC">
      <w:pPr>
        <w:spacing w:before="120" w:after="120" w:line="240" w:lineRule="exact"/>
        <w:ind w:left="283" w:hanging="283"/>
        <w:jc w:val="both"/>
        <w:rPr>
          <w:rFonts w:ascii="FrankRuehl" w:hAnsi="FrankRuehl" w:cs="FrankRuehl"/>
          <w:rtl/>
        </w:rPr>
      </w:pPr>
      <w:bookmarkStart w:id="3" w:name="LawTable"/>
      <w:bookmarkEnd w:id="3"/>
    </w:p>
    <w:p w:rsidR="00A23EAC" w:rsidRPr="00A23EAC" w:rsidRDefault="00A23EAC" w:rsidP="00A23EAC">
      <w:pPr>
        <w:spacing w:before="120" w:after="120" w:line="240" w:lineRule="exact"/>
        <w:ind w:left="283" w:hanging="283"/>
        <w:jc w:val="both"/>
        <w:rPr>
          <w:rFonts w:ascii="FrankRuehl" w:hAnsi="FrankRuehl" w:cs="FrankRuehl"/>
          <w:rtl/>
        </w:rPr>
      </w:pPr>
      <w:r w:rsidRPr="00A23EAC">
        <w:rPr>
          <w:rFonts w:ascii="FrankRuehl" w:hAnsi="FrankRuehl" w:cs="FrankRuehl"/>
          <w:rtl/>
        </w:rPr>
        <w:t xml:space="preserve">חקיקה שאוזכרה: </w:t>
      </w:r>
    </w:p>
    <w:p w:rsidR="00A23EAC" w:rsidRPr="00A23EAC" w:rsidRDefault="00A23EAC" w:rsidP="00A23EAC">
      <w:pPr>
        <w:spacing w:before="120" w:after="120" w:line="240" w:lineRule="exact"/>
        <w:ind w:left="283" w:hanging="283"/>
        <w:jc w:val="both"/>
        <w:rPr>
          <w:rFonts w:ascii="FrankRuehl" w:hAnsi="FrankRuehl" w:cs="FrankRuehl"/>
          <w:color w:val="0000FF"/>
          <w:rtl/>
        </w:rPr>
      </w:pPr>
      <w:hyperlink r:id="rId7" w:history="1">
        <w:r w:rsidRPr="00A23EAC">
          <w:rPr>
            <w:rStyle w:val="Hyperlink"/>
            <w:rFonts w:ascii="FrankRuehl" w:hAnsi="FrankRuehl" w:cs="FrankRuehl"/>
            <w:u w:val="none"/>
            <w:rtl/>
          </w:rPr>
          <w:t>פקודת הסמים המסוכנים [נוסח חדש], תשל"ג-1973</w:t>
        </w:r>
      </w:hyperlink>
      <w:r w:rsidRPr="00A23EAC">
        <w:rPr>
          <w:rFonts w:ascii="FrankRuehl" w:hAnsi="FrankRuehl" w:cs="FrankRuehl"/>
          <w:color w:val="0000FF"/>
          <w:rtl/>
        </w:rPr>
        <w:t xml:space="preserve">: סע'  </w:t>
      </w:r>
      <w:hyperlink r:id="rId8" w:history="1">
        <w:r w:rsidRPr="00A23EAC">
          <w:rPr>
            <w:rStyle w:val="Hyperlink"/>
            <w:rFonts w:ascii="FrankRuehl" w:hAnsi="FrankRuehl" w:cs="FrankRuehl"/>
            <w:u w:val="none"/>
          </w:rPr>
          <w:t>13</w:t>
        </w:r>
      </w:hyperlink>
      <w:r w:rsidRPr="00A23EAC">
        <w:rPr>
          <w:rFonts w:ascii="FrankRuehl" w:hAnsi="FrankRuehl" w:cs="FrankRuehl"/>
          <w:color w:val="0000FF"/>
          <w:rtl/>
        </w:rPr>
        <w:t xml:space="preserve">, </w:t>
      </w:r>
      <w:hyperlink r:id="rId9" w:history="1">
        <w:r w:rsidRPr="00A23EAC">
          <w:rPr>
            <w:rStyle w:val="Hyperlink"/>
            <w:rFonts w:ascii="FrankRuehl" w:hAnsi="FrankRuehl" w:cs="FrankRuehl"/>
            <w:u w:val="none"/>
          </w:rPr>
          <w:t>19</w:t>
        </w:r>
        <w:r w:rsidRPr="00A23EAC">
          <w:rPr>
            <w:rStyle w:val="Hyperlink"/>
            <w:rFonts w:ascii="FrankRuehl" w:hAnsi="FrankRuehl" w:cs="FrankRuehl"/>
            <w:u w:val="none"/>
            <w:rtl/>
          </w:rPr>
          <w:t>א</w:t>
        </w:r>
      </w:hyperlink>
    </w:p>
    <w:p w:rsidR="00A23EAC" w:rsidRPr="00A23EAC" w:rsidRDefault="00A23EAC" w:rsidP="00A23EAC">
      <w:pPr>
        <w:spacing w:before="120" w:after="120" w:line="240" w:lineRule="exact"/>
        <w:ind w:left="283" w:hanging="283"/>
        <w:jc w:val="both"/>
        <w:rPr>
          <w:rFonts w:ascii="FrankRuehl" w:hAnsi="FrankRuehl" w:cs="FrankRuehl"/>
          <w:color w:val="0000FF"/>
          <w:rtl/>
        </w:rPr>
      </w:pPr>
      <w:hyperlink r:id="rId10" w:history="1">
        <w:r w:rsidRPr="00A23EAC">
          <w:rPr>
            <w:rStyle w:val="Hyperlink"/>
            <w:rFonts w:ascii="FrankRuehl" w:hAnsi="FrankRuehl" w:cs="FrankRuehl"/>
            <w:u w:val="none"/>
            <w:rtl/>
          </w:rPr>
          <w:t>חוק העונשין, תשל"ז-1977</w:t>
        </w:r>
      </w:hyperlink>
      <w:r w:rsidRPr="00A23EAC">
        <w:rPr>
          <w:rFonts w:ascii="FrankRuehl" w:hAnsi="FrankRuehl" w:cs="FrankRuehl"/>
          <w:color w:val="0000FF"/>
          <w:rtl/>
        </w:rPr>
        <w:t xml:space="preserve">: סע'  </w:t>
      </w:r>
      <w:hyperlink r:id="rId11" w:history="1">
        <w:r w:rsidRPr="00A23EAC">
          <w:rPr>
            <w:rStyle w:val="Hyperlink"/>
            <w:rFonts w:ascii="FrankRuehl" w:hAnsi="FrankRuehl" w:cs="FrankRuehl"/>
            <w:u w:val="none"/>
          </w:rPr>
          <w:t>40</w:t>
        </w:r>
        <w:r w:rsidRPr="00A23EAC">
          <w:rPr>
            <w:rStyle w:val="Hyperlink"/>
            <w:rFonts w:ascii="FrankRuehl" w:hAnsi="FrankRuehl" w:cs="FrankRuehl"/>
            <w:u w:val="none"/>
            <w:rtl/>
          </w:rPr>
          <w:t>ד</w:t>
        </w:r>
        <w:r w:rsidRPr="00A23EAC">
          <w:rPr>
            <w:rStyle w:val="Hyperlink"/>
            <w:rFonts w:ascii="FrankRuehl" w:hAnsi="FrankRuehl" w:cs="FrankRuehl"/>
            <w:u w:val="none"/>
          </w:rPr>
          <w:t>'</w:t>
        </w:r>
      </w:hyperlink>
      <w:r w:rsidRPr="00A23EAC">
        <w:rPr>
          <w:rFonts w:ascii="FrankRuehl" w:hAnsi="FrankRuehl" w:cs="FrankRuehl"/>
          <w:color w:val="0000FF"/>
          <w:rtl/>
        </w:rPr>
        <w:t xml:space="preserve">, </w:t>
      </w:r>
      <w:hyperlink r:id="rId12" w:history="1">
        <w:r w:rsidRPr="00A23EAC">
          <w:rPr>
            <w:rStyle w:val="Hyperlink"/>
            <w:rFonts w:ascii="FrankRuehl" w:hAnsi="FrankRuehl" w:cs="FrankRuehl"/>
            <w:u w:val="none"/>
          </w:rPr>
          <w:t>40</w:t>
        </w:r>
        <w:r w:rsidRPr="00A23EAC">
          <w:rPr>
            <w:rStyle w:val="Hyperlink"/>
            <w:rFonts w:ascii="FrankRuehl" w:hAnsi="FrankRuehl" w:cs="FrankRuehl"/>
            <w:u w:val="none"/>
            <w:rtl/>
          </w:rPr>
          <w:t>ד</w:t>
        </w:r>
        <w:r w:rsidRPr="00A23EAC">
          <w:rPr>
            <w:rStyle w:val="Hyperlink"/>
            <w:rFonts w:ascii="FrankRuehl" w:hAnsi="FrankRuehl" w:cs="FrankRuehl"/>
            <w:u w:val="none"/>
          </w:rPr>
          <w:t>'</w:t>
        </w:r>
      </w:hyperlink>
      <w:r w:rsidRPr="00A23EAC">
        <w:rPr>
          <w:rFonts w:ascii="FrankRuehl" w:hAnsi="FrankRuehl" w:cs="FrankRuehl"/>
          <w:color w:val="0000FF"/>
          <w:rtl/>
        </w:rPr>
        <w:t>(א)</w:t>
      </w:r>
    </w:p>
    <w:p w:rsidR="00A23EAC" w:rsidRPr="00A23EAC" w:rsidRDefault="00A23EAC" w:rsidP="00A23EAC">
      <w:pPr>
        <w:spacing w:before="120" w:after="120" w:line="240" w:lineRule="exact"/>
        <w:ind w:left="283" w:hanging="283"/>
        <w:jc w:val="both"/>
        <w:rPr>
          <w:rFonts w:ascii="FrankRuehl" w:hAnsi="FrankRuehl" w:cs="FrankRuehl"/>
          <w:color w:val="0000FF"/>
          <w:rtl/>
        </w:rPr>
      </w:pPr>
      <w:hyperlink r:id="rId13" w:history="1">
        <w:r w:rsidRPr="00A23EAC">
          <w:rPr>
            <w:rStyle w:val="Hyperlink"/>
            <w:rFonts w:ascii="FrankRuehl" w:hAnsi="FrankRuehl" w:cs="FrankRuehl"/>
            <w:u w:val="none"/>
            <w:rtl/>
          </w:rPr>
          <w:t>פקודת המבחן [נוסח חדש], תשכ"ט-1969</w:t>
        </w:r>
      </w:hyperlink>
    </w:p>
    <w:p w:rsidR="004B1B25" w:rsidRDefault="004B1B25" w:rsidP="00A23EAC">
      <w:pPr>
        <w:rPr>
          <w:rFonts w:hint="cs"/>
          <w:sz w:val="26"/>
          <w:szCs w:val="26"/>
          <w:rtl/>
        </w:rPr>
      </w:pPr>
      <w:bookmarkStart w:id="4" w:name="LawTable_End"/>
      <w:bookmarkEnd w:id="4"/>
    </w:p>
    <w:p w:rsidR="00A23EAC" w:rsidRDefault="00A23EAC" w:rsidP="00A23EAC">
      <w:pPr>
        <w:rPr>
          <w:rFonts w:hint="cs"/>
          <w:sz w:val="26"/>
          <w:szCs w:val="26"/>
          <w:rtl/>
        </w:rPr>
      </w:pPr>
    </w:p>
    <w:p w:rsidR="00A23EAC" w:rsidRPr="00A23EAC" w:rsidRDefault="00A23EAC" w:rsidP="00A23EAC">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1B25" w:rsidTr="004B1B25">
        <w:trPr>
          <w:trHeight w:val="355"/>
          <w:jc w:val="center"/>
        </w:trPr>
        <w:tc>
          <w:tcPr>
            <w:tcW w:w="8820" w:type="dxa"/>
            <w:tcBorders>
              <w:top w:val="nil"/>
              <w:left w:val="nil"/>
              <w:bottom w:val="nil"/>
              <w:right w:val="nil"/>
            </w:tcBorders>
            <w:shd w:val="clear" w:color="auto" w:fill="auto"/>
          </w:tcPr>
          <w:p w:rsidR="004B6C0F" w:rsidRPr="004B6C0F" w:rsidRDefault="004B6C0F" w:rsidP="004B6C0F">
            <w:pPr>
              <w:jc w:val="center"/>
              <w:rPr>
                <w:rFonts w:ascii="David" w:hAnsi="David"/>
                <w:b/>
                <w:bCs/>
                <w:sz w:val="32"/>
                <w:szCs w:val="32"/>
                <w:u w:val="single"/>
                <w:rtl/>
              </w:rPr>
            </w:pPr>
            <w:bookmarkStart w:id="5" w:name="PsakDin" w:colFirst="0" w:colLast="0"/>
            <w:bookmarkEnd w:id="0"/>
            <w:r w:rsidRPr="004B6C0F">
              <w:rPr>
                <w:rFonts w:ascii="David" w:hAnsi="David"/>
                <w:b/>
                <w:bCs/>
                <w:sz w:val="32"/>
                <w:szCs w:val="32"/>
                <w:u w:val="single"/>
                <w:rtl/>
              </w:rPr>
              <w:t>גזר דין</w:t>
            </w:r>
          </w:p>
          <w:p w:rsidR="004B1B25" w:rsidRPr="004B6C0F" w:rsidRDefault="004B1B25" w:rsidP="004B6C0F">
            <w:pPr>
              <w:jc w:val="center"/>
              <w:rPr>
                <w:rFonts w:ascii="David" w:hAnsi="David"/>
                <w:bCs/>
                <w:sz w:val="32"/>
                <w:szCs w:val="32"/>
                <w:u w:val="single"/>
                <w:rtl/>
              </w:rPr>
            </w:pPr>
          </w:p>
        </w:tc>
      </w:tr>
      <w:bookmarkEnd w:id="5"/>
    </w:tbl>
    <w:p w:rsidR="004B1B25" w:rsidRPr="000F2247" w:rsidRDefault="004B1B25" w:rsidP="004B1B25">
      <w:pPr>
        <w:rPr>
          <w:rFonts w:ascii="Arial" w:hAnsi="Arial"/>
          <w:b/>
          <w:bCs/>
          <w:sz w:val="26"/>
          <w:szCs w:val="26"/>
          <w:rtl/>
        </w:rPr>
      </w:pPr>
    </w:p>
    <w:p w:rsidR="004B1B25" w:rsidRPr="000F2247" w:rsidRDefault="004B1B25" w:rsidP="004B1B25">
      <w:pPr>
        <w:rPr>
          <w:rFonts w:ascii="Arial" w:hAnsi="Arial"/>
          <w:b/>
          <w:bCs/>
          <w:sz w:val="26"/>
          <w:szCs w:val="26"/>
          <w:rtl/>
        </w:rPr>
      </w:pPr>
      <w:bookmarkStart w:id="6" w:name="ABSTRACT_START"/>
      <w:bookmarkEnd w:id="6"/>
    </w:p>
    <w:p w:rsidR="004B1B25" w:rsidRDefault="004B1B25" w:rsidP="004B1B25">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הנאשם הורשע במסגרת הסדר דיוני בעובדות כתב אישום מתוקן בעבירת </w:t>
      </w:r>
      <w:r>
        <w:rPr>
          <w:rFonts w:ascii="David" w:hAnsi="David" w:cs="David"/>
          <w:b/>
          <w:bCs/>
          <w:sz w:val="24"/>
          <w:szCs w:val="24"/>
          <w:rtl/>
        </w:rPr>
        <w:t>ייבוא סם מסוכן</w:t>
      </w:r>
      <w:r>
        <w:rPr>
          <w:rFonts w:ascii="David" w:hAnsi="David" w:cs="David"/>
          <w:sz w:val="24"/>
          <w:szCs w:val="24"/>
          <w:rtl/>
        </w:rPr>
        <w:t xml:space="preserve"> לפי </w:t>
      </w:r>
      <w:hyperlink r:id="rId14" w:history="1">
        <w:r w:rsidR="00A23EAC" w:rsidRPr="00A23EAC">
          <w:rPr>
            <w:rStyle w:val="Hyperlink"/>
            <w:rFonts w:ascii="David" w:hAnsi="David" w:cs="David"/>
            <w:sz w:val="24"/>
            <w:szCs w:val="24"/>
            <w:rtl/>
          </w:rPr>
          <w:t>סעיף 13</w:t>
        </w:r>
      </w:hyperlink>
      <w:r>
        <w:rPr>
          <w:rFonts w:ascii="David" w:hAnsi="David" w:cs="David"/>
          <w:sz w:val="24"/>
          <w:szCs w:val="24"/>
          <w:rtl/>
        </w:rPr>
        <w:t xml:space="preserve"> וסעיף </w:t>
      </w:r>
      <w:hyperlink r:id="rId15" w:history="1">
        <w:r w:rsidR="00A23EAC" w:rsidRPr="00A23EAC">
          <w:rPr>
            <w:rStyle w:val="Hyperlink"/>
            <w:rFonts w:ascii="David" w:hAnsi="David" w:cs="David"/>
            <w:sz w:val="24"/>
            <w:szCs w:val="24"/>
            <w:rtl/>
          </w:rPr>
          <w:t>19א</w:t>
        </w:r>
      </w:hyperlink>
      <w:r>
        <w:rPr>
          <w:rFonts w:ascii="David" w:hAnsi="David" w:cs="David"/>
          <w:sz w:val="24"/>
          <w:szCs w:val="24"/>
          <w:rtl/>
        </w:rPr>
        <w:t xml:space="preserve"> ל</w:t>
      </w:r>
      <w:hyperlink r:id="rId16" w:history="1">
        <w:r w:rsidR="004B6C0F" w:rsidRPr="004B6C0F">
          <w:rPr>
            <w:rFonts w:ascii="David" w:hAnsi="David" w:cs="David"/>
            <w:color w:val="0000FF"/>
            <w:sz w:val="24"/>
            <w:szCs w:val="24"/>
            <w:u w:val="single"/>
            <w:rtl/>
          </w:rPr>
          <w:t>פקודת הסמים המסוכנים</w:t>
        </w:r>
      </w:hyperlink>
      <w:r>
        <w:rPr>
          <w:rFonts w:ascii="David" w:hAnsi="David" w:cs="David"/>
          <w:sz w:val="24"/>
          <w:szCs w:val="24"/>
          <w:rtl/>
        </w:rPr>
        <w:t xml:space="preserve"> התשל"ג-1973. </w:t>
      </w:r>
    </w:p>
    <w:p w:rsidR="004B1B25" w:rsidRDefault="004B1B25" w:rsidP="004B1B25">
      <w:pPr>
        <w:pStyle w:val="ListParagraph"/>
        <w:spacing w:line="360" w:lineRule="auto"/>
        <w:jc w:val="both"/>
        <w:rPr>
          <w:rFonts w:ascii="David" w:hAnsi="David" w:cs="David"/>
          <w:sz w:val="24"/>
          <w:szCs w:val="24"/>
        </w:rPr>
      </w:pPr>
    </w:p>
    <w:p w:rsidR="004B1B25" w:rsidRDefault="004B1B25" w:rsidP="004B1B25">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כמפורט בעובדות האישום המתוקן, ביום 11.10.22 יצא הנאשם מישראל דרך נמל תעופה בן גוריון לבלגיה. ביום 20.10.22 שב הנאשם לישראל כשהוא נושא עמו כ-25,303 טבליות סם מסוכן מסוג </w:t>
      </w:r>
      <w:r>
        <w:rPr>
          <w:rFonts w:ascii="David" w:hAnsi="David" w:cs="David"/>
          <w:sz w:val="24"/>
          <w:szCs w:val="24"/>
        </w:rPr>
        <w:t>MDMA</w:t>
      </w:r>
      <w:r>
        <w:rPr>
          <w:rFonts w:ascii="David" w:hAnsi="David" w:cs="David"/>
          <w:sz w:val="24"/>
          <w:szCs w:val="24"/>
          <w:rtl/>
        </w:rPr>
        <w:t xml:space="preserve"> שהוטמנו בתא ייעודי שבנה בתחתית מזוודתו, אותו קיבע באמצעות קרש עץ. </w:t>
      </w:r>
    </w:p>
    <w:p w:rsidR="004B1B25" w:rsidRDefault="004B1B25" w:rsidP="004B1B25">
      <w:pPr>
        <w:pStyle w:val="ListParagraph"/>
        <w:spacing w:line="360" w:lineRule="auto"/>
        <w:jc w:val="both"/>
        <w:rPr>
          <w:rFonts w:ascii="David" w:hAnsi="David" w:cs="David"/>
          <w:sz w:val="24"/>
          <w:szCs w:val="24"/>
        </w:rPr>
      </w:pPr>
      <w:bookmarkStart w:id="7" w:name="ABSTRACT_END"/>
      <w:bookmarkEnd w:id="7"/>
    </w:p>
    <w:p w:rsidR="004B1B25" w:rsidRPr="004B1B25" w:rsidRDefault="004B1B25" w:rsidP="004B1B25">
      <w:pPr>
        <w:pStyle w:val="ListParagraph"/>
        <w:numPr>
          <w:ilvl w:val="0"/>
          <w:numId w:val="1"/>
        </w:numPr>
        <w:spacing w:line="360" w:lineRule="auto"/>
        <w:jc w:val="both"/>
        <w:rPr>
          <w:rFonts w:ascii="David" w:hAnsi="David"/>
          <w:b/>
          <w:bCs/>
          <w:u w:val="single"/>
          <w:rtl/>
        </w:rPr>
      </w:pPr>
      <w:r>
        <w:rPr>
          <w:rFonts w:ascii="David" w:hAnsi="David" w:cs="David"/>
          <w:sz w:val="24"/>
          <w:szCs w:val="24"/>
          <w:rtl/>
        </w:rPr>
        <w:t xml:space="preserve">ביום 10.7.23 הגיעו הצדדים להסדר דיוני לפיו הודה הנאשם בכתב האישום המתוקן והופנה לתסקיר, ללא הסכמות עונשיות. </w:t>
      </w:r>
    </w:p>
    <w:p w:rsidR="004B1B25" w:rsidRDefault="004B1B25" w:rsidP="004B1B25">
      <w:pPr>
        <w:rPr>
          <w:rFonts w:ascii="David" w:hAnsi="David"/>
          <w:b/>
          <w:bCs/>
          <w:u w:val="single"/>
          <w:rtl/>
        </w:rPr>
      </w:pPr>
      <w:r>
        <w:rPr>
          <w:rFonts w:ascii="David" w:hAnsi="David"/>
          <w:b/>
          <w:bCs/>
          <w:u w:val="single"/>
          <w:rtl/>
        </w:rPr>
        <w:lastRenderedPageBreak/>
        <w:t>תסקירי שירות המבחן- סקירת דרכו הטיפולית של הנאשם</w:t>
      </w:r>
    </w:p>
    <w:p w:rsidR="004B1B25" w:rsidRDefault="004B1B25" w:rsidP="004B1B25">
      <w:pPr>
        <w:rPr>
          <w:rFonts w:ascii="David" w:hAnsi="David"/>
          <w:b/>
          <w:bCs/>
          <w:u w:val="single"/>
          <w:rtl/>
        </w:rPr>
      </w:pPr>
    </w:p>
    <w:p w:rsidR="004B1B25" w:rsidRDefault="004B1B25" w:rsidP="004B1B25">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הנאשם, בן 47, רווק, שוהה בהוסטל טיפולי של קהילת "הדרך" לטיפול והימנעות מהתמכרות. </w:t>
      </w:r>
    </w:p>
    <w:p w:rsidR="004B1B25" w:rsidRDefault="004B1B25" w:rsidP="004B1B25">
      <w:pPr>
        <w:pStyle w:val="ListParagraph"/>
        <w:spacing w:line="360" w:lineRule="auto"/>
        <w:jc w:val="both"/>
        <w:rPr>
          <w:rFonts w:ascii="David" w:hAnsi="David" w:cs="David"/>
          <w:sz w:val="24"/>
          <w:szCs w:val="24"/>
        </w:rPr>
      </w:pPr>
      <w:r>
        <w:rPr>
          <w:rFonts w:ascii="David" w:hAnsi="David" w:cs="David"/>
          <w:sz w:val="24"/>
          <w:szCs w:val="24"/>
          <w:rtl/>
        </w:rPr>
        <w:t xml:space="preserve">מקורותיו עולה כי חווה ילדות מורכבת בצלו של אב אלים, השלים 12 שנות לימוד במגמת אלקטרוניקה ותעודת בגרות מלאה, שירת שירות צבאי מלא ולאחר שחרורו עבד כשנתיים בארה"ב בתחום האלקטרוניקה. בהמשך שב ארצה וניסה להשתלב בלימודים אקדמאיים אך לא סיים לימודיו. מבחינה תעסוקתית, עבד בעבודות שונות בארץ ובספרד בתחומי התיירות והפקת אירועים. טרם מעצרו עבד בעבודות מזדמנות בתחום המשלוחים, כיום ומזה כארבעה חודשים עובד כמנהל הסעות. בגיל 21 החל להשתמש בסמים מסוג קנאביס, בהמשך החל לצרוך בקביעות ואינטנסיביות סמים קשים מסוגים שונים, אקסטזי, </w:t>
      </w:r>
      <w:r>
        <w:rPr>
          <w:rFonts w:ascii="David" w:hAnsi="David" w:cs="David"/>
          <w:sz w:val="24"/>
          <w:szCs w:val="24"/>
        </w:rPr>
        <w:t>MDMA</w:t>
      </w:r>
      <w:r>
        <w:rPr>
          <w:rFonts w:ascii="David" w:hAnsi="David" w:cs="David"/>
          <w:sz w:val="24"/>
          <w:szCs w:val="24"/>
          <w:rtl/>
        </w:rPr>
        <w:t xml:space="preserve">, קוקאין ומדבקות "פנטניל". לחובתו הרשעה משנת 2008 בגין ביצוע עבירות סמים, בגינה נדון ל-40 חודשי מאסר.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b/>
          <w:bCs/>
          <w:sz w:val="24"/>
          <w:szCs w:val="24"/>
          <w:rtl/>
        </w:rPr>
        <w:t>באשר לביצוע העבירה</w:t>
      </w:r>
      <w:r>
        <w:rPr>
          <w:rFonts w:ascii="David" w:hAnsi="David" w:cs="David"/>
          <w:sz w:val="24"/>
          <w:szCs w:val="24"/>
          <w:rtl/>
        </w:rPr>
        <w:t xml:space="preserve">, במסגרת עונש המאסר שריצה בשנת 2008 נגמל מסמים, ולאחר שחרורו השתלב בתכנית טיפולית במסגרת רש"א והצליח לשמור על אורח חיים נקי. עם זאת בשנת 2016 עם המעבר למגורים בחו"ל החלה התדרדרות הדרגתית בתפקודו, זו העמיקה בשנת 2021 בתקופת הקורונה ופרידה מבת זוגו. הנאשם תיאר כי בתקופה שקדמה לביצועה, אביו נפטר והוא ניהל אורח חיים בעייתי ולא יציב והתקשה להתמודד עם המשברים. על רקע זה העמיק את דפוסי צריכת הסמים, התבודד חברתית והפסיק לעבוד. הנאשם לוקח אחריות מלאה על ביצוע העבירה, מורתע מתקופת מעצרו ומההליך המשפטי ומביע נכונות לשאת בתוצאות מעשיו. מבטא הכרה למחירים הנלווים להתנהלותו השולית ולפגיעה בעצמו ובמשפחתו. הביע שאיפות לתפקוד וניהול אורח חיים יצרני.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b/>
          <w:bCs/>
          <w:sz w:val="24"/>
          <w:szCs w:val="24"/>
          <w:rtl/>
        </w:rPr>
        <w:t>מבחינה טיפולית</w:t>
      </w:r>
      <w:r>
        <w:rPr>
          <w:rFonts w:ascii="David" w:hAnsi="David" w:cs="David"/>
          <w:sz w:val="24"/>
          <w:szCs w:val="24"/>
          <w:rtl/>
        </w:rPr>
        <w:t xml:space="preserve">, הנאשם פנה עוד טרם מעצרו לקהילת ה"דרך". שוחרר בחודש ינואר 2023 לחלופה טיפולית ושולב בקהילה.  </w:t>
      </w:r>
      <w:r>
        <w:rPr>
          <w:rFonts w:ascii="David" w:hAnsi="David" w:cs="David"/>
          <w:sz w:val="24"/>
          <w:szCs w:val="24"/>
          <w:u w:val="single"/>
          <w:rtl/>
        </w:rPr>
        <w:t>ממידע שהתקבל מגורמי הטיפול</w:t>
      </w:r>
      <w:r>
        <w:rPr>
          <w:rFonts w:ascii="David" w:hAnsi="David" w:cs="David"/>
          <w:sz w:val="24"/>
          <w:szCs w:val="24"/>
          <w:rtl/>
        </w:rPr>
        <w:t xml:space="preserve"> עלה כי מתמיד בטיפול ובעל מוטיבציה גבוהה לשיקום חייו. ההתרשמות הייתה מאדם אינטליגנטי בעל יכולות גבוהות, נראה כי עובר הליך שיקום משמעותי, מצליח להיעזר בטיפול ורכש כלים להתמודדות אדפטיבית יותר במצבי לחץ והמשך הימנעות מצריכת סמים. </w:t>
      </w: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 xml:space="preserve">שירות המבחן התרשם כי סביב פתיחת ההליך המשפטי חל שינוי בעמדותיו ורצונותיו של הנאשם, הוא הביע עייפות מהמשך ניהול אורח חיים עברייני, וכיום משקיע כוחותיו בשיקום על מנת לבסס שינוי בדפוסיו ולזהות מצבי סיכון לצורך מניעת חזרה לשימוש ולהתנהלות בעייתית. לאור התגייסותו להליך טיפולי מזה זמן רב, הרושם כי ביכולתו להתמודד באופן מיטיב יותר עם קשייו בא שירות המבחן בהמלצה לענישה שיקומית בדמות צו מבחן למשך שנה במסגרתו ימשיך בהליך הטיפולי וישולב ביחידה להתמכרויות בקהילה לצד צו של"צ בהיקף 200 שעות.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numPr>
          <w:ilvl w:val="0"/>
          <w:numId w:val="1"/>
        </w:numPr>
        <w:spacing w:line="360" w:lineRule="auto"/>
        <w:jc w:val="both"/>
        <w:rPr>
          <w:rFonts w:ascii="David" w:hAnsi="David" w:cs="David"/>
          <w:sz w:val="24"/>
          <w:szCs w:val="24"/>
          <w:rtl/>
        </w:rPr>
      </w:pPr>
      <w:r>
        <w:rPr>
          <w:rFonts w:ascii="David" w:hAnsi="David" w:cs="David"/>
          <w:b/>
          <w:bCs/>
          <w:sz w:val="24"/>
          <w:szCs w:val="24"/>
          <w:rtl/>
        </w:rPr>
        <w:t>מתסקיר משלים</w:t>
      </w:r>
      <w:r>
        <w:rPr>
          <w:rFonts w:ascii="David" w:hAnsi="David" w:cs="David"/>
          <w:sz w:val="24"/>
          <w:szCs w:val="24"/>
          <w:rtl/>
        </w:rPr>
        <w:t xml:space="preserve"> שהתקבל (10.6.24) בהמשך להחלטתי עולה כי במהלך תקופת הדחייה סיים הנאשם את הטיפול בהוסטל הקהילה וממשיך להתגורר בסמוך בדירת הבוגרים, לצד המשך עבודתו כמנהל הסעות. לתפיסתו מצוי בתהליך התייצבות ושינוי הכולל בין היתר הימנעות מצריכת סמים לאורך זמן וניתוק קשריו השוליים. הוא הביע רצון להמשיך להתגורר יחד עם בוגרי קהילה נוספים, ולאחרונה פנה ביוזמתו ליחידה לטיפול בהתמכרויות, בה שולב ביום 12.5.24, כיום משולב בטיפול קבוצתי, מוסר בדיקות שתן נקיות ונמצא ברשימת המתנה לטיפול פרטני. </w:t>
      </w:r>
      <w:r>
        <w:rPr>
          <w:rFonts w:ascii="David" w:hAnsi="David" w:cs="David"/>
          <w:sz w:val="24"/>
          <w:szCs w:val="24"/>
          <w:u w:val="single"/>
          <w:rtl/>
        </w:rPr>
        <w:t>ממידע שהתקבל מגורמי הטיפול בהוסטל</w:t>
      </w:r>
      <w:r>
        <w:rPr>
          <w:rFonts w:ascii="David" w:hAnsi="David" w:cs="David"/>
          <w:sz w:val="24"/>
          <w:szCs w:val="24"/>
          <w:rtl/>
        </w:rPr>
        <w:t xml:space="preserve"> עולה כי עמד בכללי התכנית הטיפולית, להתרשמותם הנאשם מצליח לזהות מוקדי סיכון במצבו כגון קשרים שוליים, דפוסי חשיבה עברייניים, חוסר יציבות תעסוקתית ומצוקות ומשברים שעובר. עוד עלה כי הצליח לרכוש מיומנויות יומיומיות בתחום התעסוקתי והכלכלי תוך התמודדות נכונה מול פיתויים. להערכתם המשך טיפול ביחידה להתמכרויות לצד מגוריו בדירת הבוגרים בקהילה תסייע בשמירה על הישגיו הטיפוליים ובהפחתת הסיכון במצבו לטווח הארוך. </w:t>
      </w:r>
      <w:r>
        <w:rPr>
          <w:rFonts w:ascii="David" w:hAnsi="David" w:cs="David"/>
          <w:sz w:val="24"/>
          <w:szCs w:val="24"/>
          <w:u w:val="single"/>
          <w:rtl/>
        </w:rPr>
        <w:t>ממידע שהתקבל מגורמי הטיפול ביחידה להתמכרויות</w:t>
      </w:r>
      <w:r>
        <w:rPr>
          <w:rFonts w:ascii="David" w:hAnsi="David" w:cs="David"/>
          <w:sz w:val="24"/>
          <w:szCs w:val="24"/>
          <w:rtl/>
        </w:rPr>
        <w:t xml:space="preserve"> עלה כי משתף פעולה באופן חיובי, מתמיד ומתייצב בזמן ומוסר בדיקות שתן נקיות. ההתרשמות כי מבטא רצינות ומחויבות ומשתף בתכנים אישיים. </w:t>
      </w:r>
    </w:p>
    <w:p w:rsidR="004B1B25" w:rsidRDefault="004B1B25" w:rsidP="004B1B25">
      <w:pPr>
        <w:pStyle w:val="ListParagraph"/>
        <w:rPr>
          <w:rFonts w:ascii="David" w:hAnsi="David" w:cs="David"/>
          <w:sz w:val="24"/>
          <w:szCs w:val="24"/>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b/>
          <w:bCs/>
          <w:sz w:val="24"/>
          <w:szCs w:val="24"/>
          <w:rtl/>
        </w:rPr>
        <w:t>לסיכום</w:t>
      </w:r>
      <w:r>
        <w:rPr>
          <w:rFonts w:ascii="David" w:hAnsi="David" w:cs="David"/>
          <w:sz w:val="24"/>
          <w:szCs w:val="24"/>
          <w:rtl/>
        </w:rPr>
        <w:t>, להערכת שירות המבחן חלה הפחתה משמעותית בסיכון במצבו, ונוכח הליך השיקום החיובי והממושך בו מצוי חזר על המלצתו השיקומית לצו מבחן ושל"צ</w:t>
      </w:r>
      <w:r>
        <w:rPr>
          <w:rFonts w:ascii="David" w:hAnsi="David" w:cs="David" w:hint="cs"/>
          <w:sz w:val="24"/>
          <w:szCs w:val="24"/>
          <w:rtl/>
        </w:rPr>
        <w:t>,</w:t>
      </w:r>
      <w:r>
        <w:rPr>
          <w:rFonts w:ascii="David" w:hAnsi="David" w:cs="David"/>
          <w:sz w:val="24"/>
          <w:szCs w:val="24"/>
          <w:rtl/>
        </w:rPr>
        <w:t xml:space="preserve"> כשלשיטתו מאסר בדרך של עבודות שירות עלול לקטוע את תפקודו התעסוקתי ולפגוע בשגרת יומו ובהשקעתו בהליך הטיפולי.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spacing w:line="360" w:lineRule="auto"/>
        <w:jc w:val="both"/>
        <w:rPr>
          <w:rFonts w:ascii="David" w:hAnsi="David"/>
          <w:b/>
          <w:bCs/>
          <w:u w:val="single"/>
          <w:rtl/>
        </w:rPr>
      </w:pPr>
      <w:r>
        <w:rPr>
          <w:rFonts w:ascii="David" w:hAnsi="David"/>
          <w:b/>
          <w:bCs/>
          <w:u w:val="single"/>
          <w:rtl/>
        </w:rPr>
        <w:t>תמצית טיעוני הצדדים</w:t>
      </w:r>
    </w:p>
    <w:p w:rsidR="004B1B25" w:rsidRDefault="004B1B25" w:rsidP="004B1B25">
      <w:pPr>
        <w:pStyle w:val="ListParagraph"/>
        <w:numPr>
          <w:ilvl w:val="0"/>
          <w:numId w:val="1"/>
        </w:numPr>
        <w:spacing w:line="360" w:lineRule="auto"/>
        <w:jc w:val="both"/>
        <w:rPr>
          <w:rFonts w:ascii="David" w:hAnsi="David" w:cs="David"/>
          <w:sz w:val="24"/>
          <w:szCs w:val="24"/>
          <w:rtl/>
        </w:rPr>
      </w:pPr>
      <w:r>
        <w:rPr>
          <w:rFonts w:ascii="David" w:hAnsi="David" w:cs="David"/>
          <w:sz w:val="24"/>
          <w:szCs w:val="24"/>
          <w:rtl/>
        </w:rPr>
        <w:t xml:space="preserve">דיון הטיעונים לעונש התקיים ביום 8.4.24, בסופו שמעתי את דברי הנאשם והתרשמתי מכנותם ורצינותם, הנאשם הופנה לתסקיר משלים כאמור. </w:t>
      </w:r>
    </w:p>
    <w:p w:rsidR="004B1B25" w:rsidRDefault="004B1B25" w:rsidP="004B1B25">
      <w:pPr>
        <w:pStyle w:val="ListParagraph"/>
        <w:spacing w:line="360" w:lineRule="auto"/>
        <w:jc w:val="both"/>
        <w:rPr>
          <w:rFonts w:ascii="David" w:hAnsi="David" w:cs="David"/>
          <w:sz w:val="24"/>
          <w:szCs w:val="24"/>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 xml:space="preserve">ב"כ המאשימה, עו"ד גבי פאר, עמד על הערכים המוגנים שנפגעו כתוצאה ממעשי הנאשם שהם שלום הציבור, בריאותו, הפגיעה ההרסנית בגוף ובנפש כתוצאה משימוש בסמים, והרווח הכלכלי העצום הטמון בעבירה. לשיטתו מדובר בפגיעה משמעותית נוכח כמות הסם. עוד עמד על הנסיבות לחומרה שהן חלקו המרכזי בביצוע העבירה, התכנון המוקדם, ההסלקה המתוחכמת, סוג הסם והסכנות הנלוות לשימוש בו והמניע הכלכלי לביצוע העבירה. לפיכך עתר למתחם הנע בין 6.5-4 שנות מאסר. באשר לנסיבות שאינן קשורות לביצוע העבירה, הפנה ב"כ המאשימה לעברו הפלילי בתחום הסמים, לדבריו הנאשם אינו מסוגל להתמודד עם מצבי משבר בחייו, מעמיק את דפוסי התמכרותו והתנהלותו העבריינית מסלימה. המאשימה מתנגדת להמלצת שירות המבחן, לשיטתה הנאשם עודנו מסוכן לציבור, קשריו השוליים קיימים, ולהליכי הגמילה והשיקום השפעה חיובית לטווח קצר, כפי שהוכח בעבר. בצד זאת ציין לקולה את הודאתו ונטילת האחריות. לפיכך עתר למקמו בחלק העליון של השליש התחתון במתחם ולהשתת קנס משמעותי. </w:t>
      </w:r>
    </w:p>
    <w:p w:rsidR="004B1B25" w:rsidRDefault="004B1B25" w:rsidP="004B1B25">
      <w:pPr>
        <w:pStyle w:val="ListParagraph"/>
        <w:spacing w:line="360" w:lineRule="auto"/>
        <w:jc w:val="both"/>
        <w:rPr>
          <w:rFonts w:ascii="David" w:hAnsi="David" w:cs="David"/>
          <w:sz w:val="24"/>
          <w:szCs w:val="24"/>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 xml:space="preserve">ב"כ הנאשם, עו"ד אילן חכם, עתר לאמץ את המלצת שירות המבחן, לטענתו הנאשם הוכיח כי ראוי לענישה שיקומית ולעונש החורג מהמתחם מטעמי שיקום. ב"כ הנאשם הסביר שהנאשם ביצע את העבירה בתקופה שהיה מכור לסמים ותחת השפעת סמים ולא היה אמור לגרוף רווח ממכירת הסמים. עוד עמד על נסיבות חייו, לטענתו עברו הפלילי ישן ובניגוד לטענת המאשימה לא מצביע על רצדביזם ועל העדר פוטנציאל לשיקום, הנאשם השקיע מאמצים כבירים לתקן את דרכיו ומצוי בהליכי טיפול משמעותיים מזה שנה וחצי. עוד הדגיש את התנהלותו לאחר תפיסתו, לרבות הודאתו בשלב מוקדם, הירתמותו הטוטאלית להליך טיפולי אינטנסיבי בקהילה לגמילה מסמים, ניקיונו לאורך זמן והשינוי המשמעותי שערך בחייו. בנסיבות אלו עתר לאמץ את המלצת שירות המבחן לצו של"צ ולחלופין לענישה בדרך של עבודות שירות. </w:t>
      </w:r>
    </w:p>
    <w:p w:rsidR="004B1B25" w:rsidRDefault="004B1B25" w:rsidP="004B1B25">
      <w:pPr>
        <w:pStyle w:val="ListParagraph"/>
        <w:spacing w:line="360" w:lineRule="auto"/>
        <w:jc w:val="both"/>
        <w:rPr>
          <w:rFonts w:ascii="David" w:hAnsi="David" w:cs="David"/>
          <w:sz w:val="24"/>
          <w:szCs w:val="24"/>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 xml:space="preserve">הצדדים הגישו אסופת פסיקה לתמיכה בעתירתם העונשית.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b/>
          <w:bCs/>
          <w:sz w:val="24"/>
          <w:szCs w:val="24"/>
          <w:rtl/>
        </w:rPr>
        <w:t xml:space="preserve">הנאשם </w:t>
      </w:r>
      <w:r>
        <w:rPr>
          <w:rFonts w:ascii="David" w:hAnsi="David" w:cs="David"/>
          <w:sz w:val="24"/>
          <w:szCs w:val="24"/>
          <w:rtl/>
        </w:rPr>
        <w:t xml:space="preserve">סיפר שזו פעם ראשונה שהוא עובר הליך גמילה מסודר, בעבר הצליח להגמל בכוחות עצמו. עוד שיתף שלראשונה בחייו מצליח להתמודד עם דפוסי התנהגותו המכשילים, נסיבות חייו המורכבות וכשלונותיו. הנאשם הודה כי מדובר בהליך שיקום ארוך שלא יסתיים גם לאחר שיעזוב את ההוסטל, בכוונתו להשתלב בקבוצות ובטיפול פרטני. הנאשם עובד בחודשים האחרונים בחברת הסעות.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spacing w:line="360" w:lineRule="auto"/>
        <w:ind w:left="360"/>
        <w:jc w:val="both"/>
        <w:rPr>
          <w:rFonts w:ascii="David" w:hAnsi="David"/>
          <w:b/>
          <w:bCs/>
          <w:u w:val="single"/>
          <w:rtl/>
        </w:rPr>
      </w:pPr>
      <w:r>
        <w:rPr>
          <w:rFonts w:ascii="David" w:hAnsi="David"/>
          <w:b/>
          <w:bCs/>
          <w:u w:val="single"/>
          <w:rtl/>
        </w:rPr>
        <w:t>דיון והכרעה</w:t>
      </w:r>
    </w:p>
    <w:p w:rsidR="004B1B25" w:rsidRDefault="004B1B25" w:rsidP="004B1B25">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מעשיו של הנאשם חמורים ומסוכנים ופגעו פגיעה מוחשית בערכים המוגנים של בריאות הציבור, שלומו וביטחונו. בתי המשפט חזרו והדגישו בפסיקותיהם את החומרה הנלווית לעבירות הסמים, ובפרט עבירות ייבוא והפצת סמים מסוכנים. עוד נקבע, בשים לב לרווח הכלכלי המשמעותי המופק לעיתים מביצוע עבירות אלו, כי ראוי לנקוט כלפיהן במדיניות ענישה מחמירה, על מנת להרתיע עבריינים פוטנציאליים מלבצען (</w:t>
      </w:r>
      <w:hyperlink r:id="rId17" w:history="1">
        <w:r w:rsidR="004B6C0F" w:rsidRPr="004B6C0F">
          <w:rPr>
            <w:rFonts w:ascii="David" w:hAnsi="David" w:cs="David"/>
            <w:color w:val="0000FF"/>
            <w:sz w:val="24"/>
            <w:szCs w:val="24"/>
            <w:u w:val="single"/>
            <w:rtl/>
          </w:rPr>
          <w:t>ע"פ 4536/21</w:t>
        </w:r>
      </w:hyperlink>
      <w:r>
        <w:rPr>
          <w:rFonts w:ascii="David" w:hAnsi="David" w:cs="David"/>
          <w:sz w:val="24"/>
          <w:szCs w:val="24"/>
          <w:rtl/>
        </w:rPr>
        <w:t xml:space="preserve"> </w:t>
      </w:r>
      <w:r>
        <w:rPr>
          <w:rFonts w:ascii="David" w:hAnsi="David" w:cs="David"/>
          <w:b/>
          <w:bCs/>
          <w:sz w:val="24"/>
          <w:szCs w:val="24"/>
          <w:rtl/>
        </w:rPr>
        <w:t>פרץ נ' מדינת ישראל</w:t>
      </w:r>
      <w:r>
        <w:rPr>
          <w:rFonts w:ascii="David" w:hAnsi="David" w:cs="David"/>
          <w:sz w:val="24"/>
          <w:szCs w:val="24"/>
          <w:rtl/>
        </w:rPr>
        <w:t>, פסקה 12</w:t>
      </w:r>
      <w:r>
        <w:rPr>
          <w:rFonts w:ascii="David" w:hAnsi="David" w:cs="David"/>
          <w:b/>
          <w:bCs/>
          <w:sz w:val="24"/>
          <w:szCs w:val="24"/>
          <w:rtl/>
        </w:rPr>
        <w:t xml:space="preserve"> </w:t>
      </w:r>
      <w:r>
        <w:rPr>
          <w:rFonts w:ascii="David" w:hAnsi="David" w:cs="David"/>
          <w:sz w:val="24"/>
          <w:szCs w:val="24"/>
          <w:rtl/>
        </w:rPr>
        <w:t>(4.11.21);</w:t>
      </w:r>
      <w:r w:rsidRPr="00203AD9">
        <w:rPr>
          <w:rFonts w:ascii="David" w:hAnsi="David" w:cs="David"/>
          <w:sz w:val="24"/>
          <w:szCs w:val="24"/>
          <w:rtl/>
        </w:rPr>
        <w:t xml:space="preserve"> </w:t>
      </w:r>
      <w:hyperlink r:id="rId18" w:history="1">
        <w:r w:rsidR="004B6C0F" w:rsidRPr="004B6C0F">
          <w:rPr>
            <w:rFonts w:ascii="David" w:hAnsi="David" w:cs="David"/>
            <w:color w:val="0000FF"/>
            <w:sz w:val="24"/>
            <w:szCs w:val="24"/>
            <w:u w:val="single"/>
            <w:rtl/>
          </w:rPr>
          <w:t>ע"פ 1987/15</w:t>
        </w:r>
      </w:hyperlink>
      <w:r>
        <w:rPr>
          <w:rFonts w:ascii="David" w:hAnsi="David" w:cs="David"/>
          <w:sz w:val="24"/>
          <w:szCs w:val="24"/>
          <w:rtl/>
        </w:rPr>
        <w:t xml:space="preserve"> </w:t>
      </w:r>
      <w:r w:rsidRPr="00203AD9">
        <w:rPr>
          <w:rFonts w:ascii="David" w:hAnsi="David" w:cs="David" w:hint="cs"/>
          <w:sz w:val="24"/>
          <w:szCs w:val="24"/>
          <w:rtl/>
        </w:rPr>
        <w:t>ד</w:t>
      </w:r>
      <w:r>
        <w:rPr>
          <w:rFonts w:ascii="David" w:hAnsi="David" w:cs="David" w:hint="cs"/>
          <w:b/>
          <w:bCs/>
          <w:sz w:val="24"/>
          <w:szCs w:val="24"/>
          <w:rtl/>
        </w:rPr>
        <w:t>רורי נ' מדינת ישראל</w:t>
      </w:r>
      <w:r>
        <w:rPr>
          <w:rFonts w:ascii="David" w:hAnsi="David" w:cs="David" w:hint="cs"/>
          <w:sz w:val="24"/>
          <w:szCs w:val="24"/>
          <w:rtl/>
        </w:rPr>
        <w:t xml:space="preserve">, פסקה 9 (17.8.15); </w:t>
      </w:r>
      <w:hyperlink r:id="rId19" w:history="1">
        <w:r w:rsidR="004B6C0F" w:rsidRPr="004B6C0F">
          <w:rPr>
            <w:rFonts w:ascii="David" w:hAnsi="David" w:cs="David"/>
            <w:color w:val="0000FF"/>
            <w:sz w:val="24"/>
            <w:szCs w:val="24"/>
            <w:u w:val="single"/>
            <w:rtl/>
          </w:rPr>
          <w:t>ע"פ 8048/19</w:t>
        </w:r>
      </w:hyperlink>
      <w:r w:rsidRPr="00203AD9">
        <w:rPr>
          <w:rFonts w:ascii="David" w:hAnsi="David" w:cs="David"/>
          <w:sz w:val="24"/>
          <w:szCs w:val="24"/>
          <w:rtl/>
        </w:rPr>
        <w:t xml:space="preserve"> </w:t>
      </w:r>
      <w:r>
        <w:rPr>
          <w:rFonts w:ascii="David" w:hAnsi="David" w:cs="David"/>
          <w:b/>
          <w:bCs/>
          <w:sz w:val="24"/>
          <w:szCs w:val="24"/>
          <w:rtl/>
        </w:rPr>
        <w:t>פיצ'חדזה נ' מדינת ישראל</w:t>
      </w:r>
      <w:r>
        <w:rPr>
          <w:rFonts w:ascii="David" w:hAnsi="David" w:cs="David"/>
          <w:sz w:val="24"/>
          <w:szCs w:val="24"/>
          <w:rtl/>
        </w:rPr>
        <w:t xml:space="preserve">, פסקה 11 (4.6.2020); </w:t>
      </w:r>
      <w:hyperlink r:id="rId20" w:history="1">
        <w:r w:rsidR="004B6C0F" w:rsidRPr="004B6C0F">
          <w:rPr>
            <w:rFonts w:ascii="David" w:hAnsi="David" w:cs="David"/>
            <w:color w:val="0000FF"/>
            <w:sz w:val="24"/>
            <w:szCs w:val="24"/>
            <w:u w:val="single"/>
            <w:rtl/>
          </w:rPr>
          <w:t>ע"פ 7044/11</w:t>
        </w:r>
      </w:hyperlink>
      <w:r>
        <w:rPr>
          <w:rFonts w:ascii="David" w:hAnsi="David" w:cs="David"/>
          <w:sz w:val="24"/>
          <w:szCs w:val="24"/>
          <w:rtl/>
        </w:rPr>
        <w:t xml:space="preserve"> </w:t>
      </w:r>
      <w:r>
        <w:rPr>
          <w:rFonts w:ascii="David" w:hAnsi="David" w:cs="David"/>
          <w:b/>
          <w:bCs/>
          <w:sz w:val="24"/>
          <w:szCs w:val="24"/>
          <w:rtl/>
        </w:rPr>
        <w:t xml:space="preserve">עבד נ' מדינת ישראל </w:t>
      </w:r>
      <w:r>
        <w:rPr>
          <w:rFonts w:ascii="David" w:hAnsi="David" w:cs="David"/>
          <w:sz w:val="24"/>
          <w:szCs w:val="24"/>
          <w:rtl/>
        </w:rPr>
        <w:t xml:space="preserve">(17.6.12)). </w:t>
      </w:r>
    </w:p>
    <w:p w:rsidR="004B1B25" w:rsidRDefault="004B1B25" w:rsidP="004B1B25">
      <w:pPr>
        <w:pStyle w:val="ListParagraph"/>
        <w:spacing w:after="0" w:line="360" w:lineRule="auto"/>
        <w:jc w:val="both"/>
        <w:rPr>
          <w:rFonts w:ascii="David" w:hAnsi="David" w:cs="David"/>
          <w:sz w:val="24"/>
          <w:szCs w:val="24"/>
        </w:rPr>
      </w:pPr>
    </w:p>
    <w:p w:rsidR="004B1B25" w:rsidRDefault="004B1B25" w:rsidP="004B1B25">
      <w:pPr>
        <w:pStyle w:val="ListParagraph"/>
        <w:spacing w:after="0" w:line="360" w:lineRule="auto"/>
        <w:ind w:left="644"/>
        <w:jc w:val="both"/>
        <w:rPr>
          <w:rFonts w:ascii="David" w:hAnsi="David" w:cs="David"/>
          <w:sz w:val="24"/>
          <w:szCs w:val="24"/>
          <w:rtl/>
        </w:rPr>
      </w:pPr>
      <w:r>
        <w:rPr>
          <w:rFonts w:ascii="David" w:hAnsi="David" w:cs="David"/>
          <w:sz w:val="24"/>
          <w:szCs w:val="24"/>
          <w:rtl/>
        </w:rPr>
        <w:t xml:space="preserve">בענייננו, לנאשם היה </w:t>
      </w:r>
      <w:r w:rsidRPr="00203AD9">
        <w:rPr>
          <w:rFonts w:ascii="David" w:hAnsi="David" w:cs="David"/>
          <w:b/>
          <w:bCs/>
          <w:sz w:val="24"/>
          <w:szCs w:val="24"/>
          <w:rtl/>
        </w:rPr>
        <w:t>תפקיד מרכזי</w:t>
      </w:r>
      <w:r>
        <w:rPr>
          <w:rFonts w:ascii="David" w:hAnsi="David" w:cs="David"/>
          <w:sz w:val="24"/>
          <w:szCs w:val="24"/>
          <w:rtl/>
        </w:rPr>
        <w:t xml:space="preserve"> בביצוע העבירה, הוא ייבא כמות עצומה של כדורי </w:t>
      </w:r>
      <w:r>
        <w:rPr>
          <w:rFonts w:ascii="David" w:hAnsi="David" w:cs="David"/>
          <w:sz w:val="24"/>
          <w:szCs w:val="24"/>
        </w:rPr>
        <w:t>MDMA</w:t>
      </w:r>
      <w:r>
        <w:rPr>
          <w:rFonts w:ascii="David" w:hAnsi="David" w:cs="David"/>
          <w:sz w:val="24"/>
          <w:szCs w:val="24"/>
          <w:rtl/>
        </w:rPr>
        <w:t>, כ-25,303 טבליות, סם קשה הנחשב ל"סם מסיבות" ונצרך בעיקר על ידי מתבגרים וצעירים שרבים מהם לא מודעים לסיכונים שבו (</w:t>
      </w:r>
      <w:hyperlink r:id="rId21" w:history="1">
        <w:r w:rsidR="004B6C0F" w:rsidRPr="004B6C0F">
          <w:rPr>
            <w:rFonts w:ascii="David" w:hAnsi="David" w:cs="David"/>
            <w:color w:val="0000FF"/>
            <w:sz w:val="24"/>
            <w:szCs w:val="24"/>
            <w:u w:val="single"/>
            <w:rtl/>
          </w:rPr>
          <w:t>ת"פ (מח' חיפה) 69783-10-18</w:t>
        </w:r>
      </w:hyperlink>
      <w:r>
        <w:rPr>
          <w:rFonts w:ascii="David" w:hAnsi="David" w:cs="David"/>
          <w:sz w:val="24"/>
          <w:szCs w:val="24"/>
          <w:rtl/>
        </w:rPr>
        <w:t xml:space="preserve"> </w:t>
      </w:r>
      <w:r>
        <w:rPr>
          <w:rFonts w:ascii="David" w:hAnsi="David" w:cs="David"/>
          <w:b/>
          <w:bCs/>
          <w:sz w:val="24"/>
          <w:szCs w:val="24"/>
          <w:rtl/>
        </w:rPr>
        <w:t>מדינת ישראל נ' אברמסון</w:t>
      </w:r>
      <w:r>
        <w:rPr>
          <w:rFonts w:ascii="David" w:hAnsi="David" w:cs="David"/>
          <w:sz w:val="24"/>
          <w:szCs w:val="24"/>
          <w:rtl/>
        </w:rPr>
        <w:t xml:space="preserve">, פסקה 38 (7.6.20)). מדובר בסם מחולל פשיעה אשר עלול לדרדר את הצורכים להסתבכויות נוספות עם החוק. הנאשם, שהיה אותה עת מכור לסמים ובתקופת משבר בחייו ביצע את המעשים על רקע התמכרותו וממניע כלכלי. לדבריו שימש בלדר ולא אמור היה לגרוף את הרווח ממכירת הסם. </w:t>
      </w:r>
    </w:p>
    <w:p w:rsidR="004B1B25" w:rsidRDefault="004B1B25" w:rsidP="004B1B25">
      <w:pPr>
        <w:pStyle w:val="ListParagraph"/>
        <w:spacing w:after="0" w:line="360" w:lineRule="auto"/>
        <w:ind w:left="644"/>
        <w:jc w:val="both"/>
        <w:rPr>
          <w:rFonts w:ascii="David" w:hAnsi="David" w:cs="David"/>
          <w:sz w:val="24"/>
          <w:szCs w:val="24"/>
          <w:rtl/>
        </w:rPr>
      </w:pPr>
    </w:p>
    <w:p w:rsidR="004B1B25" w:rsidRDefault="004B1B25" w:rsidP="004B1B25">
      <w:pPr>
        <w:pStyle w:val="ListParagraph"/>
        <w:spacing w:after="0" w:line="360" w:lineRule="auto"/>
        <w:ind w:left="644"/>
        <w:jc w:val="both"/>
        <w:rPr>
          <w:rFonts w:ascii="David" w:hAnsi="David" w:cs="David"/>
          <w:b/>
          <w:bCs/>
          <w:sz w:val="24"/>
          <w:szCs w:val="24"/>
          <w:rtl/>
        </w:rPr>
      </w:pPr>
      <w:r>
        <w:rPr>
          <w:rFonts w:ascii="David" w:hAnsi="David" w:cs="David"/>
          <w:sz w:val="24"/>
          <w:szCs w:val="24"/>
          <w:rtl/>
        </w:rPr>
        <w:t xml:space="preserve">בנסיבות האמורות אני קובעת כי מידת הפגיעה בערכים המוגנים היא </w:t>
      </w:r>
      <w:r>
        <w:rPr>
          <w:rFonts w:ascii="David" w:hAnsi="David" w:cs="David"/>
          <w:b/>
          <w:bCs/>
          <w:sz w:val="24"/>
          <w:szCs w:val="24"/>
          <w:rtl/>
        </w:rPr>
        <w:t>ברף הגבוה</w:t>
      </w:r>
      <w:r>
        <w:rPr>
          <w:rFonts w:ascii="David" w:hAnsi="David" w:cs="David"/>
          <w:sz w:val="24"/>
          <w:szCs w:val="24"/>
          <w:rtl/>
        </w:rPr>
        <w:t xml:space="preserve">. נתתי בהקשר זה משקל לתפקידו המרכזי של הנאשם, לסוג וכמות הסם המסוכן ופוטנציאל הנזק העצום לחברה לו היה מופץ.  </w:t>
      </w:r>
    </w:p>
    <w:p w:rsidR="004B1B25" w:rsidRDefault="004B1B25" w:rsidP="004B1B25">
      <w:pPr>
        <w:pStyle w:val="ListParagraph"/>
        <w:rPr>
          <w:rFonts w:ascii="David" w:hAnsi="David" w:cs="David"/>
          <w:sz w:val="24"/>
          <w:szCs w:val="24"/>
          <w:rtl/>
        </w:rPr>
      </w:pPr>
    </w:p>
    <w:p w:rsidR="004B1B25" w:rsidRDefault="004B1B25" w:rsidP="004B1B25">
      <w:pPr>
        <w:spacing w:line="360" w:lineRule="auto"/>
        <w:rPr>
          <w:rFonts w:ascii="David" w:hAnsi="David"/>
          <w:b/>
          <w:bCs/>
          <w:u w:val="single"/>
          <w:rtl/>
        </w:rPr>
      </w:pPr>
      <w:r w:rsidRPr="004B1B25">
        <w:rPr>
          <w:rFonts w:ascii="David" w:eastAsia="Calibri" w:hAnsi="David"/>
          <w:b/>
          <w:bCs/>
          <w:u w:val="single"/>
          <w:rtl/>
        </w:rPr>
        <w:t>מדיניות הענישה הנוהגת</w:t>
      </w:r>
    </w:p>
    <w:p w:rsidR="004B1B25" w:rsidRDefault="004B1B25" w:rsidP="004B1B25">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מנעד הענישה בעבירת ייבוא סמים רחב ונקבע בהתאמה לסוג הסם, כמותו, נסיבות ביצוע העבירה ומעמדו של מייבא הסם בשרשרת ייבוא הסם (</w:t>
      </w:r>
      <w:hyperlink r:id="rId22" w:history="1">
        <w:r w:rsidR="004B6C0F" w:rsidRPr="004B6C0F">
          <w:rPr>
            <w:rFonts w:ascii="David" w:hAnsi="David" w:cs="David"/>
            <w:color w:val="0000FF"/>
            <w:sz w:val="24"/>
            <w:szCs w:val="24"/>
            <w:u w:val="single"/>
            <w:rtl/>
          </w:rPr>
          <w:t>ע"פ 6409/12</w:t>
        </w:r>
      </w:hyperlink>
      <w:r>
        <w:rPr>
          <w:rFonts w:ascii="David" w:hAnsi="David" w:cs="David"/>
          <w:sz w:val="24"/>
          <w:szCs w:val="24"/>
          <w:rtl/>
        </w:rPr>
        <w:t xml:space="preserve"> </w:t>
      </w:r>
      <w:r>
        <w:rPr>
          <w:rFonts w:ascii="David" w:hAnsi="David" w:cs="David"/>
          <w:b/>
          <w:bCs/>
          <w:sz w:val="24"/>
          <w:szCs w:val="24"/>
          <w:rtl/>
        </w:rPr>
        <w:t>מדינת ישראל נ' אלגדיפי</w:t>
      </w:r>
      <w:r>
        <w:rPr>
          <w:rFonts w:ascii="David" w:hAnsi="David" w:cs="David"/>
          <w:sz w:val="24"/>
          <w:szCs w:val="24"/>
          <w:rtl/>
        </w:rPr>
        <w:t>, פסקאות 11-12</w:t>
      </w:r>
      <w:r>
        <w:rPr>
          <w:rFonts w:ascii="David" w:hAnsi="David" w:cs="David"/>
          <w:b/>
          <w:bCs/>
          <w:sz w:val="24"/>
          <w:szCs w:val="24"/>
          <w:rtl/>
        </w:rPr>
        <w:t xml:space="preserve"> </w:t>
      </w:r>
      <w:r>
        <w:rPr>
          <w:rFonts w:ascii="David" w:hAnsi="David" w:cs="David"/>
          <w:sz w:val="24"/>
          <w:szCs w:val="24"/>
          <w:rtl/>
        </w:rPr>
        <w:t xml:space="preserve">(5.6.13)). על מייבאי סם מסוכן מסוג </w:t>
      </w:r>
      <w:r>
        <w:rPr>
          <w:rFonts w:ascii="David" w:hAnsi="David" w:cs="David"/>
          <w:sz w:val="24"/>
          <w:szCs w:val="24"/>
        </w:rPr>
        <w:t>MDMA</w:t>
      </w:r>
      <w:r>
        <w:rPr>
          <w:rFonts w:ascii="David" w:hAnsi="David" w:cs="David"/>
          <w:sz w:val="24"/>
          <w:szCs w:val="24"/>
          <w:rtl/>
        </w:rPr>
        <w:t xml:space="preserve"> מושתים, ברגיל,  עונשי מאסר לתקופות לא קצרות.</w:t>
      </w:r>
    </w:p>
    <w:p w:rsidR="004B1B25" w:rsidRDefault="004B1B25" w:rsidP="004B1B25">
      <w:pPr>
        <w:pStyle w:val="ListParagraph"/>
        <w:spacing w:after="0" w:line="360" w:lineRule="auto"/>
        <w:jc w:val="both"/>
        <w:rPr>
          <w:rFonts w:ascii="David" w:hAnsi="David" w:cs="David"/>
          <w:sz w:val="24"/>
          <w:szCs w:val="24"/>
        </w:rPr>
      </w:pPr>
    </w:p>
    <w:p w:rsidR="004B1B25" w:rsidRP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ב</w:t>
      </w:r>
      <w:hyperlink r:id="rId23" w:history="1">
        <w:r w:rsidR="004B6C0F" w:rsidRPr="004B6C0F">
          <w:rPr>
            <w:rFonts w:ascii="David" w:hAnsi="David" w:cs="David"/>
            <w:color w:val="0000FF"/>
            <w:sz w:val="24"/>
            <w:szCs w:val="24"/>
            <w:u w:val="single"/>
            <w:rtl/>
          </w:rPr>
          <w:t>ע"פ 3006/23</w:t>
        </w:r>
      </w:hyperlink>
      <w:r>
        <w:rPr>
          <w:rFonts w:ascii="David" w:hAnsi="David" w:cs="David"/>
          <w:sz w:val="24"/>
          <w:szCs w:val="24"/>
          <w:rtl/>
        </w:rPr>
        <w:t xml:space="preserve"> </w:t>
      </w:r>
      <w:r>
        <w:rPr>
          <w:rFonts w:ascii="David" w:hAnsi="David" w:cs="David"/>
          <w:b/>
          <w:bCs/>
          <w:sz w:val="24"/>
          <w:szCs w:val="24"/>
          <w:rtl/>
        </w:rPr>
        <w:t xml:space="preserve">רם נ' מדינת ישראל </w:t>
      </w:r>
      <w:r>
        <w:rPr>
          <w:rFonts w:ascii="David" w:hAnsi="David" w:cs="David"/>
          <w:sz w:val="24"/>
          <w:szCs w:val="24"/>
          <w:rtl/>
        </w:rPr>
        <w:t xml:space="preserve">(13.12.23) (להלן: </w:t>
      </w:r>
      <w:r>
        <w:rPr>
          <w:rFonts w:ascii="David" w:hAnsi="David" w:cs="David"/>
          <w:b/>
          <w:bCs/>
          <w:sz w:val="24"/>
          <w:szCs w:val="24"/>
          <w:rtl/>
        </w:rPr>
        <w:t>"</w:t>
      </w:r>
      <w:r>
        <w:rPr>
          <w:rFonts w:ascii="Miriam" w:hAnsi="Miriam" w:cs="Miriam"/>
          <w:sz w:val="24"/>
          <w:szCs w:val="24"/>
          <w:rtl/>
        </w:rPr>
        <w:t>עניין רם</w:t>
      </w:r>
      <w:r>
        <w:rPr>
          <w:rFonts w:ascii="David" w:hAnsi="David" w:cs="David"/>
          <w:b/>
          <w:bCs/>
          <w:sz w:val="24"/>
          <w:szCs w:val="24"/>
          <w:rtl/>
        </w:rPr>
        <w:t>"</w:t>
      </w:r>
      <w:r>
        <w:rPr>
          <w:rFonts w:ascii="David" w:hAnsi="David" w:cs="David"/>
          <w:sz w:val="24"/>
          <w:szCs w:val="24"/>
          <w:rtl/>
        </w:rPr>
        <w:t xml:space="preserve">) נדון בפניי, בנסיבות המזכירות את ענייננו, נאשם מכור לסם שהורשע בייבוא 26,656 טבליות </w:t>
      </w:r>
      <w:r>
        <w:rPr>
          <w:rFonts w:ascii="David" w:hAnsi="David" w:cs="David"/>
          <w:sz w:val="24"/>
          <w:szCs w:val="24"/>
        </w:rPr>
        <w:t>MDMA</w:t>
      </w:r>
      <w:r>
        <w:rPr>
          <w:rFonts w:ascii="David" w:hAnsi="David" w:cs="David"/>
          <w:sz w:val="24"/>
          <w:szCs w:val="24"/>
          <w:rtl/>
        </w:rPr>
        <w:t xml:space="preserve"> שהוטמנו בתוך תחתית כפולה במזוודתו. עוד הורשע באיומים והטרדה באמצעות מתקן בזק. נקבע מתחם ענישה הנע בין 78-48 חודשי מאסר. הנאשם עבר הליך גמילה מוצלח, שירות המבחן המליץ בעניינו על ענישה הכוללת צו של"צ וצו מבחן. המאשימה אימצה את המלצת שירות המבחן לענישה שיקומית ועתרה למאסר בדרך של עבודות שירות. הנאשם נדון לששה חודשי עבודות שירות. ערעור הגנה שהוגש לצורך המרת עבודות השירות בצו של"צ, נדחה;</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ב</w:t>
      </w:r>
      <w:hyperlink r:id="rId24" w:history="1">
        <w:r w:rsidR="004B6C0F" w:rsidRPr="004B6C0F">
          <w:rPr>
            <w:rFonts w:ascii="David" w:hAnsi="David" w:cs="David"/>
            <w:color w:val="0000FF"/>
            <w:sz w:val="24"/>
            <w:szCs w:val="24"/>
            <w:u w:val="single"/>
            <w:rtl/>
          </w:rPr>
          <w:t>ע"פ 1901/19</w:t>
        </w:r>
      </w:hyperlink>
      <w:r>
        <w:rPr>
          <w:rFonts w:ascii="David" w:hAnsi="David" w:cs="David"/>
          <w:sz w:val="24"/>
          <w:szCs w:val="24"/>
          <w:rtl/>
        </w:rPr>
        <w:t xml:space="preserve"> </w:t>
      </w:r>
      <w:r>
        <w:rPr>
          <w:rFonts w:ascii="David" w:hAnsi="David" w:cs="David"/>
          <w:b/>
          <w:bCs/>
          <w:sz w:val="24"/>
          <w:szCs w:val="24"/>
          <w:rtl/>
        </w:rPr>
        <w:t xml:space="preserve">אסולין נ' מדינת ישראל </w:t>
      </w:r>
      <w:r>
        <w:rPr>
          <w:rFonts w:ascii="David" w:hAnsi="David" w:cs="David"/>
          <w:sz w:val="24"/>
          <w:szCs w:val="24"/>
          <w:rtl/>
        </w:rPr>
        <w:t>(31.5.20) (להלן: "</w:t>
      </w:r>
      <w:r>
        <w:rPr>
          <w:rFonts w:ascii="Miriam" w:hAnsi="Miriam" w:cs="Miriam"/>
          <w:sz w:val="24"/>
          <w:szCs w:val="24"/>
          <w:rtl/>
        </w:rPr>
        <w:t>עניין אסולין</w:t>
      </w:r>
      <w:r>
        <w:rPr>
          <w:rFonts w:ascii="David" w:hAnsi="David" w:cs="David"/>
          <w:sz w:val="24"/>
          <w:szCs w:val="24"/>
          <w:rtl/>
        </w:rPr>
        <w:t xml:space="preserve">") נדחה ערעור המערער שהורשע בעבירות קשירת קשר לפשע, ייבוא 25,000 טבליות של  </w:t>
      </w:r>
      <w:r>
        <w:rPr>
          <w:rFonts w:ascii="David" w:hAnsi="David" w:cs="David"/>
          <w:sz w:val="24"/>
          <w:szCs w:val="24"/>
        </w:rPr>
        <w:t>MDMA</w:t>
      </w:r>
      <w:r>
        <w:rPr>
          <w:rFonts w:ascii="David" w:hAnsi="David" w:cs="David"/>
          <w:sz w:val="24"/>
          <w:szCs w:val="24"/>
          <w:rtl/>
        </w:rPr>
        <w:t xml:space="preserve">, והחזקת סם מסוכן שלא לצריכה עצמית. בית המשפט המחוזי קבע מתחם הנע בין 90-54 חודשי מאסר, והנאשם, ללא עבר, נדון למאסר בן 54 חודשים;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ב</w:t>
      </w:r>
      <w:hyperlink r:id="rId25" w:history="1">
        <w:r w:rsidR="004B6C0F" w:rsidRPr="004B6C0F">
          <w:rPr>
            <w:rFonts w:ascii="David" w:hAnsi="David" w:cs="David"/>
            <w:color w:val="0000FF"/>
            <w:sz w:val="24"/>
            <w:szCs w:val="24"/>
            <w:u w:val="single"/>
            <w:rtl/>
          </w:rPr>
          <w:t>ת"פ (מרכז) 63413-01-22</w:t>
        </w:r>
      </w:hyperlink>
      <w:r>
        <w:rPr>
          <w:rFonts w:ascii="David" w:hAnsi="David" w:cs="David"/>
          <w:sz w:val="24"/>
          <w:szCs w:val="24"/>
          <w:rtl/>
        </w:rPr>
        <w:t xml:space="preserve"> </w:t>
      </w:r>
      <w:r>
        <w:rPr>
          <w:rFonts w:ascii="David" w:hAnsi="David" w:cs="David"/>
          <w:b/>
          <w:bCs/>
          <w:sz w:val="24"/>
          <w:szCs w:val="24"/>
          <w:rtl/>
        </w:rPr>
        <w:t xml:space="preserve">מדינת ישראל נ' בנימוב </w:t>
      </w:r>
      <w:r>
        <w:rPr>
          <w:rFonts w:ascii="David" w:hAnsi="David" w:cs="David"/>
          <w:sz w:val="24"/>
          <w:szCs w:val="24"/>
          <w:rtl/>
        </w:rPr>
        <w:t xml:space="preserve">(10.9.23) הורשע נאשם בייבוא 23,900 טבליות סם </w:t>
      </w:r>
      <w:r>
        <w:rPr>
          <w:rFonts w:ascii="David" w:hAnsi="David" w:cs="David"/>
          <w:sz w:val="24"/>
          <w:szCs w:val="24"/>
        </w:rPr>
        <w:t>MDMA</w:t>
      </w:r>
      <w:r>
        <w:rPr>
          <w:rFonts w:ascii="David" w:hAnsi="David" w:cs="David"/>
          <w:sz w:val="24"/>
          <w:szCs w:val="24"/>
          <w:rtl/>
        </w:rPr>
        <w:t xml:space="preserve"> מוסלקים בתוך מזוודה. על פי עובדות כתב האישום שימש הנאשם כבלדר. נקבע מתחם ענישה הנע בין 7-4 שנים. בהתחשב בגילו הצעיר, העדר עבר, ניהול אורח חיים תקין עד להסתבכותו בעבירה, תסקירו חיובי אך נעדר המלצה טיפולית, נדון למאסר בן 45 חודשים;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ב</w:t>
      </w:r>
      <w:hyperlink r:id="rId26" w:history="1">
        <w:r w:rsidR="004B6C0F" w:rsidRPr="004B6C0F">
          <w:rPr>
            <w:rFonts w:ascii="David" w:hAnsi="David" w:cs="David"/>
            <w:color w:val="0000FF"/>
            <w:sz w:val="24"/>
            <w:szCs w:val="24"/>
            <w:u w:val="single"/>
            <w:rtl/>
          </w:rPr>
          <w:t>ת"פ (מח' מרכז) 46786-04-18</w:t>
        </w:r>
      </w:hyperlink>
      <w:r>
        <w:rPr>
          <w:rFonts w:ascii="David" w:hAnsi="David" w:cs="David"/>
          <w:sz w:val="24"/>
          <w:szCs w:val="24"/>
          <w:rtl/>
        </w:rPr>
        <w:t xml:space="preserve"> </w:t>
      </w:r>
      <w:r>
        <w:rPr>
          <w:rFonts w:ascii="David" w:hAnsi="David" w:cs="David"/>
          <w:b/>
          <w:bCs/>
          <w:sz w:val="24"/>
          <w:szCs w:val="24"/>
          <w:rtl/>
        </w:rPr>
        <w:t>מדינת ישראל נ' יבלנוב (</w:t>
      </w:r>
      <w:r>
        <w:rPr>
          <w:rFonts w:ascii="David" w:hAnsi="David" w:cs="David"/>
          <w:sz w:val="24"/>
          <w:szCs w:val="24"/>
          <w:rtl/>
        </w:rPr>
        <w:t xml:space="preserve">14.11.19) הורשע נאשם בעבירות של קשירת קשר לפשע, ייבוא בצוותא סם מסוכן: 31,243 טבליות של </w:t>
      </w:r>
      <w:r>
        <w:rPr>
          <w:rFonts w:ascii="David" w:hAnsi="David" w:cs="David"/>
          <w:sz w:val="24"/>
          <w:szCs w:val="24"/>
        </w:rPr>
        <w:t>MDMA</w:t>
      </w:r>
      <w:r>
        <w:rPr>
          <w:rFonts w:ascii="David" w:hAnsi="David" w:cs="David"/>
          <w:sz w:val="24"/>
          <w:szCs w:val="24"/>
          <w:rtl/>
        </w:rPr>
        <w:t xml:space="preserve">, בנוסף החזיק על גופו קנאביס במשקל 0.9 גרם. נקבע מתחם ענישה הנע בין 78-48 חודשי מאסר בפועל. מטעמי שיקום, סטה בית המשפט מהמתחם והשית עליו מאסר בן 20 חודשים; </w:t>
      </w:r>
    </w:p>
    <w:p w:rsidR="004B1B25" w:rsidRP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ב</w:t>
      </w:r>
      <w:hyperlink r:id="rId27" w:history="1">
        <w:r w:rsidR="004B6C0F" w:rsidRPr="004B6C0F">
          <w:rPr>
            <w:rFonts w:ascii="David" w:hAnsi="David" w:cs="David"/>
            <w:color w:val="0000FF"/>
            <w:sz w:val="24"/>
            <w:szCs w:val="24"/>
            <w:u w:val="single"/>
            <w:rtl/>
          </w:rPr>
          <w:t>ת"פ (מרכז) 58966-01-18</w:t>
        </w:r>
      </w:hyperlink>
      <w:r>
        <w:rPr>
          <w:rFonts w:ascii="David" w:hAnsi="David" w:cs="David"/>
          <w:sz w:val="24"/>
          <w:szCs w:val="24"/>
          <w:rtl/>
        </w:rPr>
        <w:t xml:space="preserve"> </w:t>
      </w:r>
      <w:r>
        <w:rPr>
          <w:rFonts w:ascii="David" w:hAnsi="David" w:cs="David"/>
          <w:b/>
          <w:bCs/>
          <w:sz w:val="24"/>
          <w:szCs w:val="24"/>
          <w:rtl/>
        </w:rPr>
        <w:t xml:space="preserve">מדינת ישראל נ' צציק </w:t>
      </w:r>
      <w:r>
        <w:rPr>
          <w:rFonts w:ascii="David" w:hAnsi="David" w:cs="David"/>
          <w:sz w:val="24"/>
          <w:szCs w:val="24"/>
          <w:rtl/>
        </w:rPr>
        <w:t xml:space="preserve">(22.11.18) הורשע נאשם בעבירה של ייבוא סם מסוכן: 30,338 טבליות של </w:t>
      </w:r>
      <w:r>
        <w:rPr>
          <w:rFonts w:ascii="David" w:hAnsi="David" w:cs="David"/>
          <w:sz w:val="24"/>
          <w:szCs w:val="24"/>
        </w:rPr>
        <w:t>MDMA</w:t>
      </w:r>
      <w:r>
        <w:rPr>
          <w:rFonts w:ascii="David" w:hAnsi="David" w:cs="David"/>
          <w:sz w:val="24"/>
          <w:szCs w:val="24"/>
          <w:rtl/>
        </w:rPr>
        <w:t xml:space="preserve">. נקבע מתחם ענישה הנע בין 90-54 חודשי מאסר, והנאשם, צעיר ללא עבר, נדון למאסר בן 54 חודשים; </w:t>
      </w:r>
    </w:p>
    <w:p w:rsid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color w:val="000000"/>
          <w:sz w:val="24"/>
          <w:szCs w:val="24"/>
          <w:rtl/>
        </w:rPr>
        <w:t>ב</w:t>
      </w:r>
      <w:hyperlink r:id="rId28" w:history="1">
        <w:r w:rsidR="004B6C0F" w:rsidRPr="004B6C0F">
          <w:rPr>
            <w:rFonts w:ascii="David" w:hAnsi="David" w:cs="David"/>
            <w:color w:val="0000FF"/>
            <w:sz w:val="24"/>
            <w:szCs w:val="24"/>
            <w:u w:val="single"/>
            <w:rtl/>
          </w:rPr>
          <w:t>ת"פ (מח' מרכז) 28005-09-17</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 נ' גושקביץ</w:t>
      </w:r>
      <w:r>
        <w:rPr>
          <w:rFonts w:ascii="David" w:hAnsi="David" w:cs="David" w:hint="cs"/>
          <w:color w:val="000000"/>
          <w:sz w:val="24"/>
          <w:szCs w:val="24"/>
          <w:rtl/>
        </w:rPr>
        <w:t xml:space="preserve"> (26.4.18) הורשעו נאשמים בייבוא סם מסוכן מסוג </w:t>
      </w:r>
      <w:r>
        <w:rPr>
          <w:rFonts w:ascii="David" w:hAnsi="David" w:cs="David"/>
          <w:color w:val="000000"/>
          <w:sz w:val="24"/>
          <w:szCs w:val="24"/>
        </w:rPr>
        <w:t>MDMA</w:t>
      </w:r>
      <w:r>
        <w:rPr>
          <w:rFonts w:ascii="David" w:hAnsi="David" w:cs="David"/>
          <w:color w:val="000000"/>
          <w:sz w:val="24"/>
          <w:szCs w:val="24"/>
          <w:rtl/>
        </w:rPr>
        <w:t xml:space="preserve"> נוזלי בכמות של 2,125 גרם. מתחם העונש לנאשם 1 שהיה דומיננטי יותר נקבע בין 36-60 חודשי מאסר ולנאשם הנוסף נקבע מתחם שנע בין 24-48 חודשים. נאשם 1 נדון למאסר בן 42 חודשים ונאשם 2 למאסר בן 30 חודשים. הנאשמים נעדרי עבר פלילי;</w:t>
      </w:r>
    </w:p>
    <w:p w:rsidR="004B1B25" w:rsidRP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ב</w:t>
      </w:r>
      <w:hyperlink r:id="rId29" w:history="1">
        <w:r w:rsidR="004B6C0F" w:rsidRPr="004B6C0F">
          <w:rPr>
            <w:rFonts w:ascii="David" w:hAnsi="David" w:cs="David"/>
            <w:color w:val="0000FF"/>
            <w:sz w:val="24"/>
            <w:szCs w:val="24"/>
            <w:u w:val="single"/>
            <w:rtl/>
          </w:rPr>
          <w:t>ת"פ (מרכז) 47209-08-17</w:t>
        </w:r>
      </w:hyperlink>
      <w:r>
        <w:rPr>
          <w:rFonts w:ascii="David" w:hAnsi="David" w:cs="David"/>
          <w:sz w:val="24"/>
          <w:szCs w:val="24"/>
          <w:rtl/>
        </w:rPr>
        <w:t xml:space="preserve"> </w:t>
      </w:r>
      <w:r>
        <w:rPr>
          <w:rFonts w:ascii="David" w:hAnsi="David" w:cs="David"/>
          <w:b/>
          <w:bCs/>
          <w:sz w:val="24"/>
          <w:szCs w:val="24"/>
          <w:rtl/>
        </w:rPr>
        <w:t xml:space="preserve">מדינת ישראל נ' ידען </w:t>
      </w:r>
      <w:r>
        <w:rPr>
          <w:rFonts w:ascii="David" w:hAnsi="David" w:cs="David"/>
          <w:sz w:val="24"/>
          <w:szCs w:val="24"/>
          <w:rtl/>
        </w:rPr>
        <w:t xml:space="preserve">(6.2.18) הורשע נאשם בעבירת ייבוא סם מסוכן,  29,198 טבליות של </w:t>
      </w:r>
      <w:r>
        <w:rPr>
          <w:rFonts w:ascii="David" w:hAnsi="David" w:cs="David"/>
          <w:sz w:val="24"/>
          <w:szCs w:val="24"/>
        </w:rPr>
        <w:t>MDMA</w:t>
      </w:r>
      <w:r>
        <w:rPr>
          <w:rFonts w:ascii="David" w:hAnsi="David" w:cs="David"/>
          <w:sz w:val="24"/>
          <w:szCs w:val="24"/>
          <w:rtl/>
        </w:rPr>
        <w:t xml:space="preserve">. בית המשפט אימץ את הסדר הטיעון אליו הגיעו הצדדים והשית עליו מאסר בן 58 חודשים; </w:t>
      </w:r>
    </w:p>
    <w:p w:rsidR="004B1B25" w:rsidRPr="004B1B25" w:rsidRDefault="004B1B25" w:rsidP="004B1B25">
      <w:pPr>
        <w:pStyle w:val="ListParagraph"/>
        <w:spacing w:line="360" w:lineRule="auto"/>
        <w:jc w:val="both"/>
        <w:rPr>
          <w:rFonts w:ascii="David" w:hAnsi="David" w:cs="David"/>
          <w:sz w:val="24"/>
          <w:szCs w:val="24"/>
          <w:rtl/>
        </w:rPr>
      </w:pPr>
    </w:p>
    <w:p w:rsidR="004B1B25" w:rsidRDefault="004B1B25" w:rsidP="004B1B25">
      <w:pPr>
        <w:pStyle w:val="ListParagraph"/>
        <w:spacing w:line="360" w:lineRule="auto"/>
        <w:jc w:val="both"/>
        <w:rPr>
          <w:rFonts w:ascii="David" w:hAnsi="David" w:cs="David"/>
          <w:sz w:val="24"/>
          <w:szCs w:val="24"/>
          <w:rtl/>
        </w:rPr>
      </w:pPr>
      <w:r>
        <w:rPr>
          <w:rFonts w:ascii="David" w:hAnsi="David" w:cs="David"/>
          <w:sz w:val="24"/>
          <w:szCs w:val="24"/>
          <w:rtl/>
        </w:rPr>
        <w:t>ב</w:t>
      </w:r>
      <w:hyperlink r:id="rId30" w:history="1">
        <w:r w:rsidR="004B6C0F" w:rsidRPr="004B6C0F">
          <w:rPr>
            <w:rFonts w:ascii="David" w:hAnsi="David" w:cs="David"/>
            <w:color w:val="0000FF"/>
            <w:sz w:val="24"/>
            <w:szCs w:val="24"/>
            <w:u w:val="single"/>
            <w:rtl/>
          </w:rPr>
          <w:t>ת"פ (מח' מרכז) 55287-02-17</w:t>
        </w:r>
      </w:hyperlink>
      <w:r>
        <w:rPr>
          <w:rFonts w:ascii="David" w:hAnsi="David" w:cs="David"/>
          <w:sz w:val="24"/>
          <w:szCs w:val="24"/>
          <w:rtl/>
        </w:rPr>
        <w:t xml:space="preserve"> </w:t>
      </w:r>
      <w:r>
        <w:rPr>
          <w:rFonts w:ascii="David" w:hAnsi="David" w:cs="David"/>
          <w:b/>
          <w:bCs/>
          <w:sz w:val="24"/>
          <w:szCs w:val="24"/>
          <w:rtl/>
        </w:rPr>
        <w:t xml:space="preserve">מדינת ישראל נ' אזולאי </w:t>
      </w:r>
      <w:r>
        <w:rPr>
          <w:rFonts w:ascii="David" w:hAnsi="David" w:cs="David"/>
          <w:sz w:val="24"/>
          <w:szCs w:val="24"/>
          <w:rtl/>
        </w:rPr>
        <w:t xml:space="preserve">(16.1.18) הורשע נאשם בעבירות של קשירת קשר לפשע וייבוא סם מסוכן מסוג </w:t>
      </w:r>
      <w:r>
        <w:rPr>
          <w:rFonts w:ascii="David" w:hAnsi="David" w:cs="David"/>
          <w:sz w:val="24"/>
          <w:szCs w:val="24"/>
        </w:rPr>
        <w:t>MDMA</w:t>
      </w:r>
      <w:r>
        <w:rPr>
          <w:rFonts w:ascii="David" w:hAnsi="David" w:cs="David"/>
          <w:sz w:val="24"/>
          <w:szCs w:val="24"/>
          <w:rtl/>
        </w:rPr>
        <w:t xml:space="preserve"> במשקל של 2,952.60 גרם נטו שהוסלק במזוודה. נקבע מתחם הנע בין 60-30 חודשי מאסר. הנאשם, צעיר בעל עבר מינורי, נדון למאסר בן 36 חודשים; </w:t>
      </w:r>
    </w:p>
    <w:p w:rsidR="004B1B25" w:rsidRDefault="004B1B25" w:rsidP="004B1B25">
      <w:pPr>
        <w:pStyle w:val="ListParagraph"/>
        <w:spacing w:line="360" w:lineRule="auto"/>
        <w:jc w:val="both"/>
        <w:rPr>
          <w:rFonts w:ascii="David" w:hAnsi="David" w:cs="David"/>
          <w:sz w:val="24"/>
          <w:szCs w:val="24"/>
          <w:rtl/>
        </w:rPr>
      </w:pPr>
    </w:p>
    <w:p w:rsidR="004B1B25" w:rsidRPr="004B1B25" w:rsidRDefault="004B1B25" w:rsidP="004B1B25">
      <w:pPr>
        <w:pStyle w:val="ListParagraph"/>
        <w:numPr>
          <w:ilvl w:val="0"/>
          <w:numId w:val="1"/>
        </w:numPr>
        <w:spacing w:after="0" w:line="360" w:lineRule="auto"/>
        <w:jc w:val="both"/>
        <w:rPr>
          <w:rFonts w:ascii="David" w:hAnsi="David" w:cs="David"/>
          <w:color w:val="000000"/>
          <w:sz w:val="24"/>
          <w:szCs w:val="24"/>
          <w:rtl/>
        </w:rPr>
      </w:pPr>
      <w:r>
        <w:rPr>
          <w:rFonts w:ascii="David" w:hAnsi="David" w:cs="David"/>
          <w:color w:val="000000"/>
          <w:sz w:val="24"/>
          <w:szCs w:val="24"/>
          <w:rtl/>
        </w:rPr>
        <w:t xml:space="preserve">לאחר שקילת כלל השיקולים, עתירתה העונשית של המאשימה, חלקו של הנאשם בביצוע העבירה, מידת הפגיעה בערכים המוגנים ומדיניות הענישה הנוהגת אני </w:t>
      </w:r>
      <w:r>
        <w:rPr>
          <w:rFonts w:ascii="David" w:hAnsi="David" w:cs="David"/>
          <w:b/>
          <w:bCs/>
          <w:color w:val="000000"/>
          <w:sz w:val="24"/>
          <w:szCs w:val="24"/>
          <w:rtl/>
        </w:rPr>
        <w:t>קובעת מתחם ענישה הנע בין 4 ועד 6.5 שנות מאסר</w:t>
      </w:r>
      <w:r>
        <w:rPr>
          <w:rFonts w:ascii="David" w:hAnsi="David" w:cs="David"/>
          <w:color w:val="000000"/>
          <w:sz w:val="24"/>
          <w:szCs w:val="24"/>
          <w:rtl/>
        </w:rPr>
        <w:t xml:space="preserve">.    </w:t>
      </w:r>
    </w:p>
    <w:p w:rsidR="004B1B25" w:rsidRDefault="004B1B25" w:rsidP="004B1B25">
      <w:pPr>
        <w:spacing w:line="360" w:lineRule="auto"/>
        <w:jc w:val="both"/>
        <w:rPr>
          <w:rFonts w:ascii="David" w:hAnsi="David"/>
          <w:color w:val="000000"/>
        </w:rPr>
      </w:pPr>
    </w:p>
    <w:p w:rsidR="004B1B25" w:rsidRDefault="004B1B25" w:rsidP="004B1B25">
      <w:pPr>
        <w:spacing w:line="360" w:lineRule="auto"/>
        <w:ind w:left="360"/>
        <w:jc w:val="both"/>
        <w:rPr>
          <w:b/>
          <w:bCs/>
          <w:u w:val="single"/>
          <w:rtl/>
        </w:rPr>
      </w:pPr>
      <w:r>
        <w:rPr>
          <w:b/>
          <w:bCs/>
          <w:u w:val="single"/>
          <w:rtl/>
        </w:rPr>
        <w:t>האם יש מקום לחרוג ממתחם הענישה לצרכי שיקום ולאמץ את המלצת שירות המבחן?</w:t>
      </w:r>
    </w:p>
    <w:p w:rsidR="004B1B25" w:rsidRPr="00F77493" w:rsidRDefault="004B1B25" w:rsidP="004B1B25">
      <w:pPr>
        <w:pStyle w:val="ListParagraph"/>
        <w:numPr>
          <w:ilvl w:val="0"/>
          <w:numId w:val="1"/>
        </w:numPr>
        <w:spacing w:before="240" w:after="120" w:line="360" w:lineRule="auto"/>
        <w:jc w:val="both"/>
        <w:rPr>
          <w:rFonts w:ascii="David" w:hAnsi="David" w:cs="David"/>
          <w:sz w:val="24"/>
          <w:szCs w:val="24"/>
          <w:rtl/>
        </w:rPr>
      </w:pPr>
      <w:r>
        <w:rPr>
          <w:rFonts w:ascii="David" w:hAnsi="David" w:cs="David"/>
          <w:sz w:val="24"/>
          <w:szCs w:val="24"/>
          <w:rtl/>
        </w:rPr>
        <w:t xml:space="preserve">עתה, משנקבע מתחם הענישה, יש להמשיך ולבחון עתירת ההגנה לחרוג ממנו מטעמי שיקום </w:t>
      </w:r>
      <w:r w:rsidRPr="00F77493">
        <w:rPr>
          <w:rFonts w:ascii="David" w:hAnsi="David" w:cs="David"/>
          <w:color w:val="000000"/>
          <w:sz w:val="24"/>
          <w:szCs w:val="24"/>
          <w:rtl/>
        </w:rPr>
        <w:t xml:space="preserve">ובהתאם </w:t>
      </w:r>
      <w:r w:rsidRPr="00F77493">
        <w:rPr>
          <w:rFonts w:ascii="David" w:hAnsi="David" w:cs="David"/>
          <w:sz w:val="24"/>
          <w:szCs w:val="24"/>
          <w:rtl/>
        </w:rPr>
        <w:t xml:space="preserve">להוראת </w:t>
      </w:r>
      <w:hyperlink r:id="rId31" w:history="1">
        <w:r w:rsidR="00A23EAC" w:rsidRPr="00A23EAC">
          <w:rPr>
            <w:rStyle w:val="Hyperlink"/>
            <w:rFonts w:ascii="David" w:hAnsi="David" w:cs="David"/>
            <w:sz w:val="24"/>
            <w:szCs w:val="24"/>
            <w:rtl/>
          </w:rPr>
          <w:t>סעיף 40ד'(א)</w:t>
        </w:r>
      </w:hyperlink>
      <w:r w:rsidRPr="00F77493">
        <w:rPr>
          <w:rFonts w:ascii="David" w:hAnsi="David" w:cs="David"/>
          <w:sz w:val="24"/>
          <w:szCs w:val="24"/>
          <w:rtl/>
        </w:rPr>
        <w:t xml:space="preserve"> ל</w:t>
      </w:r>
      <w:hyperlink r:id="rId32" w:history="1">
        <w:r w:rsidR="004B6C0F" w:rsidRPr="004B6C0F">
          <w:rPr>
            <w:rFonts w:ascii="David" w:hAnsi="David" w:cs="David"/>
            <w:color w:val="0000FF"/>
            <w:sz w:val="24"/>
            <w:szCs w:val="24"/>
            <w:u w:val="single"/>
            <w:rtl/>
          </w:rPr>
          <w:t>חוק העונשין</w:t>
        </w:r>
      </w:hyperlink>
      <w:r w:rsidRPr="00F77493">
        <w:rPr>
          <w:rFonts w:ascii="David" w:hAnsi="David" w:cs="David"/>
          <w:sz w:val="24"/>
          <w:szCs w:val="24"/>
          <w:rtl/>
        </w:rPr>
        <w:t xml:space="preserve">.  </w:t>
      </w:r>
      <w:hyperlink r:id="rId33" w:history="1">
        <w:r w:rsidR="00A23EAC" w:rsidRPr="00A23EAC">
          <w:rPr>
            <w:rStyle w:val="Hyperlink"/>
            <w:rFonts w:ascii="David" w:hAnsi="David" w:cs="David"/>
            <w:sz w:val="24"/>
            <w:szCs w:val="24"/>
            <w:rtl/>
          </w:rPr>
          <w:t>סעיף 40ד'(א)</w:t>
        </w:r>
      </w:hyperlink>
      <w:r w:rsidRPr="00F77493">
        <w:rPr>
          <w:rFonts w:ascii="David" w:hAnsi="David" w:cs="David"/>
          <w:sz w:val="24"/>
          <w:szCs w:val="24"/>
          <w:rtl/>
        </w:rPr>
        <w:t xml:space="preserve"> ל</w:t>
      </w:r>
      <w:hyperlink r:id="rId34" w:history="1">
        <w:r w:rsidR="004B6C0F" w:rsidRPr="004B6C0F">
          <w:rPr>
            <w:rFonts w:ascii="David" w:hAnsi="David" w:cs="David"/>
            <w:color w:val="0000FF"/>
            <w:sz w:val="24"/>
            <w:szCs w:val="24"/>
            <w:u w:val="single"/>
            <w:rtl/>
          </w:rPr>
          <w:t>חוק העונשין</w:t>
        </w:r>
      </w:hyperlink>
      <w:r w:rsidRPr="00F77493">
        <w:rPr>
          <w:rFonts w:ascii="David" w:hAnsi="David" w:cs="David"/>
          <w:sz w:val="24"/>
          <w:szCs w:val="24"/>
          <w:rtl/>
        </w:rPr>
        <w:t xml:space="preserve">  מורנו כך: "</w:t>
      </w:r>
      <w:r w:rsidRPr="00F77493">
        <w:rPr>
          <w:rFonts w:ascii="David" w:hAnsi="David" w:cs="David"/>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5" w:history="1">
        <w:r w:rsidR="004B6C0F" w:rsidRPr="004B6C0F">
          <w:rPr>
            <w:rFonts w:ascii="David" w:hAnsi="David" w:cs="David"/>
            <w:b/>
            <w:bCs/>
            <w:color w:val="0000FF"/>
            <w:sz w:val="24"/>
            <w:szCs w:val="24"/>
            <w:u w:val="single"/>
            <w:rtl/>
          </w:rPr>
          <w:t>פקודת המבחן</w:t>
        </w:r>
      </w:hyperlink>
      <w:r w:rsidRPr="00F77493">
        <w:rPr>
          <w:rFonts w:ascii="David" w:hAnsi="David" w:cs="David"/>
          <w:b/>
          <w:bCs/>
          <w:sz w:val="24"/>
          <w:szCs w:val="24"/>
          <w:rtl/>
        </w:rPr>
        <w:t xml:space="preserve"> [נוסח חדש], התשכ"ט-1969</w:t>
      </w:r>
      <w:r w:rsidRPr="00F77493">
        <w:rPr>
          <w:rFonts w:ascii="David" w:hAnsi="David" w:cs="David"/>
          <w:sz w:val="24"/>
          <w:szCs w:val="24"/>
          <w:rtl/>
        </w:rPr>
        <w:t>"</w:t>
      </w:r>
    </w:p>
    <w:p w:rsidR="004B1B25" w:rsidRDefault="004B1B25" w:rsidP="004B1B25">
      <w:pPr>
        <w:pStyle w:val="ListParagraph"/>
        <w:spacing w:before="240" w:after="120" w:line="360" w:lineRule="auto"/>
        <w:jc w:val="both"/>
        <w:rPr>
          <w:rFonts w:ascii="David" w:hAnsi="David" w:cs="David"/>
          <w:sz w:val="24"/>
          <w:szCs w:val="24"/>
        </w:rPr>
      </w:pPr>
    </w:p>
    <w:p w:rsidR="004B1B25" w:rsidRDefault="004B1B25" w:rsidP="004B1B25">
      <w:pPr>
        <w:pStyle w:val="ListParagraph"/>
        <w:numPr>
          <w:ilvl w:val="0"/>
          <w:numId w:val="1"/>
        </w:numPr>
        <w:spacing w:after="200" w:line="360" w:lineRule="auto"/>
        <w:jc w:val="both"/>
        <w:rPr>
          <w:rFonts w:ascii="David" w:hAnsi="David" w:cs="David"/>
          <w:sz w:val="24"/>
          <w:szCs w:val="24"/>
        </w:rPr>
      </w:pPr>
      <w:r>
        <w:rPr>
          <w:rFonts w:ascii="David" w:hAnsi="David" w:cs="David"/>
          <w:sz w:val="24"/>
          <w:szCs w:val="24"/>
          <w:rtl/>
        </w:rPr>
        <w:t xml:space="preserve">התשובה לשאלה אילו מן המקרים ייחשבו  מקרי שיקום כמשמעותו </w:t>
      </w:r>
      <w:hyperlink r:id="rId36" w:history="1">
        <w:r w:rsidR="00A23EAC" w:rsidRPr="00A23EAC">
          <w:rPr>
            <w:rStyle w:val="Hyperlink"/>
            <w:rFonts w:ascii="David" w:hAnsi="David" w:cs="David"/>
            <w:sz w:val="24"/>
            <w:szCs w:val="24"/>
            <w:rtl/>
          </w:rPr>
          <w:t>בסעיף 40ד'</w:t>
        </w:r>
      </w:hyperlink>
      <w:r>
        <w:rPr>
          <w:rFonts w:ascii="David" w:hAnsi="David" w:cs="David"/>
          <w:sz w:val="24"/>
          <w:szCs w:val="24"/>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37" w:history="1">
        <w:r w:rsidR="00A23EAC" w:rsidRPr="00A23EAC">
          <w:rPr>
            <w:rStyle w:val="Hyperlink"/>
            <w:rFonts w:ascii="David" w:hAnsi="David" w:cs="David"/>
            <w:sz w:val="24"/>
            <w:szCs w:val="24"/>
            <w:rtl/>
          </w:rPr>
          <w:t>סעיף 40ד'</w:t>
        </w:r>
      </w:hyperlink>
      <w:r>
        <w:rPr>
          <w:rFonts w:ascii="David" w:hAnsi="David" w:cs="David"/>
          <w:sz w:val="24"/>
          <w:szCs w:val="24"/>
          <w:rtl/>
        </w:rPr>
        <w:t xml:space="preserve"> לחוק מלמדת, כי לעיתים כאשר "</w:t>
      </w:r>
      <w:r>
        <w:rPr>
          <w:rFonts w:ascii="David" w:hAnsi="David" w:cs="David"/>
          <w:b/>
          <w:bCs/>
          <w:sz w:val="24"/>
          <w:szCs w:val="24"/>
          <w:rtl/>
        </w:rPr>
        <w:t>נאשם השתקם</w:t>
      </w:r>
      <w:r>
        <w:rPr>
          <w:rFonts w:ascii="David" w:hAnsi="David" w:cs="David"/>
          <w:sz w:val="24"/>
          <w:szCs w:val="24"/>
          <w:rtl/>
        </w:rPr>
        <w:t>" או כי "</w:t>
      </w:r>
      <w:r>
        <w:rPr>
          <w:rFonts w:ascii="David" w:hAnsi="David" w:cs="David"/>
          <w:b/>
          <w:bCs/>
          <w:sz w:val="24"/>
          <w:szCs w:val="24"/>
          <w:rtl/>
        </w:rPr>
        <w:t>יש סיכוי של ממש שישתקם</w:t>
      </w:r>
      <w:r>
        <w:rPr>
          <w:rFonts w:ascii="David" w:hAnsi="David" w:cs="David"/>
          <w:sz w:val="24"/>
          <w:szCs w:val="24"/>
          <w:rtl/>
        </w:rPr>
        <w:t xml:space="preserve">", עשויים שיקולי השיקום לגבור על שיקולי ההרתעה והגמול (ראו </w:t>
      </w:r>
      <w:hyperlink r:id="rId38" w:history="1">
        <w:r w:rsidR="004B6C0F" w:rsidRPr="004B6C0F">
          <w:rPr>
            <w:rFonts w:ascii="David" w:hAnsi="David" w:cs="David"/>
            <w:color w:val="0000FF"/>
            <w:sz w:val="24"/>
            <w:szCs w:val="24"/>
            <w:u w:val="single"/>
            <w:rtl/>
          </w:rPr>
          <w:t>רע"פ 7572/12</w:t>
        </w:r>
      </w:hyperlink>
      <w:r>
        <w:rPr>
          <w:rFonts w:ascii="David" w:hAnsi="David" w:cs="David"/>
          <w:sz w:val="24"/>
          <w:szCs w:val="24"/>
          <w:rtl/>
        </w:rPr>
        <w:t xml:space="preserve"> </w:t>
      </w:r>
      <w:r>
        <w:rPr>
          <w:rFonts w:ascii="David" w:hAnsi="David" w:cs="David"/>
          <w:b/>
          <w:bCs/>
          <w:sz w:val="24"/>
          <w:szCs w:val="24"/>
          <w:rtl/>
        </w:rPr>
        <w:t>הזייל נ' מדינת ישראל</w:t>
      </w:r>
      <w:r>
        <w:rPr>
          <w:rFonts w:ascii="David" w:hAnsi="David" w:cs="David"/>
          <w:sz w:val="24"/>
          <w:szCs w:val="24"/>
          <w:rtl/>
        </w:rPr>
        <w:t xml:space="preserve"> (23.10.2012))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39" w:history="1">
        <w:r w:rsidR="004B6C0F" w:rsidRPr="004B6C0F">
          <w:rPr>
            <w:rFonts w:ascii="David" w:hAnsi="David" w:cs="David"/>
            <w:color w:val="0000FF"/>
            <w:sz w:val="24"/>
            <w:szCs w:val="24"/>
            <w:u w:val="single"/>
            <w:rtl/>
          </w:rPr>
          <w:t>ע"פ 1903/13</w:t>
        </w:r>
      </w:hyperlink>
      <w:r>
        <w:rPr>
          <w:rFonts w:ascii="David" w:hAnsi="David" w:cs="David"/>
          <w:sz w:val="24"/>
          <w:szCs w:val="24"/>
          <w:rtl/>
        </w:rPr>
        <w:t xml:space="preserve"> </w:t>
      </w:r>
      <w:r>
        <w:rPr>
          <w:rFonts w:ascii="David" w:hAnsi="David" w:cs="David"/>
          <w:b/>
          <w:bCs/>
          <w:sz w:val="24"/>
          <w:szCs w:val="24"/>
          <w:rtl/>
        </w:rPr>
        <w:t>עיאשה נ' מדינת ישראל</w:t>
      </w:r>
      <w:r>
        <w:rPr>
          <w:rFonts w:ascii="David" w:hAnsi="David" w:cs="David"/>
          <w:sz w:val="24"/>
          <w:szCs w:val="24"/>
          <w:rtl/>
        </w:rPr>
        <w:t xml:space="preserve"> (14.07.13)). הפסיקה קבעה בהקשר זה, כי ניתן להתחשב, בין היתר, בשיקולים כגון המוטיבציה שהביע האדם המורשע להשתקם, שילוב מוצלח בהליכי גמילה ושיקום, שינוי בהתנהגות ובדרך החשיבה, הבעת חרטה כנה והפחתה ניכרת בסיכון להישנות ביצוע עבירות (ראו: </w:t>
      </w:r>
      <w:hyperlink r:id="rId40" w:history="1">
        <w:r w:rsidR="004B6C0F" w:rsidRPr="004B6C0F">
          <w:rPr>
            <w:rFonts w:ascii="David" w:hAnsi="David" w:cs="David"/>
            <w:color w:val="0000FF"/>
            <w:sz w:val="24"/>
            <w:szCs w:val="24"/>
            <w:u w:val="single"/>
            <w:rtl/>
          </w:rPr>
          <w:t>ע"פ 6637/17</w:t>
        </w:r>
      </w:hyperlink>
      <w:r>
        <w:rPr>
          <w:rFonts w:ascii="David" w:hAnsi="David" w:cs="David"/>
          <w:sz w:val="24"/>
          <w:szCs w:val="24"/>
          <w:rtl/>
        </w:rPr>
        <w:t xml:space="preserve"> </w:t>
      </w:r>
      <w:r>
        <w:rPr>
          <w:rFonts w:ascii="David" w:hAnsi="David" w:cs="David"/>
          <w:bCs/>
          <w:sz w:val="24"/>
          <w:szCs w:val="24"/>
          <w:rtl/>
        </w:rPr>
        <w:t>קרנדל נ' מ"י</w:t>
      </w:r>
      <w:r>
        <w:rPr>
          <w:rFonts w:ascii="David" w:hAnsi="David" w:cs="David"/>
          <w:sz w:val="24"/>
          <w:szCs w:val="24"/>
          <w:rtl/>
        </w:rPr>
        <w:t xml:space="preserve"> (18.04.2018); </w:t>
      </w:r>
      <w:hyperlink r:id="rId41" w:history="1">
        <w:r w:rsidR="004B6C0F" w:rsidRPr="004B6C0F">
          <w:rPr>
            <w:rFonts w:ascii="David" w:hAnsi="David" w:cs="David"/>
            <w:color w:val="0000FF"/>
            <w:sz w:val="24"/>
            <w:szCs w:val="24"/>
            <w:u w:val="single"/>
            <w:rtl/>
          </w:rPr>
          <w:t>ע"פ 3613/17</w:t>
        </w:r>
      </w:hyperlink>
      <w:r>
        <w:rPr>
          <w:rFonts w:ascii="David" w:hAnsi="David" w:cs="David"/>
          <w:sz w:val="24"/>
          <w:szCs w:val="24"/>
          <w:rtl/>
        </w:rPr>
        <w:t xml:space="preserve"> </w:t>
      </w:r>
      <w:r>
        <w:rPr>
          <w:rFonts w:ascii="David" w:hAnsi="David" w:cs="David"/>
          <w:bCs/>
          <w:sz w:val="24"/>
          <w:szCs w:val="24"/>
          <w:rtl/>
        </w:rPr>
        <w:t>זייבלד נ' מ"י</w:t>
      </w:r>
      <w:r>
        <w:rPr>
          <w:rFonts w:ascii="David" w:hAnsi="David" w:cs="David"/>
          <w:sz w:val="24"/>
          <w:szCs w:val="24"/>
          <w:rtl/>
        </w:rPr>
        <w:t xml:space="preserve"> (17.01.2019)), לתסקיר שירות המבחן מעמד משמעותי ביותר, אם כי כמובן שאינו מחייב את בית המשפט.  </w:t>
      </w:r>
    </w:p>
    <w:p w:rsidR="004B1B25" w:rsidRPr="004B1B25" w:rsidRDefault="004B1B25" w:rsidP="004B1B25">
      <w:pPr>
        <w:pStyle w:val="ListParagraph"/>
        <w:spacing w:after="200" w:line="360" w:lineRule="auto"/>
        <w:jc w:val="both"/>
        <w:rPr>
          <w:rtl/>
        </w:rPr>
      </w:pPr>
    </w:p>
    <w:p w:rsidR="004B1B25" w:rsidRPr="004B1B25" w:rsidRDefault="004B1B25" w:rsidP="004B1B25">
      <w:pPr>
        <w:pStyle w:val="ListParagraph"/>
        <w:numPr>
          <w:ilvl w:val="0"/>
          <w:numId w:val="1"/>
        </w:numPr>
        <w:spacing w:after="0" w:line="360" w:lineRule="auto"/>
        <w:jc w:val="both"/>
        <w:rPr>
          <w:rFonts w:ascii="David" w:hAnsi="David" w:cs="David"/>
          <w:color w:val="000000"/>
          <w:sz w:val="24"/>
          <w:szCs w:val="24"/>
        </w:rPr>
      </w:pPr>
      <w:r>
        <w:rPr>
          <w:rFonts w:ascii="David" w:hAnsi="David" w:cs="David"/>
          <w:b/>
          <w:bCs/>
          <w:sz w:val="24"/>
          <w:szCs w:val="24"/>
          <w:rtl/>
        </w:rPr>
        <w:t>יישומן של הלכות אלה על המקרה שלפניי מוביל לטעמי בבירור אל המסקנה כי ראוי לחריגה לקולא מטעמי שיקום.</w:t>
      </w:r>
      <w:r>
        <w:rPr>
          <w:sz w:val="24"/>
          <w:szCs w:val="24"/>
          <w:rtl/>
        </w:rPr>
        <w:t xml:space="preserve"> </w:t>
      </w:r>
      <w:r>
        <w:rPr>
          <w:rFonts w:ascii="David" w:hAnsi="David" w:cs="David"/>
          <w:color w:val="000000"/>
          <w:sz w:val="24"/>
          <w:szCs w:val="24"/>
          <w:rtl/>
        </w:rPr>
        <w:t>הנאשם בן 47, נסיבות חייו מורכבות, אביו נפטר  לאחרונה, ניהל אורח חיים התמכרותי בשנים האחרונות. לחובתו הרשעה (שהתיישנה) בגין ביצוע צבר עבירות סמים חמורות בשנת 2007, בגינה ריצה עונש מאסר ממושך (ת/2). מתסקירו עולה כי באותה תקופה הצליח במהלך מאסרו להגמל פיזית בכוחות עצמו אך עם שחרורו לא השתלב בהליכי טיפול. הנאשם בעל יכולות טובות</w:t>
      </w:r>
      <w:r>
        <w:rPr>
          <w:rFonts w:ascii="David" w:hAnsi="David" w:cs="David" w:hint="cs"/>
          <w:color w:val="000000"/>
          <w:sz w:val="24"/>
          <w:szCs w:val="24"/>
          <w:rtl/>
        </w:rPr>
        <w:t xml:space="preserve">, </w:t>
      </w:r>
      <w:r>
        <w:rPr>
          <w:rFonts w:ascii="David" w:hAnsi="David" w:cs="David"/>
          <w:color w:val="000000"/>
          <w:sz w:val="24"/>
          <w:szCs w:val="24"/>
          <w:rtl/>
        </w:rPr>
        <w:t xml:space="preserve">השתדל לשמור על אורח חיים יציב אך נקלע למצבי משבר שדרדרו את מצבו, השתמש בסמים קשים באופן אינטנסיבי, התבודד חברתית והפסיק לעבוד. הנאשם לא גילה כוחות לערוך שינוי במצבו כשהעבירה שביצע קשורה בקשר ישיר למצבו ועומק התמכרותו. עוד לפני מעצרו בתיק זה גילה נכונות טיפולית וביטא עייפות מניהול אורח חיים לא יציב, הנאשם פנה מיוזמתו לקהילת "הדרך"  </w:t>
      </w:r>
      <w:r>
        <w:rPr>
          <w:rFonts w:ascii="David" w:hAnsi="David" w:cs="David" w:hint="cs"/>
          <w:color w:val="000000"/>
          <w:sz w:val="24"/>
          <w:szCs w:val="24"/>
          <w:rtl/>
        </w:rPr>
        <w:t xml:space="preserve">אך </w:t>
      </w:r>
      <w:r>
        <w:rPr>
          <w:rFonts w:ascii="David" w:hAnsi="David" w:cs="David"/>
          <w:color w:val="000000"/>
          <w:sz w:val="24"/>
          <w:szCs w:val="24"/>
          <w:rtl/>
        </w:rPr>
        <w:t xml:space="preserve">עוד לפני ששולב בה נעצר בתיק זה. בהמשך להמלצת שירות המבחן, שוחרר בחודש ינואר 23 לחלופה טיפולית ומאז מצוי בהליכי גמילה ושיקום.  </w:t>
      </w:r>
    </w:p>
    <w:p w:rsidR="004B1B25" w:rsidRDefault="004B1B25" w:rsidP="004B1B25">
      <w:pPr>
        <w:pStyle w:val="ListParagraph"/>
        <w:rPr>
          <w:rFonts w:ascii="David" w:hAnsi="David" w:cs="David"/>
          <w:color w:val="000000"/>
          <w:sz w:val="24"/>
          <w:szCs w:val="24"/>
        </w:rPr>
      </w:pPr>
    </w:p>
    <w:p w:rsidR="004B1B25" w:rsidRDefault="004B1B25" w:rsidP="004B1B25">
      <w:pPr>
        <w:pStyle w:val="ListParagraph"/>
        <w:numPr>
          <w:ilvl w:val="0"/>
          <w:numId w:val="1"/>
        </w:numPr>
        <w:spacing w:after="0" w:line="360" w:lineRule="auto"/>
        <w:jc w:val="both"/>
        <w:rPr>
          <w:rFonts w:ascii="David" w:hAnsi="David" w:cs="David"/>
          <w:color w:val="000000"/>
          <w:sz w:val="24"/>
          <w:szCs w:val="24"/>
          <w:rtl/>
        </w:rPr>
      </w:pPr>
      <w:r>
        <w:rPr>
          <w:rFonts w:ascii="David" w:hAnsi="David" w:cs="David"/>
          <w:color w:val="000000"/>
          <w:sz w:val="24"/>
          <w:szCs w:val="24"/>
          <w:rtl/>
        </w:rPr>
        <w:t xml:space="preserve">כעולה מתסקיריו, במשך תקופה ארוכה משקיע כוחות רבים בשיקומו ונרתם להליכי הטיפול. הנאשם סיים את הליכי הגמילה בהצלחה, כיום מתגורר בדירת בוגרים, מטופל ביחידה העירונית להתמכרויות ועובד בחברת הסעות. גורמי הטיפול בקהילה וביחידה להתמכרויות התרשמו מרצינותו ומחויבותו להליך, הוא מוסר בדיקות שתן נקיות וחל פיחות משמעותי בסיכון הנשקף ממנו להתנהגות חוזרת עוברת חוק. משך הליך הטיפול, הצלחתו, המוטיבציה הטיפולית הגבוהה שמגלה הנאשם ושינוי משמעותי שערך בכל מישורי חייו מעידים כי מצוי בהליך שיקום ממושך ויציב, </w:t>
      </w:r>
      <w:r>
        <w:rPr>
          <w:rFonts w:ascii="David" w:hAnsi="David" w:cs="David"/>
          <w:sz w:val="24"/>
          <w:szCs w:val="24"/>
          <w:rtl/>
        </w:rPr>
        <w:t xml:space="preserve">עוד ניכר כי לראשונה בחייו הצליח לערוך התבוננות פנימית, להכיר בדפוסיו הבעייתיים ולרכוש כלים להתמודד עמם. </w:t>
      </w:r>
      <w:r>
        <w:rPr>
          <w:rFonts w:ascii="David" w:hAnsi="David" w:cs="David"/>
          <w:b/>
          <w:bCs/>
          <w:sz w:val="24"/>
          <w:szCs w:val="24"/>
          <w:rtl/>
        </w:rPr>
        <w:t>על כן ניתן לקבוע כי מדובר בנאשם המצוי בהליך שיקומי משמעותי, בעל סיכויי שיקום גבוהים ויש בכל אלו כדי להוות בסיס נאות לסטייה מרף הענישה שנקבע מכח סעיף 40ד(א) לחוק.</w:t>
      </w:r>
    </w:p>
    <w:p w:rsidR="004B1B25" w:rsidRDefault="004B1B25" w:rsidP="004B1B25">
      <w:pPr>
        <w:spacing w:line="360" w:lineRule="auto"/>
        <w:jc w:val="both"/>
        <w:rPr>
          <w:rtl/>
        </w:rPr>
      </w:pPr>
    </w:p>
    <w:p w:rsidR="004B1B25" w:rsidRDefault="004B1B25" w:rsidP="004B1B25">
      <w:pPr>
        <w:pStyle w:val="ListParagraph"/>
        <w:numPr>
          <w:ilvl w:val="0"/>
          <w:numId w:val="1"/>
        </w:numPr>
        <w:spacing w:after="0" w:line="360" w:lineRule="auto"/>
        <w:ind w:left="785"/>
        <w:jc w:val="both"/>
        <w:rPr>
          <w:rFonts w:ascii="David" w:hAnsi="David" w:cs="David"/>
          <w:sz w:val="24"/>
          <w:szCs w:val="24"/>
          <w:rtl/>
        </w:rPr>
      </w:pPr>
      <w:r>
        <w:rPr>
          <w:rFonts w:ascii="David" w:hAnsi="David" w:cs="David"/>
          <w:sz w:val="24"/>
          <w:szCs w:val="24"/>
          <w:rtl/>
        </w:rPr>
        <w:t xml:space="preserve">המאשימה כאמור התנגדה להמלצות שירות המבחן וסבורה כי לא ניתן לתת אמון בנאשם, נוכח עברו וחוסר יכולתו להתמודד עם מצבי משבר. גם הנאשם בדבריו הכנים במעמד דיון הטיעונים לעונש לא ייפה את מצבו, נראה שמבין היטב כי מדובר בהליך שיקום ארוך, ממושך שעדיין לא הושלם. מטעם זה, ולמען הזהירות,  מצאתי לדחות את הדיון ולהפנותו לתסקיר משלים, התסקיר מלמד על המשך מוצלח של הליך שיקום הוליסטי ומפרט בנוסף  את מתווה הטיפול העתידי הכולל טיפול פרטני וקבוצתי בקהילה במסגרת היחידה לטיפול בהתמכרויות במקום מגוריו לצד צו מבחן. </w:t>
      </w:r>
    </w:p>
    <w:p w:rsidR="004B1B25" w:rsidRDefault="004B1B25" w:rsidP="004B1B25">
      <w:pPr>
        <w:pStyle w:val="ListParagraph"/>
        <w:rPr>
          <w:rFonts w:ascii="David" w:hAnsi="David" w:cs="David"/>
          <w:sz w:val="24"/>
          <w:szCs w:val="24"/>
        </w:rPr>
      </w:pPr>
    </w:p>
    <w:p w:rsidR="004B1B25" w:rsidRDefault="004B1B25" w:rsidP="004B1B25">
      <w:pPr>
        <w:pStyle w:val="ListParagraph"/>
        <w:numPr>
          <w:ilvl w:val="0"/>
          <w:numId w:val="1"/>
        </w:numPr>
        <w:spacing w:after="0" w:line="360" w:lineRule="auto"/>
        <w:ind w:left="785"/>
        <w:jc w:val="both"/>
        <w:rPr>
          <w:rFonts w:ascii="David" w:hAnsi="David" w:cs="David"/>
          <w:sz w:val="24"/>
          <w:szCs w:val="24"/>
          <w:rtl/>
        </w:rPr>
      </w:pPr>
      <w:r>
        <w:rPr>
          <w:rFonts w:ascii="David" w:hAnsi="David" w:cs="David"/>
          <w:b/>
          <w:bCs/>
          <w:sz w:val="24"/>
          <w:szCs w:val="24"/>
          <w:rtl/>
        </w:rPr>
        <w:t>האם הנאשם ראוי לענישה שיקומית שאינה כוללת עונש מאסר בפועל</w:t>
      </w:r>
      <w:r>
        <w:rPr>
          <w:rFonts w:ascii="David" w:hAnsi="David" w:cs="David"/>
          <w:sz w:val="24"/>
          <w:szCs w:val="24"/>
          <w:rtl/>
        </w:rPr>
        <w:t>? מעשיו, כפי שכבר נאמר, חמורים מאד נוכח סוג הסם - מחולל פשיעה מסוכן וכמותו העצומה. העבירות בהן הורשע מצדיקות הטלת ענישה משמעותית ומרתיעה "</w:t>
      </w:r>
      <w:r>
        <w:rPr>
          <w:rFonts w:ascii="David" w:hAnsi="David" w:cs="David"/>
          <w:b/>
          <w:bCs/>
          <w:sz w:val="24"/>
          <w:szCs w:val="24"/>
          <w:rtl/>
        </w:rPr>
        <w:t xml:space="preserve">בהינתן העובדות, לרבות ייבוא סמים מחוץ לארץ, סוג הסמים – </w:t>
      </w:r>
      <w:r>
        <w:rPr>
          <w:rFonts w:ascii="David" w:hAnsi="David" w:cs="David"/>
          <w:b/>
          <w:bCs/>
          <w:sz w:val="24"/>
          <w:szCs w:val="24"/>
        </w:rPr>
        <w:t>MDMA</w:t>
      </w:r>
      <w:r>
        <w:rPr>
          <w:rFonts w:ascii="David" w:hAnsi="David" w:cs="David"/>
          <w:b/>
          <w:bCs/>
          <w:sz w:val="24"/>
          <w:szCs w:val="24"/>
          <w:rtl/>
        </w:rPr>
        <w:t xml:space="preserve"> </w:t>
      </w:r>
      <w:r>
        <w:rPr>
          <w:rFonts w:ascii="David" w:hAnsi="David" w:cs="David" w:hint="cs"/>
          <w:b/>
          <w:bCs/>
          <w:sz w:val="24"/>
          <w:szCs w:val="24"/>
          <w:rtl/>
        </w:rPr>
        <w:t>– וכמות של כ-25,000 טבליות במשקל כולל של עשרה קילוגרמים – יש לתת ביטוי לערך המוגן של ניהול מלחמה עיקשת נגד השימוש בסמים, על הנזק שנגרם עקב כך לכל שכבות החברה</w:t>
      </w:r>
      <w:r>
        <w:rPr>
          <w:rFonts w:ascii="David" w:hAnsi="David" w:cs="David"/>
          <w:sz w:val="24"/>
          <w:szCs w:val="24"/>
          <w:rtl/>
        </w:rPr>
        <w:t>" (</w:t>
      </w:r>
      <w:r>
        <w:rPr>
          <w:rFonts w:ascii="Miriam" w:hAnsi="Miriam" w:cs="Miriam"/>
          <w:sz w:val="24"/>
          <w:szCs w:val="24"/>
          <w:rtl/>
        </w:rPr>
        <w:t>עניין אסולין</w:t>
      </w:r>
      <w:r>
        <w:rPr>
          <w:rFonts w:ascii="David" w:hAnsi="David" w:cs="David"/>
          <w:sz w:val="24"/>
          <w:szCs w:val="24"/>
          <w:rtl/>
        </w:rPr>
        <w:t>, פסקה 3).</w:t>
      </w:r>
    </w:p>
    <w:p w:rsidR="004B1B25" w:rsidRDefault="004B1B25" w:rsidP="004B1B25">
      <w:pPr>
        <w:pStyle w:val="ListParagraph"/>
        <w:rPr>
          <w:rFonts w:ascii="David" w:hAnsi="David" w:cs="David"/>
          <w:sz w:val="24"/>
          <w:szCs w:val="24"/>
          <w:rtl/>
        </w:rPr>
      </w:pPr>
    </w:p>
    <w:p w:rsidR="004B1B25" w:rsidRDefault="004B1B25" w:rsidP="004B1B25">
      <w:pPr>
        <w:pStyle w:val="ListParagraph"/>
        <w:spacing w:after="0" w:line="360" w:lineRule="auto"/>
        <w:ind w:left="850"/>
        <w:jc w:val="both"/>
        <w:rPr>
          <w:rFonts w:ascii="David" w:hAnsi="David" w:cs="David"/>
          <w:color w:val="000000"/>
          <w:sz w:val="24"/>
          <w:szCs w:val="24"/>
          <w:rtl/>
        </w:rPr>
      </w:pPr>
      <w:r>
        <w:rPr>
          <w:rFonts w:ascii="David" w:hAnsi="David" w:cs="David"/>
          <w:sz w:val="24"/>
          <w:szCs w:val="24"/>
          <w:rtl/>
        </w:rPr>
        <w:t>ועדיין, ומבלי לגרוע מתוקפם של שיקולים אלה, מצאו בתי המשפט בעניינם של נאשמים</w:t>
      </w:r>
      <w:r>
        <w:rPr>
          <w:rFonts w:ascii="David" w:hAnsi="David" w:cs="David"/>
          <w:color w:val="000000"/>
          <w:sz w:val="24"/>
          <w:szCs w:val="24"/>
          <w:rtl/>
        </w:rPr>
        <w:t xml:space="preserve"> בעבירות ייבוא שעברו הליך שיקום עמוק ומובהק, ליתן משקל בכורה לשיקולי השיקום ולגזור עליהם ענישה שאינה כוללת מאסר ממש: </w:t>
      </w:r>
      <w:r>
        <w:rPr>
          <w:rFonts w:ascii="David" w:hAnsi="David" w:cs="David"/>
          <w:sz w:val="24"/>
          <w:szCs w:val="24"/>
          <w:rtl/>
        </w:rPr>
        <w:t>ב</w:t>
      </w:r>
      <w:hyperlink r:id="rId42" w:history="1">
        <w:r w:rsidR="004B6C0F" w:rsidRPr="004B6C0F">
          <w:rPr>
            <w:rFonts w:ascii="David" w:hAnsi="David" w:cs="David"/>
            <w:color w:val="0000FF"/>
            <w:sz w:val="24"/>
            <w:szCs w:val="24"/>
            <w:u w:val="single"/>
            <w:rtl/>
          </w:rPr>
          <w:t>ת"פ (י-ם) 37336-08-19</w:t>
        </w:r>
      </w:hyperlink>
      <w:r>
        <w:rPr>
          <w:rFonts w:ascii="David" w:hAnsi="David" w:cs="David"/>
          <w:sz w:val="24"/>
          <w:szCs w:val="24"/>
          <w:rtl/>
        </w:rPr>
        <w:t xml:space="preserve"> </w:t>
      </w:r>
      <w:r>
        <w:rPr>
          <w:rFonts w:ascii="David" w:hAnsi="David" w:cs="David"/>
          <w:b/>
          <w:bCs/>
          <w:sz w:val="24"/>
          <w:szCs w:val="24"/>
          <w:rtl/>
        </w:rPr>
        <w:t xml:space="preserve">מדינת ישראל נ' אעקר </w:t>
      </w:r>
      <w:r>
        <w:rPr>
          <w:rFonts w:ascii="David" w:hAnsi="David" w:cs="David"/>
          <w:sz w:val="24"/>
          <w:szCs w:val="24"/>
          <w:rtl/>
        </w:rPr>
        <w:t xml:space="preserve">(6.7.21) הורשע נאשם בשתי עבירות ייבוא סם מסוכן, האחת סם מסוג וכמות שאינה ידועה, השניה סם </w:t>
      </w:r>
      <w:r>
        <w:rPr>
          <w:rFonts w:ascii="David" w:hAnsi="David" w:cs="David"/>
          <w:sz w:val="24"/>
          <w:szCs w:val="24"/>
        </w:rPr>
        <w:t>MDMA</w:t>
      </w:r>
      <w:r>
        <w:rPr>
          <w:rFonts w:ascii="David" w:hAnsi="David" w:cs="David"/>
          <w:sz w:val="24"/>
          <w:szCs w:val="24"/>
          <w:rtl/>
        </w:rPr>
        <w:t xml:space="preserve"> במשקל של כ-5 ק"ג. נקבע מתחם ענישה הנע בין 50-30 חודשי מאסר. מטעמי שיקום, נדון למאסר בעבודות שירות; ב</w:t>
      </w:r>
      <w:hyperlink r:id="rId43" w:history="1">
        <w:r w:rsidR="004B6C0F" w:rsidRPr="004B6C0F">
          <w:rPr>
            <w:rFonts w:ascii="David" w:hAnsi="David" w:cs="David"/>
            <w:color w:val="0000FF"/>
            <w:sz w:val="24"/>
            <w:szCs w:val="24"/>
            <w:u w:val="single"/>
            <w:rtl/>
          </w:rPr>
          <w:t>ת"פ (י-ם) 37958-02-19</w:t>
        </w:r>
      </w:hyperlink>
      <w:r>
        <w:rPr>
          <w:rFonts w:ascii="David" w:hAnsi="David" w:cs="David"/>
          <w:sz w:val="24"/>
          <w:szCs w:val="24"/>
          <w:rtl/>
        </w:rPr>
        <w:t xml:space="preserve"> </w:t>
      </w:r>
      <w:r>
        <w:rPr>
          <w:rFonts w:ascii="David" w:hAnsi="David" w:cs="David"/>
          <w:b/>
          <w:bCs/>
          <w:sz w:val="24"/>
          <w:szCs w:val="24"/>
          <w:rtl/>
        </w:rPr>
        <w:t xml:space="preserve">מדינת ישראל נ' וינברג </w:t>
      </w:r>
      <w:r>
        <w:rPr>
          <w:rFonts w:ascii="David" w:hAnsi="David" w:cs="David"/>
          <w:sz w:val="24"/>
          <w:szCs w:val="24"/>
          <w:rtl/>
        </w:rPr>
        <w:t xml:space="preserve">(11.2.21) הורשע נאשם בעבירת ייבוא 4.966 גרם </w:t>
      </w:r>
      <w:r>
        <w:rPr>
          <w:rFonts w:ascii="David" w:hAnsi="David" w:cs="David"/>
          <w:sz w:val="24"/>
          <w:szCs w:val="24"/>
        </w:rPr>
        <w:t>MDMA</w:t>
      </w:r>
      <w:r>
        <w:rPr>
          <w:rFonts w:ascii="David" w:hAnsi="David" w:cs="David"/>
          <w:sz w:val="24"/>
          <w:szCs w:val="24"/>
          <w:rtl/>
        </w:rPr>
        <w:t xml:space="preserve"> מוסלק במזוודה, נקבע מתחם ענישה הנע בין 40-24 חודשים. מטעמי שיקום נדון לצו </w:t>
      </w:r>
      <w:r>
        <w:rPr>
          <w:rFonts w:ascii="David" w:hAnsi="David" w:cs="David"/>
          <w:color w:val="000000"/>
          <w:sz w:val="24"/>
          <w:szCs w:val="24"/>
          <w:rtl/>
        </w:rPr>
        <w:t>של"צ; ב</w:t>
      </w:r>
      <w:hyperlink r:id="rId44" w:history="1">
        <w:r w:rsidR="004B6C0F" w:rsidRPr="004B6C0F">
          <w:rPr>
            <w:rFonts w:ascii="David" w:hAnsi="David" w:cs="David"/>
            <w:color w:val="0000FF"/>
            <w:sz w:val="24"/>
            <w:szCs w:val="24"/>
            <w:u w:val="single"/>
            <w:rtl/>
          </w:rPr>
          <w:t>ת"פ (מרכז) 11608-07-16</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 נ' היימפלד</w:t>
      </w:r>
      <w:r>
        <w:rPr>
          <w:rFonts w:ascii="David" w:hAnsi="David" w:cs="David" w:hint="cs"/>
          <w:color w:val="000000"/>
          <w:sz w:val="24"/>
          <w:szCs w:val="24"/>
          <w:rtl/>
        </w:rPr>
        <w:t xml:space="preserve"> (6.1.19), הורשע נאשם בסיוע לייבוא סם מסוכן מסוג </w:t>
      </w:r>
      <w:r>
        <w:rPr>
          <w:rFonts w:ascii="David" w:hAnsi="David" w:cs="David"/>
          <w:color w:val="000000"/>
          <w:sz w:val="24"/>
          <w:szCs w:val="24"/>
        </w:rPr>
        <w:t>MDMA</w:t>
      </w:r>
      <w:r>
        <w:rPr>
          <w:rFonts w:ascii="David" w:hAnsi="David" w:cs="David"/>
          <w:color w:val="000000"/>
          <w:sz w:val="24"/>
          <w:szCs w:val="24"/>
          <w:rtl/>
        </w:rPr>
        <w:t>. נקבע מתחם ענישה הנע בין 24 ל-42 חודשי מאסר. נוכח הליך שיקום יוצא דופן נדון למאסר בעבודות שירות.</w:t>
      </w:r>
    </w:p>
    <w:p w:rsidR="004B1B25" w:rsidRDefault="004B1B25" w:rsidP="004B1B25">
      <w:pPr>
        <w:pStyle w:val="ListParagraph"/>
        <w:spacing w:after="0" w:line="360" w:lineRule="auto"/>
        <w:ind w:left="850"/>
        <w:jc w:val="both"/>
        <w:rPr>
          <w:rFonts w:ascii="David" w:hAnsi="David" w:cs="David"/>
          <w:color w:val="000000"/>
          <w:sz w:val="24"/>
          <w:szCs w:val="24"/>
          <w:rtl/>
        </w:rPr>
      </w:pPr>
    </w:p>
    <w:p w:rsidR="004B1B25" w:rsidRDefault="004B1B25" w:rsidP="004B1B25">
      <w:pPr>
        <w:pStyle w:val="ListParagraph"/>
        <w:spacing w:after="0" w:line="360" w:lineRule="auto"/>
        <w:ind w:left="850"/>
        <w:jc w:val="both"/>
        <w:rPr>
          <w:rFonts w:ascii="David" w:hAnsi="David" w:cs="David"/>
          <w:color w:val="000000"/>
          <w:sz w:val="24"/>
          <w:szCs w:val="24"/>
          <w:rtl/>
        </w:rPr>
      </w:pPr>
      <w:r>
        <w:rPr>
          <w:rFonts w:ascii="Miriam" w:hAnsi="Miriam" w:cs="Miriam"/>
          <w:color w:val="000000"/>
          <w:sz w:val="24"/>
          <w:szCs w:val="24"/>
          <w:rtl/>
        </w:rPr>
        <w:t>בעניין רם</w:t>
      </w:r>
      <w:r>
        <w:rPr>
          <w:rFonts w:ascii="David" w:hAnsi="David" w:cs="David"/>
          <w:color w:val="000000"/>
          <w:sz w:val="24"/>
          <w:szCs w:val="24"/>
          <w:rtl/>
        </w:rPr>
        <w:t xml:space="preserve">  שנדון בפניי הורשע בחור צעיר מכור לסמים בתיק שנסיבותיו דומות לענייננו ונדון לעונש עבודות שירות. במקרה זה עבר הנאשם הליכי טיפול שכללו גמילה מסמים וטיפול בבעיות אלימות כלפי בת זוגו. כאמור רם נדון לענישה שיקומית בהסכמת המאשימה. </w:t>
      </w:r>
    </w:p>
    <w:p w:rsidR="004B1B25" w:rsidRDefault="004B1B25" w:rsidP="004B1B25">
      <w:pPr>
        <w:pStyle w:val="ListParagraph"/>
        <w:spacing w:after="0" w:line="360" w:lineRule="auto"/>
        <w:ind w:left="850"/>
        <w:jc w:val="both"/>
        <w:rPr>
          <w:rFonts w:ascii="David" w:hAnsi="David" w:cs="David"/>
          <w:sz w:val="24"/>
          <w:szCs w:val="24"/>
        </w:rPr>
      </w:pPr>
    </w:p>
    <w:p w:rsidR="004B1B25" w:rsidRDefault="004B1B25" w:rsidP="004B1B25">
      <w:pPr>
        <w:pStyle w:val="ListParagraph"/>
        <w:numPr>
          <w:ilvl w:val="0"/>
          <w:numId w:val="1"/>
        </w:numPr>
        <w:spacing w:after="0" w:line="360" w:lineRule="auto"/>
        <w:jc w:val="both"/>
        <w:rPr>
          <w:rFonts w:ascii="David" w:hAnsi="David" w:cs="David"/>
          <w:color w:val="000000"/>
          <w:sz w:val="24"/>
          <w:szCs w:val="24"/>
          <w:rtl/>
        </w:rPr>
      </w:pPr>
      <w:r>
        <w:rPr>
          <w:rFonts w:ascii="David" w:hAnsi="David" w:cs="David"/>
          <w:b/>
          <w:bCs/>
          <w:sz w:val="24"/>
          <w:szCs w:val="24"/>
          <w:rtl/>
        </w:rPr>
        <w:t>באשר לנאשם שבפניי, לאחר ששקלתי את כלל השיקולים שוכנעתי כי עניינו נופל בגדר מקרי השיקום המובהקים המאפשרים חריגה משמעותית ממתחם הענישה והימנעות משליחתו למאסר</w:t>
      </w:r>
      <w:r>
        <w:rPr>
          <w:rFonts w:ascii="David" w:hAnsi="David" w:cs="David"/>
          <w:sz w:val="24"/>
          <w:szCs w:val="24"/>
          <w:rtl/>
        </w:rPr>
        <w:t xml:space="preserve">. הנאשם שולב בהליך טיפולי אינטנסיבי אשר כלל טיפול בהתמכרותו לסמים, הקניית הרגלי תעסוקה יציבים, מתן כלים להתנהלות כלכלית נכונה וזיהוי מצבי סיכון והימנעות מהם. העבירות בוצעו אמנם ממניע כלכלי אך תרמו לכך שימוש בסם ומעורבות בחברה שולית, מכאן, שהפסקת השימוש בסם תרמה לשיקומו; הנאשם גילה מוטיבציה טיפולית גבוהה והשתלב באופן מוצלח בהליכים טיפוליים מגוונים; עוד הביע חרטה כנה ונטל אחריות מלאה על מעשיו. עוד שוכנעתי שעונש מאסר בפועל עלול לפגוע פגיעה ממשית בהליכי שיקומו. </w:t>
      </w:r>
      <w:r>
        <w:rPr>
          <w:rFonts w:ascii="David" w:hAnsi="David" w:cs="David"/>
          <w:color w:val="000000"/>
          <w:sz w:val="24"/>
          <w:szCs w:val="24"/>
          <w:rtl/>
        </w:rPr>
        <w:t xml:space="preserve">עם זאת, הסתפקות בצו של"צ אינה מידתית, מעניקה משקל בלעדי לשיקולי השיקום ויש בה כדי להעביר מסר סלחני ומקל יתר על המידה כלפי הציבור, גם במקרים שמדובר בנאשמים משוקמים. טוב עשה הסניגור שעתר בטיעוניו לענישת עבודות שירות. </w:t>
      </w:r>
    </w:p>
    <w:p w:rsidR="004B1B25" w:rsidRPr="004B1B25" w:rsidRDefault="004B1B25" w:rsidP="004B1B25">
      <w:pPr>
        <w:pStyle w:val="ListParagraph"/>
      </w:pPr>
    </w:p>
    <w:p w:rsidR="004B1B25" w:rsidRDefault="004B1B25" w:rsidP="004B1B25">
      <w:pPr>
        <w:pStyle w:val="ListParagraph"/>
        <w:numPr>
          <w:ilvl w:val="0"/>
          <w:numId w:val="1"/>
        </w:numPr>
        <w:spacing w:after="0" w:line="360" w:lineRule="auto"/>
        <w:ind w:left="785"/>
        <w:jc w:val="both"/>
        <w:rPr>
          <w:rFonts w:ascii="David" w:hAnsi="David" w:cs="David"/>
          <w:sz w:val="24"/>
          <w:szCs w:val="24"/>
          <w:rtl/>
        </w:rPr>
      </w:pPr>
      <w:r>
        <w:rPr>
          <w:rFonts w:ascii="David" w:hAnsi="David" w:cs="David"/>
          <w:sz w:val="24"/>
          <w:szCs w:val="24"/>
          <w:rtl/>
        </w:rPr>
        <w:t xml:space="preserve">סיכומם של דברים, על יסוד כל אלו, מצאתי ליתן מעמד בכורה לשיקול השיקומי ולגזור על הנאשם עונש ההולם את סיכויי שיקומו, על מנת שלא לפגוע פגיעה קשה ברצף עבודתו ובמאמציו להמשך שיקומו אסתפק בתקופת עבודות שירות שאינה מירבית. </w:t>
      </w:r>
    </w:p>
    <w:p w:rsidR="004B1B25" w:rsidRDefault="004B1B25" w:rsidP="004B1B25">
      <w:pPr>
        <w:pStyle w:val="ListParagraph"/>
        <w:rPr>
          <w:rFonts w:ascii="David" w:hAnsi="David" w:cs="David"/>
          <w:b/>
          <w:bCs/>
          <w:sz w:val="24"/>
          <w:szCs w:val="24"/>
        </w:rPr>
      </w:pPr>
    </w:p>
    <w:p w:rsidR="004B1B25" w:rsidRDefault="004B1B25" w:rsidP="004B1B25">
      <w:pPr>
        <w:pStyle w:val="ListParagraph"/>
        <w:spacing w:after="0" w:line="360" w:lineRule="auto"/>
        <w:ind w:left="785"/>
        <w:jc w:val="both"/>
        <w:rPr>
          <w:rFonts w:ascii="David" w:hAnsi="David" w:cs="David"/>
          <w:b/>
          <w:bCs/>
          <w:sz w:val="24"/>
          <w:szCs w:val="24"/>
          <w:u w:val="single"/>
          <w:rtl/>
        </w:rPr>
      </w:pPr>
      <w:r>
        <w:rPr>
          <w:rFonts w:ascii="David" w:hAnsi="David" w:cs="David"/>
          <w:b/>
          <w:bCs/>
          <w:sz w:val="24"/>
          <w:szCs w:val="24"/>
          <w:u w:val="single"/>
          <w:rtl/>
        </w:rPr>
        <w:t xml:space="preserve">לצד זאת אטיל על הנאשם צו מבחן למשך 18 חודשים. אני מזהירה אותו באזהרה חמורה כי אם יפר את תנאי הצו או יחזור לשימוש בסם ניתן יהיה להפקיע את הצו ולגזור עליו תחתיו עונש אחר שעלול להיות מאסר בפועל ממושך. </w:t>
      </w:r>
    </w:p>
    <w:p w:rsidR="004B1B25" w:rsidRPr="004B1B25" w:rsidRDefault="004B1B25" w:rsidP="004B1B25">
      <w:pPr>
        <w:pStyle w:val="ListParagraph"/>
        <w:rPr>
          <w:b/>
          <w:bCs/>
          <w:rtl/>
        </w:rPr>
      </w:pPr>
    </w:p>
    <w:p w:rsidR="004B1B25" w:rsidRDefault="004B1B25" w:rsidP="004B1B25">
      <w:pPr>
        <w:pStyle w:val="ListParagraph"/>
        <w:numPr>
          <w:ilvl w:val="0"/>
          <w:numId w:val="1"/>
        </w:numPr>
        <w:spacing w:after="0" w:line="360" w:lineRule="auto"/>
        <w:jc w:val="both"/>
        <w:rPr>
          <w:rFonts w:ascii="David" w:hAnsi="David" w:cs="David"/>
          <w:sz w:val="24"/>
          <w:szCs w:val="24"/>
          <w:rtl/>
        </w:rPr>
      </w:pPr>
      <w:r>
        <w:rPr>
          <w:rFonts w:ascii="David" w:hAnsi="David" w:cs="David"/>
          <w:sz w:val="24"/>
          <w:szCs w:val="24"/>
          <w:rtl/>
        </w:rPr>
        <w:t>אשר על כן, אני גוזרת על הנאשם את העונשים הבאים:</w:t>
      </w:r>
    </w:p>
    <w:p w:rsidR="004B1B25" w:rsidRDefault="004B1B25" w:rsidP="004B1B25">
      <w:pPr>
        <w:pStyle w:val="ListParagraph"/>
        <w:rPr>
          <w:rFonts w:ascii="David" w:hAnsi="David" w:cs="David"/>
          <w:sz w:val="24"/>
          <w:szCs w:val="24"/>
        </w:rPr>
      </w:pPr>
    </w:p>
    <w:p w:rsidR="004B1B25" w:rsidRDefault="004B1B25" w:rsidP="004B1B25">
      <w:pPr>
        <w:pStyle w:val="ListParagraph"/>
        <w:numPr>
          <w:ilvl w:val="0"/>
          <w:numId w:val="2"/>
        </w:numPr>
        <w:spacing w:after="0" w:line="360" w:lineRule="auto"/>
        <w:ind w:left="1077" w:hanging="357"/>
        <w:jc w:val="both"/>
        <w:rPr>
          <w:rFonts w:ascii="David" w:hAnsi="David" w:cs="David"/>
          <w:sz w:val="24"/>
          <w:szCs w:val="24"/>
          <w:rtl/>
        </w:rPr>
      </w:pPr>
      <w:r>
        <w:rPr>
          <w:rFonts w:ascii="David" w:hAnsi="David" w:cs="David"/>
          <w:b/>
          <w:bCs/>
          <w:sz w:val="24"/>
          <w:szCs w:val="24"/>
          <w:rtl/>
        </w:rPr>
        <w:t>6 חודשי מאסר בפועל שירוצו בדרך של עבודות שירות</w:t>
      </w:r>
      <w:r>
        <w:rPr>
          <w:rFonts w:ascii="David" w:hAnsi="David" w:cs="David"/>
          <w:sz w:val="24"/>
          <w:szCs w:val="24"/>
          <w:rtl/>
        </w:rPr>
        <w:t xml:space="preserve"> בעמותת "מתחברים לנשמה", בכתובת החרושת 4, כרמיאל. הנאשם יבצע את העבודות בימים א'-ה' בהתאם לטווח השעות שייקבע ע"י הממונה. </w:t>
      </w:r>
    </w:p>
    <w:p w:rsidR="004B1B25" w:rsidRDefault="004B1B25" w:rsidP="004B1B25">
      <w:pPr>
        <w:pStyle w:val="ListParagraph"/>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על הנאשם להתייצב לקליטה והצבה ביום 14.7.24 במשרדי הממונה בכתובת לוחמי בית"ר 6, רמלה. </w:t>
      </w:r>
    </w:p>
    <w:p w:rsidR="004B1B25" w:rsidRDefault="004B1B25" w:rsidP="004B1B25">
      <w:pPr>
        <w:pStyle w:val="ListParagraph"/>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הנאשם מוזהר כי אם לא ישתף פעולה עם הממונה ניתן להמיר את העבודות במאסר ממש. </w:t>
      </w:r>
    </w:p>
    <w:p w:rsidR="004B1B25" w:rsidRDefault="004B1B25" w:rsidP="004B1B25">
      <w:pPr>
        <w:pStyle w:val="ListParagraph"/>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12 חודשי מאסר על תנאי, לבל יעבור הנאשם במשך 3 שנים מהיום עבירת סמים מסוג פשע.</w:t>
      </w:r>
    </w:p>
    <w:p w:rsidR="004B1B25" w:rsidRDefault="004B1B25" w:rsidP="004B1B25">
      <w:pPr>
        <w:pStyle w:val="ListParagraph"/>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צו מבחן לתקופה של 18 חודשים החל מהיום. הנאשם מוזהר בחובת שיתוף פעולה וכי אם לא יעשה כן, ניתן יהיה לבטל את הצו ולגזור עליו עונש אחר תחתיו. שירות המבחן יגיש לתיק תסקיר עדכון עד ליום 1.12.24. </w:t>
      </w:r>
    </w:p>
    <w:p w:rsidR="004B1B25" w:rsidRDefault="004B1B25" w:rsidP="004B1B25">
      <w:pPr>
        <w:pStyle w:val="ListParagraph"/>
        <w:numPr>
          <w:ilvl w:val="0"/>
          <w:numId w:val="2"/>
        </w:numPr>
        <w:spacing w:after="0" w:line="360" w:lineRule="auto"/>
        <w:ind w:left="1077" w:hanging="357"/>
        <w:jc w:val="both"/>
        <w:rPr>
          <w:rFonts w:ascii="David" w:hAnsi="David" w:cs="David"/>
          <w:sz w:val="24"/>
          <w:szCs w:val="24"/>
        </w:rPr>
      </w:pPr>
      <w:r>
        <w:rPr>
          <w:rFonts w:ascii="David" w:hAnsi="David" w:cs="David"/>
          <w:sz w:val="24"/>
          <w:szCs w:val="24"/>
          <w:rtl/>
        </w:rPr>
        <w:t xml:space="preserve">קנס בסך </w:t>
      </w:r>
      <w:r>
        <w:rPr>
          <w:rFonts w:ascii="David" w:hAnsi="David" w:cs="David" w:hint="cs"/>
          <w:sz w:val="24"/>
          <w:szCs w:val="24"/>
          <w:rtl/>
        </w:rPr>
        <w:t>12,000</w:t>
      </w:r>
      <w:r>
        <w:rPr>
          <w:rFonts w:ascii="David" w:hAnsi="David" w:cs="David"/>
          <w:sz w:val="24"/>
          <w:szCs w:val="24"/>
          <w:rtl/>
        </w:rPr>
        <w:t xml:space="preserve"> ₪ או 35 ימי מאסר תמורתו. הקנס ישולם ב-20 תשלומים חודשיים שווים ורצופים החל מיום 1.10.24. </w:t>
      </w:r>
    </w:p>
    <w:p w:rsidR="004B1B25" w:rsidRDefault="004B1B25" w:rsidP="004B1B25">
      <w:pPr>
        <w:spacing w:line="360" w:lineRule="auto"/>
        <w:jc w:val="both"/>
        <w:rPr>
          <w:rFonts w:ascii="David" w:hAnsi="David"/>
        </w:rPr>
      </w:pPr>
    </w:p>
    <w:p w:rsidR="004B1B25" w:rsidRDefault="004B1B25" w:rsidP="004B1B25">
      <w:pPr>
        <w:spacing w:line="360" w:lineRule="auto"/>
        <w:jc w:val="both"/>
        <w:rPr>
          <w:b/>
          <w:bCs/>
          <w:rtl/>
        </w:rPr>
      </w:pPr>
      <w:r>
        <w:rPr>
          <w:b/>
          <w:bCs/>
          <w:rtl/>
        </w:rPr>
        <w:t xml:space="preserve">עותק מהחלטתי יועבר לממונה על עבודות השירות ולשירות המבחן. </w:t>
      </w:r>
    </w:p>
    <w:p w:rsidR="004B1B25" w:rsidRDefault="004B1B25" w:rsidP="004B1B25">
      <w:pPr>
        <w:spacing w:line="360" w:lineRule="auto"/>
        <w:jc w:val="both"/>
        <w:rPr>
          <w:b/>
          <w:bCs/>
          <w:rtl/>
        </w:rPr>
      </w:pPr>
      <w:r>
        <w:rPr>
          <w:b/>
          <w:bCs/>
          <w:rtl/>
        </w:rPr>
        <w:t xml:space="preserve">הסמים – להשמדה. </w:t>
      </w:r>
    </w:p>
    <w:p w:rsidR="004B1B25" w:rsidRDefault="004B6C0F" w:rsidP="004B1B25">
      <w:pPr>
        <w:spacing w:line="360" w:lineRule="auto"/>
        <w:jc w:val="both"/>
        <w:rPr>
          <w:b/>
          <w:bCs/>
          <w:rtl/>
        </w:rPr>
      </w:pPr>
      <w:r w:rsidRPr="004B6C0F">
        <w:rPr>
          <w:b/>
          <w:bCs/>
          <w:color w:val="FFFFFF"/>
          <w:sz w:val="2"/>
          <w:szCs w:val="2"/>
          <w:rtl/>
        </w:rPr>
        <w:t>5129371</w:t>
      </w:r>
      <w:r w:rsidR="004B1B25">
        <w:rPr>
          <w:b/>
          <w:bCs/>
          <w:rtl/>
        </w:rPr>
        <w:t xml:space="preserve">זכות ערעור לבית המשפט העליון תוך 45 יום. </w:t>
      </w:r>
    </w:p>
    <w:p w:rsidR="004B1B25" w:rsidRPr="004B6C0F" w:rsidRDefault="004B6C0F" w:rsidP="004B1B25">
      <w:pPr>
        <w:rPr>
          <w:rFonts w:ascii="Arial" w:hAnsi="Arial"/>
          <w:b/>
          <w:bCs/>
          <w:color w:val="FFFFFF"/>
          <w:sz w:val="2"/>
          <w:szCs w:val="2"/>
          <w:rtl/>
        </w:rPr>
      </w:pPr>
      <w:r w:rsidRPr="004B6C0F">
        <w:rPr>
          <w:rFonts w:ascii="Arial" w:hAnsi="Arial"/>
          <w:b/>
          <w:bCs/>
          <w:color w:val="FFFFFF"/>
          <w:sz w:val="2"/>
          <w:szCs w:val="2"/>
          <w:rtl/>
        </w:rPr>
        <w:t>54678313</w:t>
      </w:r>
    </w:p>
    <w:p w:rsidR="004B1B25" w:rsidRPr="000F2247" w:rsidRDefault="004B1B25" w:rsidP="004B1B25">
      <w:pPr>
        <w:rPr>
          <w:rFonts w:ascii="Arial" w:hAnsi="Arial"/>
          <w:b/>
          <w:bCs/>
          <w:sz w:val="26"/>
          <w:szCs w:val="26"/>
          <w:rtl/>
        </w:rPr>
      </w:pPr>
    </w:p>
    <w:p w:rsidR="004B1B25" w:rsidRPr="000F2247" w:rsidRDefault="004B6C0F" w:rsidP="004B1B2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סיוון תשפ"ד, 17 יוני 2024, במעמד הצדדים. </w:t>
      </w:r>
      <w:bookmarkEnd w:id="8"/>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b/>
          <w:bCs/>
          <w:sz w:val="26"/>
          <w:szCs w:val="26"/>
          <w:rtl/>
        </w:rPr>
        <w:tab/>
      </w:r>
      <w:r w:rsidR="004B1B25">
        <w:rPr>
          <w:rFonts w:ascii="Arial" w:hAnsi="Arial" w:hint="cs"/>
          <w:b/>
          <w:bCs/>
          <w:sz w:val="26"/>
          <w:szCs w:val="26"/>
          <w:rtl/>
        </w:rPr>
        <w:t xml:space="preserve">         </w:t>
      </w:r>
    </w:p>
    <w:p w:rsidR="004B1B25" w:rsidRPr="000F2247" w:rsidRDefault="004B1B25" w:rsidP="004B6C0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rsidR="004B1B25" w:rsidRPr="000F2247" w:rsidRDefault="004B1B25" w:rsidP="004B1B25">
      <w:pPr>
        <w:jc w:val="center"/>
        <w:rPr>
          <w:rFonts w:ascii="Arial" w:hAnsi="Arial"/>
          <w:b/>
          <w:bCs/>
          <w:sz w:val="26"/>
          <w:szCs w:val="26"/>
          <w:rtl/>
        </w:rPr>
      </w:pPr>
    </w:p>
    <w:p w:rsidR="003B354A" w:rsidRPr="004B6C0F" w:rsidRDefault="003B354A" w:rsidP="004B6C0F">
      <w:pPr>
        <w:keepNext/>
        <w:rPr>
          <w:rFonts w:ascii="David" w:hAnsi="David"/>
          <w:color w:val="000000"/>
          <w:sz w:val="22"/>
          <w:szCs w:val="22"/>
          <w:rtl/>
        </w:rPr>
      </w:pPr>
    </w:p>
    <w:p w:rsidR="004B6C0F" w:rsidRPr="004B6C0F" w:rsidRDefault="004B6C0F" w:rsidP="004B6C0F">
      <w:pPr>
        <w:keepNext/>
        <w:rPr>
          <w:rFonts w:ascii="David" w:hAnsi="David"/>
          <w:color w:val="000000"/>
          <w:sz w:val="22"/>
          <w:szCs w:val="22"/>
          <w:rtl/>
        </w:rPr>
      </w:pPr>
      <w:r w:rsidRPr="004B6C0F">
        <w:rPr>
          <w:rFonts w:ascii="David" w:hAnsi="David"/>
          <w:color w:val="000000"/>
          <w:sz w:val="22"/>
          <w:szCs w:val="22"/>
          <w:rtl/>
        </w:rPr>
        <w:t>מרב גרינברג 54678313</w:t>
      </w:r>
    </w:p>
    <w:p w:rsidR="004B6C0F" w:rsidRDefault="004B6C0F" w:rsidP="004B6C0F">
      <w:r w:rsidRPr="004B6C0F">
        <w:rPr>
          <w:color w:val="000000"/>
          <w:rtl/>
        </w:rPr>
        <w:t>נוסח מסמך זה כפוף לשינויי ניסוח ועריכה</w:t>
      </w:r>
    </w:p>
    <w:p w:rsidR="004B6C0F" w:rsidRDefault="004B6C0F" w:rsidP="004B6C0F">
      <w:pPr>
        <w:rPr>
          <w:rtl/>
        </w:rPr>
      </w:pPr>
    </w:p>
    <w:p w:rsidR="004B6C0F" w:rsidRDefault="004B6C0F" w:rsidP="004B6C0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rsidR="004B6C0F" w:rsidRPr="004B6C0F" w:rsidRDefault="004B6C0F" w:rsidP="004B6C0F">
      <w:pPr>
        <w:jc w:val="center"/>
        <w:rPr>
          <w:color w:val="0000FF"/>
          <w:u w:val="single"/>
        </w:rPr>
      </w:pPr>
    </w:p>
    <w:sectPr w:rsidR="004B6C0F" w:rsidRPr="004B6C0F" w:rsidSect="004B6C0F">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260D6" w:rsidRDefault="008260D6" w:rsidP="00A73E7E">
      <w:r>
        <w:separator/>
      </w:r>
    </w:p>
  </w:endnote>
  <w:endnote w:type="continuationSeparator" w:id="0">
    <w:p w:rsidR="008260D6" w:rsidRDefault="008260D6" w:rsidP="00A7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6C0F" w:rsidRDefault="004B6C0F" w:rsidP="004B6C0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6829F8" w:rsidRPr="004B6C0F" w:rsidRDefault="004B6C0F" w:rsidP="004B6C0F">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6C0F" w:rsidRDefault="004B6C0F" w:rsidP="004B6C0F">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624B7">
      <w:rPr>
        <w:rFonts w:ascii="FrankRuehl" w:hAnsi="FrankRuehl" w:cs="FrankRuehl"/>
        <w:noProof/>
        <w:rtl/>
      </w:rPr>
      <w:t>1</w:t>
    </w:r>
    <w:r>
      <w:rPr>
        <w:rFonts w:ascii="FrankRuehl" w:hAnsi="FrankRuehl" w:cs="FrankRuehl"/>
        <w:rtl/>
      </w:rPr>
      <w:fldChar w:fldCharType="end"/>
    </w:r>
  </w:p>
  <w:p w:rsidR="006829F8" w:rsidRPr="004B6C0F" w:rsidRDefault="004B6C0F" w:rsidP="004B6C0F">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260D6" w:rsidRDefault="008260D6" w:rsidP="00A73E7E">
      <w:r>
        <w:separator/>
      </w:r>
    </w:p>
  </w:footnote>
  <w:footnote w:type="continuationSeparator" w:id="0">
    <w:p w:rsidR="008260D6" w:rsidRDefault="008260D6" w:rsidP="00A73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6C0F" w:rsidRPr="004B6C0F" w:rsidRDefault="004B6C0F" w:rsidP="004B6C0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1990-11-22</w:t>
    </w:r>
    <w:r>
      <w:rPr>
        <w:rFonts w:ascii="David" w:hAnsi="David"/>
        <w:color w:val="000000"/>
        <w:sz w:val="22"/>
        <w:szCs w:val="22"/>
        <w:rtl/>
      </w:rPr>
      <w:tab/>
      <w:t xml:space="preserve"> מדינת ישראל נ' אליהו אלי אזארי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B6C0F" w:rsidRPr="004B6C0F" w:rsidRDefault="004B6C0F" w:rsidP="004B6C0F">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1990-11-22</w:t>
    </w:r>
    <w:r>
      <w:rPr>
        <w:rFonts w:ascii="David" w:hAnsi="David"/>
        <w:color w:val="000000"/>
        <w:sz w:val="22"/>
        <w:szCs w:val="22"/>
        <w:rtl/>
      </w:rPr>
      <w:tab/>
      <w:t xml:space="preserve"> מדינת ישראל נ' אליהו אלי אזארי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F31114"/>
    <w:multiLevelType w:val="hybridMultilevel"/>
    <w:tmpl w:val="1268837E"/>
    <w:lvl w:ilvl="0" w:tplc="D4BCD13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918408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8444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1B25"/>
    <w:rsid w:val="00083FC6"/>
    <w:rsid w:val="003B354A"/>
    <w:rsid w:val="004B1B25"/>
    <w:rsid w:val="004B6C0F"/>
    <w:rsid w:val="006829F8"/>
    <w:rsid w:val="008260D6"/>
    <w:rsid w:val="009A4E4C"/>
    <w:rsid w:val="00A23EAC"/>
    <w:rsid w:val="00A73E7E"/>
    <w:rsid w:val="00C624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45CF456-FFF0-4F15-8253-D7E18311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1B25"/>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B1B25"/>
    <w:pPr>
      <w:tabs>
        <w:tab w:val="center" w:pos="4153"/>
        <w:tab w:val="right" w:pos="8306"/>
      </w:tabs>
    </w:pPr>
  </w:style>
  <w:style w:type="character" w:customStyle="1" w:styleId="HeaderChar">
    <w:name w:val="Header Char"/>
    <w:link w:val="Header"/>
    <w:rsid w:val="004B1B25"/>
    <w:rPr>
      <w:rFonts w:ascii="Times New Roman" w:eastAsia="Times New Roman" w:hAnsi="Times New Roman" w:cs="David"/>
      <w:sz w:val="24"/>
      <w:szCs w:val="24"/>
    </w:rPr>
  </w:style>
  <w:style w:type="paragraph" w:styleId="Footer">
    <w:name w:val="footer"/>
    <w:basedOn w:val="Normal"/>
    <w:link w:val="FooterChar"/>
    <w:rsid w:val="004B1B25"/>
    <w:pPr>
      <w:tabs>
        <w:tab w:val="center" w:pos="4153"/>
        <w:tab w:val="right" w:pos="8306"/>
      </w:tabs>
    </w:pPr>
  </w:style>
  <w:style w:type="character" w:customStyle="1" w:styleId="FooterChar">
    <w:name w:val="Footer Char"/>
    <w:link w:val="Footer"/>
    <w:rsid w:val="004B1B25"/>
    <w:rPr>
      <w:rFonts w:ascii="Times New Roman" w:eastAsia="Times New Roman" w:hAnsi="Times New Roman" w:cs="David"/>
      <w:sz w:val="24"/>
      <w:szCs w:val="24"/>
    </w:rPr>
  </w:style>
  <w:style w:type="table" w:styleId="TableGrid">
    <w:name w:val="Table Grid"/>
    <w:basedOn w:val="TableNormal"/>
    <w:rsid w:val="004B1B2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B1B25"/>
  </w:style>
  <w:style w:type="character" w:customStyle="1" w:styleId="ListParagraphChar">
    <w:name w:val="List Paragraph Char"/>
    <w:link w:val="ListParagraph"/>
    <w:locked/>
    <w:rsid w:val="004B1B25"/>
  </w:style>
  <w:style w:type="paragraph" w:styleId="ListParagraph">
    <w:name w:val="List Paragraph"/>
    <w:basedOn w:val="Normal"/>
    <w:link w:val="ListParagraphChar"/>
    <w:qFormat/>
    <w:rsid w:val="004B1B25"/>
    <w:pPr>
      <w:spacing w:after="160" w:line="252" w:lineRule="auto"/>
      <w:ind w:left="720"/>
      <w:contextualSpacing/>
    </w:pPr>
    <w:rPr>
      <w:rFonts w:ascii="Calibri" w:eastAsia="Calibri" w:hAnsi="Calibri" w:cs="Arial"/>
      <w:sz w:val="22"/>
      <w:szCs w:val="22"/>
    </w:rPr>
  </w:style>
  <w:style w:type="character" w:styleId="Hyperlink">
    <w:name w:val="Hyperlink"/>
    <w:rsid w:val="004B1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 TargetMode="External"/><Relationship Id="rId18" Type="http://schemas.openxmlformats.org/officeDocument/2006/relationships/hyperlink" Target="http://www.nevo.co.il/case/20131420" TargetMode="External"/><Relationship Id="rId26" Type="http://schemas.openxmlformats.org/officeDocument/2006/relationships/hyperlink" Target="http://www.nevo.co.il/case/23889476" TargetMode="External"/><Relationship Id="rId39" Type="http://schemas.openxmlformats.org/officeDocument/2006/relationships/hyperlink" Target="http://www.nevo.co.il/case/6824952" TargetMode="External"/><Relationship Id="rId21" Type="http://schemas.openxmlformats.org/officeDocument/2006/relationships/hyperlink" Target="http://www.nevo.co.il/case/25097373"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5962115"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935094" TargetMode="External"/><Relationship Id="rId11" Type="http://schemas.openxmlformats.org/officeDocument/2006/relationships/hyperlink" Target="http://www.nevo.co.il/law/70301/40d" TargetMode="External"/><Relationship Id="rId24" Type="http://schemas.openxmlformats.org/officeDocument/2006/relationships/hyperlink" Target="http://www.nevo.co.il/case/2553530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22938500"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29591310" TargetMode="External"/><Relationship Id="rId28" Type="http://schemas.openxmlformats.org/officeDocument/2006/relationships/hyperlink" Target="http://www.nevo.co.il/case/22977983" TargetMode="External"/><Relationship Id="rId36" Type="http://schemas.openxmlformats.org/officeDocument/2006/relationships/hyperlink" Target="http://www.nevo.co.il/law/70301/40d" TargetMode="External"/><Relationship Id="rId49"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26246488" TargetMode="External"/><Relationship Id="rId31" Type="http://schemas.openxmlformats.org/officeDocument/2006/relationships/hyperlink" Target="http://www.nevo.co.il/law/70301/40d.a" TargetMode="External"/><Relationship Id="rId44" Type="http://schemas.openxmlformats.org/officeDocument/2006/relationships/hyperlink" Target="http://www.nevo.co.il/case/21661958"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573936" TargetMode="External"/><Relationship Id="rId27" Type="http://schemas.openxmlformats.org/officeDocument/2006/relationships/hyperlink" Target="http://www.nevo.co.il/case/23580083" TargetMode="External"/><Relationship Id="rId30" Type="http://schemas.openxmlformats.org/officeDocument/2006/relationships/hyperlink" Target="http://www.nevo.co.il/case/22273874" TargetMode="External"/><Relationship Id="rId35" Type="http://schemas.openxmlformats.org/officeDocument/2006/relationships/hyperlink" Target="http://www.nevo.co.il/law/71553" TargetMode="External"/><Relationship Id="rId43" Type="http://schemas.openxmlformats.org/officeDocument/2006/relationships/hyperlink" Target="http://www.nevo.co.il/case/25455685" TargetMode="External"/><Relationship Id="rId48"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case/27742715" TargetMode="External"/><Relationship Id="rId25" Type="http://schemas.openxmlformats.org/officeDocument/2006/relationships/hyperlink" Target="http://www.nevo.co.il/case/28278897" TargetMode="External"/><Relationship Id="rId33" Type="http://schemas.openxmlformats.org/officeDocument/2006/relationships/hyperlink" Target="http://www.nevo.co.il/law/70301/40d.a" TargetMode="External"/><Relationship Id="rId38" Type="http://schemas.openxmlformats.org/officeDocument/2006/relationships/hyperlink" Target="http://www.nevo.co.il/case/5601732" TargetMode="External"/><Relationship Id="rId46" Type="http://schemas.openxmlformats.org/officeDocument/2006/relationships/header" Target="header1.xml"/><Relationship Id="rId20" Type="http://schemas.openxmlformats.org/officeDocument/2006/relationships/hyperlink" Target="http://www.nevo.co.il/case/5598765" TargetMode="External"/><Relationship Id="rId41" Type="http://schemas.openxmlformats.org/officeDocument/2006/relationships/hyperlink" Target="http://www.nevo.co.il/case/2257845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20234</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3145850</vt:i4>
      </vt:variant>
      <vt:variant>
        <vt:i4>111</vt:i4>
      </vt:variant>
      <vt:variant>
        <vt:i4>0</vt:i4>
      </vt:variant>
      <vt:variant>
        <vt:i4>5</vt:i4>
      </vt:variant>
      <vt:variant>
        <vt:lpwstr>http://www.nevo.co.il/case/21661958</vt:lpwstr>
      </vt:variant>
      <vt:variant>
        <vt:lpwstr/>
      </vt:variant>
      <vt:variant>
        <vt:i4>3866738</vt:i4>
      </vt:variant>
      <vt:variant>
        <vt:i4>108</vt:i4>
      </vt:variant>
      <vt:variant>
        <vt:i4>0</vt:i4>
      </vt:variant>
      <vt:variant>
        <vt:i4>5</vt:i4>
      </vt:variant>
      <vt:variant>
        <vt:lpwstr>http://www.nevo.co.il/case/25455685</vt:lpwstr>
      </vt:variant>
      <vt:variant>
        <vt:lpwstr/>
      </vt:variant>
      <vt:variant>
        <vt:i4>3670134</vt:i4>
      </vt:variant>
      <vt:variant>
        <vt:i4>105</vt:i4>
      </vt:variant>
      <vt:variant>
        <vt:i4>0</vt:i4>
      </vt:variant>
      <vt:variant>
        <vt:i4>5</vt:i4>
      </vt:variant>
      <vt:variant>
        <vt:lpwstr>http://www.nevo.co.il/case/25962115</vt:lpwstr>
      </vt:variant>
      <vt:variant>
        <vt:lpwstr/>
      </vt:variant>
      <vt:variant>
        <vt:i4>3801205</vt:i4>
      </vt:variant>
      <vt:variant>
        <vt:i4>102</vt:i4>
      </vt:variant>
      <vt:variant>
        <vt:i4>0</vt:i4>
      </vt:variant>
      <vt:variant>
        <vt:i4>5</vt:i4>
      </vt:variant>
      <vt:variant>
        <vt:lpwstr>http://www.nevo.co.il/case/22578451</vt:lpwstr>
      </vt:variant>
      <vt:variant>
        <vt:lpwstr/>
      </vt:variant>
      <vt:variant>
        <vt:i4>3342448</vt:i4>
      </vt:variant>
      <vt:variant>
        <vt:i4>99</vt:i4>
      </vt:variant>
      <vt:variant>
        <vt:i4>0</vt:i4>
      </vt:variant>
      <vt:variant>
        <vt:i4>5</vt:i4>
      </vt:variant>
      <vt:variant>
        <vt:lpwstr>http://www.nevo.co.il/case/22938500</vt:lpwstr>
      </vt:variant>
      <vt:variant>
        <vt:lpwstr/>
      </vt:variant>
      <vt:variant>
        <vt:i4>4128893</vt:i4>
      </vt:variant>
      <vt:variant>
        <vt:i4>96</vt:i4>
      </vt:variant>
      <vt:variant>
        <vt:i4>0</vt:i4>
      </vt:variant>
      <vt:variant>
        <vt:i4>5</vt:i4>
      </vt:variant>
      <vt:variant>
        <vt:lpwstr>http://www.nevo.co.il/case/6824952</vt:lpwstr>
      </vt:variant>
      <vt:variant>
        <vt:lpwstr/>
      </vt:variant>
      <vt:variant>
        <vt:i4>3145840</vt:i4>
      </vt:variant>
      <vt:variant>
        <vt:i4>93</vt:i4>
      </vt:variant>
      <vt:variant>
        <vt:i4>0</vt:i4>
      </vt:variant>
      <vt:variant>
        <vt:i4>5</vt:i4>
      </vt:variant>
      <vt:variant>
        <vt:lpwstr>http://www.nevo.co.il/case/5601732</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6619233</vt:i4>
      </vt:variant>
      <vt:variant>
        <vt:i4>87</vt:i4>
      </vt:variant>
      <vt:variant>
        <vt:i4>0</vt:i4>
      </vt:variant>
      <vt:variant>
        <vt:i4>5</vt:i4>
      </vt:variant>
      <vt:variant>
        <vt:lpwstr>http://www.nevo.co.il/law/70301/40d</vt:lpwstr>
      </vt:variant>
      <vt:variant>
        <vt:lpwstr/>
      </vt:variant>
      <vt:variant>
        <vt:i4>8257634</vt:i4>
      </vt:variant>
      <vt:variant>
        <vt:i4>84</vt:i4>
      </vt:variant>
      <vt:variant>
        <vt:i4>0</vt:i4>
      </vt:variant>
      <vt:variant>
        <vt:i4>5</vt:i4>
      </vt:variant>
      <vt:variant>
        <vt:lpwstr>http://www.nevo.co.il/law/71553</vt:lpwstr>
      </vt:variant>
      <vt:variant>
        <vt:lpwstr/>
      </vt:variant>
      <vt:variant>
        <vt:i4>7995492</vt:i4>
      </vt:variant>
      <vt:variant>
        <vt:i4>81</vt:i4>
      </vt:variant>
      <vt:variant>
        <vt:i4>0</vt:i4>
      </vt:variant>
      <vt:variant>
        <vt:i4>5</vt:i4>
      </vt:variant>
      <vt:variant>
        <vt:lpwstr>http://www.nevo.co.il/law/70301</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7995492</vt:i4>
      </vt:variant>
      <vt:variant>
        <vt:i4>75</vt:i4>
      </vt:variant>
      <vt:variant>
        <vt:i4>0</vt:i4>
      </vt:variant>
      <vt:variant>
        <vt:i4>5</vt:i4>
      </vt:variant>
      <vt:variant>
        <vt:lpwstr>http://www.nevo.co.il/law/70301</vt:lpwstr>
      </vt:variant>
      <vt:variant>
        <vt:lpwstr/>
      </vt:variant>
      <vt:variant>
        <vt:i4>4915205</vt:i4>
      </vt:variant>
      <vt:variant>
        <vt:i4>72</vt:i4>
      </vt:variant>
      <vt:variant>
        <vt:i4>0</vt:i4>
      </vt:variant>
      <vt:variant>
        <vt:i4>5</vt:i4>
      </vt:variant>
      <vt:variant>
        <vt:lpwstr>http://www.nevo.co.il/law/70301/40d.a</vt:lpwstr>
      </vt:variant>
      <vt:variant>
        <vt:lpwstr/>
      </vt:variant>
      <vt:variant>
        <vt:i4>3407993</vt:i4>
      </vt:variant>
      <vt:variant>
        <vt:i4>69</vt:i4>
      </vt:variant>
      <vt:variant>
        <vt:i4>0</vt:i4>
      </vt:variant>
      <vt:variant>
        <vt:i4>5</vt:i4>
      </vt:variant>
      <vt:variant>
        <vt:lpwstr>http://www.nevo.co.il/case/22273874</vt:lpwstr>
      </vt:variant>
      <vt:variant>
        <vt:lpwstr/>
      </vt:variant>
      <vt:variant>
        <vt:i4>3604597</vt:i4>
      </vt:variant>
      <vt:variant>
        <vt:i4>66</vt:i4>
      </vt:variant>
      <vt:variant>
        <vt:i4>0</vt:i4>
      </vt:variant>
      <vt:variant>
        <vt:i4>5</vt:i4>
      </vt:variant>
      <vt:variant>
        <vt:lpwstr>http://www.nevo.co.il/case/22935094</vt:lpwstr>
      </vt:variant>
      <vt:variant>
        <vt:lpwstr/>
      </vt:variant>
      <vt:variant>
        <vt:i4>3407992</vt:i4>
      </vt:variant>
      <vt:variant>
        <vt:i4>63</vt:i4>
      </vt:variant>
      <vt:variant>
        <vt:i4>0</vt:i4>
      </vt:variant>
      <vt:variant>
        <vt:i4>5</vt:i4>
      </vt:variant>
      <vt:variant>
        <vt:lpwstr>http://www.nevo.co.il/case/22977983</vt:lpwstr>
      </vt:variant>
      <vt:variant>
        <vt:lpwstr/>
      </vt:variant>
      <vt:variant>
        <vt:i4>4128895</vt:i4>
      </vt:variant>
      <vt:variant>
        <vt:i4>60</vt:i4>
      </vt:variant>
      <vt:variant>
        <vt:i4>0</vt:i4>
      </vt:variant>
      <vt:variant>
        <vt:i4>5</vt:i4>
      </vt:variant>
      <vt:variant>
        <vt:lpwstr>http://www.nevo.co.il/case/23580083</vt:lpwstr>
      </vt:variant>
      <vt:variant>
        <vt:lpwstr/>
      </vt:variant>
      <vt:variant>
        <vt:i4>3407995</vt:i4>
      </vt:variant>
      <vt:variant>
        <vt:i4>57</vt:i4>
      </vt:variant>
      <vt:variant>
        <vt:i4>0</vt:i4>
      </vt:variant>
      <vt:variant>
        <vt:i4>5</vt:i4>
      </vt:variant>
      <vt:variant>
        <vt:lpwstr>http://www.nevo.co.il/case/23889476</vt:lpwstr>
      </vt:variant>
      <vt:variant>
        <vt:lpwstr/>
      </vt:variant>
      <vt:variant>
        <vt:i4>3211379</vt:i4>
      </vt:variant>
      <vt:variant>
        <vt:i4>54</vt:i4>
      </vt:variant>
      <vt:variant>
        <vt:i4>0</vt:i4>
      </vt:variant>
      <vt:variant>
        <vt:i4>5</vt:i4>
      </vt:variant>
      <vt:variant>
        <vt:lpwstr>http://www.nevo.co.il/case/28278897</vt:lpwstr>
      </vt:variant>
      <vt:variant>
        <vt:lpwstr/>
      </vt:variant>
      <vt:variant>
        <vt:i4>3276913</vt:i4>
      </vt:variant>
      <vt:variant>
        <vt:i4>51</vt:i4>
      </vt:variant>
      <vt:variant>
        <vt:i4>0</vt:i4>
      </vt:variant>
      <vt:variant>
        <vt:i4>5</vt:i4>
      </vt:variant>
      <vt:variant>
        <vt:lpwstr>http://www.nevo.co.il/case/25535302</vt:lpwstr>
      </vt:variant>
      <vt:variant>
        <vt:lpwstr/>
      </vt:variant>
      <vt:variant>
        <vt:i4>3604599</vt:i4>
      </vt:variant>
      <vt:variant>
        <vt:i4>48</vt:i4>
      </vt:variant>
      <vt:variant>
        <vt:i4>0</vt:i4>
      </vt:variant>
      <vt:variant>
        <vt:i4>5</vt:i4>
      </vt:variant>
      <vt:variant>
        <vt:lpwstr>http://www.nevo.co.il/case/29591310</vt:lpwstr>
      </vt:variant>
      <vt:variant>
        <vt:lpwstr/>
      </vt:variant>
      <vt:variant>
        <vt:i4>3997809</vt:i4>
      </vt:variant>
      <vt:variant>
        <vt:i4>45</vt:i4>
      </vt:variant>
      <vt:variant>
        <vt:i4>0</vt:i4>
      </vt:variant>
      <vt:variant>
        <vt:i4>5</vt:i4>
      </vt:variant>
      <vt:variant>
        <vt:lpwstr>http://www.nevo.co.il/case/5573936</vt:lpwstr>
      </vt:variant>
      <vt:variant>
        <vt:lpwstr/>
      </vt:variant>
      <vt:variant>
        <vt:i4>3276923</vt:i4>
      </vt:variant>
      <vt:variant>
        <vt:i4>42</vt:i4>
      </vt:variant>
      <vt:variant>
        <vt:i4>0</vt:i4>
      </vt:variant>
      <vt:variant>
        <vt:i4>5</vt:i4>
      </vt:variant>
      <vt:variant>
        <vt:lpwstr>http://www.nevo.co.il/case/25097373</vt:lpwstr>
      </vt:variant>
      <vt:variant>
        <vt:lpwstr/>
      </vt:variant>
      <vt:variant>
        <vt:i4>4063359</vt:i4>
      </vt:variant>
      <vt:variant>
        <vt:i4>39</vt:i4>
      </vt:variant>
      <vt:variant>
        <vt:i4>0</vt:i4>
      </vt:variant>
      <vt:variant>
        <vt:i4>5</vt:i4>
      </vt:variant>
      <vt:variant>
        <vt:lpwstr>http://www.nevo.co.il/case/5598765</vt:lpwstr>
      </vt:variant>
      <vt:variant>
        <vt:lpwstr/>
      </vt:variant>
      <vt:variant>
        <vt:i4>4063346</vt:i4>
      </vt:variant>
      <vt:variant>
        <vt:i4>36</vt:i4>
      </vt:variant>
      <vt:variant>
        <vt:i4>0</vt:i4>
      </vt:variant>
      <vt:variant>
        <vt:i4>5</vt:i4>
      </vt:variant>
      <vt:variant>
        <vt:lpwstr>http://www.nevo.co.il/case/26246488</vt:lpwstr>
      </vt:variant>
      <vt:variant>
        <vt:lpwstr/>
      </vt:variant>
      <vt:variant>
        <vt:i4>3145843</vt:i4>
      </vt:variant>
      <vt:variant>
        <vt:i4>33</vt:i4>
      </vt:variant>
      <vt:variant>
        <vt:i4>0</vt:i4>
      </vt:variant>
      <vt:variant>
        <vt:i4>5</vt:i4>
      </vt:variant>
      <vt:variant>
        <vt:lpwstr>http://www.nevo.co.il/case/20131420</vt:lpwstr>
      </vt:variant>
      <vt:variant>
        <vt:lpwstr/>
      </vt:variant>
      <vt:variant>
        <vt:i4>3539056</vt:i4>
      </vt:variant>
      <vt:variant>
        <vt:i4>30</vt:i4>
      </vt:variant>
      <vt:variant>
        <vt:i4>0</vt:i4>
      </vt:variant>
      <vt:variant>
        <vt:i4>5</vt:i4>
      </vt:variant>
      <vt:variant>
        <vt:lpwstr>http://www.nevo.co.il/case/27742715</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8257634</vt:i4>
      </vt:variant>
      <vt:variant>
        <vt:i4>18</vt:i4>
      </vt:variant>
      <vt:variant>
        <vt:i4>0</vt:i4>
      </vt:variant>
      <vt:variant>
        <vt:i4>5</vt:i4>
      </vt:variant>
      <vt:variant>
        <vt:lpwstr>http://www.nevo.co.il/law/71553</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1990</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אליהו אלי אזארי</vt:lpwstr>
  </property>
  <property fmtid="{D5CDD505-2E9C-101B-9397-08002B2CF9AE}" pid="10" name="LAWYER">
    <vt:lpwstr>יעל תרם;אילן חכם</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20240617</vt:lpwstr>
  </property>
  <property fmtid="{D5CDD505-2E9C-101B-9397-08002B2CF9AE}" pid="14" name="GUSHSUB1">
    <vt:lpwstr>26</vt:lpwstr>
  </property>
  <property fmtid="{D5CDD505-2E9C-101B-9397-08002B2CF9AE}" pid="15" name="TYPE_N_DATE">
    <vt:lpwstr>39020240617</vt:lpwstr>
  </property>
  <property fmtid="{D5CDD505-2E9C-101B-9397-08002B2CF9AE}" pid="16" name="CASESLISTTMP1">
    <vt:lpwstr>27742715;20131420;26246488;5598765;25097373;5573936;29591310;25535302;28278897;23889476;23580083;22977983;22935094;22273874;5601732;6824952;22938500;22578451;25962115;25455685;21661958</vt:lpwstr>
  </property>
  <property fmtid="{D5CDD505-2E9C-101B-9397-08002B2CF9AE}" pid="17" name="WORDNUMPAGES">
    <vt:lpwstr>10</vt:lpwstr>
  </property>
  <property fmtid="{D5CDD505-2E9C-101B-9397-08002B2CF9AE}" pid="18" name="TYPE_ABS_DATE">
    <vt:lpwstr>390020240617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4216/013;019a</vt:lpwstr>
  </property>
  <property fmtid="{D5CDD505-2E9C-101B-9397-08002B2CF9AE}" pid="38" name="LAWLISTTMP2">
    <vt:lpwstr>70301/040d.a:2;040d:2</vt:lpwstr>
  </property>
  <property fmtid="{D5CDD505-2E9C-101B-9397-08002B2CF9AE}" pid="39" name="LAWLISTTMP3">
    <vt:lpwstr>71553</vt:lpwstr>
  </property>
</Properties>
</file>