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5131"/>
        <w:gridCol w:w="3730"/>
      </w:tblGrid>
      <w:tr w:rsidR="00E72E06" w:rsidRPr="00125FD0" w:rsidTr="008B2250">
        <w:trPr>
          <w:trHeight w:hRule="exact" w:val="418"/>
          <w:jc w:val="center"/>
        </w:trPr>
        <w:tc>
          <w:tcPr>
            <w:tcW w:w="8861" w:type="dxa"/>
            <w:gridSpan w:val="2"/>
          </w:tcPr>
          <w:p w:rsidR="00E72E06" w:rsidRPr="00125FD0" w:rsidRDefault="00E72E06" w:rsidP="008B2250">
            <w:pPr>
              <w:pStyle w:val="Header"/>
              <w:jc w:val="center"/>
              <w:rPr>
                <w:rFonts w:ascii="Tahoma" w:hAnsi="Tahoma" w:cs="Tahoma"/>
                <w:color w:val="000080"/>
                <w:rtl/>
              </w:rPr>
            </w:pPr>
            <w:bookmarkStart w:id="0" w:name="LastJudge"/>
            <w:r w:rsidRPr="00125FD0">
              <w:rPr>
                <w:rFonts w:ascii="Tahoma" w:hAnsi="Tahoma" w:cs="Tahoma"/>
                <w:b/>
                <w:bCs/>
                <w:color w:val="000080"/>
                <w:rtl/>
              </w:rPr>
              <w:t>בית המשפט המחוזי בחיפה</w:t>
            </w:r>
          </w:p>
        </w:tc>
      </w:tr>
      <w:tr w:rsidR="00E72E06" w:rsidRPr="00125FD0" w:rsidTr="008B2250">
        <w:trPr>
          <w:trHeight w:val="337"/>
          <w:jc w:val="center"/>
        </w:trPr>
        <w:tc>
          <w:tcPr>
            <w:tcW w:w="5131" w:type="dxa"/>
          </w:tcPr>
          <w:p w:rsidR="00E72E06" w:rsidRPr="00125FD0" w:rsidRDefault="00E72E06" w:rsidP="008B2250">
            <w:pPr>
              <w:rPr>
                <w:rFonts w:cs="FrankRuehl"/>
                <w:sz w:val="28"/>
                <w:szCs w:val="28"/>
                <w:rtl/>
              </w:rPr>
            </w:pPr>
            <w:r w:rsidRPr="00125FD0">
              <w:rPr>
                <w:rFonts w:cs="FrankRuehl"/>
                <w:sz w:val="28"/>
                <w:szCs w:val="28"/>
                <w:rtl/>
              </w:rPr>
              <w:t>ת"פ</w:t>
            </w:r>
            <w:r w:rsidRPr="00125FD0">
              <w:rPr>
                <w:rFonts w:cs="FrankRuehl" w:hint="cs"/>
                <w:sz w:val="28"/>
                <w:szCs w:val="28"/>
                <w:rtl/>
              </w:rPr>
              <w:t xml:space="preserve"> </w:t>
            </w:r>
            <w:r w:rsidRPr="00125FD0">
              <w:rPr>
                <w:rFonts w:cs="FrankRuehl"/>
                <w:sz w:val="28"/>
                <w:szCs w:val="28"/>
                <w:rtl/>
              </w:rPr>
              <w:t>46786-01-23</w:t>
            </w:r>
            <w:r w:rsidRPr="00125FD0">
              <w:rPr>
                <w:rFonts w:cs="FrankRuehl" w:hint="cs"/>
                <w:sz w:val="28"/>
                <w:szCs w:val="28"/>
                <w:rtl/>
              </w:rPr>
              <w:t xml:space="preserve"> </w:t>
            </w:r>
            <w:r w:rsidRPr="00125FD0">
              <w:rPr>
                <w:rFonts w:cs="FrankRuehl"/>
                <w:sz w:val="28"/>
                <w:szCs w:val="28"/>
                <w:rtl/>
              </w:rPr>
              <w:t>מדינת ישראל נ' ממן(עציר)</w:t>
            </w:r>
          </w:p>
          <w:p w:rsidR="00E72E06" w:rsidRPr="00125FD0" w:rsidRDefault="00E72E06" w:rsidP="008B2250">
            <w:pPr>
              <w:pStyle w:val="Header"/>
              <w:rPr>
                <w:rFonts w:cs="FrankRuehl"/>
                <w:sz w:val="28"/>
                <w:szCs w:val="28"/>
                <w:rtl/>
              </w:rPr>
            </w:pPr>
          </w:p>
        </w:tc>
        <w:tc>
          <w:tcPr>
            <w:tcW w:w="3730" w:type="dxa"/>
          </w:tcPr>
          <w:p w:rsidR="00E72E06" w:rsidRPr="00125FD0" w:rsidRDefault="00E72E06" w:rsidP="008B2250">
            <w:pPr>
              <w:pStyle w:val="Header"/>
              <w:jc w:val="right"/>
              <w:rPr>
                <w:rFonts w:cs="FrankRuehl"/>
                <w:sz w:val="28"/>
                <w:szCs w:val="28"/>
                <w:rtl/>
              </w:rPr>
            </w:pPr>
          </w:p>
        </w:tc>
      </w:tr>
    </w:tbl>
    <w:p w:rsidR="00E72E06" w:rsidRPr="00125FD0" w:rsidRDefault="00E72E06" w:rsidP="00E72E06">
      <w:pPr>
        <w:pStyle w:val="Header"/>
        <w:rPr>
          <w:rtl/>
        </w:rPr>
      </w:pPr>
      <w:r w:rsidRPr="00125FD0">
        <w:rPr>
          <w:rFonts w:hint="cs"/>
          <w:rtl/>
        </w:rPr>
        <w:t xml:space="preserve"> </w:t>
      </w:r>
    </w:p>
    <w:p w:rsidR="00E72E06" w:rsidRPr="00125FD0" w:rsidRDefault="00E72E06" w:rsidP="00E72E06">
      <w:pPr>
        <w:rPr>
          <w:rtl/>
        </w:rPr>
      </w:pPr>
    </w:p>
    <w:p w:rsidR="00E72E06" w:rsidRPr="00125FD0" w:rsidRDefault="00E72E06" w:rsidP="00E72E0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E72E06" w:rsidRPr="00125FD0" w:rsidTr="00E72E06">
        <w:trPr>
          <w:trHeight w:val="295"/>
          <w:jc w:val="center"/>
        </w:trPr>
        <w:tc>
          <w:tcPr>
            <w:tcW w:w="923" w:type="dxa"/>
            <w:tcBorders>
              <w:top w:val="nil"/>
              <w:left w:val="nil"/>
              <w:bottom w:val="nil"/>
              <w:right w:val="nil"/>
            </w:tcBorders>
            <w:shd w:val="clear" w:color="auto" w:fill="auto"/>
          </w:tcPr>
          <w:p w:rsidR="00E72E06" w:rsidRPr="00125FD0" w:rsidRDefault="00E72E06" w:rsidP="00E72E06">
            <w:pPr>
              <w:jc w:val="both"/>
              <w:rPr>
                <w:rFonts w:ascii="David" w:hAnsi="David"/>
                <w:sz w:val="26"/>
                <w:szCs w:val="26"/>
              </w:rPr>
            </w:pPr>
            <w:r w:rsidRPr="00125FD0">
              <w:rPr>
                <w:rFonts w:ascii="David" w:hAnsi="David" w:hint="cs"/>
                <w:sz w:val="26"/>
                <w:szCs w:val="26"/>
                <w:rtl/>
              </w:rPr>
              <w:t>ל</w:t>
            </w:r>
            <w:r w:rsidRPr="00125FD0">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rsidR="00E72E06" w:rsidRPr="00125FD0" w:rsidRDefault="00E72E06" w:rsidP="008B2250">
            <w:pPr>
              <w:rPr>
                <w:rFonts w:ascii="David" w:hAnsi="David"/>
                <w:b/>
                <w:bCs/>
                <w:sz w:val="26"/>
                <w:szCs w:val="26"/>
                <w:rtl/>
              </w:rPr>
            </w:pPr>
            <w:r w:rsidRPr="00125FD0">
              <w:rPr>
                <w:rFonts w:ascii="David" w:hAnsi="David"/>
                <w:b/>
                <w:bCs/>
                <w:sz w:val="26"/>
                <w:szCs w:val="26"/>
                <w:rtl/>
              </w:rPr>
              <w:t>כבוד השופט  גיל קרזבום</w:t>
            </w:r>
          </w:p>
          <w:p w:rsidR="00E72E06" w:rsidRPr="00125FD0" w:rsidRDefault="00E72E06" w:rsidP="008B2250">
            <w:pPr>
              <w:rPr>
                <w:rFonts w:ascii="David" w:hAnsi="David"/>
                <w:sz w:val="26"/>
                <w:szCs w:val="26"/>
                <w:rtl/>
              </w:rPr>
            </w:pPr>
          </w:p>
          <w:p w:rsidR="00E72E06" w:rsidRPr="00125FD0" w:rsidRDefault="00E72E06" w:rsidP="00E72E06">
            <w:pPr>
              <w:jc w:val="both"/>
              <w:rPr>
                <w:rFonts w:ascii="David" w:hAnsi="David"/>
                <w:sz w:val="26"/>
                <w:szCs w:val="26"/>
              </w:rPr>
            </w:pPr>
          </w:p>
        </w:tc>
      </w:tr>
      <w:tr w:rsidR="00E72E06" w:rsidRPr="00125FD0" w:rsidTr="00E72E06">
        <w:trPr>
          <w:trHeight w:val="355"/>
          <w:jc w:val="center"/>
        </w:trPr>
        <w:tc>
          <w:tcPr>
            <w:tcW w:w="923" w:type="dxa"/>
            <w:tcBorders>
              <w:top w:val="nil"/>
              <w:left w:val="nil"/>
              <w:bottom w:val="nil"/>
              <w:right w:val="nil"/>
            </w:tcBorders>
            <w:shd w:val="clear" w:color="auto" w:fill="auto"/>
          </w:tcPr>
          <w:p w:rsidR="00E72E06" w:rsidRPr="00125FD0" w:rsidRDefault="00E72E06" w:rsidP="00E72E06">
            <w:pPr>
              <w:jc w:val="both"/>
              <w:rPr>
                <w:rFonts w:ascii="David" w:hAnsi="David"/>
                <w:sz w:val="26"/>
                <w:szCs w:val="26"/>
              </w:rPr>
            </w:pPr>
            <w:bookmarkStart w:id="1" w:name="FirstAppellant"/>
            <w:r w:rsidRPr="00125FD0">
              <w:rPr>
                <w:rFonts w:ascii="David" w:hAnsi="David"/>
                <w:sz w:val="26"/>
                <w:szCs w:val="26"/>
                <w:rtl/>
              </w:rPr>
              <w:t>בעניין:</w:t>
            </w:r>
          </w:p>
        </w:tc>
        <w:tc>
          <w:tcPr>
            <w:tcW w:w="3219" w:type="dxa"/>
            <w:tcBorders>
              <w:top w:val="nil"/>
              <w:left w:val="nil"/>
              <w:bottom w:val="nil"/>
              <w:right w:val="nil"/>
            </w:tcBorders>
            <w:shd w:val="clear" w:color="auto" w:fill="auto"/>
          </w:tcPr>
          <w:p w:rsidR="00E72E06" w:rsidRPr="00125FD0" w:rsidRDefault="00E72E06" w:rsidP="00E72E06">
            <w:pPr>
              <w:suppressLineNumbers/>
            </w:pPr>
            <w:r w:rsidRPr="00125FD0">
              <w:rPr>
                <w:rFonts w:ascii="Arial" w:hAnsi="Arial" w:hint="cs"/>
                <w:b/>
                <w:bCs/>
                <w:sz w:val="26"/>
                <w:szCs w:val="26"/>
                <w:rtl/>
              </w:rPr>
              <w:t>ה</w:t>
            </w:r>
            <w:r w:rsidRPr="00125FD0">
              <w:rPr>
                <w:rFonts w:ascii="Arial" w:hAnsi="Arial"/>
                <w:b/>
                <w:bCs/>
                <w:sz w:val="26"/>
                <w:szCs w:val="26"/>
                <w:rtl/>
              </w:rPr>
              <w:t>מאשימה</w:t>
            </w:r>
          </w:p>
          <w:p w:rsidR="00E72E06" w:rsidRPr="00125FD0" w:rsidRDefault="00E72E06" w:rsidP="008B2250">
            <w:pPr>
              <w:rPr>
                <w:rFonts w:ascii="David" w:hAnsi="David"/>
                <w:sz w:val="26"/>
                <w:szCs w:val="26"/>
              </w:rPr>
            </w:pPr>
          </w:p>
        </w:tc>
        <w:tc>
          <w:tcPr>
            <w:tcW w:w="4678" w:type="dxa"/>
            <w:tcBorders>
              <w:top w:val="nil"/>
              <w:left w:val="nil"/>
              <w:bottom w:val="nil"/>
              <w:right w:val="nil"/>
            </w:tcBorders>
            <w:shd w:val="clear" w:color="auto" w:fill="auto"/>
            <w:vAlign w:val="center"/>
          </w:tcPr>
          <w:p w:rsidR="00E72E06" w:rsidRPr="00125FD0" w:rsidRDefault="00E72E06" w:rsidP="00E72E06">
            <w:pPr>
              <w:suppressLineNumbers/>
            </w:pPr>
            <w:r w:rsidRPr="00125FD0">
              <w:rPr>
                <w:rFonts w:ascii="Arial" w:hAnsi="Arial"/>
                <w:b/>
                <w:bCs/>
                <w:sz w:val="26"/>
                <w:szCs w:val="26"/>
                <w:rtl/>
              </w:rPr>
              <w:t>מדינת ישראל</w:t>
            </w:r>
            <w:r w:rsidRPr="00125FD0">
              <w:rPr>
                <w:rFonts w:ascii="Arial" w:hAnsi="Arial" w:hint="cs"/>
                <w:b/>
                <w:bCs/>
                <w:sz w:val="26"/>
                <w:szCs w:val="26"/>
                <w:rtl/>
              </w:rPr>
              <w:t xml:space="preserve"> </w:t>
            </w:r>
          </w:p>
          <w:p w:rsidR="00E72E06" w:rsidRPr="00125FD0" w:rsidRDefault="00E72E06" w:rsidP="008B2250">
            <w:pPr>
              <w:rPr>
                <w:rFonts w:ascii="David" w:hAnsi="David"/>
                <w:sz w:val="26"/>
                <w:szCs w:val="26"/>
              </w:rPr>
            </w:pPr>
          </w:p>
        </w:tc>
      </w:tr>
      <w:bookmarkEnd w:id="1"/>
      <w:tr w:rsidR="00E72E06" w:rsidRPr="00125FD0" w:rsidTr="00E72E06">
        <w:trPr>
          <w:trHeight w:val="355"/>
          <w:jc w:val="center"/>
        </w:trPr>
        <w:tc>
          <w:tcPr>
            <w:tcW w:w="923" w:type="dxa"/>
            <w:tcBorders>
              <w:top w:val="nil"/>
              <w:left w:val="nil"/>
              <w:bottom w:val="nil"/>
              <w:right w:val="nil"/>
            </w:tcBorders>
            <w:shd w:val="clear" w:color="auto" w:fill="auto"/>
          </w:tcPr>
          <w:p w:rsidR="00E72E06" w:rsidRPr="00125FD0" w:rsidRDefault="00E72E06" w:rsidP="00E72E06">
            <w:pPr>
              <w:jc w:val="both"/>
              <w:rPr>
                <w:rFonts w:ascii="David" w:hAnsi="David"/>
                <w:sz w:val="26"/>
                <w:szCs w:val="26"/>
                <w:rtl/>
              </w:rPr>
            </w:pPr>
          </w:p>
        </w:tc>
        <w:tc>
          <w:tcPr>
            <w:tcW w:w="7897" w:type="dxa"/>
            <w:gridSpan w:val="2"/>
            <w:tcBorders>
              <w:top w:val="nil"/>
              <w:left w:val="nil"/>
              <w:bottom w:val="nil"/>
              <w:right w:val="nil"/>
            </w:tcBorders>
            <w:shd w:val="clear" w:color="auto" w:fill="auto"/>
          </w:tcPr>
          <w:p w:rsidR="00E72E06" w:rsidRPr="00125FD0" w:rsidRDefault="00E72E06" w:rsidP="00E72E06">
            <w:pPr>
              <w:jc w:val="center"/>
              <w:rPr>
                <w:rFonts w:ascii="David" w:hAnsi="David"/>
                <w:b/>
                <w:bCs/>
                <w:sz w:val="26"/>
                <w:szCs w:val="26"/>
                <w:rtl/>
              </w:rPr>
            </w:pPr>
          </w:p>
          <w:p w:rsidR="00E72E06" w:rsidRPr="00125FD0" w:rsidRDefault="00E72E06" w:rsidP="00E72E06">
            <w:pPr>
              <w:jc w:val="center"/>
              <w:rPr>
                <w:rFonts w:ascii="David" w:hAnsi="David"/>
                <w:b/>
                <w:bCs/>
                <w:sz w:val="26"/>
                <w:szCs w:val="26"/>
                <w:rtl/>
              </w:rPr>
            </w:pPr>
            <w:r w:rsidRPr="00125FD0">
              <w:rPr>
                <w:rFonts w:ascii="David" w:hAnsi="David"/>
                <w:b/>
                <w:bCs/>
                <w:sz w:val="26"/>
                <w:szCs w:val="26"/>
                <w:rtl/>
              </w:rPr>
              <w:t>נגד</w:t>
            </w:r>
          </w:p>
          <w:p w:rsidR="00E72E06" w:rsidRPr="00125FD0" w:rsidRDefault="00E72E06" w:rsidP="00E72E06">
            <w:pPr>
              <w:jc w:val="both"/>
              <w:rPr>
                <w:rFonts w:ascii="David" w:hAnsi="David"/>
                <w:sz w:val="26"/>
                <w:szCs w:val="26"/>
              </w:rPr>
            </w:pPr>
          </w:p>
        </w:tc>
      </w:tr>
      <w:tr w:rsidR="00E72E06" w:rsidRPr="00125FD0" w:rsidTr="00E72E06">
        <w:trPr>
          <w:trHeight w:val="355"/>
          <w:jc w:val="center"/>
        </w:trPr>
        <w:tc>
          <w:tcPr>
            <w:tcW w:w="923" w:type="dxa"/>
            <w:tcBorders>
              <w:top w:val="nil"/>
              <w:left w:val="nil"/>
              <w:bottom w:val="nil"/>
              <w:right w:val="nil"/>
            </w:tcBorders>
            <w:shd w:val="clear" w:color="auto" w:fill="auto"/>
          </w:tcPr>
          <w:p w:rsidR="00E72E06" w:rsidRPr="00125FD0" w:rsidRDefault="00E72E06" w:rsidP="008B2250">
            <w:pPr>
              <w:rPr>
                <w:rFonts w:ascii="David" w:hAnsi="David"/>
                <w:sz w:val="26"/>
                <w:szCs w:val="26"/>
                <w:rtl/>
              </w:rPr>
            </w:pPr>
          </w:p>
        </w:tc>
        <w:tc>
          <w:tcPr>
            <w:tcW w:w="3219" w:type="dxa"/>
            <w:tcBorders>
              <w:top w:val="nil"/>
              <w:left w:val="nil"/>
              <w:bottom w:val="nil"/>
              <w:right w:val="nil"/>
            </w:tcBorders>
            <w:shd w:val="clear" w:color="auto" w:fill="auto"/>
          </w:tcPr>
          <w:p w:rsidR="00E72E06" w:rsidRPr="00125FD0" w:rsidRDefault="00E72E06" w:rsidP="008B2250">
            <w:pPr>
              <w:rPr>
                <w:rFonts w:ascii="Arial" w:hAnsi="Arial"/>
                <w:b/>
                <w:bCs/>
                <w:sz w:val="26"/>
                <w:szCs w:val="26"/>
                <w:rtl/>
              </w:rPr>
            </w:pPr>
            <w:r w:rsidRPr="00125FD0">
              <w:rPr>
                <w:rFonts w:ascii="Arial" w:hAnsi="Arial"/>
                <w:b/>
                <w:bCs/>
                <w:sz w:val="26"/>
                <w:szCs w:val="26"/>
                <w:rtl/>
              </w:rPr>
              <w:t>הנאש</w:t>
            </w:r>
            <w:r w:rsidRPr="00125FD0">
              <w:rPr>
                <w:rFonts w:ascii="Arial" w:hAnsi="Arial" w:hint="cs"/>
                <w:b/>
                <w:bCs/>
                <w:sz w:val="26"/>
                <w:szCs w:val="26"/>
                <w:rtl/>
              </w:rPr>
              <w:t>ם</w:t>
            </w:r>
          </w:p>
        </w:tc>
        <w:tc>
          <w:tcPr>
            <w:tcW w:w="4678" w:type="dxa"/>
            <w:tcBorders>
              <w:top w:val="nil"/>
              <w:left w:val="nil"/>
              <w:bottom w:val="nil"/>
              <w:right w:val="nil"/>
            </w:tcBorders>
            <w:shd w:val="clear" w:color="auto" w:fill="auto"/>
            <w:vAlign w:val="center"/>
          </w:tcPr>
          <w:p w:rsidR="00E72E06" w:rsidRPr="00125FD0" w:rsidRDefault="00E72E06" w:rsidP="00E72E06">
            <w:pPr>
              <w:suppressLineNumbers/>
            </w:pPr>
            <w:r w:rsidRPr="00125FD0">
              <w:rPr>
                <w:rFonts w:ascii="Arial" w:hAnsi="Arial"/>
                <w:b/>
                <w:bCs/>
                <w:sz w:val="26"/>
                <w:szCs w:val="26"/>
                <w:rtl/>
              </w:rPr>
              <w:t>אליאור ממן (עציר)</w:t>
            </w:r>
            <w:r w:rsidRPr="00125FD0">
              <w:rPr>
                <w:rFonts w:ascii="Arial" w:hAnsi="Arial" w:hint="cs"/>
                <w:b/>
                <w:bCs/>
                <w:sz w:val="26"/>
                <w:szCs w:val="26"/>
                <w:rtl/>
              </w:rPr>
              <w:t xml:space="preserve"> </w:t>
            </w:r>
          </w:p>
          <w:p w:rsidR="00E72E06" w:rsidRPr="00125FD0" w:rsidRDefault="00E72E06" w:rsidP="008B2250">
            <w:pPr>
              <w:rPr>
                <w:rFonts w:ascii="David" w:hAnsi="David"/>
                <w:sz w:val="26"/>
                <w:szCs w:val="26"/>
              </w:rPr>
            </w:pPr>
          </w:p>
        </w:tc>
      </w:tr>
    </w:tbl>
    <w:p w:rsidR="00B35796" w:rsidRPr="00B35796" w:rsidRDefault="00B35796" w:rsidP="00B35796">
      <w:pPr>
        <w:spacing w:before="120" w:after="120" w:line="240" w:lineRule="exact"/>
        <w:ind w:left="283" w:hanging="283"/>
        <w:jc w:val="both"/>
        <w:rPr>
          <w:rFonts w:ascii="FrankRuehl" w:hAnsi="FrankRuehl" w:cs="FrankRuehl"/>
          <w:rtl/>
        </w:rPr>
      </w:pPr>
      <w:bookmarkStart w:id="2" w:name="LawTable"/>
      <w:bookmarkEnd w:id="2"/>
      <w:r w:rsidRPr="00B35796">
        <w:rPr>
          <w:rFonts w:ascii="FrankRuehl" w:hAnsi="FrankRuehl" w:cs="FrankRuehl"/>
          <w:rtl/>
        </w:rPr>
        <w:t xml:space="preserve">חקיקה שאוזכרה: </w:t>
      </w:r>
    </w:p>
    <w:p w:rsidR="00B35796" w:rsidRPr="00B35796" w:rsidRDefault="00B35796" w:rsidP="00B35796">
      <w:pPr>
        <w:spacing w:before="120" w:after="120" w:line="240" w:lineRule="exact"/>
        <w:ind w:left="283" w:hanging="283"/>
        <w:jc w:val="both"/>
        <w:rPr>
          <w:rFonts w:ascii="FrankRuehl" w:hAnsi="FrankRuehl" w:cs="FrankRuehl"/>
          <w:color w:val="0000FF"/>
          <w:rtl/>
        </w:rPr>
      </w:pPr>
      <w:hyperlink r:id="rId7" w:history="1">
        <w:r w:rsidRPr="00B35796">
          <w:rPr>
            <w:rStyle w:val="Hyperlink"/>
            <w:rFonts w:ascii="FrankRuehl" w:hAnsi="FrankRuehl" w:cs="FrankRuehl"/>
            <w:u w:val="none"/>
            <w:rtl/>
          </w:rPr>
          <w:t>פקודת הסמים המסוכנים [נוסח חדש], תשל"ג-1973</w:t>
        </w:r>
      </w:hyperlink>
      <w:r w:rsidRPr="00B35796">
        <w:rPr>
          <w:rFonts w:ascii="FrankRuehl" w:hAnsi="FrankRuehl" w:cs="FrankRuehl"/>
          <w:color w:val="0000FF"/>
          <w:rtl/>
        </w:rPr>
        <w:t xml:space="preserve">: סע'  </w:t>
      </w:r>
      <w:hyperlink r:id="rId8" w:history="1">
        <w:r w:rsidRPr="00B35796">
          <w:rPr>
            <w:rStyle w:val="Hyperlink"/>
            <w:rFonts w:ascii="FrankRuehl" w:hAnsi="FrankRuehl" w:cs="FrankRuehl"/>
            <w:u w:val="none"/>
          </w:rPr>
          <w:t>13</w:t>
        </w:r>
      </w:hyperlink>
      <w:r w:rsidRPr="00B35796">
        <w:rPr>
          <w:rFonts w:ascii="FrankRuehl" w:hAnsi="FrankRuehl" w:cs="FrankRuehl"/>
          <w:color w:val="0000FF"/>
          <w:rtl/>
        </w:rPr>
        <w:t xml:space="preserve">, </w:t>
      </w:r>
      <w:hyperlink r:id="rId9" w:history="1">
        <w:r w:rsidRPr="00B35796">
          <w:rPr>
            <w:rStyle w:val="Hyperlink"/>
            <w:rFonts w:ascii="FrankRuehl" w:hAnsi="FrankRuehl" w:cs="FrankRuehl"/>
            <w:u w:val="none"/>
          </w:rPr>
          <w:t>19</w:t>
        </w:r>
        <w:r w:rsidRPr="00B35796">
          <w:rPr>
            <w:rStyle w:val="Hyperlink"/>
            <w:rFonts w:ascii="FrankRuehl" w:hAnsi="FrankRuehl" w:cs="FrankRuehl"/>
            <w:u w:val="none"/>
            <w:rtl/>
          </w:rPr>
          <w:t>א</w:t>
        </w:r>
      </w:hyperlink>
    </w:p>
    <w:p w:rsidR="00B35796" w:rsidRPr="00B35796" w:rsidRDefault="00B35796" w:rsidP="00B35796">
      <w:pPr>
        <w:spacing w:before="120" w:after="120" w:line="240" w:lineRule="exact"/>
        <w:ind w:left="283" w:hanging="283"/>
        <w:jc w:val="both"/>
        <w:rPr>
          <w:rFonts w:ascii="FrankRuehl" w:hAnsi="FrankRuehl" w:cs="FrankRuehl"/>
          <w:color w:val="0000FF"/>
          <w:rtl/>
        </w:rPr>
      </w:pPr>
      <w:hyperlink r:id="rId10" w:history="1">
        <w:r w:rsidRPr="00B35796">
          <w:rPr>
            <w:rStyle w:val="Hyperlink"/>
            <w:rFonts w:ascii="FrankRuehl" w:hAnsi="FrankRuehl" w:cs="FrankRuehl"/>
            <w:u w:val="none"/>
            <w:rtl/>
          </w:rPr>
          <w:t>חוק העונשין, תשל"ז-1977</w:t>
        </w:r>
      </w:hyperlink>
      <w:r w:rsidRPr="00B35796">
        <w:rPr>
          <w:rFonts w:ascii="FrankRuehl" w:hAnsi="FrankRuehl" w:cs="FrankRuehl"/>
          <w:color w:val="0000FF"/>
          <w:rtl/>
        </w:rPr>
        <w:t xml:space="preserve">: סע'  </w:t>
      </w:r>
      <w:hyperlink r:id="rId11" w:history="1">
        <w:r w:rsidRPr="00B35796">
          <w:rPr>
            <w:rStyle w:val="Hyperlink"/>
            <w:rFonts w:ascii="FrankRuehl" w:hAnsi="FrankRuehl" w:cs="FrankRuehl"/>
            <w:u w:val="none"/>
          </w:rPr>
          <w:t>31</w:t>
        </w:r>
      </w:hyperlink>
      <w:r w:rsidRPr="00B35796">
        <w:rPr>
          <w:rFonts w:ascii="FrankRuehl" w:hAnsi="FrankRuehl" w:cs="FrankRuehl"/>
          <w:color w:val="0000FF"/>
          <w:rtl/>
        </w:rPr>
        <w:t xml:space="preserve">, </w:t>
      </w:r>
      <w:hyperlink r:id="rId12" w:history="1">
        <w:r w:rsidRPr="00B35796">
          <w:rPr>
            <w:rStyle w:val="Hyperlink"/>
            <w:rFonts w:ascii="FrankRuehl" w:hAnsi="FrankRuehl" w:cs="FrankRuehl"/>
            <w:u w:val="none"/>
          </w:rPr>
          <w:t>58</w:t>
        </w:r>
      </w:hyperlink>
      <w:r w:rsidRPr="00B35796">
        <w:rPr>
          <w:rFonts w:ascii="FrankRuehl" w:hAnsi="FrankRuehl" w:cs="FrankRuehl"/>
          <w:color w:val="0000FF"/>
          <w:rtl/>
        </w:rPr>
        <w:t xml:space="preserve">, </w:t>
      </w:r>
      <w:hyperlink r:id="rId13" w:history="1">
        <w:r w:rsidRPr="00B35796">
          <w:rPr>
            <w:rStyle w:val="Hyperlink"/>
            <w:rFonts w:ascii="FrankRuehl" w:hAnsi="FrankRuehl" w:cs="FrankRuehl"/>
            <w:u w:val="none"/>
          </w:rPr>
          <w:t>40</w:t>
        </w:r>
        <w:r w:rsidRPr="00B35796">
          <w:rPr>
            <w:rStyle w:val="Hyperlink"/>
            <w:rFonts w:ascii="FrankRuehl" w:hAnsi="FrankRuehl" w:cs="FrankRuehl"/>
            <w:u w:val="none"/>
            <w:rtl/>
          </w:rPr>
          <w:t>יג</w:t>
        </w:r>
      </w:hyperlink>
      <w:r w:rsidRPr="00B35796">
        <w:rPr>
          <w:rFonts w:ascii="FrankRuehl" w:hAnsi="FrankRuehl" w:cs="FrankRuehl"/>
          <w:color w:val="0000FF"/>
          <w:rtl/>
        </w:rPr>
        <w:t xml:space="preserve">, </w:t>
      </w:r>
      <w:hyperlink r:id="rId14" w:history="1">
        <w:r w:rsidRPr="00B35796">
          <w:rPr>
            <w:rStyle w:val="Hyperlink"/>
            <w:rFonts w:ascii="FrankRuehl" w:hAnsi="FrankRuehl" w:cs="FrankRuehl"/>
            <w:u w:val="none"/>
            <w:rtl/>
          </w:rPr>
          <w:t>פרק ו</w:t>
        </w:r>
        <w:r w:rsidRPr="00B35796">
          <w:rPr>
            <w:rStyle w:val="Hyperlink"/>
            <w:rFonts w:ascii="FrankRuehl" w:hAnsi="FrankRuehl" w:cs="FrankRuehl"/>
            <w:u w:val="none"/>
          </w:rPr>
          <w:t>'</w:t>
        </w:r>
      </w:hyperlink>
    </w:p>
    <w:p w:rsidR="00E72E06" w:rsidRPr="00B35796" w:rsidRDefault="00E72E06" w:rsidP="00B35796">
      <w:pPr>
        <w:rPr>
          <w:sz w:val="26"/>
          <w:szCs w:val="26"/>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72E06" w:rsidTr="00E72E06">
        <w:trPr>
          <w:trHeight w:val="355"/>
          <w:jc w:val="center"/>
        </w:trPr>
        <w:tc>
          <w:tcPr>
            <w:tcW w:w="8820" w:type="dxa"/>
            <w:tcBorders>
              <w:top w:val="nil"/>
              <w:left w:val="nil"/>
              <w:bottom w:val="nil"/>
              <w:right w:val="nil"/>
            </w:tcBorders>
            <w:shd w:val="clear" w:color="auto" w:fill="auto"/>
          </w:tcPr>
          <w:p w:rsidR="00125FD0" w:rsidRPr="00125FD0" w:rsidRDefault="00125FD0" w:rsidP="00125FD0">
            <w:pPr>
              <w:jc w:val="center"/>
              <w:rPr>
                <w:rFonts w:ascii="David" w:hAnsi="David"/>
                <w:b/>
                <w:bCs/>
                <w:sz w:val="32"/>
                <w:szCs w:val="32"/>
                <w:u w:val="single"/>
                <w:rtl/>
              </w:rPr>
            </w:pPr>
            <w:bookmarkStart w:id="4" w:name="PsakDin" w:colFirst="0" w:colLast="0"/>
            <w:bookmarkEnd w:id="0"/>
            <w:r w:rsidRPr="00125FD0">
              <w:rPr>
                <w:rFonts w:ascii="David" w:hAnsi="David"/>
                <w:b/>
                <w:bCs/>
                <w:sz w:val="32"/>
                <w:szCs w:val="32"/>
                <w:u w:val="single"/>
                <w:rtl/>
              </w:rPr>
              <w:t>גזר דין</w:t>
            </w:r>
          </w:p>
          <w:p w:rsidR="00E72E06" w:rsidRPr="00125FD0" w:rsidRDefault="00E72E06" w:rsidP="00125FD0">
            <w:pPr>
              <w:jc w:val="center"/>
              <w:rPr>
                <w:rFonts w:ascii="David" w:hAnsi="David"/>
                <w:bCs/>
                <w:sz w:val="32"/>
                <w:szCs w:val="32"/>
                <w:u w:val="single"/>
                <w:rtl/>
              </w:rPr>
            </w:pPr>
          </w:p>
        </w:tc>
      </w:tr>
      <w:bookmarkEnd w:id="4"/>
    </w:tbl>
    <w:p w:rsidR="00E72E06" w:rsidRPr="000F2247" w:rsidRDefault="00E72E06" w:rsidP="00E72E06">
      <w:pPr>
        <w:rPr>
          <w:rFonts w:ascii="Arial" w:hAnsi="Arial"/>
          <w:b/>
          <w:bCs/>
          <w:sz w:val="26"/>
          <w:szCs w:val="26"/>
          <w:rtl/>
        </w:rPr>
      </w:pPr>
    </w:p>
    <w:p w:rsidR="00E72E06" w:rsidRPr="00036D6C" w:rsidRDefault="00E72E06" w:rsidP="00E72E06">
      <w:pPr>
        <w:spacing w:line="360" w:lineRule="auto"/>
        <w:ind w:left="360"/>
        <w:jc w:val="both"/>
        <w:rPr>
          <w:rFonts w:ascii="David" w:eastAsia="David" w:hAnsi="David"/>
          <w:u w:val="single"/>
        </w:rPr>
      </w:pPr>
      <w:r w:rsidRPr="00036D6C">
        <w:rPr>
          <w:rFonts w:ascii="David" w:eastAsia="David" w:hAnsi="David"/>
          <w:u w:val="single"/>
          <w:rtl/>
        </w:rPr>
        <w:t>כללי</w:t>
      </w:r>
    </w:p>
    <w:p w:rsidR="00E72E06" w:rsidRPr="009D7BBE" w:rsidRDefault="00E72E06" w:rsidP="00E72E06">
      <w:pPr>
        <w:numPr>
          <w:ilvl w:val="0"/>
          <w:numId w:val="1"/>
        </w:numPr>
        <w:spacing w:after="160" w:line="360" w:lineRule="auto"/>
        <w:ind w:left="720"/>
        <w:contextualSpacing/>
        <w:jc w:val="both"/>
        <w:rPr>
          <w:rFonts w:ascii="David" w:hAnsi="David"/>
        </w:rPr>
      </w:pPr>
      <w:bookmarkStart w:id="5" w:name="ABSTRACT_START"/>
      <w:bookmarkEnd w:id="5"/>
      <w:r w:rsidRPr="009D7BBE">
        <w:rPr>
          <w:rFonts w:ascii="David" w:eastAsia="David" w:hAnsi="David"/>
          <w:rtl/>
        </w:rPr>
        <w:t>הנאשם הודה והורשע במסגרת הסדר טיעון בכתב אישום מתוקן בשני אישומים</w:t>
      </w:r>
      <w:r w:rsidRPr="009D7BBE">
        <w:rPr>
          <w:rFonts w:ascii="David" w:eastAsia="David" w:hAnsi="David" w:hint="cs"/>
          <w:rtl/>
        </w:rPr>
        <w:t>. האישום הראשון</w:t>
      </w:r>
      <w:r w:rsidRPr="009D7BBE">
        <w:rPr>
          <w:rFonts w:ascii="David" w:eastAsia="David" w:hAnsi="David"/>
          <w:rtl/>
        </w:rPr>
        <w:t xml:space="preserve"> בעבירה של </w:t>
      </w:r>
      <w:r w:rsidRPr="009D7BBE">
        <w:rPr>
          <w:rFonts w:ascii="David" w:eastAsia="Calibri" w:hAnsi="David"/>
          <w:rtl/>
        </w:rPr>
        <w:t xml:space="preserve">סחר בסם מסוכן – עבירה לפי </w:t>
      </w:r>
      <w:hyperlink r:id="rId15" w:history="1">
        <w:r w:rsidR="006936F8" w:rsidRPr="006936F8">
          <w:rPr>
            <w:rStyle w:val="Hyperlink"/>
            <w:rFonts w:ascii="David" w:eastAsia="Calibri" w:hAnsi="David"/>
            <w:color w:val="0000FF"/>
            <w:rtl/>
          </w:rPr>
          <w:t>סעיפים 13</w:t>
        </w:r>
      </w:hyperlink>
      <w:r w:rsidRPr="009D7BBE">
        <w:rPr>
          <w:rFonts w:ascii="David" w:eastAsia="Calibri" w:hAnsi="David"/>
          <w:rtl/>
        </w:rPr>
        <w:t xml:space="preserve"> + </w:t>
      </w:r>
      <w:hyperlink r:id="rId16" w:history="1">
        <w:r w:rsidR="006936F8" w:rsidRPr="006936F8">
          <w:rPr>
            <w:rStyle w:val="Hyperlink"/>
            <w:rFonts w:ascii="David" w:eastAsia="Calibri" w:hAnsi="David"/>
            <w:color w:val="0000FF"/>
            <w:rtl/>
          </w:rPr>
          <w:t>19א</w:t>
        </w:r>
      </w:hyperlink>
      <w:r w:rsidRPr="009D7BBE">
        <w:rPr>
          <w:rFonts w:ascii="David" w:eastAsia="Calibri" w:hAnsi="David"/>
          <w:rtl/>
        </w:rPr>
        <w:t xml:space="preserve"> ל</w:t>
      </w:r>
      <w:hyperlink r:id="rId17" w:history="1">
        <w:r w:rsidR="00125FD0" w:rsidRPr="00125FD0">
          <w:rPr>
            <w:rFonts w:ascii="David" w:eastAsia="Calibri" w:hAnsi="David"/>
            <w:color w:val="0000FF"/>
            <w:u w:val="single"/>
            <w:rtl/>
          </w:rPr>
          <w:t>פקודת הסמים המסוכנים</w:t>
        </w:r>
      </w:hyperlink>
      <w:r w:rsidRPr="009D7BBE">
        <w:rPr>
          <w:rFonts w:ascii="David" w:eastAsia="Calibri" w:hAnsi="David"/>
          <w:rtl/>
        </w:rPr>
        <w:t>.</w:t>
      </w:r>
      <w:r>
        <w:rPr>
          <w:rFonts w:ascii="David" w:eastAsia="Calibri" w:hAnsi="David" w:hint="cs"/>
          <w:rtl/>
        </w:rPr>
        <w:t xml:space="preserve"> האישום השני</w:t>
      </w:r>
      <w:r w:rsidRPr="009D7BBE">
        <w:rPr>
          <w:rFonts w:ascii="David" w:eastAsia="Calibri" w:hAnsi="David"/>
          <w:rtl/>
        </w:rPr>
        <w:t xml:space="preserve"> בעבירה של סיוע לסחר בסם מסוכן – עבירות לפי </w:t>
      </w:r>
      <w:hyperlink r:id="rId18" w:history="1">
        <w:r w:rsidR="006936F8" w:rsidRPr="006936F8">
          <w:rPr>
            <w:rStyle w:val="Hyperlink"/>
            <w:rFonts w:ascii="David" w:eastAsia="Calibri" w:hAnsi="David"/>
            <w:color w:val="0000FF"/>
            <w:rtl/>
          </w:rPr>
          <w:t>סעיפים 13</w:t>
        </w:r>
      </w:hyperlink>
      <w:r w:rsidRPr="009D7BBE">
        <w:rPr>
          <w:rFonts w:ascii="David" w:eastAsia="Calibri" w:hAnsi="David"/>
          <w:rtl/>
        </w:rPr>
        <w:t xml:space="preserve"> + </w:t>
      </w:r>
      <w:hyperlink r:id="rId19" w:history="1">
        <w:r w:rsidR="006936F8" w:rsidRPr="006936F8">
          <w:rPr>
            <w:rStyle w:val="Hyperlink"/>
            <w:rFonts w:ascii="David" w:eastAsia="Calibri" w:hAnsi="David"/>
            <w:color w:val="0000FF"/>
            <w:rtl/>
          </w:rPr>
          <w:t>19א</w:t>
        </w:r>
      </w:hyperlink>
      <w:r w:rsidRPr="009D7BBE">
        <w:rPr>
          <w:rFonts w:ascii="David" w:eastAsia="Calibri" w:hAnsi="David"/>
          <w:rtl/>
        </w:rPr>
        <w:t xml:space="preserve"> ל</w:t>
      </w:r>
      <w:hyperlink r:id="rId20" w:history="1">
        <w:r w:rsidR="00125FD0" w:rsidRPr="00125FD0">
          <w:rPr>
            <w:rFonts w:ascii="David" w:eastAsia="Calibri" w:hAnsi="David"/>
            <w:color w:val="0000FF"/>
            <w:u w:val="single"/>
            <w:rtl/>
          </w:rPr>
          <w:t>פקודת הסמים המסוכנים</w:t>
        </w:r>
      </w:hyperlink>
      <w:r w:rsidRPr="009D7BBE">
        <w:rPr>
          <w:rFonts w:ascii="David" w:eastAsia="Calibri" w:hAnsi="David"/>
          <w:rtl/>
        </w:rPr>
        <w:t xml:space="preserve"> + </w:t>
      </w:r>
      <w:hyperlink r:id="rId21" w:history="1">
        <w:r w:rsidR="006936F8" w:rsidRPr="006936F8">
          <w:rPr>
            <w:rStyle w:val="Hyperlink"/>
            <w:rFonts w:ascii="David" w:eastAsia="Calibri" w:hAnsi="David"/>
            <w:color w:val="0000FF"/>
            <w:rtl/>
          </w:rPr>
          <w:t>סעיף 31</w:t>
        </w:r>
      </w:hyperlink>
      <w:r w:rsidRPr="009D7BBE">
        <w:rPr>
          <w:rFonts w:ascii="David" w:eastAsia="Calibri" w:hAnsi="David"/>
          <w:rtl/>
        </w:rPr>
        <w:t xml:space="preserve"> ל</w:t>
      </w:r>
      <w:hyperlink r:id="rId22" w:history="1">
        <w:r w:rsidR="00125FD0" w:rsidRPr="00125FD0">
          <w:rPr>
            <w:rFonts w:ascii="David" w:eastAsia="Calibri" w:hAnsi="David"/>
            <w:color w:val="0000FF"/>
            <w:u w:val="single"/>
            <w:rtl/>
          </w:rPr>
          <w:t>חוק העונשין</w:t>
        </w:r>
      </w:hyperlink>
      <w:r w:rsidRPr="009D7BBE">
        <w:rPr>
          <w:rFonts w:ascii="David" w:eastAsia="Calibri" w:hAnsi="David"/>
          <w:rtl/>
        </w:rPr>
        <w:t xml:space="preserve">. </w:t>
      </w:r>
    </w:p>
    <w:p w:rsidR="00E72E06" w:rsidRPr="009B6685" w:rsidRDefault="00E72E06" w:rsidP="00E72E06">
      <w:pPr>
        <w:tabs>
          <w:tab w:val="left" w:pos="4316"/>
        </w:tabs>
        <w:spacing w:line="360" w:lineRule="auto"/>
        <w:jc w:val="both"/>
        <w:rPr>
          <w:rFonts w:ascii="David" w:eastAsia="David" w:hAnsi="David"/>
          <w:sz w:val="10"/>
          <w:szCs w:val="10"/>
          <w:rtl/>
        </w:rPr>
      </w:pPr>
      <w:bookmarkStart w:id="6" w:name="ABSTRACT_END"/>
      <w:bookmarkEnd w:id="6"/>
    </w:p>
    <w:p w:rsidR="00E72E06" w:rsidRPr="009D7BBE" w:rsidRDefault="00E72E06" w:rsidP="00E72E06">
      <w:pPr>
        <w:pStyle w:val="ListParagraph"/>
        <w:numPr>
          <w:ilvl w:val="0"/>
          <w:numId w:val="1"/>
        </w:numPr>
        <w:tabs>
          <w:tab w:val="left" w:pos="4316"/>
        </w:tabs>
        <w:spacing w:line="360" w:lineRule="auto"/>
        <w:jc w:val="both"/>
        <w:rPr>
          <w:rFonts w:ascii="David" w:eastAsia="David" w:hAnsi="David"/>
        </w:rPr>
      </w:pPr>
      <w:r w:rsidRPr="009D7BBE">
        <w:rPr>
          <w:rFonts w:ascii="David" w:eastAsia="David" w:hAnsi="David"/>
          <w:rtl/>
        </w:rPr>
        <w:t>הסדר הטעון מתייחס לתיקון כתב האישום ואינו כולל הסכמו</w:t>
      </w:r>
      <w:r>
        <w:rPr>
          <w:rFonts w:ascii="David" w:eastAsia="David" w:hAnsi="David"/>
          <w:rtl/>
        </w:rPr>
        <w:t>ת לעניין העונש שיוטל על הנאש</w:t>
      </w:r>
      <w:r>
        <w:rPr>
          <w:rFonts w:ascii="David" w:eastAsia="David" w:hAnsi="David" w:hint="cs"/>
          <w:rtl/>
        </w:rPr>
        <w:t>ם.</w:t>
      </w:r>
    </w:p>
    <w:p w:rsidR="00E72E06" w:rsidRPr="009B6685" w:rsidRDefault="00E72E06" w:rsidP="00E72E06">
      <w:pPr>
        <w:spacing w:line="360" w:lineRule="auto"/>
        <w:jc w:val="both"/>
        <w:rPr>
          <w:rFonts w:ascii="David" w:eastAsia="David" w:hAnsi="David"/>
          <w:sz w:val="12"/>
          <w:szCs w:val="12"/>
          <w:rtl/>
        </w:rPr>
      </w:pPr>
    </w:p>
    <w:p w:rsidR="00E72E06" w:rsidRPr="00036D6C" w:rsidRDefault="00E72E06" w:rsidP="00E72E06">
      <w:pPr>
        <w:spacing w:line="360" w:lineRule="auto"/>
        <w:ind w:firstLine="360"/>
        <w:jc w:val="both"/>
        <w:rPr>
          <w:rFonts w:ascii="David" w:eastAsia="David" w:hAnsi="David"/>
          <w:u w:val="single"/>
          <w:rtl/>
        </w:rPr>
      </w:pPr>
      <w:r w:rsidRPr="00036D6C">
        <w:rPr>
          <w:rFonts w:ascii="David" w:eastAsia="David" w:hAnsi="David"/>
          <w:u w:val="single"/>
          <w:rtl/>
        </w:rPr>
        <w:t xml:space="preserve">עובדות כתב האישום המתוקן </w:t>
      </w:r>
    </w:p>
    <w:p w:rsidR="00E72E06" w:rsidRPr="009B6685" w:rsidRDefault="00E72E06" w:rsidP="00E72E06">
      <w:pPr>
        <w:spacing w:line="360" w:lineRule="auto"/>
        <w:ind w:firstLine="360"/>
        <w:jc w:val="both"/>
        <w:rPr>
          <w:rFonts w:ascii="David" w:eastAsia="David" w:hAnsi="David"/>
          <w:b/>
          <w:bCs/>
          <w:sz w:val="10"/>
          <w:szCs w:val="10"/>
          <w:u w:val="single"/>
          <w:rtl/>
        </w:rPr>
      </w:pPr>
    </w:p>
    <w:p w:rsidR="00E72E06" w:rsidRPr="00036D6C" w:rsidRDefault="00E72E06" w:rsidP="00E72E06">
      <w:pPr>
        <w:numPr>
          <w:ilvl w:val="0"/>
          <w:numId w:val="1"/>
        </w:numPr>
        <w:spacing w:before="240" w:after="160" w:line="360" w:lineRule="auto"/>
        <w:contextualSpacing/>
        <w:jc w:val="both"/>
        <w:rPr>
          <w:rFonts w:ascii="David" w:hAnsi="David"/>
        </w:rPr>
      </w:pPr>
      <w:r w:rsidRPr="003E5A78">
        <w:rPr>
          <w:rFonts w:ascii="David" w:eastAsia="Calibri" w:hAnsi="David"/>
          <w:rtl/>
        </w:rPr>
        <w:t xml:space="preserve">במהלך חודשים ינואר 2022 עד ינואר 2023 הפעילה משטרת </w:t>
      </w:r>
      <w:r w:rsidRPr="003E5A78">
        <w:rPr>
          <w:rFonts w:ascii="David" w:eastAsia="Calibri" w:hAnsi="David" w:hint="cs"/>
          <w:rtl/>
        </w:rPr>
        <w:t xml:space="preserve">סוכן </w:t>
      </w:r>
      <w:r w:rsidRPr="003E5A78">
        <w:rPr>
          <w:rFonts w:ascii="David" w:eastAsia="Calibri" w:hAnsi="David"/>
          <w:rtl/>
        </w:rPr>
        <w:t>משטרתי סמוי (להלן</w:t>
      </w:r>
      <w:r w:rsidRPr="003E5A78">
        <w:rPr>
          <w:rFonts w:ascii="David" w:eastAsia="Calibri" w:hAnsi="David"/>
          <w:b/>
          <w:bCs/>
          <w:rtl/>
        </w:rPr>
        <w:t xml:space="preserve">: </w:t>
      </w:r>
      <w:r w:rsidRPr="003E5A78">
        <w:rPr>
          <w:rFonts w:ascii="David" w:eastAsia="Calibri" w:hAnsi="David"/>
          <w:rtl/>
        </w:rPr>
        <w:t>"הסוכן") כנגד פעילות עבריינית בתחום הסמים והנשק. בין הנאשם לבין הסוכן הייתה היכרות</w:t>
      </w:r>
      <w:r w:rsidRPr="003E5A78">
        <w:rPr>
          <w:rFonts w:ascii="David" w:eastAsia="Calibri" w:hAnsi="David" w:hint="cs"/>
          <w:rtl/>
        </w:rPr>
        <w:t xml:space="preserve">. </w:t>
      </w:r>
    </w:p>
    <w:p w:rsidR="00E72E06" w:rsidRPr="00036D6C" w:rsidRDefault="00E72E06" w:rsidP="00E72E06">
      <w:pPr>
        <w:spacing w:before="240" w:after="160" w:line="360" w:lineRule="auto"/>
        <w:ind w:left="643"/>
        <w:contextualSpacing/>
        <w:jc w:val="both"/>
        <w:rPr>
          <w:rFonts w:ascii="David" w:hAnsi="David"/>
          <w:sz w:val="12"/>
          <w:szCs w:val="12"/>
        </w:rPr>
      </w:pPr>
    </w:p>
    <w:p w:rsidR="00E72E06" w:rsidRPr="003E5A78" w:rsidRDefault="00E72E06" w:rsidP="00E72E06">
      <w:pPr>
        <w:numPr>
          <w:ilvl w:val="0"/>
          <w:numId w:val="1"/>
        </w:numPr>
        <w:spacing w:before="240" w:after="160" w:line="360" w:lineRule="auto"/>
        <w:contextualSpacing/>
        <w:jc w:val="both"/>
        <w:rPr>
          <w:rFonts w:ascii="David" w:hAnsi="David"/>
          <w:rtl/>
        </w:rPr>
      </w:pPr>
      <w:r w:rsidRPr="003E5A78">
        <w:rPr>
          <w:rFonts w:ascii="David" w:hAnsi="David"/>
          <w:rtl/>
        </w:rPr>
        <w:t xml:space="preserve">ע"פ האישום הראשון בתאריך 6.1.22 בשעה 12:35 ניסה הסוכן ליצור קשר טלפוני עם הנאשם באמצעות </w:t>
      </w:r>
      <w:r w:rsidRPr="003E5A78">
        <w:rPr>
          <w:rFonts w:ascii="David" w:hAnsi="David" w:hint="cs"/>
          <w:rtl/>
        </w:rPr>
        <w:t>יישומון</w:t>
      </w:r>
      <w:r w:rsidRPr="003E5A78">
        <w:rPr>
          <w:rFonts w:ascii="David" w:hAnsi="David"/>
          <w:rtl/>
        </w:rPr>
        <w:t xml:space="preserve"> לתקשורת אינטרנטית מאובטחת "</w:t>
      </w:r>
      <w:r w:rsidRPr="003E5A78">
        <w:rPr>
          <w:rFonts w:ascii="David" w:hAnsi="David"/>
        </w:rPr>
        <w:t>Telegram</w:t>
      </w:r>
      <w:r w:rsidRPr="003E5A78">
        <w:rPr>
          <w:rFonts w:ascii="David" w:hAnsi="David"/>
          <w:rtl/>
        </w:rPr>
        <w:t xml:space="preserve">" </w:t>
      </w:r>
      <w:r w:rsidRPr="003E5A78">
        <w:rPr>
          <w:rFonts w:ascii="David" w:hAnsi="David" w:hint="cs"/>
          <w:rtl/>
        </w:rPr>
        <w:t xml:space="preserve"> (טלגרם) </w:t>
      </w:r>
      <w:r w:rsidRPr="003E5A78">
        <w:rPr>
          <w:rFonts w:ascii="David" w:hAnsi="David"/>
          <w:rtl/>
        </w:rPr>
        <w:t>ובהמשך התקיים בין השניים קשר טלפוני במהלכו ביקש הסוכן לרכוש מהנאשם סמים מסוכנים מסוג קוקאין (להלן: "הסם" או "הקוקאין") והנאשם נענה בחיוב. בין השניים סוכם כי הנאשם ימכור לסוכן "קוקאין" במשקל 20 גרם נטו בתמורה לתשלום סך 5000 ₪ (להלן: "העסקה").</w:t>
      </w:r>
      <w:r w:rsidRPr="003E5A78">
        <w:rPr>
          <w:rFonts w:ascii="David" w:hAnsi="David" w:hint="cs"/>
          <w:rtl/>
        </w:rPr>
        <w:t>לצור</w:t>
      </w:r>
      <w:r w:rsidRPr="003E5A78">
        <w:rPr>
          <w:rFonts w:ascii="David" w:hAnsi="David"/>
          <w:rtl/>
        </w:rPr>
        <w:t>ך הוצאת העסקה אל הפועל, שלח הנאשם לסוכן באמצעות "הטלגרם", חמש תמונות של סם מסוכן מסוג קוקאין. במועד הנ"ל, בשעה 16:45 שלח הנאשם לסוכן הודעה באמצעות "הטלגרם" בה ציין כי המפגש להשלמת העסקה יתקיים בשעה 18:30 סמוך לביתו של הנאשם.</w:t>
      </w:r>
      <w:r>
        <w:rPr>
          <w:rFonts w:ascii="David" w:hAnsi="David" w:hint="cs"/>
          <w:rtl/>
        </w:rPr>
        <w:t xml:space="preserve"> </w:t>
      </w:r>
      <w:r w:rsidRPr="003E5A78">
        <w:rPr>
          <w:rFonts w:ascii="David" w:hAnsi="David"/>
          <w:rtl/>
        </w:rPr>
        <w:t xml:space="preserve">בשעה 18:38 ולצורך השלמת העסקה, הגיע הסוכן באמצעות רכבו סמוך לביתו של הנאשם, שם </w:t>
      </w:r>
      <w:r w:rsidRPr="003E5A78">
        <w:rPr>
          <w:rFonts w:ascii="David" w:hAnsi="David"/>
          <w:rtl/>
        </w:rPr>
        <w:lastRenderedPageBreak/>
        <w:t>פגש את הנאשם</w:t>
      </w:r>
      <w:r>
        <w:rPr>
          <w:rFonts w:ascii="David" w:hAnsi="David" w:hint="cs"/>
          <w:rtl/>
        </w:rPr>
        <w:t xml:space="preserve"> אשר</w:t>
      </w:r>
      <w:r w:rsidRPr="003E5A78">
        <w:rPr>
          <w:rFonts w:ascii="David" w:hAnsi="David"/>
          <w:rtl/>
        </w:rPr>
        <w:t xml:space="preserve"> מסר לסוכן גוש עטוף בנייר ובו 20.02 גרם נטו של סם מסוכן מסוג קוקאין ובתמורה מסר לו הסוכן 5000 ₪, והאחרון עזב את המקום.</w:t>
      </w:r>
    </w:p>
    <w:p w:rsidR="00E72E06" w:rsidRPr="00036D6C" w:rsidRDefault="00E72E06" w:rsidP="00E72E06">
      <w:pPr>
        <w:spacing w:before="240" w:line="360" w:lineRule="auto"/>
        <w:ind w:left="643"/>
        <w:contextualSpacing/>
        <w:jc w:val="both"/>
        <w:rPr>
          <w:rFonts w:ascii="David" w:hAnsi="David"/>
          <w:sz w:val="2"/>
          <w:szCs w:val="2"/>
          <w:rtl/>
        </w:rPr>
      </w:pPr>
    </w:p>
    <w:p w:rsidR="00E72E06" w:rsidRPr="00036D6C" w:rsidRDefault="00E72E06" w:rsidP="00E72E06">
      <w:pPr>
        <w:pStyle w:val="ListParagraph"/>
        <w:numPr>
          <w:ilvl w:val="0"/>
          <w:numId w:val="1"/>
        </w:numPr>
        <w:spacing w:before="240" w:line="360" w:lineRule="auto"/>
        <w:jc w:val="both"/>
        <w:rPr>
          <w:rFonts w:ascii="David" w:eastAsia="Calibri" w:hAnsi="David"/>
          <w:rtl/>
        </w:rPr>
      </w:pPr>
      <w:r w:rsidRPr="00036D6C">
        <w:rPr>
          <w:rFonts w:ascii="David" w:hAnsi="David"/>
          <w:rtl/>
        </w:rPr>
        <w:t>ע"פ האישום השני בתאריך 4.7.22 בשעה 16:12 יצר הסוכן קשר טלפוני עם הנאשם במטרה שיסייע לו לרכוש סם   מסוכן מ</w:t>
      </w:r>
      <w:r w:rsidRPr="00036D6C">
        <w:rPr>
          <w:rFonts w:ascii="David" w:hAnsi="David" w:hint="cs"/>
          <w:rtl/>
        </w:rPr>
        <w:t xml:space="preserve">אדם </w:t>
      </w:r>
      <w:r w:rsidRPr="00036D6C">
        <w:rPr>
          <w:rFonts w:ascii="David" w:hAnsi="David"/>
          <w:rtl/>
        </w:rPr>
        <w:t xml:space="preserve"> שזהותו אינה ידועה למאשימה (להלן: "האחר"). משלא ענה הנאשם לשיחה הטלפונית, שלח לו הסוכן הודעה "בטלגרם" בה כתב "תחזור אליי יש פרנסה".</w:t>
      </w:r>
      <w:r w:rsidRPr="00036D6C">
        <w:rPr>
          <w:rFonts w:ascii="David" w:hAnsi="David" w:hint="cs"/>
          <w:rtl/>
        </w:rPr>
        <w:t xml:space="preserve"> </w:t>
      </w:r>
      <w:r w:rsidRPr="00036D6C">
        <w:rPr>
          <w:rFonts w:ascii="David" w:hAnsi="David"/>
          <w:rtl/>
        </w:rPr>
        <w:t>בשעה 16:25 התקשר הנאשם לסוכן ובמהלך השיחה, סיכמו השניים כי האחר ימכור לסוכן 70 גרם של סם מסוכן מסוג קוקאין בסיועו של הנאשם. עוד סיכמו השניים שהנאשם ישוחח שוב עם הסוכן ויעדכן אותו בדבר עלותו הסופית של הסם לאחר שיבררו עם האחר. בסמוך לשעה 16:33, יצר הנאשם קשר טלפוני עם הסוכן ובמהלך השיחה מסר הנאשם לסוכן כי עלות הסם הינה 250 ₪ לגרם, זאת לאחר בירור עם האחר.</w:t>
      </w:r>
      <w:r w:rsidRPr="00036D6C">
        <w:rPr>
          <w:rFonts w:ascii="David" w:hAnsi="David" w:hint="cs"/>
          <w:rtl/>
        </w:rPr>
        <w:t xml:space="preserve"> </w:t>
      </w:r>
      <w:r w:rsidRPr="00036D6C">
        <w:rPr>
          <w:rFonts w:ascii="David" w:hAnsi="David"/>
          <w:rtl/>
        </w:rPr>
        <w:t>עוד סיכמו השניים להוציא את העסקה אל הפועל יום למחרת.</w:t>
      </w:r>
      <w:r w:rsidRPr="00036D6C">
        <w:rPr>
          <w:rFonts w:ascii="David" w:hAnsi="David" w:hint="cs"/>
          <w:rtl/>
        </w:rPr>
        <w:t xml:space="preserve"> </w:t>
      </w:r>
      <w:r w:rsidRPr="00036D6C">
        <w:rPr>
          <w:rFonts w:ascii="David" w:hAnsi="David"/>
          <w:rtl/>
        </w:rPr>
        <w:t xml:space="preserve">בתאריך 5.7.22 בשעה 14:35 התקשר הסוכן לנאשם באמצעות "הטלגרם" ולאחר מכן התקיים ביניהם קשר טלפוני במהלכו קבעו השניים שהעסקה תצא לפועל באותו היום סמוך לשעה 15:30 ברחוב יגאל אלון 11 קריית מוצקין </w:t>
      </w:r>
      <w:r w:rsidRPr="00036D6C">
        <w:rPr>
          <w:rFonts w:ascii="David" w:hAnsi="David" w:hint="cs"/>
          <w:rtl/>
        </w:rPr>
        <w:t xml:space="preserve">. בשלב מסוים לפני העסקה </w:t>
      </w:r>
      <w:r w:rsidRPr="00036D6C">
        <w:rPr>
          <w:rFonts w:ascii="David" w:hAnsi="David"/>
          <w:rtl/>
        </w:rPr>
        <w:t>קיבל הנאשם מידי האחר סם מסוכן מסוג קוקאין במשקל 67.96 גרם נטו (להלן: "הסם").ביום 5.7.22 בשעה 15:31 הגיע הסוכן ברכבו אל מקום המפגש. סמוך לכך הגיע גם הנאשם למקום, על מנת לסייע לאחר, זאת כשהוא מלווה בקטינה שזהותה אינה ידועה במדויק למאשימה. מיד לאחר מכן, נכנס הנאשם לרכבו של הסוכן בעוד הקטינה המתינה מחוצה לו. ברכב מסר הנאשם לסוכן שתי שקיות שהכילו את הסם והסוכן העביר לו בתמורה 17,500 ₪ והנאשם עזב את המקום.</w:t>
      </w:r>
    </w:p>
    <w:p w:rsidR="00E72E06" w:rsidRPr="009B6685" w:rsidRDefault="00E72E06" w:rsidP="00E72E06">
      <w:pPr>
        <w:tabs>
          <w:tab w:val="left" w:pos="4316"/>
        </w:tabs>
        <w:spacing w:line="360" w:lineRule="auto"/>
        <w:ind w:left="643"/>
        <w:contextualSpacing/>
        <w:jc w:val="both"/>
        <w:rPr>
          <w:rFonts w:ascii="David" w:hAnsi="David"/>
          <w:sz w:val="10"/>
          <w:szCs w:val="10"/>
        </w:rPr>
      </w:pPr>
    </w:p>
    <w:p w:rsidR="00E72E06" w:rsidRPr="009B6685" w:rsidRDefault="00E72E06" w:rsidP="00E72E06">
      <w:pPr>
        <w:spacing w:line="360" w:lineRule="auto"/>
        <w:ind w:left="643"/>
        <w:contextualSpacing/>
        <w:jc w:val="both"/>
        <w:rPr>
          <w:rFonts w:ascii="David" w:eastAsia="David" w:hAnsi="David"/>
          <w:b/>
          <w:bCs/>
          <w:sz w:val="2"/>
          <w:szCs w:val="2"/>
          <w:u w:val="single"/>
          <w:rtl/>
        </w:rPr>
      </w:pPr>
    </w:p>
    <w:p w:rsidR="00E72E06" w:rsidRPr="00036D6C" w:rsidRDefault="00E72E06" w:rsidP="00E72E06">
      <w:pPr>
        <w:spacing w:line="360" w:lineRule="auto"/>
        <w:ind w:left="360"/>
        <w:contextualSpacing/>
        <w:jc w:val="both"/>
        <w:rPr>
          <w:rFonts w:ascii="David" w:eastAsia="David" w:hAnsi="David"/>
          <w:u w:val="single"/>
        </w:rPr>
      </w:pPr>
      <w:r w:rsidRPr="00036D6C">
        <w:rPr>
          <w:rFonts w:ascii="David" w:eastAsia="David" w:hAnsi="David"/>
          <w:u w:val="single"/>
          <w:rtl/>
        </w:rPr>
        <w:t>ראיות המאשימה לעונש</w:t>
      </w:r>
    </w:p>
    <w:p w:rsidR="00E72E06" w:rsidRPr="009B6685" w:rsidRDefault="00E72E06" w:rsidP="00E72E06">
      <w:pPr>
        <w:numPr>
          <w:ilvl w:val="0"/>
          <w:numId w:val="1"/>
        </w:numPr>
        <w:spacing w:before="120" w:after="120" w:line="360" w:lineRule="auto"/>
        <w:ind w:left="720"/>
        <w:contextualSpacing/>
        <w:jc w:val="both"/>
        <w:rPr>
          <w:rFonts w:ascii="David" w:eastAsia="David" w:hAnsi="David"/>
          <w:b/>
          <w:bCs/>
          <w:u w:val="single"/>
          <w:rtl/>
        </w:rPr>
      </w:pPr>
      <w:r w:rsidRPr="009B6685">
        <w:rPr>
          <w:rFonts w:ascii="David" w:eastAsia="David" w:hAnsi="David"/>
          <w:rtl/>
        </w:rPr>
        <w:t xml:space="preserve">הוגשו רישום פלילי של נאשם 1 (ת/2 ), </w:t>
      </w:r>
      <w:r w:rsidRPr="009B6685">
        <w:rPr>
          <w:rFonts w:ascii="David" w:eastAsia="Calibri" w:hAnsi="David"/>
          <w:rtl/>
        </w:rPr>
        <w:t>וגזר דין ב</w:t>
      </w:r>
      <w:hyperlink r:id="rId23" w:history="1">
        <w:r w:rsidR="00125FD0" w:rsidRPr="00125FD0">
          <w:rPr>
            <w:rFonts w:ascii="David" w:eastAsia="Calibri" w:hAnsi="David"/>
            <w:color w:val="0000FF"/>
            <w:u w:val="single"/>
            <w:rtl/>
          </w:rPr>
          <w:t>ת"פ 38754-10-19</w:t>
        </w:r>
      </w:hyperlink>
      <w:r w:rsidRPr="009B6685">
        <w:rPr>
          <w:rFonts w:ascii="David" w:eastAsia="Calibri" w:hAnsi="David"/>
          <w:rtl/>
        </w:rPr>
        <w:t xml:space="preserve"> (ת/3).</w:t>
      </w:r>
    </w:p>
    <w:p w:rsidR="00E72E06" w:rsidRPr="001F7C66" w:rsidRDefault="00E72E06" w:rsidP="00E72E06">
      <w:pPr>
        <w:spacing w:before="120" w:after="120" w:line="360" w:lineRule="auto"/>
        <w:ind w:left="360"/>
        <w:jc w:val="both"/>
        <w:rPr>
          <w:rFonts w:ascii="David" w:eastAsia="David" w:hAnsi="David"/>
          <w:sz w:val="8"/>
          <w:szCs w:val="8"/>
          <w:u w:val="single"/>
          <w:rtl/>
        </w:rPr>
      </w:pPr>
    </w:p>
    <w:p w:rsidR="00E72E06" w:rsidRPr="00E436C7" w:rsidRDefault="00E72E06" w:rsidP="00E72E06">
      <w:pPr>
        <w:spacing w:before="120" w:after="120" w:line="360" w:lineRule="auto"/>
        <w:ind w:left="360"/>
        <w:jc w:val="both"/>
        <w:rPr>
          <w:rFonts w:ascii="David" w:eastAsia="David" w:hAnsi="David"/>
          <w:u w:val="single"/>
          <w:rtl/>
        </w:rPr>
      </w:pPr>
      <w:r w:rsidRPr="00E436C7">
        <w:rPr>
          <w:rFonts w:ascii="David" w:eastAsia="David" w:hAnsi="David"/>
          <w:u w:val="single"/>
          <w:rtl/>
        </w:rPr>
        <w:t xml:space="preserve">ראיות ההגנה לעונש </w:t>
      </w:r>
    </w:p>
    <w:p w:rsidR="00E72E06" w:rsidRPr="009B6685" w:rsidRDefault="00E72E06" w:rsidP="00E72E06">
      <w:pPr>
        <w:numPr>
          <w:ilvl w:val="0"/>
          <w:numId w:val="1"/>
        </w:numPr>
        <w:spacing w:before="120" w:after="120" w:line="360" w:lineRule="auto"/>
        <w:contextualSpacing/>
        <w:jc w:val="both"/>
        <w:rPr>
          <w:rFonts w:ascii="David" w:eastAsia="David" w:hAnsi="David"/>
          <w:rtl/>
        </w:rPr>
      </w:pPr>
      <w:r w:rsidRPr="009B6685">
        <w:rPr>
          <w:rFonts w:ascii="David" w:eastAsia="David" w:hAnsi="David"/>
          <w:rtl/>
        </w:rPr>
        <w:t xml:space="preserve">הוגשו חוות דעת שב"ס (נ/1), חוות דעת בית חם (נ/2), מסמכים רפואיים של אמו של הנאשם (נ/3), מסמכים רפואיים של בנו של הנאשם (נ/4), תעודת נישואין (נ/5). </w:t>
      </w:r>
    </w:p>
    <w:p w:rsidR="00E72E06" w:rsidRPr="008510E6" w:rsidRDefault="00E72E06" w:rsidP="00E72E06">
      <w:pPr>
        <w:spacing w:line="360" w:lineRule="auto"/>
        <w:ind w:left="360"/>
        <w:contextualSpacing/>
        <w:jc w:val="both"/>
        <w:rPr>
          <w:rFonts w:ascii="David" w:eastAsia="David" w:hAnsi="David"/>
          <w:b/>
          <w:bCs/>
          <w:sz w:val="8"/>
          <w:szCs w:val="8"/>
          <w:u w:val="single"/>
          <w:rtl/>
        </w:rPr>
      </w:pPr>
    </w:p>
    <w:p w:rsidR="00E72E06" w:rsidRPr="00036D6C" w:rsidRDefault="00E72E06" w:rsidP="00E72E06">
      <w:pPr>
        <w:spacing w:line="360" w:lineRule="auto"/>
        <w:ind w:left="360"/>
        <w:contextualSpacing/>
        <w:jc w:val="both"/>
        <w:rPr>
          <w:rFonts w:ascii="David" w:eastAsia="David" w:hAnsi="David"/>
          <w:u w:val="single"/>
          <w:rtl/>
        </w:rPr>
      </w:pPr>
      <w:r w:rsidRPr="00036D6C">
        <w:rPr>
          <w:rFonts w:ascii="David" w:eastAsia="David" w:hAnsi="David"/>
          <w:u w:val="single"/>
          <w:rtl/>
        </w:rPr>
        <w:t>עיקר טיעוני המאשימה לעונש</w:t>
      </w:r>
    </w:p>
    <w:p w:rsidR="00E72E06" w:rsidRPr="008510E6" w:rsidRDefault="00E72E06" w:rsidP="00E72E06">
      <w:pPr>
        <w:spacing w:line="360" w:lineRule="auto"/>
        <w:jc w:val="both"/>
        <w:rPr>
          <w:rFonts w:ascii="David" w:eastAsia="David" w:hAnsi="David"/>
          <w:sz w:val="10"/>
          <w:szCs w:val="10"/>
          <w:rtl/>
        </w:rPr>
      </w:pPr>
    </w:p>
    <w:p w:rsidR="00E72E06" w:rsidRPr="009B6685" w:rsidRDefault="00E72E06" w:rsidP="00E72E06">
      <w:pPr>
        <w:numPr>
          <w:ilvl w:val="0"/>
          <w:numId w:val="1"/>
        </w:numPr>
        <w:spacing w:before="120" w:after="120" w:line="360" w:lineRule="auto"/>
        <w:ind w:left="720"/>
        <w:contextualSpacing/>
        <w:jc w:val="both"/>
        <w:rPr>
          <w:rFonts w:ascii="David" w:hAnsi="David"/>
          <w:lang w:eastAsia="he-IL"/>
        </w:rPr>
      </w:pPr>
      <w:r w:rsidRPr="009B6685">
        <w:rPr>
          <w:rFonts w:ascii="David" w:hAnsi="David"/>
          <w:rtl/>
        </w:rPr>
        <w:t xml:space="preserve">המאשימה הדגישה את חומרת העבירות בהן הורשע הנאשם, הפנתה לערכים המוגנים בעבירות הסמים, בין היתר </w:t>
      </w:r>
      <w:r w:rsidRPr="009B6685">
        <w:rPr>
          <w:rFonts w:ascii="David" w:eastAsia="Calibri" w:hAnsi="David"/>
          <w:rtl/>
        </w:rPr>
        <w:t>לחובה להגן על בריאותו, שלומו הפיזי והנפשי של הציבור, והצורך למנוע פגיעה ונזק לחברה. הפנתה לפגיעה בצרכני הסמים ולנזקים הנלווים, לרבות ביצוע עבירות רכוש ואלימות לשם השגת המימון לרכישת הסם.</w:t>
      </w:r>
      <w:r w:rsidRPr="009B6685">
        <w:rPr>
          <w:rFonts w:ascii="David" w:hAnsi="David"/>
          <w:rtl/>
        </w:rPr>
        <w:t xml:space="preserve"> הדגישה את </w:t>
      </w:r>
      <w:r>
        <w:rPr>
          <w:rFonts w:ascii="David" w:eastAsia="Calibri" w:hAnsi="David"/>
          <w:rtl/>
        </w:rPr>
        <w:t>הצורך לה</w:t>
      </w:r>
      <w:r>
        <w:rPr>
          <w:rFonts w:ascii="David" w:eastAsia="Calibri" w:hAnsi="David" w:hint="cs"/>
          <w:rtl/>
        </w:rPr>
        <w:t>י</w:t>
      </w:r>
      <w:r w:rsidRPr="009B6685">
        <w:rPr>
          <w:rFonts w:ascii="David" w:eastAsia="Calibri" w:hAnsi="David"/>
          <w:rtl/>
        </w:rPr>
        <w:t xml:space="preserve">לחם בעבירת סחר בסמים מסוכנים והפצתם על מנת </w:t>
      </w:r>
      <w:r w:rsidRPr="009B6685">
        <w:rPr>
          <w:rFonts w:ascii="David" w:hAnsi="David"/>
          <w:rtl/>
          <w:lang w:eastAsia="he-IL"/>
        </w:rPr>
        <w:t xml:space="preserve">לעצור את התפשטות נגע הסמים בחברה, בין היתר על ידי השתת ענישה מרתיעה על הנוטלים חלק במערך הפצת הסמים. באשר לנסיבות ביצוע העבירות, הפנתה לעובדה כי חלקו של הנאשם באישום הראשון הוא בלעדי, ובאישום השני חלקו </w:t>
      </w:r>
      <w:r>
        <w:rPr>
          <w:rFonts w:ascii="David" w:hAnsi="David" w:hint="cs"/>
          <w:rtl/>
          <w:lang w:eastAsia="he-IL"/>
        </w:rPr>
        <w:t xml:space="preserve">היה מרכזי </w:t>
      </w:r>
      <w:r w:rsidRPr="009B6685">
        <w:rPr>
          <w:rFonts w:ascii="David" w:hAnsi="David"/>
          <w:rtl/>
          <w:lang w:eastAsia="he-IL"/>
        </w:rPr>
        <w:t xml:space="preserve">עת מסר לסוכן את הסמים ונטל ממנו כסף בתמורה כאשר העבירות בוצעו מתוך תאוות בצע. מדובר בנאשם בגיר, ללא כל לקות שכלית או קרבה לסייג לאחריות פלילית, הוא הבין את </w:t>
      </w:r>
      <w:r>
        <w:rPr>
          <w:rFonts w:ascii="David" w:hAnsi="David"/>
          <w:rtl/>
          <w:lang w:eastAsia="he-IL"/>
        </w:rPr>
        <w:t>חומרת מעשיו ואת השלכותיהם, ויכל</w:t>
      </w:r>
      <w:r w:rsidRPr="009B6685">
        <w:rPr>
          <w:rFonts w:ascii="David" w:hAnsi="David"/>
          <w:rtl/>
          <w:lang w:eastAsia="he-IL"/>
        </w:rPr>
        <w:t xml:space="preserve"> להימנע מביצועם. ציינה כי העבירות בוצעו לאחר תכנון לא מבוטל, הנאשם ידע </w:t>
      </w:r>
      <w:r>
        <w:rPr>
          <w:rFonts w:ascii="David" w:hAnsi="David" w:hint="cs"/>
          <w:rtl/>
          <w:lang w:eastAsia="he-IL"/>
        </w:rPr>
        <w:t xml:space="preserve">כיצד להשיג את </w:t>
      </w:r>
      <w:r w:rsidRPr="009B6685">
        <w:rPr>
          <w:rFonts w:ascii="David" w:hAnsi="David"/>
          <w:rtl/>
          <w:lang w:eastAsia="he-IL"/>
        </w:rPr>
        <w:t xml:space="preserve">הסמים, בכמויות לא מבוטלות ופעל כדי לסחור בהם. הפנתה לנזק שהיה עלול להיגרם מביצוע העבירות, שכן מדובר בכמות גדולה של סמים מסוכנים מסוג קוקאין שאלמלא היו נמכרים לסוכן משטרתי היו מופצים בקרב הציבור עצמו והיה נגרם נזק רב. הדגישה לחומרה את </w:t>
      </w:r>
      <w:r w:rsidRPr="009B6685">
        <w:rPr>
          <w:rFonts w:ascii="David" w:hAnsi="David"/>
          <w:rtl/>
          <w:lang w:eastAsia="he-IL"/>
        </w:rPr>
        <w:lastRenderedPageBreak/>
        <w:t>העובדה העולה מהאישום השני, שכן</w:t>
      </w:r>
      <w:r>
        <w:rPr>
          <w:rFonts w:ascii="David" w:hAnsi="David" w:hint="cs"/>
          <w:rtl/>
          <w:lang w:eastAsia="he-IL"/>
        </w:rPr>
        <w:t xml:space="preserve"> הנאשם</w:t>
      </w:r>
      <w:r w:rsidRPr="009B6685">
        <w:rPr>
          <w:rFonts w:ascii="David" w:hAnsi="David"/>
          <w:rtl/>
          <w:lang w:eastAsia="he-IL"/>
        </w:rPr>
        <w:t xml:space="preserve"> הוא היה מלווה בקטינה שנכחה באירוע עצמו במסגרתו הועברו לידי הסוכן כ-70 גרם של סם מסוג קוקאין. בכל הקשור לנסיבות שאינן קשורות בביצוע העבירות, הפנתה להודאת הנאשם בכתב </w:t>
      </w:r>
      <w:r>
        <w:rPr>
          <w:rFonts w:ascii="David" w:hAnsi="David" w:hint="cs"/>
          <w:rtl/>
          <w:lang w:eastAsia="he-IL"/>
        </w:rPr>
        <w:t>ה</w:t>
      </w:r>
      <w:r w:rsidRPr="009B6685">
        <w:rPr>
          <w:rFonts w:ascii="David" w:hAnsi="David"/>
          <w:rtl/>
          <w:lang w:eastAsia="he-IL"/>
        </w:rPr>
        <w:t xml:space="preserve">אישום </w:t>
      </w:r>
      <w:r>
        <w:rPr>
          <w:rFonts w:ascii="David" w:hAnsi="David" w:hint="cs"/>
          <w:rtl/>
          <w:lang w:eastAsia="he-IL"/>
        </w:rPr>
        <w:t>ה</w:t>
      </w:r>
      <w:r w:rsidRPr="009B6685">
        <w:rPr>
          <w:rFonts w:ascii="David" w:hAnsi="David"/>
          <w:rtl/>
          <w:lang w:eastAsia="he-IL"/>
        </w:rPr>
        <w:t xml:space="preserve">מתוקן, לעברו הפלילי הכולל 10 הרשעות קודמות בעבירות שונות בעיקר בעבירות סמים </w:t>
      </w:r>
      <w:r>
        <w:rPr>
          <w:rFonts w:ascii="David" w:hAnsi="David" w:hint="cs"/>
          <w:rtl/>
          <w:lang w:eastAsia="he-IL"/>
        </w:rPr>
        <w:t xml:space="preserve">בגינן אף </w:t>
      </w:r>
      <w:r w:rsidRPr="009B6685">
        <w:rPr>
          <w:rFonts w:ascii="David" w:hAnsi="David"/>
          <w:rtl/>
          <w:lang w:eastAsia="he-IL"/>
        </w:rPr>
        <w:t xml:space="preserve">ריצה עונשי מאסר בפועל, ולעובדה כי תלוי ועומד נגדו מאסר על תנאי בר הפעלה למשך 6 חודשים. </w:t>
      </w:r>
      <w:r w:rsidRPr="009B6685">
        <w:rPr>
          <w:rFonts w:ascii="David" w:hAnsi="David"/>
          <w:rtl/>
        </w:rPr>
        <w:t xml:space="preserve">באשר למדיניות הענישה וקביעת מתחם העונש ההולם, הפנתה לפסיקה רלוונטית, </w:t>
      </w:r>
      <w:r w:rsidRPr="009B6685">
        <w:rPr>
          <w:rFonts w:ascii="David" w:eastAsia="Calibri" w:hAnsi="David"/>
          <w:rtl/>
        </w:rPr>
        <w:t xml:space="preserve">ביקשה לראות בכל אחד משני האירועים המתוארים בכתב האישום המתוקן כאירוע נפרד, שכן אין ביניהם קשר הדוק ואין מדובר ברצף אחד של מעשים, כאשר בין שני האישומים חלפו כ-7 חודשים שיש בהם כדי לנתק כל קשר בין האירועים. </w:t>
      </w:r>
      <w:r w:rsidRPr="009B6685">
        <w:rPr>
          <w:rFonts w:ascii="David" w:hAnsi="David"/>
          <w:rtl/>
        </w:rPr>
        <w:t xml:space="preserve">ובהתאם, ביקשה לקבוע </w:t>
      </w:r>
      <w:r w:rsidRPr="009B6685">
        <w:rPr>
          <w:rFonts w:ascii="David" w:hAnsi="David"/>
          <w:rtl/>
          <w:lang w:eastAsia="he-IL"/>
        </w:rPr>
        <w:t xml:space="preserve">במסגרת האישום הראשון מתחם עונש הולם שנע בין 24 ועד 48 חודשי מאסר בפועל, ובמסגרת האישום השני, מאסר שנע בין 18 ועד 30 חודשי מאסר בפועל. לאור כל האמור לעיל, ביקשה למקם את עונשו של הנאשם בחלקו הבינוני של כל אחד </w:t>
      </w:r>
      <w:r>
        <w:rPr>
          <w:rFonts w:ascii="David" w:hAnsi="David" w:hint="cs"/>
          <w:rtl/>
          <w:lang w:eastAsia="he-IL"/>
        </w:rPr>
        <w:t>מ</w:t>
      </w:r>
      <w:r w:rsidRPr="009B6685">
        <w:rPr>
          <w:rFonts w:ascii="David" w:hAnsi="David"/>
          <w:rtl/>
          <w:lang w:eastAsia="he-IL"/>
        </w:rPr>
        <w:t xml:space="preserve">המתחמים, וביקשה להפעיל את המאסר התלוי ועומד נגד הנאשם במצטבר לעונש שיוטל עליו. בנוסף, ביקשה להטיל עליו עונשי מאסר על תנאי ארוכים ומשמעותיים, קנס כספי גבוה, פסילת רישיון נהיגה בפועל ופסילה מותנית. </w:t>
      </w:r>
    </w:p>
    <w:p w:rsidR="00E72E06" w:rsidRPr="009B6685" w:rsidRDefault="00E72E06" w:rsidP="00E72E06">
      <w:pPr>
        <w:spacing w:before="120" w:after="120" w:line="360" w:lineRule="auto"/>
        <w:contextualSpacing/>
        <w:jc w:val="both"/>
        <w:rPr>
          <w:rFonts w:ascii="David" w:hAnsi="David"/>
          <w:sz w:val="10"/>
          <w:szCs w:val="10"/>
          <w:u w:val="single"/>
          <w:lang w:eastAsia="he-IL"/>
        </w:rPr>
      </w:pPr>
    </w:p>
    <w:p w:rsidR="00E72E06" w:rsidRPr="00036D6C" w:rsidRDefault="00E72E06" w:rsidP="00E72E06">
      <w:pPr>
        <w:spacing w:line="360" w:lineRule="auto"/>
        <w:ind w:left="360"/>
        <w:jc w:val="both"/>
        <w:rPr>
          <w:rFonts w:ascii="David" w:eastAsia="David" w:hAnsi="David"/>
          <w:u w:val="single"/>
          <w:rtl/>
        </w:rPr>
      </w:pPr>
      <w:r w:rsidRPr="00036D6C">
        <w:rPr>
          <w:rFonts w:ascii="David" w:eastAsia="David" w:hAnsi="David"/>
          <w:u w:val="single"/>
          <w:rtl/>
        </w:rPr>
        <w:t>עיקר טיעוני ההגנה לעונש</w:t>
      </w:r>
    </w:p>
    <w:p w:rsidR="00E72E06" w:rsidRPr="009B6685" w:rsidRDefault="00E72E06" w:rsidP="00E72E06">
      <w:pPr>
        <w:spacing w:line="360" w:lineRule="auto"/>
        <w:ind w:left="360"/>
        <w:jc w:val="both"/>
        <w:rPr>
          <w:rFonts w:ascii="David" w:eastAsia="David" w:hAnsi="David"/>
          <w:b/>
          <w:bCs/>
          <w:sz w:val="10"/>
          <w:szCs w:val="10"/>
          <w:u w:val="single"/>
        </w:rPr>
      </w:pPr>
    </w:p>
    <w:p w:rsidR="00E72E06" w:rsidRPr="009B6685" w:rsidRDefault="00E72E06" w:rsidP="00E72E06">
      <w:pPr>
        <w:numPr>
          <w:ilvl w:val="0"/>
          <w:numId w:val="1"/>
        </w:numPr>
        <w:spacing w:after="160" w:line="360" w:lineRule="auto"/>
        <w:contextualSpacing/>
        <w:jc w:val="both"/>
        <w:rPr>
          <w:rFonts w:ascii="David" w:eastAsia="Calibri" w:hAnsi="David"/>
        </w:rPr>
      </w:pPr>
      <w:r w:rsidRPr="009B6685">
        <w:rPr>
          <w:rFonts w:ascii="David" w:eastAsia="Calibri" w:hAnsi="David"/>
          <w:rtl/>
        </w:rPr>
        <w:t xml:space="preserve">ב"כ הנאשם הפנה להודאתו המידית של הנאשם, לחיסכון בשמיעת </w:t>
      </w:r>
      <w:r>
        <w:rPr>
          <w:rFonts w:ascii="David" w:eastAsia="Calibri" w:hAnsi="David" w:hint="cs"/>
          <w:rtl/>
        </w:rPr>
        <w:t>ה</w:t>
      </w:r>
      <w:r w:rsidRPr="009B6685">
        <w:rPr>
          <w:rFonts w:ascii="David" w:eastAsia="Calibri" w:hAnsi="David"/>
          <w:rtl/>
        </w:rPr>
        <w:t xml:space="preserve">עדים ובזמן שיפוטי יקר. עוד הפנה לנסיבותיו האישות של הנאשם, בין היתר, היותו נשוי ואב לארבעה ילדים, למצבו הבריאותי של בנו השוהה בבית חולים בעקבות </w:t>
      </w:r>
      <w:r>
        <w:rPr>
          <w:rFonts w:ascii="David" w:eastAsia="Calibri" w:hAnsi="David"/>
          <w:rtl/>
        </w:rPr>
        <w:t>תאונה קשה, ולע</w:t>
      </w:r>
      <w:r>
        <w:rPr>
          <w:rFonts w:ascii="David" w:eastAsia="Calibri" w:hAnsi="David" w:hint="cs"/>
          <w:rtl/>
        </w:rPr>
        <w:t>ובדה ש</w:t>
      </w:r>
      <w:r>
        <w:rPr>
          <w:rFonts w:ascii="David" w:eastAsia="Calibri" w:hAnsi="David"/>
          <w:rtl/>
        </w:rPr>
        <w:t>גדל בבית עם אב</w:t>
      </w:r>
      <w:r w:rsidRPr="009B6685">
        <w:rPr>
          <w:rFonts w:ascii="David" w:eastAsia="Calibri" w:hAnsi="David"/>
          <w:rtl/>
        </w:rPr>
        <w:t xml:space="preserve"> </w:t>
      </w:r>
      <w:r>
        <w:rPr>
          <w:rFonts w:ascii="David" w:eastAsia="Calibri" w:hAnsi="David" w:hint="cs"/>
          <w:rtl/>
        </w:rPr>
        <w:t xml:space="preserve"> עבריין </w:t>
      </w:r>
      <w:r w:rsidRPr="009B6685">
        <w:rPr>
          <w:rFonts w:ascii="David" w:eastAsia="Calibri" w:hAnsi="David"/>
          <w:rtl/>
        </w:rPr>
        <w:t xml:space="preserve">מכור לסמים והימורים. ביקש להתחשב בתקופה הארוכה בה הנאשם נתון במעצר עד תום ההליכים </w:t>
      </w:r>
      <w:r>
        <w:rPr>
          <w:rFonts w:ascii="David" w:eastAsia="Calibri" w:hAnsi="David" w:hint="cs"/>
          <w:rtl/>
        </w:rPr>
        <w:t xml:space="preserve"> והדגיש את העובדה ש</w:t>
      </w:r>
      <w:r w:rsidRPr="009B6685">
        <w:rPr>
          <w:rFonts w:ascii="David" w:eastAsia="Calibri" w:hAnsi="David"/>
          <w:rtl/>
        </w:rPr>
        <w:t>תנאי מעצר קשים מתנאי מאסר</w:t>
      </w:r>
      <w:r>
        <w:rPr>
          <w:rFonts w:ascii="David" w:eastAsia="Calibri" w:hAnsi="David" w:hint="cs"/>
          <w:rtl/>
        </w:rPr>
        <w:t xml:space="preserve"> כן הפנה ל</w:t>
      </w:r>
      <w:r w:rsidRPr="009B6685">
        <w:rPr>
          <w:rFonts w:ascii="David" w:eastAsia="Calibri" w:hAnsi="David"/>
          <w:rtl/>
        </w:rPr>
        <w:t xml:space="preserve">קשיים אותם עבר עת אמו קיבלה אירוע מוחי בזמן שהותו במעצר </w:t>
      </w:r>
      <w:r>
        <w:rPr>
          <w:rFonts w:ascii="David" w:eastAsia="Calibri" w:hAnsi="David" w:hint="cs"/>
          <w:rtl/>
        </w:rPr>
        <w:t xml:space="preserve"> והעובדה שלא נכח</w:t>
      </w:r>
      <w:r w:rsidRPr="009B6685">
        <w:rPr>
          <w:rFonts w:ascii="David" w:eastAsia="Calibri" w:hAnsi="David"/>
          <w:rtl/>
        </w:rPr>
        <w:t xml:space="preserve"> </w:t>
      </w:r>
      <w:r>
        <w:rPr>
          <w:rFonts w:ascii="David" w:eastAsia="Calibri" w:hAnsi="David"/>
          <w:rtl/>
        </w:rPr>
        <w:t>בחתונת אחותו</w:t>
      </w:r>
      <w:r w:rsidRPr="009B6685">
        <w:rPr>
          <w:rFonts w:ascii="David" w:eastAsia="Calibri" w:hAnsi="David"/>
          <w:rtl/>
        </w:rPr>
        <w:t>. עוד הפנה לחוות דעת שב"ס ממנה ניתן ללמוד על התנהגותו הטובה, ו</w:t>
      </w:r>
      <w:r>
        <w:rPr>
          <w:rFonts w:ascii="David" w:eastAsia="Calibri" w:hAnsi="David" w:hint="cs"/>
          <w:rtl/>
        </w:rPr>
        <w:t>ל</w:t>
      </w:r>
      <w:r w:rsidRPr="009B6685">
        <w:rPr>
          <w:rFonts w:ascii="David" w:eastAsia="Calibri" w:hAnsi="David"/>
          <w:rtl/>
        </w:rPr>
        <w:t>מכתב מבית חם ממנו עולה כי הנאשם עושה מאמצים לשקם את חייו. לגבי נסיבות ביצוע העבירות, ציין כי</w:t>
      </w:r>
      <w:r>
        <w:rPr>
          <w:rFonts w:ascii="David" w:eastAsia="Calibri" w:hAnsi="David"/>
          <w:rtl/>
        </w:rPr>
        <w:t xml:space="preserve"> מדובר ברף חומרה נמוך ביחס ל</w:t>
      </w:r>
      <w:r>
        <w:rPr>
          <w:rFonts w:ascii="David" w:eastAsia="Calibri" w:hAnsi="David" w:hint="cs"/>
          <w:rtl/>
        </w:rPr>
        <w:t xml:space="preserve">משקל הסם. </w:t>
      </w:r>
      <w:r w:rsidRPr="009B6685">
        <w:rPr>
          <w:rFonts w:ascii="David" w:eastAsia="Calibri" w:hAnsi="David"/>
          <w:rtl/>
        </w:rPr>
        <w:t>בכל הקשור לנוכחות</w:t>
      </w:r>
      <w:r>
        <w:rPr>
          <w:rFonts w:ascii="David" w:eastAsia="Calibri" w:hAnsi="David" w:hint="cs"/>
          <w:rtl/>
        </w:rPr>
        <w:t>ה</w:t>
      </w:r>
      <w:r w:rsidRPr="009B6685">
        <w:rPr>
          <w:rFonts w:ascii="David" w:eastAsia="Calibri" w:hAnsi="David"/>
          <w:rtl/>
        </w:rPr>
        <w:t xml:space="preserve"> של הקטינה</w:t>
      </w:r>
      <w:r>
        <w:rPr>
          <w:rFonts w:ascii="David" w:eastAsia="Calibri" w:hAnsi="David"/>
          <w:rtl/>
        </w:rPr>
        <w:t xml:space="preserve">, </w:t>
      </w:r>
      <w:r>
        <w:rPr>
          <w:rFonts w:ascii="David" w:eastAsia="Calibri" w:hAnsi="David" w:hint="cs"/>
          <w:rtl/>
        </w:rPr>
        <w:t xml:space="preserve">טען </w:t>
      </w:r>
      <w:r w:rsidRPr="009B6685">
        <w:rPr>
          <w:rFonts w:ascii="David" w:eastAsia="Calibri" w:hAnsi="David"/>
          <w:rtl/>
        </w:rPr>
        <w:t xml:space="preserve">כי אין </w:t>
      </w:r>
      <w:r>
        <w:rPr>
          <w:rFonts w:ascii="David" w:eastAsia="Calibri" w:hAnsi="David" w:hint="cs"/>
          <w:rtl/>
        </w:rPr>
        <w:t>בדבר כדי להוות נסיבה מחמירה מהטעם,</w:t>
      </w:r>
      <w:r w:rsidRPr="009B6685">
        <w:rPr>
          <w:rFonts w:ascii="David" w:eastAsia="Calibri" w:hAnsi="David"/>
          <w:rtl/>
        </w:rPr>
        <w:t xml:space="preserve"> </w:t>
      </w:r>
      <w:r>
        <w:rPr>
          <w:rFonts w:ascii="David" w:eastAsia="Calibri" w:hAnsi="David" w:hint="cs"/>
          <w:rtl/>
        </w:rPr>
        <w:t>שלא ניתן ללמוד מ</w:t>
      </w:r>
      <w:r w:rsidRPr="009B6685">
        <w:rPr>
          <w:rFonts w:ascii="David" w:eastAsia="Calibri" w:hAnsi="David"/>
          <w:rtl/>
        </w:rPr>
        <w:t xml:space="preserve">כתב האישום על </w:t>
      </w:r>
      <w:r>
        <w:rPr>
          <w:rFonts w:ascii="David" w:eastAsia="Calibri" w:hAnsi="David" w:hint="cs"/>
          <w:rtl/>
        </w:rPr>
        <w:t>טיב הקשר עם הקטינה, על מעורבותה או חשיפתה לעסקה, ואין להניח דבר לחובתו של הנאשם בהקשר זה</w:t>
      </w:r>
      <w:r w:rsidRPr="009B6685">
        <w:rPr>
          <w:rFonts w:ascii="David" w:eastAsia="Calibri" w:hAnsi="David"/>
          <w:rtl/>
        </w:rPr>
        <w:t>. עוד ציין כי בב</w:t>
      </w:r>
      <w:r>
        <w:rPr>
          <w:rFonts w:ascii="David" w:eastAsia="Calibri" w:hAnsi="David" w:hint="cs"/>
          <w:rtl/>
        </w:rPr>
        <w:t>י</w:t>
      </w:r>
      <w:r w:rsidRPr="009B6685">
        <w:rPr>
          <w:rFonts w:ascii="David" w:eastAsia="Calibri" w:hAnsi="David"/>
          <w:rtl/>
        </w:rPr>
        <w:t xml:space="preserve">תו של הנאשם </w:t>
      </w:r>
      <w:r>
        <w:rPr>
          <w:rFonts w:ascii="David" w:eastAsia="Calibri" w:hAnsi="David"/>
          <w:rtl/>
        </w:rPr>
        <w:t>לא נתפסו כספים או סמים, כך, ש</w:t>
      </w:r>
      <w:r>
        <w:rPr>
          <w:rFonts w:ascii="David" w:eastAsia="Calibri" w:hAnsi="David" w:hint="cs"/>
          <w:rtl/>
        </w:rPr>
        <w:t xml:space="preserve">לא מדובר במי שמצוי בשלב </w:t>
      </w:r>
      <w:r w:rsidRPr="009B6685">
        <w:rPr>
          <w:rFonts w:ascii="David" w:eastAsia="Calibri" w:hAnsi="David"/>
          <w:rtl/>
        </w:rPr>
        <w:t xml:space="preserve">גבוה בשרשרת הסמים. באשר למדיניות הענישה, הפנה לפסיקה רלוונטית, </w:t>
      </w:r>
      <w:r>
        <w:rPr>
          <w:rFonts w:ascii="David" w:eastAsia="Calibri" w:hAnsi="David" w:hint="cs"/>
          <w:rtl/>
        </w:rPr>
        <w:t>ו</w:t>
      </w:r>
      <w:r w:rsidRPr="009B6685">
        <w:rPr>
          <w:rFonts w:ascii="David" w:eastAsia="Calibri" w:hAnsi="David"/>
          <w:rtl/>
        </w:rPr>
        <w:t>ביקש לראות בכלל האירועים כאירוע אחד שכן מדובר בעבירות שנעברו באותן נסיבות עם אותו סוכן משטרתי</w:t>
      </w:r>
      <w:r>
        <w:rPr>
          <w:rFonts w:ascii="David" w:eastAsia="Calibri" w:hAnsi="David" w:hint="cs"/>
          <w:rtl/>
        </w:rPr>
        <w:t xml:space="preserve">. </w:t>
      </w:r>
      <w:r w:rsidRPr="009B6685">
        <w:rPr>
          <w:rFonts w:ascii="David" w:eastAsia="Calibri" w:hAnsi="David"/>
          <w:rtl/>
        </w:rPr>
        <w:t>ביקש לקבוע מתחם עונש הולם אחד החל מ- 8 ועד 20 חודשי מאסר בפועל, ולמקם את עונשו של הנאשם במרכז של המתחם בניכוי ימי מעצרו. באשר למאסר המותנה, ביקש שיופעל בחופף, או לחילופין שחלק נכבד</w:t>
      </w:r>
      <w:r>
        <w:rPr>
          <w:rFonts w:ascii="David" w:eastAsia="Calibri" w:hAnsi="David" w:hint="cs"/>
          <w:rtl/>
        </w:rPr>
        <w:t xml:space="preserve"> ממנו יופעל באופן </w:t>
      </w:r>
      <w:r w:rsidRPr="009B6685">
        <w:rPr>
          <w:rFonts w:ascii="David" w:eastAsia="Calibri" w:hAnsi="David"/>
          <w:rtl/>
        </w:rPr>
        <w:t xml:space="preserve">חופף. בכל הקשור לרכיב הקנס, ביקש להתחשב במצבו הכלכלי הקשה והעובדה כי בסופו של יום הקנס יוטל על כתפי אשתו של הנאשם המגדלת </w:t>
      </w:r>
      <w:r>
        <w:rPr>
          <w:rFonts w:ascii="David" w:eastAsia="Calibri" w:hAnsi="David" w:hint="cs"/>
          <w:rtl/>
        </w:rPr>
        <w:t xml:space="preserve">את </w:t>
      </w:r>
      <w:r>
        <w:rPr>
          <w:rFonts w:ascii="David" w:eastAsia="Calibri" w:hAnsi="David"/>
          <w:rtl/>
        </w:rPr>
        <w:t>ארבע</w:t>
      </w:r>
      <w:r>
        <w:rPr>
          <w:rFonts w:ascii="David" w:eastAsia="Calibri" w:hAnsi="David" w:hint="cs"/>
          <w:rtl/>
        </w:rPr>
        <w:t>ת</w:t>
      </w:r>
      <w:r w:rsidRPr="009B6685">
        <w:rPr>
          <w:rFonts w:ascii="David" w:eastAsia="Calibri" w:hAnsi="David"/>
          <w:rtl/>
        </w:rPr>
        <w:t xml:space="preserve"> ילד</w:t>
      </w:r>
      <w:r>
        <w:rPr>
          <w:rFonts w:ascii="David" w:eastAsia="Calibri" w:hAnsi="David" w:hint="cs"/>
          <w:rtl/>
        </w:rPr>
        <w:t>יה</w:t>
      </w:r>
      <w:r w:rsidRPr="009B6685">
        <w:rPr>
          <w:rFonts w:ascii="David" w:eastAsia="Calibri" w:hAnsi="David"/>
          <w:rtl/>
        </w:rPr>
        <w:t>ם.</w:t>
      </w:r>
    </w:p>
    <w:p w:rsidR="00E72E06" w:rsidRPr="00036D6C" w:rsidRDefault="00E72E06" w:rsidP="00E72E06">
      <w:pPr>
        <w:spacing w:line="360" w:lineRule="auto"/>
        <w:contextualSpacing/>
        <w:jc w:val="both"/>
        <w:rPr>
          <w:rFonts w:ascii="David" w:eastAsia="Calibri" w:hAnsi="David"/>
          <w:sz w:val="14"/>
          <w:szCs w:val="14"/>
        </w:rPr>
      </w:pPr>
    </w:p>
    <w:p w:rsidR="00E72E06" w:rsidRPr="009762AD" w:rsidRDefault="00E72E06" w:rsidP="00E72E06">
      <w:pPr>
        <w:pStyle w:val="ListParagraph"/>
        <w:numPr>
          <w:ilvl w:val="0"/>
          <w:numId w:val="1"/>
        </w:numPr>
        <w:spacing w:line="360" w:lineRule="auto"/>
        <w:jc w:val="both"/>
        <w:rPr>
          <w:rFonts w:ascii="David" w:eastAsia="Calibri" w:hAnsi="David"/>
          <w:sz w:val="4"/>
          <w:szCs w:val="4"/>
        </w:rPr>
      </w:pPr>
      <w:r w:rsidRPr="009762AD">
        <w:rPr>
          <w:rFonts w:ascii="David" w:eastAsia="Calibri" w:hAnsi="David"/>
          <w:rtl/>
        </w:rPr>
        <w:t>הגב' רותם ממן, אשתו של הנאשם, הפנתה למצבו הקשה של בנם אשר עבר תאונת אופנוע קשה. הדגישה את רצונו של הנאשם לעשות שינוי, והביעה מוכנות</w:t>
      </w:r>
      <w:r>
        <w:rPr>
          <w:rFonts w:ascii="David" w:eastAsia="Calibri" w:hAnsi="David" w:hint="cs"/>
          <w:rtl/>
        </w:rPr>
        <w:t xml:space="preserve"> ורצון</w:t>
      </w:r>
      <w:r w:rsidRPr="009762AD">
        <w:rPr>
          <w:rFonts w:ascii="David" w:eastAsia="Calibri" w:hAnsi="David"/>
          <w:rtl/>
        </w:rPr>
        <w:t xml:space="preserve"> לעזור לו. ציינה כי היא אישה עובדת אשר מנהלת אורח חיים נורמטיבי. ביקשה להתחשב בנאשם, ולהחזירו לחיק משפחתו, </w:t>
      </w:r>
      <w:r>
        <w:rPr>
          <w:rFonts w:ascii="David" w:eastAsia="Calibri" w:hAnsi="David" w:hint="cs"/>
          <w:rtl/>
        </w:rPr>
        <w:t>ל</w:t>
      </w:r>
      <w:r w:rsidRPr="009762AD">
        <w:rPr>
          <w:rFonts w:ascii="David" w:eastAsia="Calibri" w:hAnsi="David"/>
          <w:rtl/>
        </w:rPr>
        <w:t>ילדיו ו</w:t>
      </w:r>
      <w:r>
        <w:rPr>
          <w:rFonts w:ascii="David" w:eastAsia="Calibri" w:hAnsi="David" w:hint="cs"/>
          <w:rtl/>
        </w:rPr>
        <w:t xml:space="preserve">לאורח </w:t>
      </w:r>
      <w:r w:rsidRPr="009762AD">
        <w:rPr>
          <w:rFonts w:ascii="David" w:eastAsia="Calibri" w:hAnsi="David"/>
          <w:rtl/>
        </w:rPr>
        <w:t>חיים נורמטיבי.</w:t>
      </w:r>
    </w:p>
    <w:p w:rsidR="00E72E06" w:rsidRPr="009B6685" w:rsidRDefault="00E72E06" w:rsidP="00E72E06">
      <w:pPr>
        <w:spacing w:line="360" w:lineRule="auto"/>
        <w:contextualSpacing/>
        <w:jc w:val="both"/>
        <w:rPr>
          <w:rFonts w:ascii="David" w:eastAsia="Calibri" w:hAnsi="David"/>
          <w:sz w:val="4"/>
          <w:szCs w:val="4"/>
        </w:rPr>
      </w:pPr>
      <w:r w:rsidRPr="009B6685">
        <w:rPr>
          <w:rFonts w:ascii="David" w:eastAsia="Calibri" w:hAnsi="David"/>
          <w:rtl/>
        </w:rPr>
        <w:t xml:space="preserve">  </w:t>
      </w:r>
    </w:p>
    <w:p w:rsidR="00E72E06" w:rsidRPr="00E436C7" w:rsidRDefault="00E72E06" w:rsidP="00E72E06">
      <w:pPr>
        <w:spacing w:after="160" w:line="252" w:lineRule="auto"/>
        <w:ind w:left="720"/>
        <w:contextualSpacing/>
        <w:rPr>
          <w:rFonts w:ascii="David" w:eastAsia="Calibri" w:hAnsi="David"/>
          <w:sz w:val="2"/>
          <w:szCs w:val="2"/>
        </w:rPr>
      </w:pPr>
    </w:p>
    <w:p w:rsidR="00E72E06" w:rsidRPr="009762AD" w:rsidRDefault="00E72E06" w:rsidP="00E72E06">
      <w:pPr>
        <w:pStyle w:val="ListParagraph"/>
        <w:numPr>
          <w:ilvl w:val="0"/>
          <w:numId w:val="1"/>
        </w:numPr>
        <w:spacing w:line="360" w:lineRule="auto"/>
        <w:jc w:val="both"/>
        <w:rPr>
          <w:rFonts w:ascii="David" w:eastAsia="Calibri" w:hAnsi="David"/>
          <w:rtl/>
        </w:rPr>
      </w:pPr>
      <w:r w:rsidRPr="009762AD">
        <w:rPr>
          <w:rFonts w:ascii="David" w:eastAsia="Calibri" w:hAnsi="David"/>
          <w:rtl/>
        </w:rPr>
        <w:t>הנאשם עצמו הצטער</w:t>
      </w:r>
      <w:r>
        <w:rPr>
          <w:rFonts w:ascii="David" w:eastAsia="Calibri" w:hAnsi="David" w:hint="cs"/>
          <w:rtl/>
        </w:rPr>
        <w:t xml:space="preserve"> על מעשיו</w:t>
      </w:r>
      <w:r w:rsidRPr="009762AD">
        <w:rPr>
          <w:rFonts w:ascii="David" w:eastAsia="Calibri" w:hAnsi="David"/>
          <w:rtl/>
        </w:rPr>
        <w:t xml:space="preserve"> , קיבל אחריות </w:t>
      </w:r>
      <w:r>
        <w:rPr>
          <w:rFonts w:ascii="David" w:eastAsia="Calibri" w:hAnsi="David" w:hint="cs"/>
          <w:rtl/>
        </w:rPr>
        <w:t xml:space="preserve">עליהם, וציין כי הוא </w:t>
      </w:r>
      <w:r w:rsidRPr="009762AD">
        <w:rPr>
          <w:rFonts w:ascii="David" w:eastAsia="Calibri" w:hAnsi="David"/>
          <w:rtl/>
        </w:rPr>
        <w:t xml:space="preserve">חש בושה </w:t>
      </w:r>
      <w:r>
        <w:rPr>
          <w:rFonts w:ascii="David" w:eastAsia="Calibri" w:hAnsi="David" w:hint="cs"/>
          <w:rtl/>
        </w:rPr>
        <w:t xml:space="preserve"> על ביצוע</w:t>
      </w:r>
      <w:r w:rsidRPr="009762AD">
        <w:rPr>
          <w:rFonts w:ascii="David" w:eastAsia="Calibri" w:hAnsi="David"/>
          <w:rtl/>
        </w:rPr>
        <w:t xml:space="preserve"> העבירות. </w:t>
      </w:r>
    </w:p>
    <w:p w:rsidR="00E72E06" w:rsidRPr="009B6685" w:rsidRDefault="00E72E06" w:rsidP="00E72E06">
      <w:pPr>
        <w:spacing w:line="360" w:lineRule="auto"/>
        <w:ind w:left="720"/>
        <w:contextualSpacing/>
        <w:jc w:val="both"/>
        <w:rPr>
          <w:rFonts w:ascii="David" w:eastAsia="Calibri" w:hAnsi="David"/>
          <w:sz w:val="12"/>
          <w:szCs w:val="12"/>
        </w:rPr>
      </w:pPr>
    </w:p>
    <w:p w:rsidR="00E72E06" w:rsidRPr="00E436C7" w:rsidRDefault="00E72E06" w:rsidP="00E72E06">
      <w:pPr>
        <w:spacing w:line="360" w:lineRule="auto"/>
        <w:ind w:left="720"/>
        <w:contextualSpacing/>
        <w:jc w:val="both"/>
        <w:rPr>
          <w:rFonts w:ascii="David" w:eastAsia="David" w:hAnsi="David"/>
          <w:b/>
          <w:bCs/>
          <w:sz w:val="2"/>
          <w:szCs w:val="2"/>
          <w:u w:val="single"/>
          <w:rtl/>
        </w:rPr>
      </w:pPr>
    </w:p>
    <w:p w:rsidR="00E72E06" w:rsidRPr="00E436C7" w:rsidRDefault="00E72E06" w:rsidP="00E72E06">
      <w:pPr>
        <w:spacing w:after="160" w:line="360" w:lineRule="auto"/>
        <w:ind w:left="391"/>
        <w:contextualSpacing/>
        <w:jc w:val="both"/>
        <w:rPr>
          <w:rFonts w:ascii="David" w:eastAsia="David" w:hAnsi="David"/>
          <w:u w:val="single"/>
        </w:rPr>
      </w:pPr>
      <w:r w:rsidRPr="00E436C7">
        <w:rPr>
          <w:rFonts w:ascii="David" w:eastAsia="David" w:hAnsi="David"/>
          <w:u w:val="single"/>
          <w:rtl/>
        </w:rPr>
        <w:t>דיון</w:t>
      </w:r>
    </w:p>
    <w:p w:rsidR="00E72E06" w:rsidRPr="00E436C7" w:rsidRDefault="00E72E06" w:rsidP="00E72E06">
      <w:pPr>
        <w:spacing w:after="160" w:line="360" w:lineRule="auto"/>
        <w:ind w:firstLine="360"/>
        <w:jc w:val="both"/>
        <w:rPr>
          <w:rFonts w:ascii="David" w:eastAsia="David" w:hAnsi="David"/>
          <w:u w:val="single"/>
          <w:rtl/>
        </w:rPr>
      </w:pPr>
      <w:r w:rsidRPr="00E436C7">
        <w:rPr>
          <w:rFonts w:ascii="David" w:eastAsia="David" w:hAnsi="David"/>
          <w:u w:val="single"/>
          <w:rtl/>
        </w:rPr>
        <w:t>קביעת מתחם העונש ההולם</w:t>
      </w:r>
    </w:p>
    <w:p w:rsidR="00E72E06" w:rsidRPr="009B6685" w:rsidRDefault="006936F8" w:rsidP="00E72E06">
      <w:pPr>
        <w:numPr>
          <w:ilvl w:val="0"/>
          <w:numId w:val="1"/>
        </w:numPr>
        <w:spacing w:after="160" w:line="360" w:lineRule="auto"/>
        <w:ind w:left="720"/>
        <w:contextualSpacing/>
        <w:jc w:val="both"/>
        <w:rPr>
          <w:rFonts w:ascii="David" w:hAnsi="David"/>
          <w:b/>
          <w:bCs/>
          <w:u w:val="single"/>
        </w:rPr>
      </w:pPr>
      <w:hyperlink r:id="rId24" w:history="1">
        <w:r w:rsidRPr="006936F8">
          <w:rPr>
            <w:rStyle w:val="Hyperlink"/>
            <w:rFonts w:ascii="David" w:eastAsia="David" w:hAnsi="David"/>
            <w:color w:val="0000FF"/>
            <w:rtl/>
          </w:rPr>
          <w:t>פרק ו'</w:t>
        </w:r>
      </w:hyperlink>
      <w:r w:rsidR="00E72E06" w:rsidRPr="009B6685">
        <w:rPr>
          <w:rFonts w:ascii="David" w:eastAsia="David" w:hAnsi="David"/>
          <w:rtl/>
        </w:rPr>
        <w:t xml:space="preserve"> סימן א' 1  ל</w:t>
      </w:r>
      <w:hyperlink r:id="rId25" w:history="1">
        <w:r w:rsidR="00125FD0" w:rsidRPr="00125FD0">
          <w:rPr>
            <w:rFonts w:ascii="David" w:eastAsia="David" w:hAnsi="David"/>
            <w:color w:val="0000FF"/>
            <w:u w:val="single"/>
            <w:rtl/>
          </w:rPr>
          <w:t>חוק העונשין</w:t>
        </w:r>
      </w:hyperlink>
      <w:r w:rsidR="00E72E06" w:rsidRPr="009B6685">
        <w:rPr>
          <w:rFonts w:ascii="David" w:eastAsia="David" w:hAnsi="David"/>
          <w:rtl/>
        </w:rPr>
        <w:t xml:space="preserve"> דן בהבניית שיפוט הדעת השיפוטי בענישה (סעיפים 40א-טו) וקובע  בין היתר, כי העיקרון המנחה בגזירת הדין הינו עקרון ההלימה, קרי קיומו של יחס הולם בין חומרת מעשה העבירה בנסיבותיו ומידת האשמה של הנאשם ובין סוג ומידת העונש המוטלים עליו. ראשון השיקולים הוא הלימה ואחריו שיקום, הגנה על שלום הציבור, הרתעה אישית והרתעת הרבים. בשלב ראשון יש לקבוע את מתחם העונש ההולם, אשר נגזר מחומרת העבירה ונסיבות ביצועהּ, הערך החברתי עליו יש להגן, מידת הפגיעה בערך זה, ומדיניות הענישה הנהוגה ביחס לאותה עבירה. </w:t>
      </w:r>
    </w:p>
    <w:p w:rsidR="00E72E06" w:rsidRPr="00A945BD" w:rsidRDefault="00E72E06" w:rsidP="00E72E06">
      <w:pPr>
        <w:shd w:val="clear" w:color="auto" w:fill="FFFFFF"/>
        <w:spacing w:after="160" w:line="360" w:lineRule="auto"/>
        <w:ind w:left="720"/>
        <w:contextualSpacing/>
        <w:jc w:val="both"/>
        <w:rPr>
          <w:rFonts w:ascii="David" w:eastAsia="David" w:hAnsi="David"/>
          <w:b/>
          <w:bCs/>
          <w:sz w:val="12"/>
          <w:szCs w:val="12"/>
          <w:u w:val="single"/>
          <w:rtl/>
        </w:rPr>
      </w:pPr>
    </w:p>
    <w:p w:rsidR="00E72E06" w:rsidRPr="009B6685" w:rsidRDefault="00E72E06" w:rsidP="00E72E06">
      <w:pPr>
        <w:shd w:val="clear" w:color="auto" w:fill="FFFFFF"/>
        <w:spacing w:after="160" w:line="360" w:lineRule="auto"/>
        <w:ind w:left="391"/>
        <w:contextualSpacing/>
        <w:jc w:val="both"/>
        <w:rPr>
          <w:rFonts w:ascii="David" w:eastAsia="Calibri" w:hAnsi="David"/>
        </w:rPr>
      </w:pPr>
      <w:r w:rsidRPr="009B6685">
        <w:rPr>
          <w:rFonts w:ascii="David" w:eastAsia="David" w:hAnsi="David"/>
          <w:b/>
          <w:bCs/>
          <w:u w:val="single"/>
          <w:rtl/>
        </w:rPr>
        <w:t>הערכים החברתיים עליהם יש להגן</w:t>
      </w:r>
    </w:p>
    <w:p w:rsidR="00E72E06" w:rsidRPr="00E436C7" w:rsidRDefault="00E72E06" w:rsidP="00E72E06">
      <w:pPr>
        <w:shd w:val="clear" w:color="auto" w:fill="FFFFFF"/>
        <w:spacing w:after="160" w:line="360" w:lineRule="auto"/>
        <w:ind w:left="391"/>
        <w:contextualSpacing/>
        <w:jc w:val="both"/>
        <w:rPr>
          <w:rFonts w:ascii="David" w:eastAsia="Calibri" w:hAnsi="David"/>
          <w:sz w:val="8"/>
          <w:szCs w:val="8"/>
          <w:rtl/>
        </w:rPr>
      </w:pPr>
    </w:p>
    <w:p w:rsidR="00E72E06" w:rsidRPr="009B6685" w:rsidRDefault="00E72E06" w:rsidP="00E72E06">
      <w:pPr>
        <w:numPr>
          <w:ilvl w:val="0"/>
          <w:numId w:val="1"/>
        </w:numPr>
        <w:spacing w:before="240" w:after="240" w:line="360" w:lineRule="auto"/>
        <w:contextualSpacing/>
        <w:jc w:val="both"/>
        <w:rPr>
          <w:rFonts w:ascii="David" w:hAnsi="David"/>
          <w:rtl/>
        </w:rPr>
      </w:pPr>
      <w:r w:rsidRPr="009B6685">
        <w:rPr>
          <w:rFonts w:ascii="David" w:hAnsi="David"/>
          <w:rtl/>
        </w:rPr>
        <w:t xml:space="preserve">עבירות הסמים ובפרט עבירות הסחר, הייבוא והייצור, פוגעות בערכים החברתיים של הגנה על שלום הציבור, ביטחונו ובריאותו מפני הפגיעה ההרסנית הכרוכה בשימוש באותם סמים. בנוסף יש צורך לפעול למניעת אותם נזקים כלכליים וחברתיים עקיפים הנגרמים עקב השימוש באותם סמים. ההלכה הפסוקה עמדה על ההכרח להיאבק בנגע הסמים ועל הצורך להעביר מסר מרתיע מפני ביצוע עבירות אלה, בין היתר על-ידי הטלת עונשים מחמירים על מי שנותן ידו להפיכת הסמים לזמינים ונגישים. בית המשפט העליון עמד פעמים רבות על חומרתן היתרה של עבירות הסמים, ועל ההשלכות הקשות שיש לשימוש בסם על גופו ועל נפשו של המשתמש. ראו בעניין זה </w:t>
      </w:r>
      <w:hyperlink r:id="rId26" w:history="1">
        <w:r w:rsidR="00125FD0" w:rsidRPr="00125FD0">
          <w:rPr>
            <w:rFonts w:ascii="David" w:hAnsi="David"/>
            <w:b/>
            <w:bCs/>
            <w:color w:val="0000FF"/>
            <w:u w:val="single"/>
            <w:rtl/>
          </w:rPr>
          <w:t>ע"פ 6029/03</w:t>
        </w:r>
      </w:hyperlink>
      <w:r w:rsidRPr="009B6685">
        <w:rPr>
          <w:rFonts w:ascii="David" w:hAnsi="David"/>
          <w:b/>
          <w:bCs/>
          <w:rtl/>
        </w:rPr>
        <w:t xml:space="preserve"> </w:t>
      </w:r>
      <w:r w:rsidRPr="009B6685">
        <w:rPr>
          <w:rFonts w:ascii="David" w:hAnsi="David" w:hint="cs"/>
          <w:b/>
          <w:bCs/>
          <w:u w:val="single"/>
          <w:rtl/>
        </w:rPr>
        <w:t>מדינת ישראל נ' שמאי</w:t>
      </w:r>
      <w:r w:rsidRPr="009B6685">
        <w:rPr>
          <w:rFonts w:ascii="David" w:hAnsi="David"/>
          <w:rtl/>
        </w:rPr>
        <w:t xml:space="preserve"> שם נקבע כי הענישה אמורה "</w:t>
      </w:r>
      <w:r w:rsidRPr="009B6685">
        <w:rPr>
          <w:rFonts w:ascii="David" w:hAnsi="David"/>
          <w:b/>
          <w:bCs/>
          <w:sz w:val="22"/>
          <w:szCs w:val="22"/>
          <w:rtl/>
        </w:rPr>
        <w:t>לשקף את הצורך הדוחק להביא להדברת הנגע</w:t>
      </w:r>
      <w:r w:rsidRPr="009B6685">
        <w:rPr>
          <w:rFonts w:ascii="David" w:hAnsi="David"/>
          <w:sz w:val="22"/>
          <w:szCs w:val="22"/>
          <w:rtl/>
        </w:rPr>
        <w:t>"</w:t>
      </w:r>
      <w:r w:rsidRPr="009B6685">
        <w:rPr>
          <w:rFonts w:ascii="David" w:hAnsi="David"/>
          <w:rtl/>
        </w:rPr>
        <w:t xml:space="preserve">, וכן </w:t>
      </w:r>
      <w:hyperlink r:id="rId27" w:history="1">
        <w:r w:rsidR="00125FD0" w:rsidRPr="00125FD0">
          <w:rPr>
            <w:rFonts w:ascii="David" w:hAnsi="David"/>
            <w:b/>
            <w:bCs/>
            <w:color w:val="0000FF"/>
            <w:u w:val="single"/>
            <w:rtl/>
          </w:rPr>
          <w:t>ע"פ 7952/15</w:t>
        </w:r>
      </w:hyperlink>
      <w:r w:rsidRPr="009B6685">
        <w:rPr>
          <w:rFonts w:ascii="David" w:hAnsi="David"/>
          <w:b/>
          <w:bCs/>
          <w:rtl/>
        </w:rPr>
        <w:t xml:space="preserve"> </w:t>
      </w:r>
      <w:r w:rsidRPr="009B6685">
        <w:rPr>
          <w:rFonts w:ascii="David" w:hAnsi="David" w:hint="cs"/>
          <w:b/>
          <w:bCs/>
          <w:u w:val="single"/>
          <w:rtl/>
        </w:rPr>
        <w:t>מדינת ישראל נ' שץ</w:t>
      </w:r>
      <w:r w:rsidRPr="009B6685">
        <w:rPr>
          <w:rFonts w:ascii="David" w:hAnsi="David" w:hint="cs"/>
          <w:b/>
          <w:bCs/>
          <w:rtl/>
        </w:rPr>
        <w:t xml:space="preserve"> </w:t>
      </w:r>
      <w:r w:rsidRPr="009B6685">
        <w:rPr>
          <w:rFonts w:ascii="David" w:hAnsi="David"/>
          <w:rtl/>
        </w:rPr>
        <w:t>שם נקבע: "</w:t>
      </w:r>
      <w:r w:rsidRPr="009B6685">
        <w:rPr>
          <w:rFonts w:ascii="David" w:hAnsi="David"/>
          <w:b/>
          <w:bCs/>
          <w:sz w:val="22"/>
          <w:szCs w:val="22"/>
          <w:rtl/>
        </w:rPr>
        <w:t xml:space="preserve">בית משפט זה עמד לא אחת על החומרה הרבה הטמונה בעבירות סחר והפצה של סמים, לא כל שכן סמים מסוכנים המוגדרים 'קשים' (ראו למשל: </w:t>
      </w:r>
      <w:hyperlink r:id="rId28" w:history="1">
        <w:r w:rsidR="00125FD0" w:rsidRPr="00125FD0">
          <w:rPr>
            <w:rFonts w:ascii="David" w:hAnsi="David"/>
            <w:b/>
            <w:bCs/>
            <w:color w:val="0000FF"/>
            <w:sz w:val="22"/>
            <w:szCs w:val="22"/>
            <w:u w:val="single"/>
            <w:rtl/>
          </w:rPr>
          <w:t>ע"פ 6747/11</w:t>
        </w:r>
      </w:hyperlink>
      <w:r w:rsidRPr="009B6685">
        <w:rPr>
          <w:rFonts w:ascii="David" w:hAnsi="David"/>
          <w:b/>
          <w:bCs/>
          <w:sz w:val="22"/>
          <w:szCs w:val="22"/>
          <w:rtl/>
        </w:rPr>
        <w:t xml:space="preserve"> מדינת ישראל נ' אבו רקיק (3.1.2013)), ועל הצורך להיאבק בהן באמצעות ענישה משמעותית ומרתיעה (</w:t>
      </w:r>
      <w:hyperlink r:id="rId29" w:history="1">
        <w:r w:rsidR="00125FD0" w:rsidRPr="00125FD0">
          <w:rPr>
            <w:rFonts w:ascii="David" w:hAnsi="David"/>
            <w:b/>
            <w:bCs/>
            <w:color w:val="0000FF"/>
            <w:sz w:val="22"/>
            <w:szCs w:val="22"/>
            <w:u w:val="single"/>
            <w:rtl/>
          </w:rPr>
          <w:t>ע"פ 9482/09</w:t>
        </w:r>
      </w:hyperlink>
      <w:r w:rsidRPr="009B6685">
        <w:rPr>
          <w:rFonts w:ascii="David" w:hAnsi="David"/>
          <w:b/>
          <w:bCs/>
          <w:sz w:val="22"/>
          <w:szCs w:val="22"/>
          <w:rtl/>
        </w:rPr>
        <w:t xml:space="preserve"> ביטון נ' מדינת ישראל, פסקה 24 (24.7.2011)). זאת, לאור הנזק הרב שהן מסבות לא אך למשתמשים הישירים בסם, אלא לחברה כולה, הסובלת מעבירות רכוש ואלימות מצד העוסקים בסחר ומלקוחותיהם</w:t>
      </w:r>
      <w:r w:rsidRPr="009B6685">
        <w:rPr>
          <w:rFonts w:ascii="David" w:hAnsi="David"/>
          <w:sz w:val="22"/>
          <w:szCs w:val="22"/>
          <w:rtl/>
        </w:rPr>
        <w:t>".</w:t>
      </w:r>
      <w:r w:rsidRPr="009B6685">
        <w:rPr>
          <w:rFonts w:ascii="David" w:hAnsi="David"/>
          <w:rtl/>
        </w:rPr>
        <w:t>ראו בעניין זה דבריו של כב' השופט א. רובינשטיין ב</w:t>
      </w:r>
      <w:hyperlink r:id="rId30" w:history="1">
        <w:r w:rsidR="00125FD0" w:rsidRPr="00125FD0">
          <w:rPr>
            <w:rFonts w:ascii="David" w:hAnsi="David"/>
            <w:b/>
            <w:bCs/>
            <w:color w:val="0000FF"/>
            <w:u w:val="single"/>
            <w:rtl/>
          </w:rPr>
          <w:t>ע"פ 1345/08</w:t>
        </w:r>
      </w:hyperlink>
      <w:r w:rsidRPr="009B6685">
        <w:rPr>
          <w:rFonts w:ascii="David" w:hAnsi="David"/>
          <w:b/>
          <w:bCs/>
          <w:rtl/>
        </w:rPr>
        <w:t xml:space="preserve"> </w:t>
      </w:r>
      <w:r w:rsidRPr="009B6685">
        <w:rPr>
          <w:rFonts w:ascii="David" w:hAnsi="David" w:hint="cs"/>
          <w:b/>
          <w:bCs/>
          <w:u w:val="single"/>
          <w:rtl/>
        </w:rPr>
        <w:t>ארקדי איסטרחוב נ' מדינת ישראל</w:t>
      </w:r>
      <w:r w:rsidRPr="009B6685">
        <w:rPr>
          <w:rFonts w:ascii="David" w:hAnsi="David"/>
          <w:rtl/>
        </w:rPr>
        <w:t xml:space="preserve">: </w:t>
      </w:r>
      <w:r w:rsidRPr="009B6685">
        <w:rPr>
          <w:rFonts w:ascii="David" w:hAnsi="David"/>
          <w:b/>
          <w:bCs/>
          <w:rtl/>
        </w:rPr>
        <w:t>"</w:t>
      </w:r>
      <w:r w:rsidRPr="009B6685">
        <w:rPr>
          <w:rFonts w:ascii="David" w:hAnsi="David"/>
          <w:b/>
          <w:bCs/>
          <w:sz w:val="22"/>
          <w:szCs w:val="22"/>
          <w:rtl/>
        </w:rPr>
        <w:t>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עבירה זו היא תאומתה הסטטוטורית של עבירת הסחר בסמים, אלא שלא ניתן להוכיח לגביה את הסחר עצמו, ונקבע לשתיהן עונשה זהה, עונש מירבי של עשרים שנות מאסר וקנס פי עשרים וחמישה מזה הקבוע בסעיף 61(א)(4) ל</w:t>
      </w:r>
      <w:hyperlink r:id="rId31" w:history="1">
        <w:r w:rsidR="00125FD0" w:rsidRPr="00125FD0">
          <w:rPr>
            <w:rFonts w:ascii="David" w:hAnsi="David"/>
            <w:b/>
            <w:bCs/>
            <w:color w:val="0000FF"/>
            <w:sz w:val="22"/>
            <w:szCs w:val="22"/>
            <w:u w:val="single"/>
            <w:rtl/>
          </w:rPr>
          <w:t>חוק העונשין</w:t>
        </w:r>
      </w:hyperlink>
      <w:r w:rsidRPr="009B6685">
        <w:rPr>
          <w:rFonts w:ascii="David" w:hAnsi="David"/>
          <w:b/>
          <w:bCs/>
          <w:sz w:val="22"/>
          <w:szCs w:val="22"/>
          <w:rtl/>
        </w:rPr>
        <w:t>, העומד כיום על 202,000 ₪... יידעו המעורבים בסמים שלא לצריכה עצמית, כי יד המשפט תכבד עליהם".</w:t>
      </w:r>
      <w:r w:rsidRPr="009B6685">
        <w:rPr>
          <w:rFonts w:ascii="David" w:hAnsi="David"/>
          <w:b/>
          <w:bCs/>
          <w:rtl/>
        </w:rPr>
        <w:t xml:space="preserve"> </w:t>
      </w:r>
      <w:r w:rsidRPr="009B6685">
        <w:rPr>
          <w:rFonts w:ascii="David" w:hAnsi="David"/>
          <w:rtl/>
        </w:rPr>
        <w:t xml:space="preserve">וכן דברי כב' השופט א. רובינשטיין </w:t>
      </w:r>
      <w:r w:rsidRPr="009B6685">
        <w:rPr>
          <w:rFonts w:ascii="David" w:hAnsi="David"/>
          <w:b/>
          <w:bCs/>
          <w:rtl/>
        </w:rPr>
        <w:t>ב</w:t>
      </w:r>
      <w:hyperlink r:id="rId32" w:history="1">
        <w:r w:rsidR="00125FD0" w:rsidRPr="00125FD0">
          <w:rPr>
            <w:rFonts w:ascii="David" w:hAnsi="David"/>
            <w:b/>
            <w:bCs/>
            <w:color w:val="0000FF"/>
            <w:u w:val="single"/>
            <w:rtl/>
          </w:rPr>
          <w:t>ע"פ 972/11</w:t>
        </w:r>
      </w:hyperlink>
      <w:r w:rsidRPr="009B6685">
        <w:rPr>
          <w:rFonts w:ascii="David" w:hAnsi="David"/>
          <w:rtl/>
        </w:rPr>
        <w:t xml:space="preserve"> </w:t>
      </w:r>
      <w:r w:rsidRPr="009B6685">
        <w:rPr>
          <w:rFonts w:ascii="David" w:hAnsi="David" w:hint="cs"/>
          <w:b/>
          <w:bCs/>
          <w:u w:val="single"/>
          <w:rtl/>
        </w:rPr>
        <w:t>מדינת ישראל נ' יניב יונה</w:t>
      </w:r>
      <w:r w:rsidRPr="009B6685">
        <w:rPr>
          <w:rFonts w:ascii="David" w:hAnsi="David" w:hint="cs"/>
          <w:rtl/>
        </w:rPr>
        <w:t xml:space="preserve">: </w:t>
      </w:r>
      <w:r w:rsidRPr="009B6685">
        <w:rPr>
          <w:rFonts w:ascii="David" w:hAnsi="David" w:hint="cs"/>
          <w:b/>
          <w:bCs/>
          <w:rtl/>
        </w:rPr>
        <w:t>"</w:t>
      </w:r>
      <w:r w:rsidRPr="009B6685">
        <w:rPr>
          <w:rFonts w:ascii="David" w:hAnsi="David"/>
          <w:b/>
          <w:bCs/>
          <w:sz w:val="22"/>
          <w:szCs w:val="22"/>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למאבק בנגע הסמים יש שותפים רבים. חלקם מתמקדים בחינוך מניעתי ובהסברה. אחרים מסייעים בהליכי הגמילה. לצידם פועלים גם אנשי אכיפת החוק, שתפקידם</w:t>
      </w:r>
      <w:r w:rsidR="00125FD0">
        <w:rPr>
          <w:rFonts w:ascii="David" w:hAnsi="David"/>
          <w:b/>
          <w:bCs/>
          <w:sz w:val="22"/>
          <w:szCs w:val="22"/>
          <w:rtl/>
        </w:rPr>
        <w:t xml:space="preserve"> </w:t>
      </w:r>
      <w:r w:rsidRPr="009B6685">
        <w:rPr>
          <w:rFonts w:ascii="David" w:hAnsi="David"/>
          <w:b/>
          <w:bCs/>
          <w:sz w:val="22"/>
          <w:szCs w:val="22"/>
          <w:rtl/>
        </w:rPr>
        <w:t xml:space="preserve">לסכל את עבירות הסמים וללכוד את העבריינים. אף בית המשפט נוטל חלק חשוב במאבק, באמצעות הטלת עונש מרתיע על מי שהורשע בעבירות סמים. בכל זאת תוך מתן משקל - בין היתר - לכמות הסם ואיכותו, טיב עבירת הסמים שבוצעה, תרומתו של הנאשם להתגשמות העבירה ועברו הפלילי (השוו: </w:t>
      </w:r>
      <w:hyperlink r:id="rId33" w:history="1">
        <w:r w:rsidR="00125FD0" w:rsidRPr="00125FD0">
          <w:rPr>
            <w:rFonts w:ascii="David" w:hAnsi="David"/>
            <w:b/>
            <w:bCs/>
            <w:color w:val="0000FF"/>
            <w:sz w:val="22"/>
            <w:szCs w:val="22"/>
            <w:u w:val="single"/>
            <w:rtl/>
          </w:rPr>
          <w:t>ע"פ 8031/10</w:t>
        </w:r>
      </w:hyperlink>
      <w:r w:rsidRPr="009B6685">
        <w:rPr>
          <w:rFonts w:ascii="David" w:hAnsi="David"/>
          <w:b/>
          <w:bCs/>
          <w:sz w:val="22"/>
          <w:szCs w:val="22"/>
          <w:rtl/>
        </w:rPr>
        <w:t xml:space="preserve"> אורוסקו-צ'אבז נ' מדינת ישראל (1.3.2012))".</w:t>
      </w:r>
      <w:r w:rsidRPr="009B6685">
        <w:rPr>
          <w:rFonts w:ascii="David" w:hAnsi="David"/>
          <w:rtl/>
        </w:rPr>
        <w:t xml:space="preserve"> וראו גם דברי כב' השופט א. שהם ב</w:t>
      </w:r>
      <w:hyperlink r:id="rId34" w:history="1">
        <w:r w:rsidR="00125FD0" w:rsidRPr="00125FD0">
          <w:rPr>
            <w:rFonts w:ascii="David" w:hAnsi="David"/>
            <w:b/>
            <w:bCs/>
            <w:color w:val="0000FF"/>
            <w:u w:val="single"/>
            <w:rtl/>
          </w:rPr>
          <w:t>רע"פ 4512/15</w:t>
        </w:r>
      </w:hyperlink>
      <w:r w:rsidRPr="009B6685">
        <w:rPr>
          <w:rFonts w:ascii="David" w:hAnsi="David"/>
          <w:b/>
          <w:bCs/>
          <w:rtl/>
        </w:rPr>
        <w:t xml:space="preserve"> </w:t>
      </w:r>
      <w:r w:rsidRPr="009B6685">
        <w:rPr>
          <w:rFonts w:ascii="David" w:hAnsi="David" w:hint="cs"/>
          <w:b/>
          <w:bCs/>
          <w:u w:val="single"/>
          <w:rtl/>
        </w:rPr>
        <w:t>אברהם הרוש נ' מדינת ישראל</w:t>
      </w:r>
      <w:r w:rsidRPr="009B6685">
        <w:rPr>
          <w:rFonts w:ascii="David" w:hAnsi="David"/>
          <w:rtl/>
        </w:rPr>
        <w:t xml:space="preserve"> : </w:t>
      </w:r>
      <w:r w:rsidRPr="009B6685">
        <w:rPr>
          <w:rFonts w:ascii="David" w:hAnsi="David"/>
          <w:b/>
          <w:bCs/>
          <w:rtl/>
        </w:rPr>
        <w:t>"</w:t>
      </w:r>
      <w:r w:rsidRPr="009B6685">
        <w:rPr>
          <w:rFonts w:ascii="David" w:hAnsi="David"/>
          <w:b/>
          <w:bCs/>
          <w:sz w:val="22"/>
          <w:szCs w:val="22"/>
          <w:rtl/>
        </w:rPr>
        <w:t>ראוי להזכיר, כי כאשר בעבירות סמים עסקינן, על בית המשפט לנקוט ביד קשה כדי להרתיע עבריינים פוטנציאליים מפני ביצוען. כפי שנאמר ב</w:t>
      </w:r>
      <w:hyperlink r:id="rId35" w:history="1">
        <w:r w:rsidR="00125FD0" w:rsidRPr="00125FD0">
          <w:rPr>
            <w:rFonts w:ascii="David" w:hAnsi="David"/>
            <w:b/>
            <w:bCs/>
            <w:color w:val="0000FF"/>
            <w:sz w:val="22"/>
            <w:szCs w:val="22"/>
            <w:u w:val="single"/>
            <w:rtl/>
          </w:rPr>
          <w:t>ע"פ 211/09</w:t>
        </w:r>
      </w:hyperlink>
      <w:r w:rsidRPr="009B6685">
        <w:rPr>
          <w:rFonts w:ascii="David" w:hAnsi="David"/>
          <w:b/>
          <w:bCs/>
          <w:sz w:val="22"/>
          <w:szCs w:val="22"/>
          <w:rtl/>
        </w:rPr>
        <w:t xml:space="preserve"> אזולאי נ' מדינת ישראל :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 (ראו גם: </w:t>
      </w:r>
      <w:hyperlink r:id="rId36" w:history="1">
        <w:r w:rsidR="00125FD0" w:rsidRPr="00125FD0">
          <w:rPr>
            <w:rFonts w:ascii="David" w:hAnsi="David"/>
            <w:b/>
            <w:bCs/>
            <w:color w:val="0000FF"/>
            <w:sz w:val="22"/>
            <w:szCs w:val="22"/>
            <w:u w:val="single"/>
            <w:rtl/>
          </w:rPr>
          <w:t>ע"פ 3623/13</w:t>
        </w:r>
      </w:hyperlink>
      <w:r w:rsidRPr="009B6685">
        <w:rPr>
          <w:rFonts w:ascii="David" w:hAnsi="David"/>
          <w:b/>
          <w:bCs/>
          <w:sz w:val="22"/>
          <w:szCs w:val="22"/>
          <w:rtl/>
        </w:rPr>
        <w:t xml:space="preserve"> ברון נ' מדינת ישראל (26.11.2014); </w:t>
      </w:r>
      <w:hyperlink r:id="rId37" w:history="1">
        <w:r w:rsidR="00125FD0" w:rsidRPr="00125FD0">
          <w:rPr>
            <w:rFonts w:ascii="David" w:hAnsi="David"/>
            <w:b/>
            <w:bCs/>
            <w:color w:val="0000FF"/>
            <w:sz w:val="22"/>
            <w:szCs w:val="22"/>
            <w:u w:val="single"/>
            <w:rtl/>
          </w:rPr>
          <w:t>ע"פ 4597/13</w:t>
        </w:r>
      </w:hyperlink>
      <w:r w:rsidRPr="009B6685">
        <w:rPr>
          <w:rFonts w:ascii="David" w:hAnsi="David"/>
          <w:b/>
          <w:bCs/>
          <w:sz w:val="22"/>
          <w:szCs w:val="22"/>
          <w:rtl/>
        </w:rPr>
        <w:t xml:space="preserve"> פיצו נ' מדינת ישראל (22.9.2014))".</w:t>
      </w:r>
    </w:p>
    <w:p w:rsidR="00E72E06" w:rsidRPr="009B6685" w:rsidRDefault="00E72E06" w:rsidP="00E72E06">
      <w:pPr>
        <w:spacing w:line="360" w:lineRule="auto"/>
        <w:ind w:firstLine="360"/>
        <w:jc w:val="both"/>
        <w:rPr>
          <w:rFonts w:ascii="David" w:eastAsia="David" w:hAnsi="David"/>
          <w:b/>
          <w:bCs/>
          <w:sz w:val="10"/>
          <w:szCs w:val="10"/>
          <w:u w:val="single"/>
          <w:rtl/>
        </w:rPr>
      </w:pPr>
    </w:p>
    <w:p w:rsidR="00E72E06" w:rsidRDefault="00E72E06" w:rsidP="00E72E06">
      <w:pPr>
        <w:spacing w:line="360" w:lineRule="auto"/>
        <w:ind w:firstLine="360"/>
        <w:jc w:val="both"/>
        <w:rPr>
          <w:rFonts w:ascii="David" w:eastAsia="David" w:hAnsi="David"/>
          <w:b/>
          <w:bCs/>
          <w:u w:val="single"/>
          <w:rtl/>
        </w:rPr>
      </w:pPr>
    </w:p>
    <w:p w:rsidR="00E72E06" w:rsidRPr="00E436C7" w:rsidRDefault="00E72E06" w:rsidP="00E72E06">
      <w:pPr>
        <w:spacing w:line="360" w:lineRule="auto"/>
        <w:ind w:firstLine="360"/>
        <w:jc w:val="both"/>
        <w:rPr>
          <w:rFonts w:ascii="David" w:eastAsia="David" w:hAnsi="David"/>
          <w:u w:val="single"/>
          <w:rtl/>
        </w:rPr>
      </w:pPr>
      <w:r w:rsidRPr="00E436C7">
        <w:rPr>
          <w:rFonts w:ascii="David" w:eastAsia="David" w:hAnsi="David"/>
          <w:u w:val="single"/>
          <w:rtl/>
        </w:rPr>
        <w:t>נסיבות ביצוע העבירות</w:t>
      </w:r>
    </w:p>
    <w:p w:rsidR="00E72E06" w:rsidRPr="009B6685" w:rsidRDefault="00E72E06" w:rsidP="00E72E06">
      <w:pPr>
        <w:spacing w:line="360" w:lineRule="auto"/>
        <w:jc w:val="both"/>
        <w:rPr>
          <w:rFonts w:ascii="David" w:eastAsia="David" w:hAnsi="David"/>
          <w:b/>
          <w:bCs/>
          <w:sz w:val="12"/>
          <w:szCs w:val="12"/>
          <w:u w:val="single"/>
          <w:rtl/>
        </w:rPr>
      </w:pPr>
    </w:p>
    <w:p w:rsidR="00E72E06" w:rsidRPr="009B6685" w:rsidRDefault="00E72E06" w:rsidP="00E72E06">
      <w:pPr>
        <w:numPr>
          <w:ilvl w:val="0"/>
          <w:numId w:val="1"/>
        </w:numPr>
        <w:tabs>
          <w:tab w:val="left" w:pos="4316"/>
        </w:tabs>
        <w:spacing w:after="160" w:line="360" w:lineRule="auto"/>
        <w:contextualSpacing/>
        <w:jc w:val="both"/>
        <w:rPr>
          <w:rFonts w:ascii="David" w:eastAsia="Calibri" w:hAnsi="David"/>
          <w:rtl/>
        </w:rPr>
      </w:pPr>
      <w:r w:rsidRPr="009B6685">
        <w:rPr>
          <w:rFonts w:ascii="David" w:hAnsi="David"/>
          <w:rtl/>
        </w:rPr>
        <w:t xml:space="preserve">נסיבות ביצוע העבירות פורטו בהרחבה במסגרת תיאור עובדות כתב האישום המתוקן. </w:t>
      </w:r>
    </w:p>
    <w:p w:rsidR="00E72E06" w:rsidRPr="009B6685" w:rsidRDefault="00E72E06" w:rsidP="00E72E06">
      <w:pPr>
        <w:tabs>
          <w:tab w:val="left" w:pos="4316"/>
        </w:tabs>
        <w:spacing w:after="160" w:line="360" w:lineRule="auto"/>
        <w:ind w:left="643"/>
        <w:contextualSpacing/>
        <w:jc w:val="both"/>
        <w:rPr>
          <w:rFonts w:ascii="David" w:eastAsia="Calibri" w:hAnsi="David"/>
          <w:sz w:val="12"/>
          <w:szCs w:val="12"/>
          <w:rtl/>
        </w:rPr>
      </w:pPr>
    </w:p>
    <w:p w:rsidR="00E72E06" w:rsidRDefault="00E72E06" w:rsidP="00E72E06">
      <w:pPr>
        <w:tabs>
          <w:tab w:val="left" w:pos="4316"/>
        </w:tabs>
        <w:spacing w:line="360" w:lineRule="auto"/>
        <w:ind w:left="643"/>
        <w:contextualSpacing/>
        <w:jc w:val="both"/>
        <w:rPr>
          <w:rFonts w:ascii="David" w:eastAsia="Calibri" w:hAnsi="David"/>
          <w:sz w:val="10"/>
          <w:szCs w:val="10"/>
          <w:rtl/>
        </w:rPr>
      </w:pPr>
      <w:r w:rsidRPr="009B6685">
        <w:rPr>
          <w:rFonts w:ascii="David" w:hAnsi="David"/>
          <w:rtl/>
        </w:rPr>
        <w:t xml:space="preserve">הנאשם </w:t>
      </w:r>
      <w:r w:rsidRPr="009B6685">
        <w:rPr>
          <w:rFonts w:ascii="David" w:eastAsia="Calibri" w:hAnsi="David"/>
          <w:rtl/>
        </w:rPr>
        <w:t>סחר בהזדמנות אחת וסייע לסחר בהזדמנות שנייה</w:t>
      </w:r>
      <w:r>
        <w:rPr>
          <w:rFonts w:ascii="David" w:eastAsia="Calibri" w:hAnsi="David" w:hint="cs"/>
          <w:rtl/>
        </w:rPr>
        <w:t>.</w:t>
      </w:r>
      <w:r w:rsidRPr="009B6685">
        <w:rPr>
          <w:rFonts w:ascii="David" w:eastAsia="Calibri" w:hAnsi="David"/>
          <w:rtl/>
        </w:rPr>
        <w:t xml:space="preserve"> בפעם הראשונה מדובר במשקל של כ-20 גרם סם מסוג קוקאין ובפעם השנייה במשקל של  כ-70 גרם סם מסוג קוקאין. </w:t>
      </w:r>
      <w:r w:rsidRPr="009B6685">
        <w:rPr>
          <w:rFonts w:ascii="David" w:hAnsi="David"/>
          <w:rtl/>
        </w:rPr>
        <w:t>מדובר בנאשם בגיר אשר הבין את הפסול במעשיו ואת השלכותיהם, יכול היה לחדול ממעשיו אך הוא לא עשה כן, וחלקו בביצוע העבירות נשוא האישום הראשון הינו</w:t>
      </w:r>
      <w:r>
        <w:rPr>
          <w:rFonts w:ascii="David" w:hAnsi="David" w:hint="cs"/>
          <w:rtl/>
        </w:rPr>
        <w:t xml:space="preserve"> בלעדי</w:t>
      </w:r>
      <w:r w:rsidRPr="009B6685">
        <w:rPr>
          <w:rFonts w:ascii="David" w:hAnsi="David"/>
          <w:rtl/>
        </w:rPr>
        <w:t xml:space="preserve">. הנאשם היה שותף מלא בתכנון ובהוצאה לפועל של </w:t>
      </w:r>
      <w:r>
        <w:rPr>
          <w:rFonts w:ascii="David" w:hAnsi="David" w:hint="cs"/>
          <w:rtl/>
        </w:rPr>
        <w:t>ה</w:t>
      </w:r>
      <w:r w:rsidRPr="009B6685">
        <w:rPr>
          <w:rFonts w:ascii="David" w:hAnsi="David"/>
          <w:rtl/>
        </w:rPr>
        <w:t xml:space="preserve">עסקה ומעורבותו הייתה מרכזית. </w:t>
      </w:r>
      <w:r w:rsidRPr="009B6685">
        <w:rPr>
          <w:rFonts w:ascii="David" w:eastAsia="Calibri" w:hAnsi="David"/>
          <w:rtl/>
        </w:rPr>
        <w:t xml:space="preserve">באישום השני פעולות הסיוע שהנאשם ביצע היו משמעותיות וממשיות ולא מדובר בסיוע מינורי. הנאשם הוא זה שסייע לסוכן לרכוש סם מסוכן </w:t>
      </w:r>
      <w:r>
        <w:rPr>
          <w:rFonts w:ascii="David" w:eastAsia="Calibri" w:hAnsi="David" w:hint="cs"/>
          <w:rtl/>
        </w:rPr>
        <w:t>מה</w:t>
      </w:r>
      <w:r w:rsidRPr="009B6685">
        <w:rPr>
          <w:rFonts w:ascii="David" w:eastAsia="Calibri" w:hAnsi="David"/>
          <w:rtl/>
        </w:rPr>
        <w:t>אחר,  קיבל</w:t>
      </w:r>
      <w:r>
        <w:rPr>
          <w:rFonts w:ascii="David" w:eastAsia="Calibri" w:hAnsi="David"/>
          <w:rtl/>
        </w:rPr>
        <w:t xml:space="preserve"> את הסם לידיו, הגיע למקום המפגש</w:t>
      </w:r>
      <w:r>
        <w:rPr>
          <w:rFonts w:ascii="David" w:eastAsia="Calibri" w:hAnsi="David" w:hint="cs"/>
          <w:rtl/>
        </w:rPr>
        <w:t xml:space="preserve">, </w:t>
      </w:r>
      <w:r w:rsidRPr="009B6685">
        <w:rPr>
          <w:rFonts w:ascii="David" w:eastAsia="Calibri" w:hAnsi="David"/>
          <w:rtl/>
        </w:rPr>
        <w:t>העביר לסוכן את הסם וקיבל לידיו את סכום התמורה עבור הסם.</w:t>
      </w:r>
    </w:p>
    <w:p w:rsidR="00E72E06" w:rsidRPr="00E436C7" w:rsidRDefault="00E72E06" w:rsidP="00E72E06">
      <w:pPr>
        <w:tabs>
          <w:tab w:val="left" w:pos="4316"/>
        </w:tabs>
        <w:spacing w:line="360" w:lineRule="auto"/>
        <w:ind w:left="643"/>
        <w:contextualSpacing/>
        <w:jc w:val="both"/>
        <w:rPr>
          <w:rFonts w:ascii="David" w:eastAsia="Calibri" w:hAnsi="David"/>
          <w:sz w:val="2"/>
          <w:szCs w:val="2"/>
          <w:rtl/>
        </w:rPr>
      </w:pPr>
    </w:p>
    <w:p w:rsidR="00E72E06" w:rsidRPr="009B6685" w:rsidRDefault="00E72E06" w:rsidP="00E72E06">
      <w:pPr>
        <w:tabs>
          <w:tab w:val="left" w:pos="4316"/>
        </w:tabs>
        <w:spacing w:line="360" w:lineRule="auto"/>
        <w:ind w:left="643"/>
        <w:contextualSpacing/>
        <w:jc w:val="both"/>
        <w:rPr>
          <w:rFonts w:ascii="David" w:eastAsia="Calibri" w:hAnsi="David"/>
          <w:sz w:val="10"/>
          <w:szCs w:val="10"/>
          <w:rtl/>
        </w:rPr>
      </w:pPr>
    </w:p>
    <w:p w:rsidR="00E72E06" w:rsidRDefault="00E72E06" w:rsidP="00E72E06">
      <w:pPr>
        <w:tabs>
          <w:tab w:val="left" w:pos="4316"/>
          <w:tab w:val="left" w:pos="7455"/>
          <w:tab w:val="left" w:pos="8306"/>
        </w:tabs>
        <w:spacing w:line="360" w:lineRule="auto"/>
        <w:ind w:left="643"/>
        <w:contextualSpacing/>
        <w:jc w:val="both"/>
        <w:rPr>
          <w:rFonts w:ascii="David" w:eastAsia="David" w:hAnsi="David"/>
          <w:rtl/>
        </w:rPr>
      </w:pPr>
      <w:r w:rsidRPr="009B6685">
        <w:rPr>
          <w:rtl/>
        </w:rPr>
        <w:t xml:space="preserve">מדובר בסם מסוכן מסוג קוקאין שפגיעתו קשה, והעבירות בוצעו ממניע כלכלי. הסם לא הופץ והנזק שיכול היה להיגרם נמנע, אך אין לזקוף זאת לזכותו של הנאשם, אלא לעובדה שהסם נמסר לסוכן, ובסופו של יום הגיע לידי המשטרה. </w:t>
      </w:r>
    </w:p>
    <w:p w:rsidR="00E72E06" w:rsidRPr="00E436C7" w:rsidRDefault="00E72E06" w:rsidP="00E72E06">
      <w:pPr>
        <w:tabs>
          <w:tab w:val="left" w:pos="4316"/>
          <w:tab w:val="left" w:pos="7455"/>
          <w:tab w:val="left" w:pos="8306"/>
        </w:tabs>
        <w:spacing w:line="360" w:lineRule="auto"/>
        <w:ind w:left="643"/>
        <w:contextualSpacing/>
        <w:jc w:val="both"/>
        <w:rPr>
          <w:rFonts w:ascii="David" w:eastAsia="David" w:hAnsi="David"/>
          <w:sz w:val="2"/>
          <w:szCs w:val="2"/>
          <w:rtl/>
        </w:rPr>
      </w:pPr>
    </w:p>
    <w:p w:rsidR="00E72E06" w:rsidRPr="006C0EA6" w:rsidRDefault="00E72E06" w:rsidP="00E72E06">
      <w:pPr>
        <w:pStyle w:val="ListParagraph"/>
        <w:tabs>
          <w:tab w:val="left" w:pos="4316"/>
          <w:tab w:val="left" w:pos="7455"/>
          <w:tab w:val="left" w:pos="8306"/>
        </w:tabs>
        <w:spacing w:line="360" w:lineRule="auto"/>
        <w:ind w:left="643"/>
        <w:jc w:val="both"/>
        <w:rPr>
          <w:rFonts w:ascii="David" w:eastAsia="David" w:hAnsi="David"/>
          <w:sz w:val="8"/>
          <w:szCs w:val="8"/>
          <w:rtl/>
        </w:rPr>
      </w:pPr>
    </w:p>
    <w:p w:rsidR="00E72E06" w:rsidRDefault="00E72E06" w:rsidP="00E72E06">
      <w:pPr>
        <w:pStyle w:val="ListParagraph"/>
        <w:tabs>
          <w:tab w:val="left" w:pos="4316"/>
        </w:tabs>
        <w:spacing w:line="360" w:lineRule="auto"/>
        <w:ind w:left="643"/>
        <w:jc w:val="both"/>
        <w:rPr>
          <w:rFonts w:ascii="David" w:eastAsia="Calibri" w:hAnsi="David"/>
          <w:rtl/>
        </w:rPr>
      </w:pPr>
      <w:r w:rsidRPr="002A3C20">
        <w:rPr>
          <w:rFonts w:ascii="David" w:eastAsia="Calibri" w:hAnsi="David" w:hint="cs"/>
          <w:rtl/>
        </w:rPr>
        <w:t xml:space="preserve">בכל הנוגע לעובדה שבאישום השני הנאשם היה מלווה בקטינה עד הגעתו למקום המפגש, הרי שאין להתעלם מכך, ולו מהטעם שהקטינה הייתה עלולה להיחשף למעשיו השליליים של הנאשם ובכך טמון נזק פוטנציאלי לא מבוטל. עם זאת, כתב האישום אינו מפרט האם הקטינה נחשפה לעסקה בדרך כלשהי, ואין מחלוקת כי </w:t>
      </w:r>
      <w:r>
        <w:rPr>
          <w:rFonts w:ascii="David" w:eastAsia="Calibri" w:hAnsi="David" w:hint="cs"/>
          <w:rtl/>
        </w:rPr>
        <w:t xml:space="preserve">היא </w:t>
      </w:r>
      <w:r w:rsidRPr="002A3C20">
        <w:rPr>
          <w:rFonts w:ascii="David" w:eastAsia="Calibri" w:hAnsi="David" w:hint="cs"/>
          <w:rtl/>
        </w:rPr>
        <w:t>לא נכנסה לרכב. בנסיבות אלו לא ניתן ל</w:t>
      </w:r>
      <w:r>
        <w:rPr>
          <w:rFonts w:ascii="David" w:eastAsia="Calibri" w:hAnsi="David" w:hint="cs"/>
          <w:rtl/>
        </w:rPr>
        <w:t xml:space="preserve">זקוף </w:t>
      </w:r>
      <w:r w:rsidRPr="002A3C20">
        <w:rPr>
          <w:rFonts w:ascii="David" w:eastAsia="Calibri" w:hAnsi="David" w:hint="cs"/>
          <w:rtl/>
        </w:rPr>
        <w:t xml:space="preserve">לחובתו של הנאשם כל מעורבות או ידיעה  בפועל מצד קטינה. </w:t>
      </w:r>
    </w:p>
    <w:p w:rsidR="00E72E06" w:rsidRDefault="00E72E06" w:rsidP="00E72E06">
      <w:pPr>
        <w:pStyle w:val="ListParagraph"/>
        <w:tabs>
          <w:tab w:val="left" w:pos="4316"/>
        </w:tabs>
        <w:spacing w:line="360" w:lineRule="auto"/>
        <w:ind w:left="643"/>
        <w:jc w:val="both"/>
        <w:rPr>
          <w:rFonts w:ascii="David" w:eastAsia="Calibri" w:hAnsi="David"/>
          <w:sz w:val="10"/>
          <w:szCs w:val="10"/>
        </w:rPr>
      </w:pPr>
    </w:p>
    <w:p w:rsidR="00E72E06" w:rsidRPr="006C0EA6" w:rsidRDefault="00E72E06" w:rsidP="00E72E06">
      <w:pPr>
        <w:pStyle w:val="ListParagraph"/>
        <w:numPr>
          <w:ilvl w:val="0"/>
          <w:numId w:val="1"/>
        </w:numPr>
        <w:tabs>
          <w:tab w:val="left" w:pos="4316"/>
          <w:tab w:val="left" w:pos="7455"/>
          <w:tab w:val="left" w:pos="8306"/>
        </w:tabs>
        <w:spacing w:line="360" w:lineRule="auto"/>
        <w:jc w:val="both"/>
        <w:rPr>
          <w:rFonts w:ascii="David" w:eastAsia="David" w:hAnsi="David"/>
          <w:sz w:val="8"/>
          <w:szCs w:val="8"/>
        </w:rPr>
      </w:pPr>
      <w:r w:rsidRPr="006C0EA6">
        <w:rPr>
          <w:rFonts w:ascii="David" w:eastAsia="David" w:hAnsi="David" w:hint="cs"/>
          <w:rtl/>
        </w:rPr>
        <w:t>משקל מסוים לקולה יינתן לעובדה שהיה זה הסוכן שיצר קשר עם הנאשם בשתי העסקאות,  אך יודגש כי לא מדובר במקרה של סוכן "מדיח"</w:t>
      </w:r>
      <w:r>
        <w:rPr>
          <w:rFonts w:ascii="David" w:eastAsia="David" w:hAnsi="David" w:hint="cs"/>
          <w:rtl/>
        </w:rPr>
        <w:t>,</w:t>
      </w:r>
      <w:r w:rsidRPr="006C0EA6">
        <w:rPr>
          <w:rFonts w:ascii="David" w:eastAsia="David" w:hAnsi="David" w:hint="cs"/>
          <w:rtl/>
        </w:rPr>
        <w:t xml:space="preserve">  ואף לא הועלתה </w:t>
      </w:r>
      <w:r>
        <w:rPr>
          <w:rFonts w:ascii="David" w:eastAsia="David" w:hAnsi="David" w:hint="cs"/>
          <w:rtl/>
        </w:rPr>
        <w:t xml:space="preserve"> מצד ההגנה טענה בהקשר זה.</w:t>
      </w:r>
    </w:p>
    <w:p w:rsidR="00E72E06" w:rsidRPr="00E436C7" w:rsidRDefault="00E72E06" w:rsidP="00E72E06">
      <w:pPr>
        <w:pStyle w:val="ListParagraph"/>
        <w:tabs>
          <w:tab w:val="left" w:pos="4316"/>
        </w:tabs>
        <w:spacing w:line="360" w:lineRule="auto"/>
        <w:ind w:left="643"/>
        <w:jc w:val="both"/>
        <w:rPr>
          <w:rFonts w:ascii="David" w:eastAsia="Calibri" w:hAnsi="David"/>
          <w:sz w:val="2"/>
          <w:szCs w:val="2"/>
          <w:rtl/>
        </w:rPr>
      </w:pPr>
    </w:p>
    <w:p w:rsidR="00E72E06" w:rsidRPr="009B6685" w:rsidRDefault="00E72E06" w:rsidP="00E72E06">
      <w:pPr>
        <w:ind w:left="720"/>
        <w:contextualSpacing/>
        <w:rPr>
          <w:rFonts w:ascii="David" w:eastAsia="David" w:hAnsi="David"/>
          <w:sz w:val="16"/>
          <w:szCs w:val="16"/>
          <w:rtl/>
        </w:rPr>
      </w:pPr>
    </w:p>
    <w:p w:rsidR="00E72E06" w:rsidRPr="002A3C20" w:rsidRDefault="00E72E06" w:rsidP="00E72E06">
      <w:pPr>
        <w:pStyle w:val="ListParagraph"/>
        <w:numPr>
          <w:ilvl w:val="0"/>
          <w:numId w:val="1"/>
        </w:numPr>
        <w:tabs>
          <w:tab w:val="left" w:pos="4316"/>
          <w:tab w:val="left" w:pos="7455"/>
          <w:tab w:val="left" w:pos="8306"/>
        </w:tabs>
        <w:spacing w:line="360" w:lineRule="auto"/>
        <w:jc w:val="both"/>
        <w:rPr>
          <w:rFonts w:ascii="David" w:eastAsia="David" w:hAnsi="David"/>
        </w:rPr>
      </w:pPr>
      <w:r w:rsidRPr="002A3C20">
        <w:rPr>
          <w:rFonts w:ascii="David" w:eastAsia="David" w:hAnsi="David"/>
          <w:rtl/>
        </w:rPr>
        <w:t xml:space="preserve">במכלול הנסיבות אני סבור כי הפגיעה בערכים המוגנים במקרה זה הייתה משמעותית </w:t>
      </w:r>
      <w:r w:rsidRPr="002A3C20">
        <w:rPr>
          <w:rFonts w:ascii="David" w:eastAsia="Calibri" w:hAnsi="David"/>
          <w:rtl/>
        </w:rPr>
        <w:t>והעבירות שבוצעו מצויות כולן (כל אחת בפני עצמה)  ברף חומרה בינוני.</w:t>
      </w:r>
    </w:p>
    <w:p w:rsidR="00E72E06" w:rsidRPr="009B6685" w:rsidRDefault="00E72E06" w:rsidP="00E72E06">
      <w:pPr>
        <w:spacing w:after="160" w:line="360" w:lineRule="auto"/>
        <w:jc w:val="both"/>
        <w:rPr>
          <w:rFonts w:ascii="David" w:eastAsia="David" w:hAnsi="David"/>
          <w:b/>
          <w:bCs/>
          <w:sz w:val="2"/>
          <w:szCs w:val="2"/>
          <w:u w:val="single"/>
          <w:rtl/>
        </w:rPr>
      </w:pPr>
    </w:p>
    <w:p w:rsidR="00E72E06" w:rsidRPr="00E436C7" w:rsidRDefault="00E72E06" w:rsidP="00E72E06">
      <w:pPr>
        <w:spacing w:after="300" w:line="360" w:lineRule="auto"/>
        <w:ind w:left="720" w:hanging="360"/>
        <w:jc w:val="both"/>
        <w:rPr>
          <w:u w:val="single"/>
          <w:rtl/>
        </w:rPr>
      </w:pPr>
      <w:r w:rsidRPr="00E436C7">
        <w:rPr>
          <w:u w:val="single"/>
          <w:rtl/>
        </w:rPr>
        <w:t xml:space="preserve">אירוע אחד או מספר אירועים </w:t>
      </w:r>
    </w:p>
    <w:p w:rsidR="00E72E06" w:rsidRPr="009B6685" w:rsidRDefault="00E72E06" w:rsidP="00E72E06">
      <w:pPr>
        <w:numPr>
          <w:ilvl w:val="0"/>
          <w:numId w:val="1"/>
        </w:numPr>
        <w:overflowPunct w:val="0"/>
        <w:spacing w:after="160" w:line="360" w:lineRule="auto"/>
        <w:contextualSpacing/>
        <w:jc w:val="both"/>
        <w:textAlignment w:val="baseline"/>
        <w:rPr>
          <w:b/>
          <w:bCs/>
          <w:u w:val="single"/>
        </w:rPr>
      </w:pPr>
      <w:r w:rsidRPr="009B6685">
        <w:rPr>
          <w:rtl/>
        </w:rPr>
        <w:t xml:space="preserve">כתב האישום המתוקן מכיל שני אישומים בגין עסקאות סמים. </w:t>
      </w:r>
      <w:r w:rsidRPr="002A3C20">
        <w:rPr>
          <w:rtl/>
        </w:rPr>
        <w:t xml:space="preserve">בהתאם </w:t>
      </w:r>
      <w:hyperlink r:id="rId38" w:history="1">
        <w:r w:rsidR="006936F8" w:rsidRPr="006936F8">
          <w:rPr>
            <w:rStyle w:val="Hyperlink"/>
            <w:color w:val="0000FF"/>
            <w:rtl/>
          </w:rPr>
          <w:t>לסעיף 40יג</w:t>
        </w:r>
      </w:hyperlink>
      <w:r w:rsidRPr="002A3C20">
        <w:rPr>
          <w:rtl/>
        </w:rPr>
        <w:t xml:space="preserve"> ל</w:t>
      </w:r>
      <w:hyperlink r:id="rId39" w:history="1">
        <w:r w:rsidR="00125FD0" w:rsidRPr="00125FD0">
          <w:rPr>
            <w:color w:val="0000FF"/>
            <w:u w:val="single"/>
            <w:rtl/>
          </w:rPr>
          <w:t>חוק העונשין</w:t>
        </w:r>
      </w:hyperlink>
      <w:r w:rsidRPr="002A3C20">
        <w:rPr>
          <w:rtl/>
        </w:rPr>
        <w:t>,</w:t>
      </w:r>
      <w:r w:rsidRPr="009B6685">
        <w:rPr>
          <w:rtl/>
        </w:rPr>
        <w:t xml:space="preserve">  על בית המשפט לבחון האם מדובר בעבירות המהוות אירוע אחד או מספר אירועים נפרדים, ובהתאם לקבוע מתחם ענישה הולם  לכל אירוע בנפרד או לכלל האירועים יחדיו. בית המשפט העליון ב</w:t>
      </w:r>
      <w:hyperlink r:id="rId40" w:history="1">
        <w:r w:rsidR="00125FD0" w:rsidRPr="00125FD0">
          <w:rPr>
            <w:b/>
            <w:bCs/>
            <w:color w:val="0000FF"/>
            <w:u w:val="single"/>
            <w:rtl/>
          </w:rPr>
          <w:t>ע"פ 4910/13</w:t>
        </w:r>
      </w:hyperlink>
      <w:r w:rsidRPr="009B6685">
        <w:rPr>
          <w:b/>
          <w:bCs/>
          <w:rtl/>
        </w:rPr>
        <w:t xml:space="preserve"> </w:t>
      </w:r>
      <w:r w:rsidRPr="009B6685">
        <w:rPr>
          <w:rFonts w:hint="cs"/>
          <w:b/>
          <w:bCs/>
          <w:u w:val="single"/>
          <w:rtl/>
        </w:rPr>
        <w:t>ג'אבר נגד מדינת ישראל</w:t>
      </w:r>
      <w:r w:rsidRPr="009B6685">
        <w:rPr>
          <w:rtl/>
        </w:rPr>
        <w:t xml:space="preserve"> דן בשאלת סיווגה של מסכת התרחשויות כ"אירוע אחד", </w:t>
      </w:r>
      <w:r w:rsidRPr="002A3C20">
        <w:rPr>
          <w:rtl/>
        </w:rPr>
        <w:t xml:space="preserve">כמשמעותו </w:t>
      </w:r>
      <w:hyperlink r:id="rId41" w:history="1">
        <w:r w:rsidR="006936F8" w:rsidRPr="006936F8">
          <w:rPr>
            <w:rStyle w:val="Hyperlink"/>
            <w:color w:val="0000FF"/>
            <w:rtl/>
          </w:rPr>
          <w:t>בסעיף 40יג</w:t>
        </w:r>
      </w:hyperlink>
      <w:r w:rsidRPr="002A3C20">
        <w:rPr>
          <w:rtl/>
        </w:rPr>
        <w:t xml:space="preserve"> ל</w:t>
      </w:r>
      <w:hyperlink r:id="rId42" w:history="1">
        <w:r w:rsidR="00125FD0" w:rsidRPr="00125FD0">
          <w:rPr>
            <w:color w:val="0000FF"/>
            <w:u w:val="single"/>
            <w:rtl/>
          </w:rPr>
          <w:t>חוק העונשין</w:t>
        </w:r>
      </w:hyperlink>
      <w:r w:rsidRPr="009B6685">
        <w:rPr>
          <w:rtl/>
        </w:rPr>
        <w:t xml:space="preserve">.  נקבעו מספר מבחני עזר לצורך הכרעה  בשאלת "הקשר ההדוק" בין העבירות. כך לדוגמא: האם ביצוען מאופיין בתכנון ובשיטתיות, האם בוצעו בסמיכות של זמן או מקום, האם ביצועה של עבירה אחת נועד לאפשר ביצועה של עבירה אחרת, או את ההימלטות לאחר ביצועה, האם מדובר בקורבנות שונים וכתובות שונות וכד'. </w:t>
      </w:r>
    </w:p>
    <w:p w:rsidR="00E72E06" w:rsidRPr="009B6685" w:rsidRDefault="00E72E06" w:rsidP="00E72E06">
      <w:pPr>
        <w:overflowPunct w:val="0"/>
        <w:spacing w:line="360" w:lineRule="auto"/>
        <w:ind w:left="643"/>
        <w:contextualSpacing/>
        <w:jc w:val="both"/>
        <w:textAlignment w:val="baseline"/>
        <w:rPr>
          <w:b/>
          <w:bCs/>
          <w:sz w:val="10"/>
          <w:szCs w:val="10"/>
          <w:u w:val="single"/>
          <w:rtl/>
        </w:rPr>
      </w:pPr>
    </w:p>
    <w:p w:rsidR="00E72E06" w:rsidRPr="002A3C20" w:rsidRDefault="00E72E06" w:rsidP="00E72E06">
      <w:pPr>
        <w:pStyle w:val="ListParagraph"/>
        <w:numPr>
          <w:ilvl w:val="0"/>
          <w:numId w:val="1"/>
        </w:numPr>
        <w:overflowPunct w:val="0"/>
        <w:spacing w:line="360" w:lineRule="auto"/>
        <w:jc w:val="both"/>
        <w:textAlignment w:val="baseline"/>
        <w:rPr>
          <w:rFonts w:ascii="David" w:hAnsi="David"/>
        </w:rPr>
      </w:pPr>
      <w:r w:rsidRPr="002A3C20">
        <w:rPr>
          <w:rFonts w:ascii="David" w:eastAsia="Calibri" w:hAnsi="David"/>
          <w:rtl/>
        </w:rPr>
        <w:t xml:space="preserve">לאחר ששקלתי את טיעוני הצדדים,  החוק והפסיקה, אני סבור שנכון לקבוע מתחם עונש הולם אחד ביחס לשני האישומים. </w:t>
      </w:r>
      <w:r w:rsidRPr="002A3C20">
        <w:rPr>
          <w:rFonts w:ascii="David" w:hAnsi="David"/>
          <w:rtl/>
        </w:rPr>
        <w:t xml:space="preserve">מדובר בשתי עסקאות של סמים אשר בוצעו באותה השיטה בדיוק, מול אותו סוכן משטרתי, </w:t>
      </w:r>
      <w:r>
        <w:rPr>
          <w:rFonts w:ascii="David" w:hAnsi="David" w:hint="cs"/>
          <w:rtl/>
        </w:rPr>
        <w:t>ביחס ל</w:t>
      </w:r>
      <w:r w:rsidRPr="002A3C20">
        <w:rPr>
          <w:rFonts w:ascii="David" w:hAnsi="David"/>
          <w:rtl/>
        </w:rPr>
        <w:t xml:space="preserve">אותו סוג סם, אותה שיטת סחר, באותו אזור (קרית מוצקין), ולשם אותה המטרה.  למעשה מדובר  בתכנית עבריינית </w:t>
      </w:r>
      <w:r>
        <w:rPr>
          <w:rFonts w:ascii="David" w:hAnsi="David"/>
          <w:rtl/>
        </w:rPr>
        <w:t>אחת ומתקיים "מבחן הקשר ההדוק"</w:t>
      </w:r>
      <w:r>
        <w:rPr>
          <w:rFonts w:ascii="David" w:hAnsi="David" w:hint="cs"/>
          <w:rtl/>
        </w:rPr>
        <w:t>, גם בהתחשב בפרק הזמן שחלף בין העסקאות.</w:t>
      </w:r>
    </w:p>
    <w:p w:rsidR="00E72E06" w:rsidRPr="002A3C20" w:rsidRDefault="00E72E06" w:rsidP="00E72E06">
      <w:pPr>
        <w:contextualSpacing/>
        <w:rPr>
          <w:rFonts w:ascii="David" w:hAnsi="David"/>
          <w:sz w:val="14"/>
          <w:szCs w:val="14"/>
        </w:rPr>
      </w:pPr>
    </w:p>
    <w:p w:rsidR="00E72E06" w:rsidRPr="009B6685" w:rsidRDefault="00E72E06" w:rsidP="00E72E06">
      <w:pPr>
        <w:numPr>
          <w:ilvl w:val="0"/>
          <w:numId w:val="1"/>
        </w:numPr>
        <w:overflowPunct w:val="0"/>
        <w:spacing w:after="160" w:line="360" w:lineRule="auto"/>
        <w:contextualSpacing/>
        <w:jc w:val="both"/>
        <w:textAlignment w:val="baseline"/>
        <w:rPr>
          <w:b/>
          <w:bCs/>
          <w:u w:val="single"/>
        </w:rPr>
      </w:pPr>
      <w:r w:rsidRPr="009B6685">
        <w:rPr>
          <w:rFonts w:ascii="David" w:hAnsi="David"/>
          <w:rtl/>
        </w:rPr>
        <w:t xml:space="preserve">יובהר כי גם אם מעשיו של הנאשם מהווים אירוע אחד, אין בכך כדי להשליך באופן מהותי על מידת העונש, מהטעם שעל בית המשפט לתת משקל למספרם, טיבם, וחומרתם של המעשים. ראה בהקשר זה </w:t>
      </w:r>
      <w:hyperlink r:id="rId43" w:history="1">
        <w:r w:rsidR="00125FD0" w:rsidRPr="00125FD0">
          <w:rPr>
            <w:rFonts w:ascii="David" w:hAnsi="David"/>
            <w:b/>
            <w:bCs/>
            <w:color w:val="0000FF"/>
            <w:u w:val="single"/>
            <w:rtl/>
          </w:rPr>
          <w:t>ע"פ 1082/14</w:t>
        </w:r>
      </w:hyperlink>
      <w:r w:rsidRPr="009B6685">
        <w:rPr>
          <w:rFonts w:ascii="David" w:hAnsi="David"/>
          <w:rtl/>
        </w:rPr>
        <w:t xml:space="preserve"> </w:t>
      </w:r>
      <w:r w:rsidRPr="009B6685">
        <w:rPr>
          <w:rFonts w:ascii="David" w:hAnsi="David" w:hint="cs"/>
          <w:b/>
          <w:bCs/>
          <w:u w:val="single"/>
          <w:rtl/>
        </w:rPr>
        <w:t>ג'סאר נגד מדינת ישראל</w:t>
      </w:r>
      <w:r w:rsidRPr="009B6685">
        <w:rPr>
          <w:rFonts w:ascii="David" w:hAnsi="David" w:hint="cs"/>
          <w:b/>
          <w:bCs/>
          <w:rtl/>
        </w:rPr>
        <w:t xml:space="preserve"> </w:t>
      </w:r>
      <w:r w:rsidRPr="009B6685">
        <w:rPr>
          <w:rFonts w:ascii="David" w:hAnsi="David" w:hint="cs"/>
          <w:rtl/>
        </w:rPr>
        <w:t>שם נאמר בין היתר כי</w:t>
      </w:r>
      <w:r w:rsidRPr="009B6685">
        <w:rPr>
          <w:rFonts w:ascii="David" w:hAnsi="David"/>
          <w:sz w:val="22"/>
          <w:szCs w:val="22"/>
          <w:rtl/>
        </w:rPr>
        <w:t>:</w:t>
      </w:r>
      <w:r w:rsidRPr="009B6685">
        <w:rPr>
          <w:rFonts w:ascii="David" w:hAnsi="David"/>
          <w:b/>
          <w:bCs/>
          <w:sz w:val="22"/>
          <w:szCs w:val="22"/>
          <w:rtl/>
        </w:rPr>
        <w:t>"... גם כאשר כמה מעשים נחשבים כחלק מ"אירוע" אחד הרי שבקביעת מתחם הענישה יש תמיד להביא בחשבון את מספרם וחומרתם של המעשים, כך שמתחם הענישה בגין האירוע יכול לעלות אף על עונש המקסימום בגין מעשה אחד".</w:t>
      </w:r>
      <w:r w:rsidRPr="009B6685">
        <w:rPr>
          <w:rFonts w:ascii="David" w:hAnsi="David"/>
          <w:b/>
          <w:bCs/>
          <w:rtl/>
        </w:rPr>
        <w:t xml:space="preserve">  </w:t>
      </w:r>
    </w:p>
    <w:p w:rsidR="00E72E06" w:rsidRPr="009B6685" w:rsidRDefault="00E72E06" w:rsidP="00E72E06">
      <w:pPr>
        <w:spacing w:after="160" w:line="360" w:lineRule="auto"/>
        <w:ind w:firstLine="360"/>
        <w:jc w:val="both"/>
        <w:rPr>
          <w:rFonts w:ascii="David" w:eastAsia="David" w:hAnsi="David"/>
          <w:b/>
          <w:bCs/>
          <w:sz w:val="4"/>
          <w:szCs w:val="4"/>
          <w:u w:val="single"/>
          <w:rtl/>
        </w:rPr>
      </w:pPr>
    </w:p>
    <w:p w:rsidR="00E72E06" w:rsidRPr="00E436C7" w:rsidRDefault="00E72E06" w:rsidP="00E72E06">
      <w:pPr>
        <w:spacing w:after="160" w:line="360" w:lineRule="auto"/>
        <w:ind w:firstLine="360"/>
        <w:jc w:val="both"/>
        <w:rPr>
          <w:rFonts w:ascii="David" w:eastAsia="David" w:hAnsi="David"/>
          <w:u w:val="single"/>
          <w:rtl/>
        </w:rPr>
      </w:pPr>
      <w:r w:rsidRPr="00E436C7">
        <w:rPr>
          <w:rFonts w:ascii="David" w:eastAsia="David" w:hAnsi="David"/>
          <w:u w:val="single"/>
          <w:rtl/>
        </w:rPr>
        <w:t>מדיניות הענישה והפסיקה הנהוגה</w:t>
      </w:r>
    </w:p>
    <w:p w:rsidR="00E72E06" w:rsidRPr="009B6685" w:rsidRDefault="00E72E06" w:rsidP="00E72E06">
      <w:pPr>
        <w:numPr>
          <w:ilvl w:val="0"/>
          <w:numId w:val="1"/>
        </w:numPr>
        <w:spacing w:after="160" w:line="360" w:lineRule="auto"/>
        <w:contextualSpacing/>
        <w:jc w:val="both"/>
        <w:rPr>
          <w:rFonts w:ascii="David" w:hAnsi="David"/>
          <w:rtl/>
        </w:rPr>
      </w:pPr>
      <w:r w:rsidRPr="009B6685">
        <w:rPr>
          <w:rFonts w:ascii="David" w:hAnsi="David"/>
          <w:rtl/>
        </w:rPr>
        <w:t>ב</w:t>
      </w:r>
      <w:hyperlink r:id="rId44" w:history="1">
        <w:r w:rsidR="00125FD0" w:rsidRPr="00125FD0">
          <w:rPr>
            <w:rFonts w:ascii="David" w:hAnsi="David"/>
            <w:b/>
            <w:bCs/>
            <w:color w:val="0000FF"/>
            <w:u w:val="single"/>
            <w:rtl/>
          </w:rPr>
          <w:t>ע"פ 1654/16</w:t>
        </w:r>
      </w:hyperlink>
      <w:r w:rsidRPr="009B6685">
        <w:rPr>
          <w:rFonts w:ascii="David" w:hAnsi="David"/>
          <w:b/>
          <w:bCs/>
          <w:rtl/>
        </w:rPr>
        <w:t xml:space="preserve"> </w:t>
      </w:r>
      <w:r w:rsidRPr="009B6685">
        <w:rPr>
          <w:rFonts w:ascii="David" w:hAnsi="David" w:hint="cs"/>
          <w:b/>
          <w:bCs/>
          <w:u w:val="single"/>
          <w:rtl/>
        </w:rPr>
        <w:t>גל שרר נ' מדינת ישראל</w:t>
      </w:r>
      <w:r w:rsidRPr="009B6685">
        <w:rPr>
          <w:rFonts w:ascii="David" w:hAnsi="David" w:hint="cs"/>
          <w:b/>
          <w:bCs/>
          <w:rtl/>
        </w:rPr>
        <w:t xml:space="preserve"> </w:t>
      </w:r>
      <w:r w:rsidRPr="009B6685">
        <w:rPr>
          <w:rFonts w:ascii="David" w:hAnsi="David"/>
          <w:rtl/>
        </w:rPr>
        <w:t>הנאשם</w:t>
      </w:r>
      <w:r>
        <w:rPr>
          <w:rFonts w:ascii="David" w:hAnsi="David"/>
          <w:rtl/>
        </w:rPr>
        <w:t xml:space="preserve"> הורשע בעבירות של סחר בסם מסוכן</w:t>
      </w:r>
      <w:r>
        <w:rPr>
          <w:rFonts w:ascii="David" w:hAnsi="David" w:hint="cs"/>
          <w:rtl/>
        </w:rPr>
        <w:t xml:space="preserve">, </w:t>
      </w:r>
      <w:r w:rsidRPr="009B6685">
        <w:rPr>
          <w:rFonts w:ascii="David" w:hAnsi="David"/>
          <w:rtl/>
        </w:rPr>
        <w:t xml:space="preserve"> סיוע לסחר בסם מסוכן והחזקת סם מסוכן שלא לצריכה עצמית. האישום הראשון באותו מקרה כלל שני אירועי מכירה לסוכן משטרתי (16.6 גרם ו-19.6 גרם קוקאין) והחזקת סם שלא לצריכה עצמית ונקבע מתחם ענישה הולם שבין 24 ל-48 חודשי מאסר. האישום השני כלל סיוע לשתי </w:t>
      </w:r>
      <w:r>
        <w:rPr>
          <w:rFonts w:ascii="David" w:hAnsi="David" w:hint="cs"/>
          <w:rtl/>
        </w:rPr>
        <w:t xml:space="preserve">עסקאות </w:t>
      </w:r>
      <w:r w:rsidRPr="009B6685">
        <w:rPr>
          <w:rFonts w:ascii="David" w:hAnsi="David"/>
          <w:rtl/>
        </w:rPr>
        <w:t>(99.2 גרם ו-88.9 גרם קוקאין) ונקבע מתחם  עונש הולם בין 36 ל-60 חודשי מאסר. על ה</w:t>
      </w:r>
      <w:r>
        <w:rPr>
          <w:rFonts w:ascii="David" w:hAnsi="David"/>
          <w:rtl/>
        </w:rPr>
        <w:t>נאשם הוטלו  54 חודשי מאסר בפועל</w:t>
      </w:r>
      <w:r>
        <w:rPr>
          <w:rFonts w:ascii="David" w:hAnsi="David" w:hint="cs"/>
          <w:rtl/>
        </w:rPr>
        <w:t>,</w:t>
      </w:r>
      <w:r>
        <w:rPr>
          <w:rFonts w:ascii="David" w:hAnsi="David"/>
          <w:rtl/>
        </w:rPr>
        <w:t xml:space="preserve"> מאסרים מותנים</w:t>
      </w:r>
      <w:r>
        <w:rPr>
          <w:rFonts w:ascii="David" w:hAnsi="David" w:hint="cs"/>
          <w:rtl/>
        </w:rPr>
        <w:t xml:space="preserve">, </w:t>
      </w:r>
      <w:r w:rsidRPr="009B6685">
        <w:rPr>
          <w:rFonts w:ascii="David" w:hAnsi="David"/>
          <w:rtl/>
        </w:rPr>
        <w:t>קנס בסך 25,000</w:t>
      </w:r>
      <w:r>
        <w:rPr>
          <w:rFonts w:ascii="David" w:hAnsi="David"/>
          <w:rtl/>
        </w:rPr>
        <w:t xml:space="preserve"> ₪</w:t>
      </w:r>
      <w:r>
        <w:rPr>
          <w:rFonts w:ascii="David" w:hAnsi="David" w:hint="cs"/>
          <w:rtl/>
        </w:rPr>
        <w:t xml:space="preserve">, </w:t>
      </w:r>
      <w:r w:rsidRPr="009B6685">
        <w:rPr>
          <w:rFonts w:ascii="David" w:hAnsi="David"/>
          <w:rtl/>
        </w:rPr>
        <w:t>ופסילת רישיון נהיגה. ערעור על חומרת העונש נדחה. ב</w:t>
      </w:r>
      <w:hyperlink r:id="rId45" w:history="1">
        <w:r w:rsidR="00125FD0" w:rsidRPr="00125FD0">
          <w:rPr>
            <w:rFonts w:ascii="David" w:hAnsi="David"/>
            <w:b/>
            <w:bCs/>
            <w:color w:val="0000FF"/>
            <w:u w:val="single"/>
            <w:rtl/>
          </w:rPr>
          <w:t>ע"פ 1965/20</w:t>
        </w:r>
      </w:hyperlink>
      <w:r w:rsidRPr="009B6685">
        <w:rPr>
          <w:rFonts w:ascii="David" w:hAnsi="David"/>
          <w:b/>
          <w:bCs/>
          <w:rtl/>
        </w:rPr>
        <w:t xml:space="preserve"> </w:t>
      </w:r>
      <w:r w:rsidRPr="009B6685">
        <w:rPr>
          <w:rFonts w:ascii="David" w:hAnsi="David" w:hint="cs"/>
          <w:b/>
          <w:bCs/>
          <w:u w:val="single"/>
          <w:rtl/>
        </w:rPr>
        <w:t>כרים בדואי נ' מדינת ישראל</w:t>
      </w:r>
      <w:r w:rsidRPr="009B6685">
        <w:rPr>
          <w:rFonts w:ascii="David" w:hAnsi="David"/>
          <w:rtl/>
        </w:rPr>
        <w:t xml:space="preserve"> הנאשם הורשע בעבירות של סיוע לסחר בסם מסוכן  (כ-39 ג' קוקאין) ובסחר בסם מסוכן (כ- 29 ג' קוקאין) לסוכן. נקבע מתחם עונש הולם אחד בגין שני האישומים שנע בין 25 ל-50 חודשי מאסר. על הנאשם, בעל עבר פלילי, הוטלו 30 חודשי מאסר, הופעל מאסר מותנה במצטבר למשך 4 חודשים, מאסר מותנה וקנס בסך 26,600 ₪. ערעור על חומרת העונש התקבל בחלקו כך שהמאסר ה</w:t>
      </w:r>
      <w:r>
        <w:rPr>
          <w:rFonts w:ascii="David" w:hAnsi="David"/>
          <w:rtl/>
        </w:rPr>
        <w:t>מותנה</w:t>
      </w:r>
      <w:r>
        <w:rPr>
          <w:rFonts w:ascii="David" w:hAnsi="David" w:hint="cs"/>
          <w:rtl/>
        </w:rPr>
        <w:t xml:space="preserve"> הופעל  באופן </w:t>
      </w:r>
      <w:r>
        <w:rPr>
          <w:rFonts w:ascii="David" w:hAnsi="David"/>
          <w:rtl/>
        </w:rPr>
        <w:t>בחופף</w:t>
      </w:r>
      <w:r>
        <w:rPr>
          <w:rFonts w:ascii="David" w:hAnsi="David" w:hint="cs"/>
          <w:rtl/>
        </w:rPr>
        <w:t>.</w:t>
      </w:r>
      <w:r>
        <w:rPr>
          <w:rFonts w:ascii="David" w:hAnsi="David"/>
          <w:rtl/>
        </w:rPr>
        <w:t xml:space="preserve"> </w:t>
      </w:r>
      <w:r w:rsidRPr="009B6685">
        <w:rPr>
          <w:rFonts w:ascii="David" w:hAnsi="David"/>
          <w:rtl/>
        </w:rPr>
        <w:t>ב</w:t>
      </w:r>
      <w:hyperlink r:id="rId46" w:history="1">
        <w:r w:rsidR="00125FD0" w:rsidRPr="00125FD0">
          <w:rPr>
            <w:rFonts w:ascii="David" w:hAnsi="David"/>
            <w:b/>
            <w:bCs/>
            <w:color w:val="0000FF"/>
            <w:u w:val="single"/>
            <w:rtl/>
          </w:rPr>
          <w:t>ע"פ 1478/19</w:t>
        </w:r>
      </w:hyperlink>
      <w:r w:rsidRPr="009B6685">
        <w:rPr>
          <w:rFonts w:ascii="David" w:hAnsi="David"/>
          <w:b/>
          <w:bCs/>
          <w:rtl/>
        </w:rPr>
        <w:t xml:space="preserve"> </w:t>
      </w:r>
      <w:r w:rsidRPr="009B6685">
        <w:rPr>
          <w:rFonts w:ascii="David" w:hAnsi="David" w:hint="cs"/>
          <w:b/>
          <w:bCs/>
          <w:u w:val="single"/>
          <w:rtl/>
        </w:rPr>
        <w:t>יאסין סעדי נ' מדינת ישראל</w:t>
      </w:r>
      <w:r w:rsidRPr="009B6685">
        <w:rPr>
          <w:rFonts w:ascii="David" w:hAnsi="David" w:hint="cs"/>
          <w:b/>
          <w:bCs/>
          <w:rtl/>
        </w:rPr>
        <w:t xml:space="preserve"> </w:t>
      </w:r>
      <w:r w:rsidRPr="009B6685">
        <w:rPr>
          <w:rFonts w:ascii="David" w:hAnsi="David"/>
          <w:rtl/>
        </w:rPr>
        <w:t>הנאשם הורשע בעבירה של סחר בסם מסוכן, לאחר שמכר בצוותא עם אדם נוסף לסוכן משטרתי סם מסוכן מסוג קוקאין במשקל 58.78 גרם תמורת 24,500 ₪. נקבע מתחם עונש הולם שבין 38 ל-60 חודשי מאסר. על הנאשם בעל עבר פלילי הוטלו  54 חודשי מאסר בפועל, מאסרים מותנים וקנס בסך 20,000 ₪. ערעור על חומרת העונש התקבל באופן שעונשו של הנאשם הופחת ל-40 חודשי מאסר בפועל והקנס הופחת ל-10,000 ₪ על בסיס עיקרון אחידות הענישה, בהינתן עונשו של שותפו של הנאשם לביצוע העסקה. ב</w:t>
      </w:r>
      <w:hyperlink r:id="rId47" w:history="1">
        <w:r w:rsidR="00125FD0" w:rsidRPr="00125FD0">
          <w:rPr>
            <w:rFonts w:ascii="David" w:hAnsi="David"/>
            <w:b/>
            <w:bCs/>
            <w:color w:val="0000FF"/>
            <w:u w:val="single"/>
            <w:rtl/>
          </w:rPr>
          <w:t>רע"פ 2275/15</w:t>
        </w:r>
      </w:hyperlink>
      <w:r w:rsidRPr="009B6685">
        <w:rPr>
          <w:rFonts w:ascii="David" w:hAnsi="David"/>
          <w:b/>
          <w:bCs/>
          <w:rtl/>
        </w:rPr>
        <w:t xml:space="preserve"> </w:t>
      </w:r>
      <w:r w:rsidRPr="009B6685">
        <w:rPr>
          <w:rFonts w:ascii="David" w:hAnsi="David" w:hint="cs"/>
          <w:b/>
          <w:bCs/>
          <w:u w:val="single"/>
          <w:rtl/>
        </w:rPr>
        <w:t>אלכסנדר אברמוב נ' מדינת ישראל</w:t>
      </w:r>
      <w:r w:rsidRPr="009B6685">
        <w:rPr>
          <w:rFonts w:ascii="David" w:hAnsi="David"/>
          <w:rtl/>
        </w:rPr>
        <w:t xml:space="preserve"> הנאשם הורשע בעבירה סחר בכך שמכר לסוכן משטרתי 19.98 גרם סם מסוכן מסוג הרואין ו-20.05 סם מסוכן מסוג קוקאין, בעלות כוללת של 11,000 ₪. נקבע מתחם עונש בין 27 ל-54 חודשי מאסר. על הנאשם בעל עבר פלילי הוטלו 48 חודשי מאסר בפועל; מאסר על תנאי; קנס בסך של 10,000 ₪; פסילת רישיון נהיגה וחילוט רכוש. ערעור על חומרת העונש נדחה. ב</w:t>
      </w:r>
      <w:hyperlink r:id="rId48" w:history="1">
        <w:r w:rsidR="00125FD0" w:rsidRPr="00125FD0">
          <w:rPr>
            <w:rFonts w:ascii="David" w:hAnsi="David"/>
            <w:b/>
            <w:bCs/>
            <w:color w:val="0000FF"/>
            <w:u w:val="single"/>
            <w:rtl/>
          </w:rPr>
          <w:t>ע"פ 1987/15</w:t>
        </w:r>
      </w:hyperlink>
      <w:r w:rsidRPr="009B6685">
        <w:rPr>
          <w:rFonts w:ascii="David" w:hAnsi="David"/>
          <w:b/>
          <w:bCs/>
          <w:rtl/>
        </w:rPr>
        <w:t xml:space="preserve"> </w:t>
      </w:r>
      <w:r w:rsidRPr="009B6685">
        <w:rPr>
          <w:rFonts w:ascii="David" w:hAnsi="David" w:hint="cs"/>
          <w:b/>
          <w:bCs/>
          <w:u w:val="single"/>
          <w:rtl/>
        </w:rPr>
        <w:t>עופר דורי נ' מדינת ישראל</w:t>
      </w:r>
      <w:r w:rsidRPr="009B6685">
        <w:rPr>
          <w:rFonts w:ascii="David" w:hAnsi="David"/>
          <w:rtl/>
        </w:rPr>
        <w:t xml:space="preserve"> הנאשם הורשע בעבירה של סחר בסם מסוכן בכך שמכר לסוכן משטרתי 50 גרם קוקאין תמורת 19,000 ₪. נקבע מתחם עונש שבין 24 ל-44 חודשי מאסר. על הנאשם, ללא עבר פלילי, הושת עונש של 26 חודשי מאסר בפועל, מאסר על תנאי וקנס בסך 40,000 ₪. ערעור על חומרת העונש נדחה.  ב</w:t>
      </w:r>
      <w:hyperlink r:id="rId49" w:history="1">
        <w:r w:rsidR="00125FD0" w:rsidRPr="00125FD0">
          <w:rPr>
            <w:rFonts w:ascii="David" w:hAnsi="David"/>
            <w:b/>
            <w:bCs/>
            <w:color w:val="0000FF"/>
            <w:u w:val="single"/>
            <w:rtl/>
          </w:rPr>
          <w:t>ע"פ 2173/16</w:t>
        </w:r>
      </w:hyperlink>
      <w:r w:rsidRPr="009B6685">
        <w:rPr>
          <w:rFonts w:ascii="David" w:hAnsi="David"/>
          <w:b/>
          <w:bCs/>
          <w:rtl/>
        </w:rPr>
        <w:t xml:space="preserve"> </w:t>
      </w:r>
      <w:r w:rsidRPr="009B6685">
        <w:rPr>
          <w:rFonts w:ascii="David" w:hAnsi="David" w:hint="cs"/>
          <w:b/>
          <w:bCs/>
          <w:u w:val="single"/>
          <w:rtl/>
        </w:rPr>
        <w:t>הישאם אבו צעלוק נ' מדינת ישראל</w:t>
      </w:r>
      <w:r w:rsidRPr="009B6685">
        <w:rPr>
          <w:rFonts w:ascii="David" w:hAnsi="David"/>
          <w:rtl/>
        </w:rPr>
        <w:t xml:space="preserve"> הנאשם הורשע בביצוע עבירה של סחר בסם מסוכן, בכך שמכר 51.05 גרם קוקאין לסוכן משטרתי תמורת 19,000 ₪. נקבע מתחם ענישה שבין 3 ל-5 שנות מאסר. על הנאשם בעל עבר פלילי בעבירת נשק, הוטלו 48 חודשי מאסר ומאסר מותנה. ערעור על חומרת העונש נדחה. ב</w:t>
      </w:r>
      <w:hyperlink r:id="rId50" w:history="1">
        <w:r w:rsidR="00125FD0" w:rsidRPr="00125FD0">
          <w:rPr>
            <w:rFonts w:ascii="David" w:hAnsi="David"/>
            <w:b/>
            <w:bCs/>
            <w:color w:val="0000FF"/>
            <w:u w:val="single"/>
            <w:rtl/>
          </w:rPr>
          <w:t>ע"פ 2467/19</w:t>
        </w:r>
      </w:hyperlink>
      <w:r w:rsidRPr="009B6685">
        <w:rPr>
          <w:rFonts w:ascii="David" w:hAnsi="David"/>
          <w:b/>
          <w:bCs/>
          <w:rtl/>
        </w:rPr>
        <w:t xml:space="preserve"> </w:t>
      </w:r>
      <w:r w:rsidRPr="009B6685">
        <w:rPr>
          <w:rFonts w:ascii="David" w:hAnsi="David" w:hint="cs"/>
          <w:b/>
          <w:bCs/>
          <w:u w:val="single"/>
          <w:rtl/>
        </w:rPr>
        <w:t>ארנסט גרשומוב נ' מדינת ישראל</w:t>
      </w:r>
      <w:r w:rsidRPr="009B6685">
        <w:rPr>
          <w:rFonts w:ascii="David" w:hAnsi="David"/>
          <w:rtl/>
        </w:rPr>
        <w:t xml:space="preserve"> הנאשם הורשע בשתי עבירות: סיוע לסחר בסם מסוכן וסחר בסם מסוכן, בכך שסייע לביצוע עסקת סחר במסגרתה מסר לסוכן משטרתי סם מסוג קוקאין בכמות של 48.25 גרם תמורת 21,500 ₪; וכן ביצע עסקת סחר בכך שמכר לסוכן 49.22 גרם של סם מסוג קוקאין תמורת 21,500 ₪. נקבע מתחם עונש הולם שבין 24 לבין 48 חודשי מאסר. על הנאשם, בעל עבר פלילי, הוטלו 27 חודשי מאסר בפועל, מאסר על תנאי, פסילת רישיון וחילוט רכוש. ערעור על חומרת העונש התקבל בחלקו שכך קוצרה תקופת פסילת רישיון הנהיגה. ב</w:t>
      </w:r>
      <w:hyperlink r:id="rId51" w:history="1">
        <w:r w:rsidR="00125FD0" w:rsidRPr="00125FD0">
          <w:rPr>
            <w:rFonts w:ascii="David" w:hAnsi="David"/>
            <w:b/>
            <w:bCs/>
            <w:color w:val="0000FF"/>
            <w:u w:val="single"/>
            <w:rtl/>
          </w:rPr>
          <w:t>ע"פ 8367/18</w:t>
        </w:r>
      </w:hyperlink>
      <w:r w:rsidRPr="009B6685">
        <w:rPr>
          <w:rFonts w:ascii="David" w:hAnsi="David"/>
          <w:b/>
          <w:bCs/>
          <w:rtl/>
        </w:rPr>
        <w:t xml:space="preserve"> </w:t>
      </w:r>
      <w:r w:rsidRPr="009B6685">
        <w:rPr>
          <w:rFonts w:ascii="David" w:hAnsi="David" w:hint="cs"/>
          <w:b/>
          <w:bCs/>
          <w:u w:val="single"/>
          <w:rtl/>
        </w:rPr>
        <w:t>נס נ' מדינת ישראל</w:t>
      </w:r>
      <w:r w:rsidRPr="009B6685">
        <w:rPr>
          <w:rFonts w:ascii="David" w:hAnsi="David" w:hint="cs"/>
          <w:b/>
          <w:bCs/>
          <w:rtl/>
        </w:rPr>
        <w:t xml:space="preserve">, </w:t>
      </w:r>
      <w:r w:rsidRPr="009B6685">
        <w:rPr>
          <w:rFonts w:ascii="David" w:hAnsi="David"/>
          <w:rtl/>
        </w:rPr>
        <w:t xml:space="preserve">הנאשם הורשע בשתי עבירות של סחר בסם מסוכן מסוג קוקאין לסוכן משטרתי. בגין העסקה הראשונה, בה מכר לסוכן 29.9 גרם קוקאין; ונקבע מתחם עונש הולם בין 23 ועד 50 חודשי מאסר בפועל. בגין העסקה השנייה מכר לסוכן 50.4 גרם קוקאין, ונקבע מתחם עונש הולם בין 27 ועד ל-54 חודשי מאסר בפועל. על הנאשם בעל עבר פלילי הוטלו 36 חודשי מאסר בפועל. ערעור על חומרת העונש התקבל ועונשו הופחת ל-30 חודשי מאסא בפועל וזאת בעיקר משום עיקרון אחידות בענישה </w:t>
      </w:r>
      <w:r>
        <w:rPr>
          <w:rFonts w:ascii="David" w:hAnsi="David" w:hint="cs"/>
          <w:rtl/>
        </w:rPr>
        <w:t xml:space="preserve"> בהתייחס ל</w:t>
      </w:r>
      <w:r w:rsidRPr="009B6685">
        <w:rPr>
          <w:rFonts w:ascii="David" w:hAnsi="David"/>
          <w:rtl/>
        </w:rPr>
        <w:t>אשם אחר באותה פרשה.</w:t>
      </w:r>
    </w:p>
    <w:p w:rsidR="00E72E06" w:rsidRPr="007F05B1" w:rsidRDefault="00E72E06" w:rsidP="00E72E06">
      <w:pPr>
        <w:spacing w:line="360" w:lineRule="auto"/>
        <w:ind w:left="643"/>
        <w:jc w:val="both"/>
        <w:rPr>
          <w:rFonts w:ascii="David" w:hAnsi="David"/>
          <w:sz w:val="12"/>
          <w:szCs w:val="12"/>
          <w:rtl/>
        </w:rPr>
      </w:pPr>
    </w:p>
    <w:p w:rsidR="00E72E06" w:rsidRPr="009B6685" w:rsidRDefault="00E72E06" w:rsidP="00E72E06">
      <w:pPr>
        <w:numPr>
          <w:ilvl w:val="0"/>
          <w:numId w:val="1"/>
        </w:numPr>
        <w:spacing w:after="160" w:line="360" w:lineRule="auto"/>
        <w:jc w:val="both"/>
        <w:rPr>
          <w:rFonts w:ascii="David" w:hAnsi="David"/>
        </w:rPr>
      </w:pPr>
      <w:r w:rsidRPr="009B6685">
        <w:rPr>
          <w:rFonts w:ascii="David" w:hAnsi="David"/>
          <w:rtl/>
        </w:rPr>
        <w:t xml:space="preserve">המאשימה הפנתה למספר פסקי דין, כאשר המתחמים נעים בין 24 ועד 70 חודשי מאסר בפועל והעונשים נעים בין 36 ועד 60 חודשי מאסר בפועל. </w:t>
      </w:r>
    </w:p>
    <w:p w:rsidR="00E72E06" w:rsidRPr="009B6685" w:rsidRDefault="00E72E06" w:rsidP="00E72E06">
      <w:pPr>
        <w:numPr>
          <w:ilvl w:val="0"/>
          <w:numId w:val="1"/>
        </w:numPr>
        <w:spacing w:before="240" w:after="240" w:line="360" w:lineRule="auto"/>
        <w:contextualSpacing/>
        <w:jc w:val="both"/>
        <w:rPr>
          <w:rFonts w:ascii="David" w:hAnsi="David"/>
        </w:rPr>
      </w:pPr>
      <w:r w:rsidRPr="009B6685">
        <w:rPr>
          <w:rFonts w:ascii="David" w:hAnsi="David"/>
          <w:rtl/>
        </w:rPr>
        <w:t xml:space="preserve">ב"כ הנאשם הפנה למספר פסקי דין כאשר המתחמים נעים בין 24 ועד 48 חודשי מאסר בפועל, והעונשים נעים בין 14 ועד 32 חודשי מאסר בפועל. </w:t>
      </w:r>
    </w:p>
    <w:p w:rsidR="00E72E06" w:rsidRPr="00D31DEA" w:rsidRDefault="00E72E06" w:rsidP="00E72E06">
      <w:pPr>
        <w:spacing w:before="240" w:after="240" w:line="360" w:lineRule="auto"/>
        <w:contextualSpacing/>
        <w:jc w:val="both"/>
        <w:rPr>
          <w:rFonts w:ascii="David" w:hAnsi="David"/>
          <w:sz w:val="12"/>
          <w:szCs w:val="12"/>
          <w:rtl/>
        </w:rPr>
      </w:pPr>
    </w:p>
    <w:p w:rsidR="00E72E06" w:rsidRPr="008D1442" w:rsidRDefault="00E72E06" w:rsidP="00E72E06">
      <w:pPr>
        <w:numPr>
          <w:ilvl w:val="0"/>
          <w:numId w:val="1"/>
        </w:numPr>
        <w:spacing w:after="160" w:line="360" w:lineRule="auto"/>
        <w:contextualSpacing/>
        <w:jc w:val="both"/>
        <w:rPr>
          <w:rFonts w:ascii="David" w:eastAsia="David" w:hAnsi="David"/>
          <w:sz w:val="22"/>
          <w:szCs w:val="22"/>
          <w:rtl/>
        </w:rPr>
      </w:pPr>
      <w:r>
        <w:rPr>
          <w:rFonts w:ascii="David" w:eastAsia="Calibri" w:hAnsi="David"/>
          <w:rtl/>
        </w:rPr>
        <w:t>בקביעת</w:t>
      </w:r>
      <w:r w:rsidRPr="009B6685">
        <w:rPr>
          <w:rFonts w:ascii="David" w:eastAsia="Calibri" w:hAnsi="David"/>
          <w:rtl/>
        </w:rPr>
        <w:t xml:space="preserve"> המתחם יש להתחשב גם במתחמים שנקבעו ביחס לנאשמים אחרים באותה פרשייה כל אחד בהתאם לנסיבותיו וחלקו באירועים. </w:t>
      </w:r>
      <w:r w:rsidRPr="008D1442">
        <w:rPr>
          <w:rFonts w:ascii="David" w:eastAsia="Calibri" w:hAnsi="David"/>
          <w:b/>
          <w:bCs/>
          <w:spacing w:val="10"/>
          <w:sz w:val="22"/>
          <w:szCs w:val="22"/>
          <w:rtl/>
        </w:rPr>
        <w:t>"כידוע, עקרון אחידות הענישה הוא עקרון יסוד בשיטתנו, ואחת מנגזרותיו היא החובה להבטיח יחס הולם בין עונשיהם של המעורבים השונים באותה פרשה, כך שמדרג הענישה ישקף את חלקם היחסי של כל אחד מהמעורבים בה (</w:t>
      </w:r>
      <w:hyperlink r:id="rId52" w:history="1">
        <w:r w:rsidR="00125FD0" w:rsidRPr="00125FD0">
          <w:rPr>
            <w:rFonts w:ascii="David" w:eastAsia="Calibri" w:hAnsi="David"/>
            <w:b/>
            <w:bCs/>
            <w:color w:val="0000FF"/>
            <w:spacing w:val="10"/>
            <w:sz w:val="22"/>
            <w:szCs w:val="22"/>
            <w:u w:val="single"/>
            <w:rtl/>
          </w:rPr>
          <w:t>ע"פ 8172/21</w:t>
        </w:r>
      </w:hyperlink>
      <w:r w:rsidR="00125FD0">
        <w:rPr>
          <w:rFonts w:ascii="David" w:eastAsia="Calibri" w:hAnsi="David"/>
          <w:b/>
          <w:bCs/>
          <w:spacing w:val="10"/>
          <w:sz w:val="22"/>
          <w:szCs w:val="22"/>
          <w:rtl/>
        </w:rPr>
        <w:t xml:space="preserve"> </w:t>
      </w:r>
      <w:r w:rsidRPr="008D1442">
        <w:rPr>
          <w:rFonts w:ascii="David" w:eastAsia="Calibri" w:hAnsi="David"/>
          <w:b/>
          <w:bCs/>
          <w:sz w:val="22"/>
          <w:szCs w:val="22"/>
          <w:rtl/>
        </w:rPr>
        <w:t>חג'אזי נ' מדינת ישראל</w:t>
      </w:r>
      <w:r w:rsidRPr="008D1442">
        <w:rPr>
          <w:rFonts w:ascii="David" w:eastAsia="Calibri" w:hAnsi="David"/>
          <w:b/>
          <w:bCs/>
          <w:spacing w:val="10"/>
          <w:sz w:val="22"/>
          <w:szCs w:val="22"/>
          <w:rtl/>
        </w:rPr>
        <w:t>, פסקה 18</w:t>
      </w:r>
      <w:r w:rsidR="00125FD0">
        <w:rPr>
          <w:rFonts w:ascii="David" w:eastAsia="Calibri" w:hAnsi="David"/>
          <w:b/>
          <w:bCs/>
          <w:spacing w:val="10"/>
          <w:sz w:val="22"/>
          <w:szCs w:val="22"/>
          <w:rtl/>
        </w:rPr>
        <w:t xml:space="preserve"> </w:t>
      </w:r>
      <w:r w:rsidRPr="008D1442">
        <w:rPr>
          <w:rFonts w:ascii="David" w:eastAsia="Calibri" w:hAnsi="David"/>
          <w:b/>
          <w:bCs/>
          <w:sz w:val="22"/>
          <w:szCs w:val="22"/>
          <w:rtl/>
        </w:rPr>
        <w:t>[פורסם בנבו]</w:t>
      </w:r>
      <w:r w:rsidR="00125FD0">
        <w:rPr>
          <w:rFonts w:ascii="David" w:eastAsia="Calibri" w:hAnsi="David"/>
          <w:b/>
          <w:bCs/>
          <w:sz w:val="22"/>
          <w:szCs w:val="22"/>
          <w:rtl/>
        </w:rPr>
        <w:t xml:space="preserve"> </w:t>
      </w:r>
      <w:r w:rsidRPr="008D1442">
        <w:rPr>
          <w:rFonts w:ascii="David" w:eastAsia="Calibri" w:hAnsi="David"/>
          <w:b/>
          <w:bCs/>
          <w:spacing w:val="10"/>
          <w:sz w:val="22"/>
          <w:szCs w:val="22"/>
          <w:rtl/>
        </w:rPr>
        <w:t>(15.5.2022);</w:t>
      </w:r>
      <w:r w:rsidR="00125FD0">
        <w:rPr>
          <w:rFonts w:ascii="David" w:eastAsia="Calibri" w:hAnsi="David"/>
          <w:b/>
          <w:bCs/>
          <w:spacing w:val="10"/>
          <w:sz w:val="22"/>
          <w:szCs w:val="22"/>
          <w:rtl/>
        </w:rPr>
        <w:t xml:space="preserve"> </w:t>
      </w:r>
      <w:hyperlink r:id="rId53" w:history="1">
        <w:r w:rsidR="00125FD0" w:rsidRPr="00125FD0">
          <w:rPr>
            <w:rFonts w:ascii="David" w:eastAsia="Calibri" w:hAnsi="David"/>
            <w:b/>
            <w:bCs/>
            <w:color w:val="0000FF"/>
            <w:spacing w:val="10"/>
            <w:sz w:val="22"/>
            <w:szCs w:val="22"/>
            <w:u w:val="single"/>
            <w:rtl/>
          </w:rPr>
          <w:t>ע"פ 4536/21</w:t>
        </w:r>
      </w:hyperlink>
      <w:r w:rsidR="00125FD0">
        <w:rPr>
          <w:rFonts w:ascii="David" w:eastAsia="Calibri" w:hAnsi="David"/>
          <w:b/>
          <w:bCs/>
          <w:spacing w:val="10"/>
          <w:sz w:val="22"/>
          <w:szCs w:val="22"/>
          <w:rtl/>
        </w:rPr>
        <w:t xml:space="preserve"> </w:t>
      </w:r>
      <w:r w:rsidRPr="008D1442">
        <w:rPr>
          <w:rFonts w:ascii="David" w:eastAsia="Calibri" w:hAnsi="David"/>
          <w:b/>
          <w:bCs/>
          <w:sz w:val="22"/>
          <w:szCs w:val="22"/>
          <w:rtl/>
        </w:rPr>
        <w:t>פרץ נ' מדינת ישראל</w:t>
      </w:r>
      <w:r w:rsidRPr="008D1442">
        <w:rPr>
          <w:rFonts w:ascii="David" w:eastAsia="Calibri" w:hAnsi="David"/>
          <w:b/>
          <w:bCs/>
          <w:spacing w:val="10"/>
          <w:sz w:val="22"/>
          <w:szCs w:val="22"/>
          <w:rtl/>
        </w:rPr>
        <w:t>, פסקה 15</w:t>
      </w:r>
      <w:r w:rsidR="00125FD0">
        <w:rPr>
          <w:rFonts w:ascii="David" w:eastAsia="Calibri" w:hAnsi="David"/>
          <w:b/>
          <w:bCs/>
          <w:spacing w:val="10"/>
          <w:sz w:val="22"/>
          <w:szCs w:val="22"/>
          <w:rtl/>
        </w:rPr>
        <w:t xml:space="preserve"> </w:t>
      </w:r>
      <w:r w:rsidRPr="008D1442">
        <w:rPr>
          <w:rFonts w:ascii="David" w:eastAsia="Calibri" w:hAnsi="David"/>
          <w:b/>
          <w:bCs/>
          <w:sz w:val="22"/>
          <w:szCs w:val="22"/>
          <w:rtl/>
        </w:rPr>
        <w:t>[פורסם בנבו]</w:t>
      </w:r>
      <w:r w:rsidR="00125FD0">
        <w:rPr>
          <w:rFonts w:ascii="David" w:eastAsia="Calibri" w:hAnsi="David"/>
          <w:b/>
          <w:bCs/>
          <w:sz w:val="22"/>
          <w:szCs w:val="22"/>
          <w:rtl/>
        </w:rPr>
        <w:t xml:space="preserve"> </w:t>
      </w:r>
      <w:r w:rsidRPr="008D1442">
        <w:rPr>
          <w:rFonts w:ascii="David" w:eastAsia="Calibri" w:hAnsi="David"/>
          <w:b/>
          <w:bCs/>
          <w:spacing w:val="10"/>
          <w:sz w:val="22"/>
          <w:szCs w:val="22"/>
          <w:rtl/>
        </w:rPr>
        <w:t xml:space="preserve">(4.11.2021)). יישומה של חובה זו משתנה מטבעם של דברים ממקרה למקרה, ועל בית המשפט לשקול, בין היתר, את חומרת המעשים שביצע כל אחד מן הנאשמים ביחס לאחרים בשים לב לנסיבותיו האישיות של כל נאשם (עניין עשור, פסקה 20)." </w:t>
      </w:r>
    </w:p>
    <w:p w:rsidR="00E72E06" w:rsidRPr="009B6685" w:rsidRDefault="00E72E06" w:rsidP="00E72E06">
      <w:pPr>
        <w:spacing w:after="160" w:line="256" w:lineRule="auto"/>
        <w:ind w:left="720"/>
        <w:contextualSpacing/>
        <w:rPr>
          <w:rFonts w:ascii="David" w:eastAsia="David" w:hAnsi="David"/>
          <w:sz w:val="6"/>
          <w:szCs w:val="6"/>
        </w:rPr>
      </w:pPr>
    </w:p>
    <w:p w:rsidR="00E72E06" w:rsidRPr="009B6685" w:rsidRDefault="00E72E06" w:rsidP="00E72E06">
      <w:pPr>
        <w:spacing w:line="360" w:lineRule="auto"/>
        <w:ind w:left="643"/>
        <w:contextualSpacing/>
        <w:jc w:val="both"/>
        <w:rPr>
          <w:rFonts w:ascii="David" w:eastAsia="David" w:hAnsi="David"/>
          <w:sz w:val="6"/>
          <w:szCs w:val="6"/>
          <w:rtl/>
        </w:rPr>
      </w:pPr>
    </w:p>
    <w:p w:rsidR="00E72E06" w:rsidRPr="009B6685" w:rsidRDefault="00E72E06" w:rsidP="00E72E06">
      <w:pPr>
        <w:spacing w:line="360" w:lineRule="auto"/>
        <w:ind w:left="643"/>
        <w:contextualSpacing/>
        <w:jc w:val="both"/>
        <w:rPr>
          <w:rFonts w:ascii="David" w:eastAsia="David" w:hAnsi="David"/>
          <w:rtl/>
        </w:rPr>
      </w:pPr>
      <w:r w:rsidRPr="009B6685">
        <w:rPr>
          <w:rFonts w:ascii="David" w:eastAsia="David" w:hAnsi="David"/>
          <w:rtl/>
        </w:rPr>
        <w:t>להלן אסקור בקצרה חלק מפסקי הדין שניתנו בעניין נאשמים שהיו מעורבים בעבירות סמים עם אותו סוכן משטרתי במסגרת אותה הפרשייה.</w:t>
      </w:r>
    </w:p>
    <w:p w:rsidR="00E72E06" w:rsidRPr="007F05B1" w:rsidRDefault="00E72E06" w:rsidP="00E72E06">
      <w:pPr>
        <w:spacing w:line="360" w:lineRule="auto"/>
        <w:ind w:left="643"/>
        <w:contextualSpacing/>
        <w:jc w:val="both"/>
        <w:rPr>
          <w:rFonts w:ascii="David" w:eastAsia="David" w:hAnsi="David"/>
          <w:sz w:val="12"/>
          <w:szCs w:val="12"/>
        </w:rPr>
      </w:pPr>
    </w:p>
    <w:p w:rsidR="00E72E06" w:rsidRPr="009B6685" w:rsidRDefault="00E72E06" w:rsidP="00E72E06">
      <w:pPr>
        <w:spacing w:line="360" w:lineRule="auto"/>
        <w:ind w:left="643"/>
        <w:contextualSpacing/>
        <w:jc w:val="both"/>
        <w:rPr>
          <w:rFonts w:ascii="David" w:eastAsia="David" w:hAnsi="David"/>
        </w:rPr>
      </w:pPr>
      <w:r w:rsidRPr="007F05B1">
        <w:rPr>
          <w:rFonts w:ascii="David" w:eastAsia="David" w:hAnsi="David" w:hint="cs"/>
          <w:rtl/>
        </w:rPr>
        <w:t>ב</w:t>
      </w:r>
      <w:hyperlink r:id="rId54" w:history="1">
        <w:r w:rsidR="00125FD0" w:rsidRPr="00125FD0">
          <w:rPr>
            <w:rFonts w:ascii="David" w:eastAsia="David" w:hAnsi="David"/>
            <w:b/>
            <w:bCs/>
            <w:color w:val="0000FF"/>
            <w:u w:val="single"/>
            <w:rtl/>
          </w:rPr>
          <w:t>ת"פ 54293-01-23</w:t>
        </w:r>
      </w:hyperlink>
      <w:r w:rsidRPr="009B6685">
        <w:rPr>
          <w:rFonts w:ascii="David" w:eastAsia="David" w:hAnsi="David"/>
          <w:b/>
          <w:bCs/>
          <w:rtl/>
        </w:rPr>
        <w:t xml:space="preserve"> </w:t>
      </w:r>
      <w:r w:rsidRPr="009B6685">
        <w:rPr>
          <w:rFonts w:ascii="David" w:eastAsia="David" w:hAnsi="David"/>
          <w:b/>
          <w:bCs/>
          <w:u w:val="single"/>
          <w:rtl/>
        </w:rPr>
        <w:t>מדינת ישראל נ' עזרן ואח'</w:t>
      </w:r>
      <w:r w:rsidRPr="009B6685">
        <w:rPr>
          <w:rFonts w:ascii="David" w:eastAsia="David" w:hAnsi="David"/>
          <w:rtl/>
        </w:rPr>
        <w:t xml:space="preserve"> הנאשם 1 הורשע באישום הראשון בעבירה של תיווך לעסקה בסמים של 250 כדורים של אקסטזי , באישום השני בעבירות של סחר בסם מסוכן ועסקה אחרת בסם מסוכן בכמות של כ-37 גרם סם מסוג קוקאין. נקבע מתחם עונש הולם אשר נע בין 30 ועד 60 חודשי מאסר בפועל. בית המשפט סטה לקולה ממתחם העונש לאור סיכויי ממש של שיקום. על הנאשם הוטלו 24 חודשי מאסר בפועל. הנאשם 2 הורשע באישום השני בעבירה של סחר בסם מסוכן בכמות של כ-37 גרם סם מסוג קוקאין. נקבע מתחם עונש הולם אשר נע בין 12 ועד 24 חודשי מאסר בפועל. על הנאשם הוטלו 14 חודשי</w:t>
      </w:r>
      <w:r>
        <w:rPr>
          <w:rFonts w:ascii="David" w:eastAsia="David" w:hAnsi="David" w:hint="cs"/>
          <w:rtl/>
        </w:rPr>
        <w:t xml:space="preserve"> </w:t>
      </w:r>
      <w:r w:rsidRPr="009B6685">
        <w:rPr>
          <w:rFonts w:ascii="David" w:eastAsia="David" w:hAnsi="David"/>
          <w:rtl/>
        </w:rPr>
        <w:t xml:space="preserve"> מאסר בפועל. </w:t>
      </w:r>
    </w:p>
    <w:p w:rsidR="00E72E06" w:rsidRPr="009B6685" w:rsidRDefault="00E72E06" w:rsidP="00E72E06">
      <w:pPr>
        <w:spacing w:line="360" w:lineRule="auto"/>
        <w:ind w:left="643"/>
        <w:contextualSpacing/>
        <w:jc w:val="both"/>
        <w:rPr>
          <w:rFonts w:ascii="David" w:eastAsia="David" w:hAnsi="David"/>
          <w:rtl/>
        </w:rPr>
      </w:pPr>
      <w:r w:rsidRPr="007F05B1">
        <w:rPr>
          <w:rFonts w:ascii="David" w:eastAsia="David" w:hAnsi="David" w:hint="cs"/>
          <w:rtl/>
        </w:rPr>
        <w:t>ב</w:t>
      </w:r>
      <w:hyperlink r:id="rId55" w:history="1">
        <w:r w:rsidR="00125FD0" w:rsidRPr="00125FD0">
          <w:rPr>
            <w:rFonts w:ascii="David" w:eastAsia="David" w:hAnsi="David"/>
            <w:b/>
            <w:bCs/>
            <w:color w:val="0000FF"/>
            <w:u w:val="single"/>
            <w:rtl/>
          </w:rPr>
          <w:t>ת"פ 53614-01-23</w:t>
        </w:r>
      </w:hyperlink>
      <w:r w:rsidRPr="009B6685">
        <w:rPr>
          <w:rFonts w:ascii="David" w:eastAsia="David" w:hAnsi="David"/>
          <w:b/>
          <w:bCs/>
          <w:rtl/>
        </w:rPr>
        <w:t xml:space="preserve"> </w:t>
      </w:r>
      <w:r>
        <w:rPr>
          <w:rFonts w:ascii="David" w:eastAsia="David" w:hAnsi="David"/>
          <w:b/>
          <w:bCs/>
          <w:u w:val="single"/>
          <w:rtl/>
        </w:rPr>
        <w:t>מדינת ישראל נ' ממן</w:t>
      </w:r>
      <w:r w:rsidRPr="009B6685">
        <w:rPr>
          <w:rFonts w:ascii="David" w:eastAsia="David" w:hAnsi="David"/>
          <w:b/>
          <w:bCs/>
          <w:rtl/>
        </w:rPr>
        <w:t xml:space="preserve"> </w:t>
      </w:r>
      <w:r w:rsidRPr="009B6685">
        <w:rPr>
          <w:rFonts w:ascii="David" w:eastAsia="David" w:hAnsi="David"/>
          <w:rtl/>
        </w:rPr>
        <w:t>הנאשם הורשע באישום ראשון בעבירה של סיוע לסחר בסם מסוכם מסוג קוקאי</w:t>
      </w:r>
      <w:r>
        <w:rPr>
          <w:rFonts w:ascii="David" w:eastAsia="David" w:hAnsi="David"/>
          <w:rtl/>
        </w:rPr>
        <w:t>ן במשקל של 40 גרם, באישום הש</w:t>
      </w:r>
      <w:r>
        <w:rPr>
          <w:rFonts w:ascii="David" w:eastAsia="David" w:hAnsi="David" w:hint="cs"/>
          <w:rtl/>
        </w:rPr>
        <w:t>ני</w:t>
      </w:r>
      <w:r w:rsidRPr="009B6685">
        <w:rPr>
          <w:rFonts w:ascii="David" w:eastAsia="David" w:hAnsi="David"/>
          <w:rtl/>
        </w:rPr>
        <w:t xml:space="preserve"> בע</w:t>
      </w:r>
      <w:r>
        <w:rPr>
          <w:rFonts w:ascii="David" w:eastAsia="David" w:hAnsi="David"/>
          <w:rtl/>
        </w:rPr>
        <w:t>בירה של סחר בסם מסוכן מסוג ק</w:t>
      </w:r>
      <w:r>
        <w:rPr>
          <w:rFonts w:ascii="David" w:eastAsia="David" w:hAnsi="David" w:hint="cs"/>
          <w:rtl/>
        </w:rPr>
        <w:t>וקאי</w:t>
      </w:r>
      <w:r w:rsidRPr="009B6685">
        <w:rPr>
          <w:rFonts w:ascii="David" w:eastAsia="David" w:hAnsi="David"/>
          <w:rtl/>
        </w:rPr>
        <w:t>ן במש</w:t>
      </w:r>
      <w:r>
        <w:rPr>
          <w:rFonts w:ascii="David" w:eastAsia="David" w:hAnsi="David" w:hint="cs"/>
          <w:rtl/>
        </w:rPr>
        <w:t>ק</w:t>
      </w:r>
      <w:r w:rsidRPr="009B6685">
        <w:rPr>
          <w:rFonts w:ascii="David" w:eastAsia="David" w:hAnsi="David"/>
          <w:rtl/>
        </w:rPr>
        <w:t>ל של 69.47 גרם, באישום השלישי, בעבירה של החזקת בסם מסוכן מסוג קוקאין במשקל של 0.7976 . נקבע מתחם עונש הולם כולל לאישומים הראשון והשני אשר נע בין 24 ועד 48 חודשי מאסר בפועל, ובגין האישום השלישי נקבע מתחם עונש הולם אשר נע בין 6 ועד 12 חודשי מאסר בפועל. על הנאשם הוטל עונש כולל של 30 חודשי מאסר בפועל ו</w:t>
      </w:r>
      <w:r>
        <w:rPr>
          <w:rFonts w:ascii="David" w:eastAsia="David" w:hAnsi="David" w:hint="cs"/>
          <w:rtl/>
        </w:rPr>
        <w:t>הופעל</w:t>
      </w:r>
      <w:r w:rsidRPr="009B6685">
        <w:rPr>
          <w:rFonts w:ascii="David" w:eastAsia="David" w:hAnsi="David"/>
          <w:rtl/>
        </w:rPr>
        <w:t xml:space="preserve"> מאסר מותנה בן 9 חודשים, כאשר 6 חודשים הופעלו במצטבר ו-3 חודשים בחופף. </w:t>
      </w:r>
    </w:p>
    <w:p w:rsidR="00E72E06" w:rsidRPr="001F7C66" w:rsidRDefault="00E72E06" w:rsidP="00E72E06">
      <w:pPr>
        <w:spacing w:line="360" w:lineRule="auto"/>
        <w:ind w:left="643"/>
        <w:contextualSpacing/>
        <w:jc w:val="both"/>
        <w:rPr>
          <w:rFonts w:ascii="David" w:eastAsia="David" w:hAnsi="David"/>
          <w:sz w:val="12"/>
          <w:szCs w:val="12"/>
          <w:rtl/>
        </w:rPr>
      </w:pPr>
    </w:p>
    <w:p w:rsidR="00E72E06" w:rsidRPr="001F7C66" w:rsidRDefault="00E72E06" w:rsidP="00E72E06">
      <w:pPr>
        <w:spacing w:after="160" w:line="360" w:lineRule="auto"/>
        <w:ind w:left="391"/>
        <w:jc w:val="both"/>
        <w:rPr>
          <w:rFonts w:ascii="David" w:eastAsia="Calibri" w:hAnsi="David"/>
          <w:rtl/>
        </w:rPr>
      </w:pPr>
      <w:r w:rsidRPr="001F7C66">
        <w:rPr>
          <w:rFonts w:ascii="David" w:hAnsi="David"/>
          <w:u w:val="single"/>
          <w:rtl/>
        </w:rPr>
        <w:t>לסיכום מתחם העונש ההולם</w:t>
      </w:r>
    </w:p>
    <w:p w:rsidR="00E72E06" w:rsidRPr="009B6685" w:rsidRDefault="00E72E06" w:rsidP="00E72E06">
      <w:pPr>
        <w:numPr>
          <w:ilvl w:val="0"/>
          <w:numId w:val="1"/>
        </w:numPr>
        <w:spacing w:before="120" w:after="160" w:line="360" w:lineRule="auto"/>
        <w:ind w:left="720"/>
        <w:contextualSpacing/>
        <w:jc w:val="both"/>
        <w:rPr>
          <w:rFonts w:ascii="David" w:hAnsi="David"/>
          <w:b/>
          <w:bCs/>
          <w:u w:val="single"/>
        </w:rPr>
      </w:pPr>
      <w:r w:rsidRPr="009B6685">
        <w:rPr>
          <w:rFonts w:ascii="David" w:eastAsia="Calibri" w:hAnsi="David"/>
          <w:rtl/>
        </w:rPr>
        <w:t>עונש המאסר המרבי הקבוע בחוק ביחס לעבירות נשוא האישומים עומד על</w:t>
      </w:r>
      <w:r>
        <w:rPr>
          <w:rFonts w:ascii="David" w:eastAsia="Calibri" w:hAnsi="David" w:hint="cs"/>
          <w:rtl/>
        </w:rPr>
        <w:t xml:space="preserve"> </w:t>
      </w:r>
      <w:r>
        <w:rPr>
          <w:rFonts w:ascii="David" w:eastAsia="Calibri" w:hAnsi="David"/>
          <w:rtl/>
        </w:rPr>
        <w:t>20 שנה בעבירה של סחר בסם מסוכן</w:t>
      </w:r>
      <w:r>
        <w:rPr>
          <w:rFonts w:ascii="David" w:eastAsia="Calibri" w:hAnsi="David" w:hint="cs"/>
          <w:rtl/>
        </w:rPr>
        <w:t>, ו-</w:t>
      </w:r>
      <w:r w:rsidRPr="009B6685">
        <w:rPr>
          <w:rFonts w:ascii="David" w:eastAsia="Calibri" w:hAnsi="David"/>
          <w:rtl/>
        </w:rPr>
        <w:t xml:space="preserve"> 10 שנים לעבירה של סיוע לסחר בסם מסוכן.</w:t>
      </w:r>
    </w:p>
    <w:p w:rsidR="00E72E06" w:rsidRPr="003C4416" w:rsidRDefault="00E72E06" w:rsidP="00E72E06">
      <w:pPr>
        <w:spacing w:before="120" w:line="360" w:lineRule="auto"/>
        <w:ind w:left="720"/>
        <w:contextualSpacing/>
        <w:jc w:val="both"/>
        <w:rPr>
          <w:rFonts w:ascii="David" w:hAnsi="David"/>
          <w:b/>
          <w:bCs/>
          <w:sz w:val="10"/>
          <w:szCs w:val="10"/>
          <w:u w:val="single"/>
        </w:rPr>
      </w:pPr>
    </w:p>
    <w:p w:rsidR="00E72E06" w:rsidRPr="007F05B1" w:rsidRDefault="00E72E06" w:rsidP="00E72E06">
      <w:pPr>
        <w:pStyle w:val="ListParagraph"/>
        <w:numPr>
          <w:ilvl w:val="0"/>
          <w:numId w:val="1"/>
        </w:numPr>
        <w:tabs>
          <w:tab w:val="left" w:pos="4316"/>
        </w:tabs>
        <w:spacing w:line="360" w:lineRule="auto"/>
        <w:jc w:val="both"/>
        <w:rPr>
          <w:rFonts w:ascii="David" w:hAnsi="David"/>
        </w:rPr>
      </w:pPr>
      <w:r w:rsidRPr="007F05B1">
        <w:rPr>
          <w:rFonts w:ascii="David" w:hAnsi="David"/>
          <w:rtl/>
        </w:rPr>
        <w:t xml:space="preserve">יצוין כי </w:t>
      </w:r>
      <w:r w:rsidRPr="007F05B1">
        <w:rPr>
          <w:rFonts w:ascii="David" w:eastAsia="Calibri" w:hAnsi="David"/>
          <w:spacing w:val="10"/>
          <w:rtl/>
        </w:rPr>
        <w:t>בצד עבירת הסיוע קבוע עונש מקסימלי שגובהו מחצית מעונשו של המבצע העיקרי, ויש להביא זאת בחשבון במסגרת קביעת מתחם העונש ההולם. עם זאת, לא מדובר בחישוב אריתמטי בהכרח ויש להביא בחשבון את כלל הנסיבות לרבות חלקו של המסייע בביצוע העבירה.</w:t>
      </w:r>
      <w:r w:rsidRPr="007F05B1">
        <w:rPr>
          <w:rFonts w:ascii="David" w:eastAsia="Calibri" w:hAnsi="David"/>
          <w:rtl/>
        </w:rPr>
        <w:t xml:space="preserve"> </w:t>
      </w:r>
      <w:r>
        <w:rPr>
          <w:rFonts w:ascii="David" w:eastAsia="Calibri" w:hAnsi="David"/>
          <w:spacing w:val="10"/>
          <w:rtl/>
        </w:rPr>
        <w:t xml:space="preserve">ר' בהקשר זה </w:t>
      </w:r>
      <w:r w:rsidR="00125FD0">
        <w:rPr>
          <w:rFonts w:ascii="David" w:eastAsia="Calibri" w:hAnsi="David"/>
          <w:b/>
          <w:bCs/>
          <w:spacing w:val="10"/>
          <w:rtl/>
        </w:rPr>
        <w:t xml:space="preserve"> </w:t>
      </w:r>
      <w:r w:rsidRPr="007F05B1">
        <w:rPr>
          <w:rFonts w:ascii="David" w:eastAsia="Calibri" w:hAnsi="David"/>
          <w:b/>
          <w:bCs/>
          <w:u w:val="single"/>
          <w:rtl/>
        </w:rPr>
        <w:t>ארנבורג נ' מדינת ישראל</w:t>
      </w:r>
      <w:r w:rsidR="00125FD0">
        <w:rPr>
          <w:rFonts w:ascii="David" w:eastAsia="Calibri" w:hAnsi="David"/>
          <w:spacing w:val="10"/>
          <w:u w:val="single"/>
          <w:rtl/>
        </w:rPr>
        <w:t xml:space="preserve"> </w:t>
      </w:r>
      <w:r w:rsidRPr="007F05B1">
        <w:rPr>
          <w:rFonts w:ascii="David" w:eastAsia="Calibri" w:hAnsi="David"/>
          <w:spacing w:val="10"/>
          <w:rtl/>
        </w:rPr>
        <w:t>.</w:t>
      </w:r>
      <w:r w:rsidRPr="007F05B1">
        <w:rPr>
          <w:rFonts w:ascii="David" w:hAnsi="David"/>
          <w:rtl/>
        </w:rPr>
        <w:t xml:space="preserve"> </w:t>
      </w:r>
      <w:r w:rsidRPr="007F05B1">
        <w:rPr>
          <w:rFonts w:ascii="David" w:eastAsia="Calibri" w:hAnsi="David"/>
          <w:rtl/>
        </w:rPr>
        <w:t xml:space="preserve">ראה גם </w:t>
      </w:r>
      <w:hyperlink r:id="rId56" w:history="1">
        <w:r w:rsidR="00125FD0" w:rsidRPr="00125FD0">
          <w:rPr>
            <w:rFonts w:ascii="David" w:eastAsia="Calibri" w:hAnsi="David"/>
            <w:b/>
            <w:bCs/>
            <w:color w:val="0000FF"/>
            <w:u w:val="single"/>
            <w:rtl/>
          </w:rPr>
          <w:t>ע"פ 1438/14</w:t>
        </w:r>
      </w:hyperlink>
      <w:r w:rsidR="00125FD0">
        <w:rPr>
          <w:rFonts w:ascii="David" w:eastAsia="Calibri" w:hAnsi="David"/>
          <w:b/>
          <w:bCs/>
        </w:rPr>
        <w:t xml:space="preserve"> </w:t>
      </w:r>
      <w:r w:rsidRPr="007F05B1">
        <w:rPr>
          <w:rFonts w:ascii="David" w:eastAsia="Calibri" w:hAnsi="David"/>
          <w:b/>
          <w:bCs/>
          <w:u w:val="single"/>
          <w:rtl/>
        </w:rPr>
        <w:t>חסן בראזי נ' מדינת ישראל</w:t>
      </w:r>
      <w:r w:rsidRPr="007F05B1">
        <w:rPr>
          <w:rFonts w:ascii="David" w:eastAsia="Calibri" w:hAnsi="David"/>
          <w:b/>
          <w:bCs/>
          <w:rtl/>
        </w:rPr>
        <w:t xml:space="preserve"> </w:t>
      </w:r>
      <w:r w:rsidRPr="007F05B1">
        <w:rPr>
          <w:rFonts w:ascii="David" w:eastAsia="Calibri" w:hAnsi="David"/>
          <w:rtl/>
        </w:rPr>
        <w:t>בו נפסק</w:t>
      </w:r>
      <w:r w:rsidRPr="007F05B1">
        <w:rPr>
          <w:rFonts w:ascii="David" w:eastAsia="Calibri" w:hAnsi="David"/>
        </w:rPr>
        <w:t>:</w:t>
      </w:r>
      <w:r w:rsidR="00125FD0">
        <w:rPr>
          <w:rFonts w:ascii="David" w:eastAsia="Calibri" w:hAnsi="David"/>
          <w:b/>
          <w:bCs/>
        </w:rPr>
        <w:t xml:space="preserve"> </w:t>
      </w:r>
      <w:r w:rsidRPr="007F05B1">
        <w:rPr>
          <w:rFonts w:ascii="David" w:eastAsia="Calibri" w:hAnsi="David"/>
          <w:b/>
          <w:bCs/>
        </w:rPr>
        <w:t>"</w:t>
      </w:r>
      <w:r w:rsidRPr="007F05B1">
        <w:rPr>
          <w:rFonts w:ascii="David" w:eastAsia="Calibri" w:hAnsi="David"/>
          <w:b/>
          <w:bCs/>
          <w:sz w:val="22"/>
          <w:szCs w:val="22"/>
          <w:rtl/>
        </w:rPr>
        <w:t>מלאכת קביעת מתחם העונש מחייבת להתחשב, בשינויים המחייבים, גם בנסיבות המנויות בסעיף 40ט(א) ל</w:t>
      </w:r>
      <w:hyperlink r:id="rId57" w:history="1">
        <w:r w:rsidR="00125FD0" w:rsidRPr="00125FD0">
          <w:rPr>
            <w:rFonts w:ascii="David" w:eastAsia="Calibri" w:hAnsi="David"/>
            <w:b/>
            <w:bCs/>
            <w:color w:val="0000FF"/>
            <w:sz w:val="22"/>
            <w:szCs w:val="22"/>
            <w:u w:val="single"/>
            <w:rtl/>
          </w:rPr>
          <w:t>חוק העונשין</w:t>
        </w:r>
      </w:hyperlink>
      <w:r w:rsidRPr="007F05B1">
        <w:rPr>
          <w:rFonts w:ascii="David" w:eastAsia="Calibri" w:hAnsi="David"/>
          <w:b/>
          <w:bCs/>
          <w:sz w:val="22"/>
          <w:szCs w:val="22"/>
        </w:rPr>
        <w:t xml:space="preserve">, </w:t>
      </w:r>
      <w:r w:rsidRPr="007F05B1">
        <w:rPr>
          <w:rFonts w:ascii="David" w:eastAsia="Calibri" w:hAnsi="David"/>
          <w:b/>
          <w:bCs/>
          <w:sz w:val="22"/>
          <w:szCs w:val="22"/>
          <w:rtl/>
        </w:rPr>
        <w:t>ובין היתר בשאלה אם מדובר בסיוע במעשה או במחדל; אם הסיוע קדם לביצוע העבירה העיקרית או שהוא ניתן במהלך ביצועה; מידת תרומתו של הסיוע לביצוע העבירה העיקרית; תרומת הסיוע לנזק שהיה צפוי להיגרם ושנגרם בפועל; יכולתו של נאשם להבין את משמעות פעולותיו לרבות בשל גילו; ועוד</w:t>
      </w:r>
      <w:r w:rsidRPr="007F05B1">
        <w:rPr>
          <w:rFonts w:ascii="David" w:eastAsia="Calibri" w:hAnsi="David"/>
          <w:b/>
          <w:bCs/>
          <w:sz w:val="22"/>
          <w:szCs w:val="22"/>
        </w:rPr>
        <w:t>.."</w:t>
      </w:r>
    </w:p>
    <w:p w:rsidR="00E72E06" w:rsidRPr="009B6685" w:rsidRDefault="00E72E06" w:rsidP="00E72E06">
      <w:pPr>
        <w:ind w:left="720"/>
        <w:contextualSpacing/>
        <w:rPr>
          <w:rFonts w:ascii="David" w:hAnsi="David"/>
          <w:sz w:val="6"/>
          <w:szCs w:val="6"/>
        </w:rPr>
      </w:pPr>
    </w:p>
    <w:p w:rsidR="00E72E06" w:rsidRPr="009B6685" w:rsidRDefault="00E72E06" w:rsidP="00E72E06">
      <w:pPr>
        <w:ind w:left="720"/>
        <w:contextualSpacing/>
        <w:rPr>
          <w:rFonts w:ascii="David" w:hAnsi="David"/>
          <w:sz w:val="6"/>
          <w:szCs w:val="6"/>
          <w:rtl/>
        </w:rPr>
      </w:pPr>
    </w:p>
    <w:p w:rsidR="00E72E06" w:rsidRPr="007F05B1" w:rsidRDefault="00E72E06" w:rsidP="00E72E06">
      <w:pPr>
        <w:pStyle w:val="ListParagraph"/>
        <w:numPr>
          <w:ilvl w:val="0"/>
          <w:numId w:val="1"/>
        </w:numPr>
        <w:spacing w:line="360" w:lineRule="auto"/>
        <w:jc w:val="both"/>
        <w:rPr>
          <w:rFonts w:ascii="David" w:hAnsi="David"/>
          <w:rtl/>
        </w:rPr>
      </w:pPr>
      <w:r w:rsidRPr="007F05B1">
        <w:rPr>
          <w:rFonts w:ascii="David" w:hAnsi="David"/>
          <w:rtl/>
        </w:rPr>
        <w:t xml:space="preserve">לאחר ששקלתי את חומרת העבירות, נסיבות ביצועּן כמפורט לעיל, הערכים החברתיים עליהם יש להגן, מידת הפגיעה בהם והפסיקה הנהוגה, אני סבור כי מתחם העונש ההולם  צריך לכלול רכיב של מאסר בפועל שלא יפחת מ- 25 חודשים ולא יעלה על 50 חודשים בצד עונשים נלווים. </w:t>
      </w:r>
    </w:p>
    <w:p w:rsidR="00E72E06" w:rsidRPr="001F7C66" w:rsidRDefault="00E72E06" w:rsidP="00E72E06">
      <w:pPr>
        <w:spacing w:after="160" w:line="360" w:lineRule="auto"/>
        <w:ind w:firstLine="360"/>
        <w:jc w:val="both"/>
        <w:rPr>
          <w:rFonts w:ascii="David" w:eastAsia="David" w:hAnsi="David"/>
          <w:b/>
          <w:bCs/>
          <w:sz w:val="6"/>
          <w:szCs w:val="6"/>
          <w:u w:val="single"/>
          <w:rtl/>
        </w:rPr>
      </w:pPr>
    </w:p>
    <w:p w:rsidR="00E72E06" w:rsidRPr="009B6685" w:rsidRDefault="00E72E06" w:rsidP="00E72E06">
      <w:pPr>
        <w:spacing w:after="160" w:line="360" w:lineRule="auto"/>
        <w:ind w:firstLine="360"/>
        <w:jc w:val="both"/>
        <w:rPr>
          <w:rFonts w:ascii="David" w:eastAsia="David" w:hAnsi="David"/>
          <w:b/>
          <w:bCs/>
          <w:u w:val="single"/>
          <w:rtl/>
        </w:rPr>
      </w:pPr>
      <w:r w:rsidRPr="009B6685">
        <w:rPr>
          <w:rFonts w:ascii="David" w:eastAsia="David" w:hAnsi="David"/>
          <w:b/>
          <w:bCs/>
          <w:u w:val="single"/>
          <w:rtl/>
        </w:rPr>
        <w:t>נסיבות שאינן קשורות בביצוע העבירות</w:t>
      </w:r>
    </w:p>
    <w:p w:rsidR="00E72E06" w:rsidRDefault="00E72E06" w:rsidP="00E72E06">
      <w:pPr>
        <w:numPr>
          <w:ilvl w:val="0"/>
          <w:numId w:val="1"/>
        </w:numPr>
        <w:spacing w:after="160" w:line="360" w:lineRule="auto"/>
        <w:contextualSpacing/>
        <w:jc w:val="both"/>
        <w:rPr>
          <w:rFonts w:ascii="David" w:eastAsia="Calibri" w:hAnsi="David"/>
        </w:rPr>
      </w:pPr>
      <w:r w:rsidRPr="009B6685">
        <w:rPr>
          <w:rFonts w:ascii="David" w:eastAsia="David" w:hAnsi="David"/>
          <w:rtl/>
        </w:rPr>
        <w:t>לקולה אני מביא בחשבון את: קבלת האחריות; הבעת החרטה; ההודאה בכתב האישום המתוקן, החיסכון בזמן שיפוטי רב; נסיבותיו האישיות והמשפחתיות כמפורט בטיעוני ההגנה ובדברי הנאשם ואשתו ובפרט מצבו הרפואי של בנו; תקופת המעצר הארוכה בה הוא היה נתון עד היום  (כידוע תנאי המעצר קשים מתנאי מאסר) והשלכות המעצר/מאסר על הנאשם ומשפחתו, את האמור בחוות דעת של שב"ס (נ/1) ממנה עולה כי הנאשם מתפקד באופן תקין ללא עבירת משמעת או שלילת טובת הנאה ומביע מוטיבציה מילולית לטיפול , את המכתב מאת בית חם (נ/2) ממנו עולה כי הנאשם פנה למרכז בבקשה להתקבל למסגרת א</w:t>
      </w:r>
      <w:r>
        <w:rPr>
          <w:rFonts w:ascii="David" w:eastAsia="David" w:hAnsi="David"/>
          <w:rtl/>
        </w:rPr>
        <w:t>ישפוזית לטיפול גמילה מהתמכרותו</w:t>
      </w:r>
      <w:r>
        <w:rPr>
          <w:rFonts w:ascii="David" w:eastAsia="David" w:hAnsi="David" w:hint="cs"/>
          <w:rtl/>
        </w:rPr>
        <w:t xml:space="preserve"> </w:t>
      </w:r>
      <w:r w:rsidRPr="00D31DEA">
        <w:rPr>
          <w:rFonts w:ascii="David" w:eastAsia="David" w:hAnsi="David" w:hint="cs"/>
          <w:rtl/>
        </w:rPr>
        <w:t>בתחילת חודש נובמבר 2023.</w:t>
      </w:r>
    </w:p>
    <w:p w:rsidR="00E72E06" w:rsidRPr="009B6685" w:rsidRDefault="00E72E06" w:rsidP="00E72E06">
      <w:pPr>
        <w:spacing w:line="360" w:lineRule="auto"/>
        <w:ind w:left="643"/>
        <w:contextualSpacing/>
        <w:jc w:val="both"/>
        <w:rPr>
          <w:rFonts w:ascii="David" w:eastAsia="David" w:hAnsi="David"/>
          <w:sz w:val="10"/>
          <w:szCs w:val="10"/>
        </w:rPr>
      </w:pPr>
    </w:p>
    <w:p w:rsidR="00E72E06" w:rsidRPr="00EF1929" w:rsidRDefault="00E72E06" w:rsidP="00E72E06">
      <w:pPr>
        <w:pStyle w:val="ListParagraph"/>
        <w:numPr>
          <w:ilvl w:val="0"/>
          <w:numId w:val="1"/>
        </w:numPr>
        <w:spacing w:line="360" w:lineRule="auto"/>
        <w:jc w:val="both"/>
        <w:rPr>
          <w:rFonts w:ascii="David" w:eastAsia="David" w:hAnsi="David"/>
          <w:sz w:val="10"/>
          <w:szCs w:val="10"/>
          <w:rtl/>
        </w:rPr>
      </w:pPr>
      <w:r w:rsidRPr="00EF1929">
        <w:rPr>
          <w:rFonts w:ascii="David" w:eastAsia="David" w:hAnsi="David"/>
          <w:rtl/>
        </w:rPr>
        <w:t xml:space="preserve">לחומרה אני מביא בחשבון את עברו הפלילי של הנאשם הכולל 10 הרשעות קודמות, </w:t>
      </w:r>
      <w:r w:rsidRPr="00EF1929">
        <w:rPr>
          <w:rFonts w:ascii="David" w:eastAsia="Calibri" w:hAnsi="David"/>
          <w:rtl/>
        </w:rPr>
        <w:t xml:space="preserve">ביניהם עבירות שונות בעיקר בתחם הסמים ועוד, והעובדה כי העבירות בוצעו כאשר תלוי ועומד נגדו מאסר על תנאי למשך 6 חודשים. </w:t>
      </w:r>
    </w:p>
    <w:p w:rsidR="00E72E06" w:rsidRPr="009B6685" w:rsidRDefault="00E72E06" w:rsidP="00E72E06">
      <w:pPr>
        <w:spacing w:line="360" w:lineRule="auto"/>
        <w:contextualSpacing/>
        <w:jc w:val="both"/>
        <w:rPr>
          <w:rFonts w:ascii="David" w:eastAsia="David" w:hAnsi="David"/>
          <w:sz w:val="10"/>
          <w:szCs w:val="10"/>
        </w:rPr>
      </w:pPr>
    </w:p>
    <w:p w:rsidR="00E72E06" w:rsidRPr="00EF1929" w:rsidRDefault="00E72E06" w:rsidP="00E72E06">
      <w:pPr>
        <w:pStyle w:val="ListParagraph"/>
        <w:numPr>
          <w:ilvl w:val="0"/>
          <w:numId w:val="1"/>
        </w:numPr>
        <w:spacing w:line="360" w:lineRule="auto"/>
        <w:jc w:val="both"/>
        <w:rPr>
          <w:rFonts w:ascii="David" w:eastAsia="Calibri" w:hAnsi="David"/>
        </w:rPr>
      </w:pPr>
      <w:r w:rsidRPr="00EF1929">
        <w:rPr>
          <w:rFonts w:ascii="David" w:eastAsia="David" w:hAnsi="David"/>
          <w:rtl/>
        </w:rPr>
        <w:t xml:space="preserve">במכלול הנסיבות כמפורט לעיל, אני סבור שנכון לגזור על הנאשם עונש מאסר בפועל לתקופה המצויה </w:t>
      </w:r>
      <w:r w:rsidRPr="00EF1929">
        <w:rPr>
          <w:rFonts w:ascii="David" w:eastAsia="Calibri" w:hAnsi="David"/>
          <w:rtl/>
        </w:rPr>
        <w:t xml:space="preserve">בין מרכז המתחם לחלקו התחתון. </w:t>
      </w:r>
    </w:p>
    <w:p w:rsidR="00E72E06" w:rsidRPr="009B6685" w:rsidRDefault="00E72E06" w:rsidP="00E72E06">
      <w:pPr>
        <w:contextualSpacing/>
        <w:rPr>
          <w:rFonts w:ascii="David" w:hAnsi="David"/>
        </w:rPr>
      </w:pPr>
    </w:p>
    <w:p w:rsidR="00E72E06" w:rsidRPr="009B6685" w:rsidRDefault="00E72E06" w:rsidP="00E72E06">
      <w:pPr>
        <w:spacing w:after="160" w:line="360" w:lineRule="auto"/>
        <w:ind w:firstLine="141"/>
        <w:jc w:val="both"/>
        <w:rPr>
          <w:rFonts w:ascii="David" w:hAnsi="David"/>
          <w:b/>
          <w:bCs/>
          <w:u w:val="single"/>
        </w:rPr>
      </w:pPr>
      <w:r w:rsidRPr="009B6685">
        <w:rPr>
          <w:rFonts w:ascii="David" w:hAnsi="David"/>
          <w:b/>
          <w:bCs/>
          <w:u w:val="single"/>
          <w:rtl/>
        </w:rPr>
        <w:t xml:space="preserve">אופן הפעלת המאסר המותנה </w:t>
      </w:r>
    </w:p>
    <w:p w:rsidR="00E72E06" w:rsidRPr="009B6685" w:rsidRDefault="00E72E06" w:rsidP="00E72E06">
      <w:pPr>
        <w:numPr>
          <w:ilvl w:val="0"/>
          <w:numId w:val="1"/>
        </w:numPr>
        <w:spacing w:before="100" w:beforeAutospacing="1" w:after="100" w:afterAutospacing="1" w:line="360" w:lineRule="auto"/>
        <w:ind w:left="501"/>
        <w:contextualSpacing/>
        <w:jc w:val="both"/>
        <w:rPr>
          <w:rFonts w:ascii="David" w:hAnsi="David"/>
          <w:b/>
          <w:bCs/>
          <w:u w:val="single"/>
          <w:rtl/>
        </w:rPr>
      </w:pPr>
      <w:r w:rsidRPr="009B6685">
        <w:rPr>
          <w:rFonts w:ascii="David" w:hAnsi="David"/>
          <w:rtl/>
        </w:rPr>
        <w:t xml:space="preserve">בכל הנוגע לאופן הפעלת המאסר המותנה, הכלל הוא שעונש מאסר על תנאי אשר מופעל ירוצה באופן מצטבר לעונש המאסר שגוזר בית המשפט בשל העבירה הנוספת (ראו </w:t>
      </w:r>
      <w:hyperlink r:id="rId58" w:history="1">
        <w:r w:rsidR="00B35796" w:rsidRPr="00B35796">
          <w:rPr>
            <w:rStyle w:val="Hyperlink"/>
            <w:rFonts w:ascii="David" w:hAnsi="David"/>
            <w:color w:val="0000FF"/>
            <w:rtl/>
          </w:rPr>
          <w:t>סעיף 58</w:t>
        </w:r>
      </w:hyperlink>
      <w:r w:rsidRPr="009B6685">
        <w:rPr>
          <w:rFonts w:ascii="David" w:hAnsi="David"/>
          <w:rtl/>
        </w:rPr>
        <w:t xml:space="preserve"> ל</w:t>
      </w:r>
      <w:hyperlink r:id="rId59" w:history="1">
        <w:r w:rsidR="00125FD0" w:rsidRPr="00125FD0">
          <w:rPr>
            <w:rFonts w:ascii="David" w:hAnsi="David"/>
            <w:color w:val="0000FF"/>
            <w:u w:val="single"/>
            <w:rtl/>
          </w:rPr>
          <w:t>חוק העונשין</w:t>
        </w:r>
      </w:hyperlink>
      <w:r w:rsidRPr="009B6685">
        <w:rPr>
          <w:rFonts w:ascii="David" w:hAnsi="David"/>
        </w:rPr>
        <w:t>(</w:t>
      </w:r>
      <w:r w:rsidRPr="009B6685">
        <w:rPr>
          <w:rFonts w:ascii="David" w:hAnsi="David"/>
          <w:rtl/>
        </w:rPr>
        <w:t xml:space="preserve">. גם ההלכה בסוגיה זו ברורה, וקובעת כי מאסרים מותנים יש להפעיל באופן מצטבר והפעלתם באופן חופף תתאפשר רק כאשר קיימים טעמים מוצדקים ומנומקים. ר' </w:t>
      </w:r>
      <w:hyperlink r:id="rId60" w:history="1">
        <w:r w:rsidR="00125FD0" w:rsidRPr="00125FD0">
          <w:rPr>
            <w:rFonts w:ascii="David" w:hAnsi="David"/>
            <w:b/>
            <w:bCs/>
            <w:color w:val="0000FF"/>
            <w:u w:val="single"/>
            <w:rtl/>
          </w:rPr>
          <w:t>ע"פ 4654/03</w:t>
        </w:r>
      </w:hyperlink>
      <w:r w:rsidRPr="009B6685">
        <w:rPr>
          <w:rFonts w:ascii="David" w:hAnsi="David"/>
          <w:b/>
          <w:bCs/>
          <w:rtl/>
        </w:rPr>
        <w:t xml:space="preserve"> </w:t>
      </w:r>
      <w:r w:rsidRPr="009B6685">
        <w:rPr>
          <w:rFonts w:ascii="David" w:hAnsi="David"/>
          <w:b/>
          <w:bCs/>
          <w:u w:val="single"/>
          <w:rtl/>
        </w:rPr>
        <w:t>ווליד נ' מדינת ישראל</w:t>
      </w:r>
      <w:r w:rsidRPr="009B6685">
        <w:rPr>
          <w:rFonts w:ascii="David" w:hAnsi="David"/>
          <w:rtl/>
        </w:rPr>
        <w:t xml:space="preserve"> שם נקבע כי:  </w:t>
      </w:r>
      <w:r w:rsidRPr="009B6685">
        <w:rPr>
          <w:rFonts w:ascii="David" w:hAnsi="David"/>
          <w:b/>
          <w:bCs/>
          <w:rtl/>
        </w:rPr>
        <w:t>"</w:t>
      </w:r>
      <w:r w:rsidRPr="009B6685">
        <w:rPr>
          <w:rFonts w:ascii="David" w:hAnsi="David"/>
          <w:b/>
          <w:bCs/>
          <w:sz w:val="22"/>
          <w:szCs w:val="22"/>
          <w:rtl/>
        </w:rPr>
        <w:t>דרישת 'טעמים שיירשמו' מצמצמת את שיקול דעת בית המשפט, וזאת על מנת לא לפגוע בכוחו של עונש המאסר כעונש ממשי ומוחשי.....עונש מאסר מותנה משמעו מאסר שהחברה נכונה לדחות ביצועו ובהמשך לוותר על ריצויו כליל אם לא יבצע הנידון עבירה נוספת בתקופת התנאי. מאחורי נכונות זו להקל עם מי שהורשע ונידון למאסר עומד, בין היתר, הרצון לאפשר לו לחזור אל מסלול חיים נורמטיבי וההכרה בכך שהתועלת שתצמח לחברה מהוצאתו מן המעגל העברייני עולה על התועלת מהשמתו מאחורי סורג ובריח כדי להשיב לו כגמולו. זאת, הגם שעונש מאסר על תנאי אינו כולל רכיב שיקומי של ממש אלא מהווה מתן הזדמנות חוזרת לנידון לתקן דרכיו ... המאסר המותנה הינו אם כן בבחינת כרטיס כניסה מחודש אל החברה. אולם, אם נכזבה הציפיה כי המאסר המותנה התלוי ועומד נגד הנידון ירתיעו מלשוב ולבצע עבירות, הרי שנחלש באופן ניכר משקלו של אינטרס השיקום וגובר משקלם של אינטרס הגמול, ההגנה על הציבור, הצורך בהרחקה מהציבור ושיקום בעת המאסר"</w:t>
      </w:r>
      <w:r w:rsidRPr="009B6685">
        <w:rPr>
          <w:rFonts w:ascii="David" w:hAnsi="David"/>
          <w:b/>
          <w:bCs/>
          <w:rtl/>
        </w:rPr>
        <w:t xml:space="preserve">. </w:t>
      </w:r>
      <w:r w:rsidRPr="009B6685">
        <w:rPr>
          <w:rFonts w:ascii="David" w:hAnsi="David"/>
          <w:rtl/>
        </w:rPr>
        <w:t xml:space="preserve">בית המשפט לא יטה להקל עם הנאשם ולא יחפוף את עונשי המאסר, ככל שהעבירות בהן הורשע הינן חמורות יותר, ככל שקשות נסיבות ביצוען, וככל שיש בביצוען משום פגיעה קשה בערכי היסוד החברה בה אנו חיים ( </w:t>
      </w:r>
      <w:hyperlink r:id="rId61" w:history="1">
        <w:r w:rsidR="00125FD0" w:rsidRPr="00125FD0">
          <w:rPr>
            <w:rFonts w:ascii="David" w:hAnsi="David"/>
            <w:b/>
            <w:bCs/>
            <w:color w:val="0000FF"/>
            <w:u w:val="single"/>
            <w:rtl/>
          </w:rPr>
          <w:t>ע"פ 6535/01</w:t>
        </w:r>
      </w:hyperlink>
      <w:r w:rsidRPr="009B6685">
        <w:rPr>
          <w:rFonts w:ascii="David" w:hAnsi="David"/>
          <w:b/>
          <w:bCs/>
          <w:rtl/>
        </w:rPr>
        <w:t xml:space="preserve"> </w:t>
      </w:r>
      <w:r w:rsidRPr="009B6685">
        <w:rPr>
          <w:rFonts w:ascii="David" w:hAnsi="David"/>
          <w:b/>
          <w:bCs/>
          <w:u w:val="single"/>
          <w:rtl/>
        </w:rPr>
        <w:t>קוזירוב נ' מדינת ישראל</w:t>
      </w:r>
      <w:r w:rsidRPr="009B6685">
        <w:rPr>
          <w:rFonts w:ascii="David" w:hAnsi="David"/>
          <w:b/>
          <w:bCs/>
          <w:rtl/>
        </w:rPr>
        <w:t xml:space="preserve">, </w:t>
      </w:r>
      <w:hyperlink r:id="rId62" w:history="1">
        <w:r w:rsidR="00125FD0" w:rsidRPr="00125FD0">
          <w:rPr>
            <w:rFonts w:ascii="David" w:hAnsi="David"/>
            <w:b/>
            <w:bCs/>
            <w:color w:val="0000FF"/>
            <w:u w:val="single"/>
            <w:rtl/>
          </w:rPr>
          <w:t>ע"פ 1899/04</w:t>
        </w:r>
      </w:hyperlink>
      <w:r w:rsidRPr="009B6685">
        <w:rPr>
          <w:rFonts w:ascii="David" w:hAnsi="David"/>
          <w:b/>
          <w:bCs/>
          <w:rtl/>
        </w:rPr>
        <w:t xml:space="preserve"> </w:t>
      </w:r>
      <w:r w:rsidRPr="009B6685">
        <w:rPr>
          <w:rFonts w:ascii="David" w:hAnsi="David"/>
          <w:b/>
          <w:bCs/>
          <w:u w:val="single"/>
          <w:rtl/>
        </w:rPr>
        <w:t>ליבוביץ נ' מדינת ישראל).</w:t>
      </w:r>
    </w:p>
    <w:p w:rsidR="00E72E06" w:rsidRPr="00EF1929" w:rsidRDefault="00E72E06" w:rsidP="00E72E06">
      <w:pPr>
        <w:spacing w:before="100" w:beforeAutospacing="1" w:after="100" w:afterAutospacing="1" w:line="360" w:lineRule="auto"/>
        <w:ind w:left="501"/>
        <w:contextualSpacing/>
        <w:jc w:val="both"/>
        <w:rPr>
          <w:rFonts w:ascii="David" w:hAnsi="David"/>
          <w:sz w:val="6"/>
          <w:szCs w:val="6"/>
        </w:rPr>
      </w:pPr>
    </w:p>
    <w:p w:rsidR="00E72E06" w:rsidRDefault="00E72E06" w:rsidP="00E72E06">
      <w:pPr>
        <w:pStyle w:val="ListParagraph"/>
        <w:numPr>
          <w:ilvl w:val="0"/>
          <w:numId w:val="1"/>
        </w:numPr>
        <w:spacing w:before="100" w:beforeAutospacing="1" w:after="100" w:afterAutospacing="1" w:line="360" w:lineRule="auto"/>
        <w:jc w:val="both"/>
        <w:rPr>
          <w:rFonts w:ascii="David" w:hAnsi="David"/>
          <w:b/>
          <w:bCs/>
          <w:u w:val="single"/>
        </w:rPr>
      </w:pPr>
      <w:r w:rsidRPr="00EF1929">
        <w:rPr>
          <w:rFonts w:ascii="David" w:hAnsi="David"/>
          <w:rtl/>
        </w:rPr>
        <w:t>העבירות הנוספות בהן הורשע הנאשם הינן עבירות סמים, והעובדה שמדובר בעבירות דומות וחמורות, מהווה שיקול משמעותי להפעלת המאסר המותנה באופן מצטבר. כך גם יש לתת משקל לשיקולי ההרתעה הפרטניים עת הנאשם חוזר ומבצע עבירות חמורות. על הנאשם להפנים את העובדה שעונש מאסר מותנה שובר בצדו, וככל שמבוצעת עבירה נוספת, יופעל המאסר המותנה באופן מצטבר.</w:t>
      </w:r>
      <w:r w:rsidRPr="009B6685">
        <w:rPr>
          <w:rtl/>
        </w:rPr>
        <w:t xml:space="preserve"> </w:t>
      </w:r>
    </w:p>
    <w:p w:rsidR="00E72E06" w:rsidRPr="00EF1929" w:rsidRDefault="00E72E06" w:rsidP="00E72E06">
      <w:pPr>
        <w:pStyle w:val="ListParagraph"/>
        <w:rPr>
          <w:rFonts w:ascii="David" w:hAnsi="David"/>
          <w:b/>
          <w:bCs/>
          <w:sz w:val="2"/>
          <w:szCs w:val="2"/>
          <w:u w:val="single"/>
          <w:rtl/>
        </w:rPr>
      </w:pPr>
    </w:p>
    <w:p w:rsidR="00E72E06" w:rsidRPr="009B6685" w:rsidRDefault="00E72E06" w:rsidP="00E72E06">
      <w:pPr>
        <w:spacing w:before="100" w:beforeAutospacing="1" w:after="100" w:afterAutospacing="1" w:line="360" w:lineRule="auto"/>
        <w:ind w:left="501"/>
        <w:contextualSpacing/>
        <w:jc w:val="both"/>
        <w:rPr>
          <w:rFonts w:ascii="David" w:hAnsi="David"/>
          <w:b/>
          <w:bCs/>
          <w:u w:val="single"/>
        </w:rPr>
      </w:pPr>
      <w:r>
        <w:rPr>
          <w:rFonts w:ascii="David" w:hAnsi="David" w:hint="cs"/>
          <w:rtl/>
        </w:rPr>
        <w:t xml:space="preserve">   </w:t>
      </w:r>
      <w:r w:rsidRPr="009B6685">
        <w:rPr>
          <w:rFonts w:ascii="David" w:hAnsi="David"/>
          <w:rtl/>
        </w:rPr>
        <w:t>בהתאם, אין מקום להפעלת המאסר המותנה באופן חופף.</w:t>
      </w:r>
    </w:p>
    <w:p w:rsidR="00E72E06" w:rsidRPr="00EF1929" w:rsidRDefault="00E72E06" w:rsidP="00E72E06">
      <w:pPr>
        <w:pStyle w:val="ListParagraph"/>
        <w:numPr>
          <w:ilvl w:val="0"/>
          <w:numId w:val="1"/>
        </w:numPr>
        <w:spacing w:before="100" w:beforeAutospacing="1" w:after="100" w:afterAutospacing="1" w:line="360" w:lineRule="auto"/>
        <w:jc w:val="both"/>
        <w:rPr>
          <w:rFonts w:ascii="David" w:hAnsi="David"/>
          <w:b/>
          <w:bCs/>
          <w:u w:val="single"/>
          <w:rtl/>
        </w:rPr>
      </w:pPr>
      <w:r w:rsidRPr="00EF1929">
        <w:rPr>
          <w:rFonts w:ascii="David" w:eastAsia="David" w:hAnsi="David"/>
          <w:rtl/>
        </w:rPr>
        <w:t>לאור כל האמור לעיל, אני גוזר על הנאשם</w:t>
      </w:r>
      <w:r w:rsidR="00125FD0">
        <w:rPr>
          <w:rFonts w:ascii="David" w:eastAsia="David" w:hAnsi="David"/>
          <w:rtl/>
        </w:rPr>
        <w:t xml:space="preserve"> </w:t>
      </w:r>
      <w:r w:rsidRPr="00EF1929">
        <w:rPr>
          <w:rFonts w:ascii="David" w:eastAsia="David" w:hAnsi="David"/>
          <w:rtl/>
        </w:rPr>
        <w:t xml:space="preserve"> את העונשים הבאים:</w:t>
      </w:r>
    </w:p>
    <w:p w:rsidR="00E72E06" w:rsidRPr="009B6685" w:rsidRDefault="00E72E06" w:rsidP="00E72E06">
      <w:pPr>
        <w:spacing w:after="160" w:line="360" w:lineRule="auto"/>
        <w:ind w:left="708" w:firstLine="12"/>
        <w:jc w:val="both"/>
        <w:rPr>
          <w:rFonts w:ascii="David" w:eastAsia="David" w:hAnsi="David"/>
          <w:b/>
          <w:bCs/>
          <w:rtl/>
        </w:rPr>
      </w:pPr>
      <w:r w:rsidRPr="009B6685">
        <w:rPr>
          <w:rFonts w:ascii="David" w:eastAsia="David" w:hAnsi="David"/>
          <w:b/>
          <w:bCs/>
          <w:rtl/>
        </w:rPr>
        <w:t>אני גוזר על הנאשם מאסר בפועל לתקופה של</w:t>
      </w:r>
      <w:r w:rsidR="00125FD0">
        <w:rPr>
          <w:rFonts w:ascii="David" w:eastAsia="David" w:hAnsi="David"/>
          <w:b/>
          <w:bCs/>
          <w:rtl/>
        </w:rPr>
        <w:t xml:space="preserve"> </w:t>
      </w:r>
      <w:r w:rsidRPr="009B6685">
        <w:rPr>
          <w:rFonts w:ascii="David" w:eastAsia="David" w:hAnsi="David"/>
          <w:b/>
          <w:bCs/>
          <w:rtl/>
        </w:rPr>
        <w:t xml:space="preserve"> </w:t>
      </w:r>
      <w:r>
        <w:rPr>
          <w:rFonts w:ascii="David" w:eastAsia="David" w:hAnsi="David" w:hint="cs"/>
          <w:b/>
          <w:bCs/>
          <w:rtl/>
        </w:rPr>
        <w:t>30</w:t>
      </w:r>
      <w:r w:rsidRPr="009B6685">
        <w:rPr>
          <w:rFonts w:ascii="David" w:eastAsia="David" w:hAnsi="David"/>
          <w:b/>
          <w:bCs/>
          <w:rtl/>
        </w:rPr>
        <w:t xml:space="preserve"> חודשים .</w:t>
      </w:r>
    </w:p>
    <w:p w:rsidR="00E72E06" w:rsidRPr="009B6685" w:rsidRDefault="00E72E06" w:rsidP="00E72E06">
      <w:pPr>
        <w:spacing w:after="160" w:line="360" w:lineRule="auto"/>
        <w:ind w:left="708" w:firstLine="12"/>
        <w:jc w:val="both"/>
        <w:rPr>
          <w:rFonts w:ascii="David" w:eastAsia="David" w:hAnsi="David"/>
          <w:b/>
          <w:bCs/>
          <w:u w:val="single"/>
        </w:rPr>
      </w:pPr>
      <w:r w:rsidRPr="009B6685">
        <w:rPr>
          <w:rFonts w:ascii="David" w:hAnsi="David"/>
          <w:b/>
          <w:bCs/>
          <w:rtl/>
        </w:rPr>
        <w:t>אני מפעיל את המאסר</w:t>
      </w:r>
      <w:r>
        <w:rPr>
          <w:rFonts w:ascii="David" w:hAnsi="David" w:hint="cs"/>
          <w:b/>
          <w:bCs/>
          <w:rtl/>
        </w:rPr>
        <w:t xml:space="preserve"> המותנה </w:t>
      </w:r>
      <w:r w:rsidRPr="009B6685">
        <w:rPr>
          <w:rFonts w:ascii="David" w:hAnsi="David"/>
          <w:b/>
          <w:bCs/>
          <w:rtl/>
        </w:rPr>
        <w:t xml:space="preserve">שהוטל </w:t>
      </w:r>
      <w:r>
        <w:rPr>
          <w:rFonts w:ascii="David" w:hAnsi="David" w:hint="cs"/>
          <w:b/>
          <w:bCs/>
          <w:rtl/>
        </w:rPr>
        <w:t xml:space="preserve"> על הנאשם </w:t>
      </w:r>
      <w:r w:rsidRPr="009B6685">
        <w:rPr>
          <w:rFonts w:ascii="David" w:hAnsi="David"/>
          <w:b/>
          <w:bCs/>
          <w:rtl/>
        </w:rPr>
        <w:t xml:space="preserve">בבימה"ש השלום בקריות בתיק 38754-10-19 מיום 27.07.20 </w:t>
      </w:r>
      <w:r>
        <w:rPr>
          <w:rFonts w:ascii="David" w:hAnsi="David" w:hint="cs"/>
          <w:b/>
          <w:bCs/>
          <w:rtl/>
        </w:rPr>
        <w:t xml:space="preserve"> למשך שישה חודשים </w:t>
      </w:r>
      <w:r w:rsidRPr="009B6685">
        <w:rPr>
          <w:rFonts w:ascii="David" w:hAnsi="David"/>
          <w:b/>
          <w:bCs/>
          <w:rtl/>
        </w:rPr>
        <w:t>במצטבר למאסר שהוטל על הנאשם בתיק זה.</w:t>
      </w:r>
    </w:p>
    <w:p w:rsidR="00E72E06" w:rsidRPr="009B6685" w:rsidRDefault="00E72E06" w:rsidP="00E72E06">
      <w:pPr>
        <w:spacing w:after="160" w:line="360" w:lineRule="auto"/>
        <w:ind w:left="708" w:firstLine="12"/>
        <w:jc w:val="both"/>
        <w:rPr>
          <w:rFonts w:ascii="David" w:eastAsia="David" w:hAnsi="David"/>
          <w:b/>
          <w:bCs/>
          <w:rtl/>
        </w:rPr>
      </w:pPr>
      <w:r w:rsidRPr="009B6685">
        <w:rPr>
          <w:rFonts w:ascii="David" w:eastAsia="David" w:hAnsi="David"/>
          <w:b/>
          <w:bCs/>
          <w:rtl/>
        </w:rPr>
        <w:t xml:space="preserve">סך הכל ירצה הנאשם  </w:t>
      </w:r>
      <w:r>
        <w:rPr>
          <w:rFonts w:ascii="David" w:eastAsia="David" w:hAnsi="David" w:hint="cs"/>
          <w:b/>
          <w:bCs/>
          <w:rtl/>
        </w:rPr>
        <w:t>36</w:t>
      </w:r>
      <w:r w:rsidRPr="009B6685">
        <w:rPr>
          <w:rFonts w:ascii="David" w:eastAsia="David" w:hAnsi="David"/>
          <w:b/>
          <w:bCs/>
          <w:rtl/>
        </w:rPr>
        <w:t xml:space="preserve"> חודשי מאסר בפועל בניכוי ימי מעצרו מיום 10.01.23 ועד היום. </w:t>
      </w:r>
    </w:p>
    <w:p w:rsidR="00E72E06" w:rsidRPr="009B6685" w:rsidRDefault="00E72E06" w:rsidP="00E72E06">
      <w:pPr>
        <w:spacing w:after="160" w:line="360" w:lineRule="auto"/>
        <w:ind w:left="708" w:firstLine="12"/>
        <w:jc w:val="both"/>
        <w:rPr>
          <w:rFonts w:ascii="David" w:eastAsia="David" w:hAnsi="David"/>
          <w:b/>
          <w:bCs/>
          <w:u w:val="single"/>
          <w:rtl/>
        </w:rPr>
      </w:pPr>
      <w:r w:rsidRPr="009B6685">
        <w:rPr>
          <w:rFonts w:ascii="David" w:eastAsia="David" w:hAnsi="David"/>
          <w:b/>
          <w:bCs/>
          <w:rtl/>
        </w:rPr>
        <w:t>אני גוזר על הנאשם מאסר על תנאי לתקופה של 10 חודשים והתנאי הוא</w:t>
      </w:r>
      <w:r w:rsidR="00125FD0">
        <w:rPr>
          <w:rFonts w:ascii="David" w:eastAsia="David" w:hAnsi="David"/>
          <w:b/>
          <w:bCs/>
          <w:rtl/>
        </w:rPr>
        <w:t xml:space="preserve"> </w:t>
      </w:r>
      <w:r w:rsidRPr="009B6685">
        <w:rPr>
          <w:rFonts w:ascii="David" w:eastAsia="David" w:hAnsi="David"/>
          <w:b/>
          <w:bCs/>
          <w:rtl/>
        </w:rPr>
        <w:t xml:space="preserve"> שלא יעבור בתוך 3 שנים מיום שחרורו ממאסרו עבירת סמים מסוג פשע ויורשע בגינה.</w:t>
      </w:r>
    </w:p>
    <w:p w:rsidR="00E72E06" w:rsidRPr="009B6685" w:rsidRDefault="00E72E06" w:rsidP="00E72E06">
      <w:pPr>
        <w:snapToGrid w:val="0"/>
        <w:spacing w:after="160" w:line="360" w:lineRule="auto"/>
        <w:ind w:left="707" w:hanging="425"/>
        <w:contextualSpacing/>
        <w:jc w:val="both"/>
        <w:rPr>
          <w:rFonts w:ascii="David" w:eastAsia="David" w:hAnsi="David"/>
          <w:b/>
          <w:bCs/>
          <w:sz w:val="10"/>
          <w:szCs w:val="10"/>
          <w:rtl/>
        </w:rPr>
      </w:pPr>
    </w:p>
    <w:p w:rsidR="00E72E06" w:rsidRPr="009B6685" w:rsidRDefault="00E72E06" w:rsidP="00E72E06">
      <w:pPr>
        <w:snapToGrid w:val="0"/>
        <w:spacing w:after="160" w:line="360" w:lineRule="auto"/>
        <w:ind w:left="707"/>
        <w:contextualSpacing/>
        <w:jc w:val="both"/>
        <w:rPr>
          <w:rFonts w:ascii="David" w:eastAsia="David" w:hAnsi="David"/>
          <w:b/>
          <w:bCs/>
          <w:rtl/>
        </w:rPr>
      </w:pPr>
      <w:r w:rsidRPr="009B6685">
        <w:rPr>
          <w:rFonts w:ascii="David" w:eastAsia="David" w:hAnsi="David"/>
          <w:b/>
          <w:bCs/>
          <w:rtl/>
        </w:rPr>
        <w:t>אני גוזר על הנאשם מאסר על תנאי לתקופה של 6 חודשים והתנאי הוא</w:t>
      </w:r>
      <w:r w:rsidR="00125FD0">
        <w:rPr>
          <w:rFonts w:ascii="David" w:eastAsia="David" w:hAnsi="David"/>
          <w:b/>
          <w:bCs/>
          <w:rtl/>
        </w:rPr>
        <w:t xml:space="preserve"> </w:t>
      </w:r>
      <w:r w:rsidRPr="009B6685">
        <w:rPr>
          <w:rFonts w:ascii="David" w:eastAsia="David" w:hAnsi="David"/>
          <w:b/>
          <w:bCs/>
          <w:rtl/>
        </w:rPr>
        <w:t xml:space="preserve"> שלא יעבור בתוך 3 שנים מיום שחרורו ממאסרו עבירת סמים מסוג עוון ויורשע בגינה.</w:t>
      </w:r>
    </w:p>
    <w:p w:rsidR="00E72E06" w:rsidRPr="009B6685" w:rsidRDefault="00E72E06" w:rsidP="00E72E06">
      <w:pPr>
        <w:snapToGrid w:val="0"/>
        <w:spacing w:after="160" w:line="360" w:lineRule="auto"/>
        <w:ind w:left="707"/>
        <w:contextualSpacing/>
        <w:jc w:val="both"/>
        <w:rPr>
          <w:rFonts w:ascii="David" w:eastAsia="David" w:hAnsi="David"/>
          <w:b/>
          <w:bCs/>
          <w:rtl/>
        </w:rPr>
      </w:pPr>
    </w:p>
    <w:p w:rsidR="00E72E06" w:rsidRPr="009B6685" w:rsidRDefault="00E72E06" w:rsidP="00E72E06">
      <w:pPr>
        <w:snapToGrid w:val="0"/>
        <w:spacing w:after="160" w:line="360" w:lineRule="auto"/>
        <w:ind w:left="707"/>
        <w:contextualSpacing/>
        <w:jc w:val="both"/>
        <w:rPr>
          <w:rFonts w:ascii="David" w:eastAsia="David" w:hAnsi="David"/>
          <w:b/>
          <w:bCs/>
          <w:rtl/>
        </w:rPr>
      </w:pPr>
      <w:r w:rsidRPr="009B6685">
        <w:rPr>
          <w:rFonts w:ascii="David" w:hAnsi="David"/>
          <w:b/>
          <w:bCs/>
          <w:noProof/>
          <w:rtl/>
        </w:rPr>
        <w:t xml:space="preserve">אני גוזר על הנאשם </w:t>
      </w:r>
      <w:r>
        <w:rPr>
          <w:rFonts w:ascii="David" w:hAnsi="David" w:hint="cs"/>
          <w:b/>
          <w:bCs/>
          <w:noProof/>
          <w:rtl/>
        </w:rPr>
        <w:t>18</w:t>
      </w:r>
      <w:r w:rsidRPr="009B6685">
        <w:rPr>
          <w:rFonts w:ascii="David" w:hAnsi="David"/>
          <w:b/>
          <w:bCs/>
          <w:noProof/>
          <w:rtl/>
        </w:rPr>
        <w:t xml:space="preserve"> חודשי פסילה בפועל מלנהוג או מלקבל או מלהחזיק ברישיון נהיגה החל מיום שחרורו ממאסר ובמצטבר לכל פסילה אחרת. </w:t>
      </w:r>
    </w:p>
    <w:p w:rsidR="00E72E06" w:rsidRPr="009B6685" w:rsidRDefault="00E72E06" w:rsidP="00E72E06">
      <w:pPr>
        <w:snapToGrid w:val="0"/>
        <w:spacing w:after="160" w:line="360" w:lineRule="auto"/>
        <w:ind w:left="707"/>
        <w:contextualSpacing/>
        <w:jc w:val="both"/>
        <w:rPr>
          <w:rFonts w:ascii="David" w:eastAsia="David" w:hAnsi="David"/>
          <w:b/>
          <w:bCs/>
          <w:rtl/>
        </w:rPr>
      </w:pPr>
    </w:p>
    <w:p w:rsidR="00E72E06" w:rsidRPr="009B6685" w:rsidRDefault="00E72E06" w:rsidP="00E72E06">
      <w:pPr>
        <w:snapToGrid w:val="0"/>
        <w:spacing w:after="160" w:line="360" w:lineRule="auto"/>
        <w:ind w:left="707"/>
        <w:contextualSpacing/>
        <w:jc w:val="both"/>
        <w:rPr>
          <w:rFonts w:ascii="David" w:eastAsia="David" w:hAnsi="David"/>
          <w:b/>
          <w:bCs/>
          <w:rtl/>
        </w:rPr>
      </w:pPr>
      <w:r w:rsidRPr="009B6685">
        <w:rPr>
          <w:rFonts w:ascii="David" w:eastAsia="David" w:hAnsi="David"/>
          <w:b/>
          <w:bCs/>
          <w:rtl/>
        </w:rPr>
        <w:t xml:space="preserve">לאור העובדה שהנאשם אינו מורשה לנהיגה, חישוב הפסילה יחל מיד לאחר שחרורו ממאסר ללא צורך בהפקדה רישיון נהיגה או תצהיר. </w:t>
      </w:r>
    </w:p>
    <w:p w:rsidR="00E72E06" w:rsidRPr="009B6685" w:rsidRDefault="00E72E06" w:rsidP="00E72E06">
      <w:pPr>
        <w:snapToGrid w:val="0"/>
        <w:spacing w:after="160"/>
        <w:jc w:val="both"/>
        <w:rPr>
          <w:rFonts w:ascii="David" w:eastAsia="David" w:hAnsi="David"/>
          <w:b/>
          <w:bCs/>
          <w:sz w:val="8"/>
          <w:szCs w:val="8"/>
          <w:rtl/>
        </w:rPr>
      </w:pPr>
      <w:r w:rsidRPr="009B6685">
        <w:rPr>
          <w:rFonts w:ascii="David" w:eastAsia="David" w:hAnsi="David"/>
          <w:b/>
          <w:bCs/>
          <w:rtl/>
        </w:rPr>
        <w:tab/>
      </w:r>
    </w:p>
    <w:p w:rsidR="00E72E06" w:rsidRPr="009B6685" w:rsidRDefault="00E72E06" w:rsidP="00E72E06">
      <w:pPr>
        <w:snapToGrid w:val="0"/>
        <w:spacing w:after="160"/>
        <w:ind w:firstLine="707"/>
        <w:jc w:val="both"/>
        <w:rPr>
          <w:rFonts w:ascii="David" w:eastAsia="David" w:hAnsi="David"/>
          <w:b/>
          <w:bCs/>
          <w:rtl/>
        </w:rPr>
      </w:pPr>
      <w:r w:rsidRPr="009B6685">
        <w:rPr>
          <w:rFonts w:ascii="David" w:eastAsia="David" w:hAnsi="David"/>
          <w:b/>
          <w:bCs/>
          <w:rtl/>
        </w:rPr>
        <w:t xml:space="preserve">אני מטיל על הנאשם קנס כספי בסך </w:t>
      </w:r>
      <w:r>
        <w:rPr>
          <w:rFonts w:ascii="David" w:eastAsia="David" w:hAnsi="David" w:hint="cs"/>
          <w:b/>
          <w:bCs/>
          <w:rtl/>
        </w:rPr>
        <w:t>15</w:t>
      </w:r>
      <w:r w:rsidRPr="009B6685">
        <w:rPr>
          <w:rFonts w:ascii="David" w:eastAsia="David" w:hAnsi="David"/>
          <w:b/>
          <w:bCs/>
          <w:rtl/>
        </w:rPr>
        <w:t xml:space="preserve">,000 ₪ או  </w:t>
      </w:r>
      <w:r>
        <w:rPr>
          <w:rFonts w:ascii="David" w:eastAsia="David" w:hAnsi="David" w:hint="cs"/>
          <w:b/>
          <w:bCs/>
          <w:rtl/>
        </w:rPr>
        <w:t>60</w:t>
      </w:r>
      <w:r w:rsidRPr="009B6685">
        <w:rPr>
          <w:rFonts w:ascii="David" w:eastAsia="David" w:hAnsi="David"/>
          <w:b/>
          <w:bCs/>
          <w:rtl/>
        </w:rPr>
        <w:t xml:space="preserve"> ימי מאסר תמורתו. </w:t>
      </w:r>
    </w:p>
    <w:p w:rsidR="00E72E06" w:rsidRPr="009B6685" w:rsidRDefault="00E72E06" w:rsidP="00E72E06">
      <w:pPr>
        <w:snapToGrid w:val="0"/>
        <w:spacing w:after="160"/>
        <w:jc w:val="both"/>
        <w:rPr>
          <w:rFonts w:ascii="David" w:eastAsia="David" w:hAnsi="David"/>
          <w:b/>
          <w:bCs/>
          <w:sz w:val="2"/>
          <w:szCs w:val="2"/>
          <w:rtl/>
        </w:rPr>
      </w:pPr>
    </w:p>
    <w:p w:rsidR="00E72E06" w:rsidRPr="009B6685" w:rsidRDefault="00E72E06" w:rsidP="00E72E06">
      <w:pPr>
        <w:snapToGrid w:val="0"/>
        <w:spacing w:after="160" w:line="360" w:lineRule="auto"/>
        <w:ind w:left="707"/>
        <w:contextualSpacing/>
        <w:jc w:val="both"/>
        <w:rPr>
          <w:rFonts w:ascii="David" w:eastAsia="David" w:hAnsi="David"/>
          <w:b/>
          <w:bCs/>
          <w:sz w:val="8"/>
          <w:szCs w:val="8"/>
          <w:rtl/>
        </w:rPr>
      </w:pPr>
    </w:p>
    <w:p w:rsidR="00E72E06" w:rsidRPr="009B6685" w:rsidRDefault="00E72E06" w:rsidP="00E72E06">
      <w:pPr>
        <w:snapToGrid w:val="0"/>
        <w:spacing w:after="160" w:line="360" w:lineRule="auto"/>
        <w:ind w:left="707"/>
        <w:contextualSpacing/>
        <w:jc w:val="both"/>
        <w:rPr>
          <w:rFonts w:ascii="David" w:eastAsia="David" w:hAnsi="David"/>
          <w:b/>
          <w:bCs/>
          <w:rtl/>
        </w:rPr>
      </w:pPr>
      <w:r w:rsidRPr="009B6685">
        <w:rPr>
          <w:rFonts w:ascii="David" w:eastAsia="David" w:hAnsi="David"/>
          <w:b/>
          <w:bCs/>
          <w:rtl/>
        </w:rPr>
        <w:t>הקנס שהוטל על הנאשם</w:t>
      </w:r>
      <w:r w:rsidR="00125FD0">
        <w:rPr>
          <w:rFonts w:ascii="David" w:eastAsia="David" w:hAnsi="David"/>
          <w:b/>
          <w:bCs/>
          <w:rtl/>
        </w:rPr>
        <w:t xml:space="preserve"> </w:t>
      </w:r>
      <w:r w:rsidRPr="009B6685">
        <w:rPr>
          <w:rFonts w:ascii="David" w:eastAsia="David" w:hAnsi="David"/>
          <w:b/>
          <w:bCs/>
          <w:rtl/>
        </w:rPr>
        <w:t xml:space="preserve"> ישולם עד ליום 01.09.24.</w:t>
      </w:r>
    </w:p>
    <w:p w:rsidR="00E72E06" w:rsidRPr="009B6685" w:rsidRDefault="00E72E06" w:rsidP="00E72E06">
      <w:pPr>
        <w:spacing w:after="160" w:line="360" w:lineRule="auto"/>
        <w:ind w:left="707"/>
        <w:contextualSpacing/>
        <w:jc w:val="both"/>
        <w:rPr>
          <w:rFonts w:ascii="David" w:eastAsia="David" w:hAnsi="David"/>
          <w:rtl/>
        </w:rPr>
      </w:pPr>
      <w:r w:rsidRPr="009B6685">
        <w:rPr>
          <w:rFonts w:ascii="David" w:eastAsia="David" w:hAnsi="David"/>
          <w:rtl/>
        </w:rPr>
        <w:t xml:space="preserve">תשומת לב הנאשם שיש לשלם את הקנסות לחשבון המרכז לגביית קנסות, אגרות והוצאות ברשות האכיפה והגבייה, החל מחלוף 3 ימים מיום מתן גזר הדין וזאת באחת מהדרכים הבאות:בכרטיס אשראי – באתר המקוון של רשות האכיפה והגבייה, </w:t>
      </w:r>
      <w:hyperlink r:id="rId63" w:history="1">
        <w:r w:rsidRPr="009B6685">
          <w:rPr>
            <w:rFonts w:ascii="David" w:eastAsia="David" w:hAnsi="David"/>
            <w:color w:val="0563C1"/>
            <w:u w:val="single"/>
          </w:rPr>
          <w:t>www.eca.gov.il</w:t>
        </w:r>
      </w:hyperlink>
      <w:r w:rsidRPr="009B6685">
        <w:rPr>
          <w:rFonts w:ascii="David" w:eastAsia="David" w:hAnsi="David"/>
        </w:rPr>
        <w:t xml:space="preserve"> </w:t>
      </w:r>
      <w:r w:rsidR="00125FD0">
        <w:rPr>
          <w:rFonts w:ascii="David" w:eastAsia="David" w:hAnsi="David"/>
          <w:rtl/>
        </w:rPr>
        <w:t xml:space="preserve"> </w:t>
      </w:r>
      <w:r w:rsidRPr="009B6685">
        <w:rPr>
          <w:rFonts w:ascii="David" w:eastAsia="David" w:hAnsi="David"/>
          <w:rtl/>
        </w:rPr>
        <w:t>או חפש בגוגל " תשלום גביית קנסות";</w:t>
      </w:r>
    </w:p>
    <w:p w:rsidR="00E72E06" w:rsidRPr="009B6685" w:rsidRDefault="00E72E06" w:rsidP="00E72E06">
      <w:pPr>
        <w:spacing w:after="160" w:line="360" w:lineRule="auto"/>
        <w:ind w:left="720"/>
        <w:jc w:val="both"/>
        <w:rPr>
          <w:rFonts w:ascii="David" w:eastAsia="David" w:hAnsi="David"/>
          <w:rtl/>
        </w:rPr>
      </w:pPr>
      <w:r w:rsidRPr="009B6685">
        <w:rPr>
          <w:rFonts w:ascii="David" w:eastAsia="David" w:hAnsi="David"/>
          <w:rtl/>
        </w:rPr>
        <w:t>מוקד שירות טלפוני בשרות עצמי (מרכז גבייה)</w:t>
      </w:r>
      <w:r w:rsidR="00125FD0">
        <w:rPr>
          <w:rFonts w:ascii="David" w:eastAsia="David" w:hAnsi="David"/>
          <w:rtl/>
        </w:rPr>
        <w:t xml:space="preserve"> </w:t>
      </w:r>
      <w:r w:rsidRPr="009B6685">
        <w:rPr>
          <w:rFonts w:ascii="David" w:eastAsia="David" w:hAnsi="David"/>
          <w:rtl/>
        </w:rPr>
        <w:t xml:space="preserve"> – בטלפון 35592* או בטלפון 073-2055000 (ניתן לפנות לנציגים לקבלת מידע במספרים הללו); במזומן בכל סניף של בנק הדואר – בהצגת תעודת זהות בלבד (אין צורך בשוברי תשלום).</w:t>
      </w:r>
    </w:p>
    <w:p w:rsidR="00E72E06" w:rsidRPr="009B6685" w:rsidRDefault="00125FD0" w:rsidP="00E72E06">
      <w:pPr>
        <w:spacing w:after="160"/>
        <w:jc w:val="both"/>
        <w:rPr>
          <w:rFonts w:ascii="David" w:eastAsia="David" w:hAnsi="David"/>
          <w:b/>
          <w:bCs/>
          <w:rtl/>
        </w:rPr>
      </w:pPr>
      <w:r w:rsidRPr="00125FD0">
        <w:rPr>
          <w:rFonts w:ascii="David" w:eastAsia="David" w:hAnsi="David"/>
          <w:b/>
          <w:bCs/>
          <w:color w:val="FFFFFF"/>
          <w:sz w:val="2"/>
          <w:szCs w:val="2"/>
          <w:rtl/>
        </w:rPr>
        <w:t>5129371</w:t>
      </w:r>
      <w:r w:rsidR="00E72E06" w:rsidRPr="009B6685">
        <w:rPr>
          <w:rFonts w:ascii="David" w:eastAsia="David" w:hAnsi="David"/>
          <w:b/>
          <w:bCs/>
          <w:rtl/>
        </w:rPr>
        <w:t>זכות ערעור לבית המשפט העליון בתוך 45 יום מהיום.</w:t>
      </w:r>
    </w:p>
    <w:p w:rsidR="00E72E06" w:rsidRPr="00125FD0" w:rsidRDefault="00125FD0" w:rsidP="00E72E06">
      <w:pPr>
        <w:rPr>
          <w:rFonts w:ascii="Arial" w:hAnsi="Arial"/>
          <w:b/>
          <w:bCs/>
          <w:color w:val="FFFFFF"/>
          <w:sz w:val="2"/>
          <w:szCs w:val="2"/>
          <w:rtl/>
        </w:rPr>
      </w:pPr>
      <w:r w:rsidRPr="00125FD0">
        <w:rPr>
          <w:rFonts w:ascii="Arial" w:hAnsi="Arial"/>
          <w:b/>
          <w:bCs/>
          <w:color w:val="FFFFFF"/>
          <w:sz w:val="2"/>
          <w:szCs w:val="2"/>
          <w:rtl/>
        </w:rPr>
        <w:t>54678313</w:t>
      </w:r>
    </w:p>
    <w:p w:rsidR="00E72E06" w:rsidRPr="000F2247" w:rsidRDefault="00E72E06" w:rsidP="00E72E06">
      <w:pPr>
        <w:rPr>
          <w:rFonts w:ascii="Arial" w:hAnsi="Arial"/>
          <w:b/>
          <w:bCs/>
          <w:sz w:val="26"/>
          <w:szCs w:val="26"/>
          <w:rtl/>
        </w:rPr>
      </w:pPr>
    </w:p>
    <w:p w:rsidR="00E72E06" w:rsidRPr="000F2247" w:rsidRDefault="00125FD0" w:rsidP="00E72E06">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ב' ניסן תשפ"ד, 10 אפריל 2024, בנוכחות הצדדים. </w:t>
      </w:r>
      <w:bookmarkEnd w:id="7"/>
      <w:r w:rsidR="00E72E06">
        <w:rPr>
          <w:rFonts w:ascii="Arial" w:hAnsi="Arial"/>
          <w:b/>
          <w:bCs/>
          <w:sz w:val="26"/>
          <w:szCs w:val="26"/>
          <w:rtl/>
        </w:rPr>
        <w:tab/>
      </w:r>
      <w:r w:rsidR="00E72E06">
        <w:rPr>
          <w:rFonts w:ascii="Arial" w:hAnsi="Arial"/>
          <w:b/>
          <w:bCs/>
          <w:sz w:val="26"/>
          <w:szCs w:val="26"/>
          <w:rtl/>
        </w:rPr>
        <w:tab/>
      </w:r>
      <w:r w:rsidR="00E72E06">
        <w:rPr>
          <w:rFonts w:ascii="Arial" w:hAnsi="Arial"/>
          <w:b/>
          <w:bCs/>
          <w:sz w:val="26"/>
          <w:szCs w:val="26"/>
          <w:rtl/>
        </w:rPr>
        <w:tab/>
      </w:r>
      <w:r w:rsidR="00E72E06">
        <w:rPr>
          <w:rFonts w:ascii="Arial" w:hAnsi="Arial"/>
          <w:b/>
          <w:bCs/>
          <w:sz w:val="26"/>
          <w:szCs w:val="26"/>
          <w:rtl/>
        </w:rPr>
        <w:tab/>
      </w:r>
      <w:r w:rsidR="00E72E06">
        <w:rPr>
          <w:rFonts w:ascii="Arial" w:hAnsi="Arial"/>
          <w:b/>
          <w:bCs/>
          <w:sz w:val="26"/>
          <w:szCs w:val="26"/>
          <w:rtl/>
        </w:rPr>
        <w:tab/>
      </w:r>
      <w:r w:rsidR="00E72E06">
        <w:rPr>
          <w:rFonts w:ascii="Arial" w:hAnsi="Arial"/>
          <w:b/>
          <w:bCs/>
          <w:sz w:val="26"/>
          <w:szCs w:val="26"/>
          <w:rtl/>
        </w:rPr>
        <w:tab/>
      </w:r>
      <w:r w:rsidR="00E72E06">
        <w:rPr>
          <w:rFonts w:ascii="Arial" w:hAnsi="Arial"/>
          <w:b/>
          <w:bCs/>
          <w:sz w:val="26"/>
          <w:szCs w:val="26"/>
          <w:rtl/>
        </w:rPr>
        <w:tab/>
      </w:r>
      <w:r w:rsidR="00E72E06">
        <w:rPr>
          <w:rFonts w:ascii="Arial" w:hAnsi="Arial" w:hint="cs"/>
          <w:b/>
          <w:bCs/>
          <w:sz w:val="26"/>
          <w:szCs w:val="26"/>
          <w:rtl/>
        </w:rPr>
        <w:t xml:space="preserve">         </w:t>
      </w:r>
    </w:p>
    <w:p w:rsidR="00E72E06" w:rsidRPr="000F2247" w:rsidRDefault="00E72E06" w:rsidP="00125FD0">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rsidR="00E72E06" w:rsidRPr="000F2247" w:rsidRDefault="00E72E06" w:rsidP="00E72E06">
      <w:pPr>
        <w:jc w:val="center"/>
        <w:rPr>
          <w:rFonts w:ascii="Arial" w:hAnsi="Arial"/>
          <w:b/>
          <w:bCs/>
          <w:sz w:val="26"/>
          <w:szCs w:val="26"/>
          <w:rtl/>
        </w:rPr>
      </w:pPr>
    </w:p>
    <w:p w:rsidR="00AF251C" w:rsidRPr="00125FD0" w:rsidRDefault="00AF251C" w:rsidP="00125FD0">
      <w:pPr>
        <w:keepNext/>
        <w:rPr>
          <w:rFonts w:ascii="David" w:hAnsi="David"/>
          <w:color w:val="000000"/>
          <w:sz w:val="22"/>
          <w:szCs w:val="22"/>
          <w:rtl/>
        </w:rPr>
      </w:pPr>
    </w:p>
    <w:p w:rsidR="00125FD0" w:rsidRPr="00125FD0" w:rsidRDefault="00125FD0" w:rsidP="00125FD0">
      <w:pPr>
        <w:keepNext/>
        <w:rPr>
          <w:rFonts w:ascii="David" w:hAnsi="David"/>
          <w:color w:val="000000"/>
          <w:sz w:val="22"/>
          <w:szCs w:val="22"/>
          <w:rtl/>
        </w:rPr>
      </w:pPr>
      <w:r w:rsidRPr="00125FD0">
        <w:rPr>
          <w:rFonts w:ascii="David" w:hAnsi="David"/>
          <w:color w:val="000000"/>
          <w:sz w:val="22"/>
          <w:szCs w:val="22"/>
          <w:rtl/>
        </w:rPr>
        <w:t>גיל קרזבום 54678313</w:t>
      </w:r>
    </w:p>
    <w:p w:rsidR="00125FD0" w:rsidRDefault="00125FD0" w:rsidP="00125FD0">
      <w:r w:rsidRPr="00125FD0">
        <w:rPr>
          <w:color w:val="000000"/>
          <w:rtl/>
        </w:rPr>
        <w:t>נוסח מסמך זה כפוף לשינויי ניסוח ועריכה</w:t>
      </w:r>
    </w:p>
    <w:p w:rsidR="00125FD0" w:rsidRDefault="00125FD0" w:rsidP="00125FD0">
      <w:pPr>
        <w:rPr>
          <w:rtl/>
        </w:rPr>
      </w:pPr>
    </w:p>
    <w:p w:rsidR="00125FD0" w:rsidRDefault="00125FD0" w:rsidP="00125FD0">
      <w:pPr>
        <w:jc w:val="center"/>
        <w:rPr>
          <w:color w:val="0000FF"/>
          <w:u w:val="single"/>
        </w:rPr>
      </w:pPr>
      <w:hyperlink r:id="rId64" w:history="1">
        <w:r>
          <w:rPr>
            <w:color w:val="0000FF"/>
            <w:u w:val="single"/>
            <w:rtl/>
          </w:rPr>
          <w:t>בעניין עריכה ושינויים במסמכי פסיקה, חקיקה ועוד באתר נבו – הקש כאן</w:t>
        </w:r>
      </w:hyperlink>
    </w:p>
    <w:p w:rsidR="00125FD0" w:rsidRPr="00125FD0" w:rsidRDefault="00125FD0" w:rsidP="00125FD0">
      <w:pPr>
        <w:jc w:val="center"/>
        <w:rPr>
          <w:color w:val="0000FF"/>
          <w:u w:val="single"/>
        </w:rPr>
      </w:pPr>
    </w:p>
    <w:sectPr w:rsidR="00125FD0" w:rsidRPr="00125FD0" w:rsidSect="00125FD0">
      <w:headerReference w:type="even" r:id="rId65"/>
      <w:headerReference w:type="default" r:id="rId66"/>
      <w:footerReference w:type="even" r:id="rId67"/>
      <w:footerReference w:type="default" r:id="rId68"/>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F7174" w:rsidRDefault="00AF7174" w:rsidP="00C160B8">
      <w:r>
        <w:separator/>
      </w:r>
    </w:p>
  </w:endnote>
  <w:endnote w:type="continuationSeparator" w:id="0">
    <w:p w:rsidR="00AF7174" w:rsidRDefault="00AF7174" w:rsidP="00C16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25FD0" w:rsidRDefault="00125FD0" w:rsidP="00125FD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8B2250" w:rsidRPr="00125FD0" w:rsidRDefault="00125FD0" w:rsidP="00125FD0">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25FD0" w:rsidRDefault="00125FD0" w:rsidP="00125FD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17675">
      <w:rPr>
        <w:rFonts w:ascii="FrankRuehl" w:hAnsi="FrankRuehl" w:cs="FrankRuehl"/>
        <w:noProof/>
        <w:rtl/>
      </w:rPr>
      <w:t>1</w:t>
    </w:r>
    <w:r>
      <w:rPr>
        <w:rFonts w:ascii="FrankRuehl" w:hAnsi="FrankRuehl" w:cs="FrankRuehl"/>
        <w:rtl/>
      </w:rPr>
      <w:fldChar w:fldCharType="end"/>
    </w:r>
  </w:p>
  <w:p w:rsidR="008B2250" w:rsidRPr="00125FD0" w:rsidRDefault="00125FD0" w:rsidP="00125FD0">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F7174" w:rsidRDefault="00AF7174" w:rsidP="00C160B8">
      <w:r>
        <w:separator/>
      </w:r>
    </w:p>
  </w:footnote>
  <w:footnote w:type="continuationSeparator" w:id="0">
    <w:p w:rsidR="00AF7174" w:rsidRDefault="00AF7174" w:rsidP="00C160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25FD0" w:rsidRPr="00125FD0" w:rsidRDefault="00125FD0" w:rsidP="00125FD0">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46786-01-23</w:t>
    </w:r>
    <w:r>
      <w:rPr>
        <w:rFonts w:ascii="David" w:hAnsi="David"/>
        <w:color w:val="000000"/>
        <w:sz w:val="22"/>
        <w:szCs w:val="22"/>
        <w:rtl/>
      </w:rPr>
      <w:tab/>
      <w:t xml:space="preserve"> מדינת ישראל נ' אליאור ממן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25FD0" w:rsidRPr="00125FD0" w:rsidRDefault="00125FD0" w:rsidP="00125FD0">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46786-01-23</w:t>
    </w:r>
    <w:r>
      <w:rPr>
        <w:rFonts w:ascii="David" w:hAnsi="David"/>
        <w:color w:val="000000"/>
        <w:sz w:val="22"/>
        <w:szCs w:val="22"/>
        <w:rtl/>
      </w:rPr>
      <w:tab/>
      <w:t xml:space="preserve"> מדינת ישראל נ' אליאור ממן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0E32EE"/>
    <w:multiLevelType w:val="hybridMultilevel"/>
    <w:tmpl w:val="09321958"/>
    <w:lvl w:ilvl="0" w:tplc="BB7CFF98">
      <w:start w:val="1"/>
      <w:numFmt w:val="decimal"/>
      <w:lvlText w:val="%1."/>
      <w:lvlJc w:val="left"/>
      <w:pPr>
        <w:ind w:left="643" w:hanging="360"/>
      </w:pPr>
      <w:rPr>
        <w:b w:val="0"/>
        <w:bCs w:val="0"/>
        <w:sz w:val="24"/>
        <w:szCs w:val="24"/>
        <w:lang w:bidi="he-I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180497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72E06"/>
    <w:rsid w:val="00117675"/>
    <w:rsid w:val="00125FD0"/>
    <w:rsid w:val="001B5A3B"/>
    <w:rsid w:val="006433C2"/>
    <w:rsid w:val="006936F8"/>
    <w:rsid w:val="008B2250"/>
    <w:rsid w:val="00974534"/>
    <w:rsid w:val="00AF251C"/>
    <w:rsid w:val="00AF7174"/>
    <w:rsid w:val="00B35796"/>
    <w:rsid w:val="00C160B8"/>
    <w:rsid w:val="00E72E0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711D0EF-E5ED-4627-835B-33393044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2E06"/>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72E06"/>
    <w:pPr>
      <w:tabs>
        <w:tab w:val="center" w:pos="4153"/>
        <w:tab w:val="right" w:pos="8306"/>
      </w:tabs>
    </w:pPr>
  </w:style>
  <w:style w:type="character" w:customStyle="1" w:styleId="HeaderChar">
    <w:name w:val="Header Char"/>
    <w:link w:val="Header"/>
    <w:rsid w:val="00E72E06"/>
    <w:rPr>
      <w:rFonts w:ascii="Times New Roman" w:eastAsia="Times New Roman" w:hAnsi="Times New Roman" w:cs="David"/>
      <w:sz w:val="24"/>
      <w:szCs w:val="24"/>
    </w:rPr>
  </w:style>
  <w:style w:type="paragraph" w:styleId="Footer">
    <w:name w:val="footer"/>
    <w:basedOn w:val="Normal"/>
    <w:link w:val="FooterChar"/>
    <w:rsid w:val="00E72E06"/>
    <w:pPr>
      <w:tabs>
        <w:tab w:val="center" w:pos="4153"/>
        <w:tab w:val="right" w:pos="8306"/>
      </w:tabs>
    </w:pPr>
  </w:style>
  <w:style w:type="character" w:customStyle="1" w:styleId="FooterChar">
    <w:name w:val="Footer Char"/>
    <w:link w:val="Footer"/>
    <w:rsid w:val="00E72E06"/>
    <w:rPr>
      <w:rFonts w:ascii="Times New Roman" w:eastAsia="Times New Roman" w:hAnsi="Times New Roman" w:cs="David"/>
      <w:sz w:val="24"/>
      <w:szCs w:val="24"/>
    </w:rPr>
  </w:style>
  <w:style w:type="table" w:styleId="TableGrid">
    <w:name w:val="Table Grid"/>
    <w:basedOn w:val="TableNormal"/>
    <w:rsid w:val="00E72E0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E72E06"/>
  </w:style>
  <w:style w:type="table" w:customStyle="1" w:styleId="1">
    <w:name w:val="רשת טבלה1"/>
    <w:basedOn w:val="TableNormal"/>
    <w:next w:val="TableGrid"/>
    <w:rsid w:val="00E72E06"/>
    <w:pPr>
      <w:jc w:val="right"/>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E72E06"/>
    <w:pPr>
      <w:ind w:left="720"/>
      <w:contextualSpacing/>
    </w:pPr>
  </w:style>
  <w:style w:type="character" w:styleId="Hyperlink">
    <w:name w:val="Hyperlink"/>
    <w:rsid w:val="00125FD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5786821" TargetMode="External"/><Relationship Id="rId21" Type="http://schemas.openxmlformats.org/officeDocument/2006/relationships/hyperlink" Target="http://www.nevo.co.il/law/70301/31"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20151384" TargetMode="External"/><Relationship Id="rId63" Type="http://schemas.openxmlformats.org/officeDocument/2006/relationships/hyperlink" Target="http://www.eca.gov.il" TargetMode="External"/><Relationship Id="rId68"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9" Type="http://schemas.openxmlformats.org/officeDocument/2006/relationships/hyperlink" Target="http://www.nevo.co.il/case/5726579" TargetMode="External"/><Relationship Id="rId11" Type="http://schemas.openxmlformats.org/officeDocument/2006/relationships/hyperlink" Target="http://www.nevo.co.il/law/70301/31" TargetMode="External"/><Relationship Id="rId24" Type="http://schemas.openxmlformats.org/officeDocument/2006/relationships/hyperlink" Target="http://www.nevo.co.il/law/70301/fCa1S" TargetMode="External"/><Relationship Id="rId32" Type="http://schemas.openxmlformats.org/officeDocument/2006/relationships/hyperlink" Target="http://www.nevo.co.il/case/5738608" TargetMode="External"/><Relationship Id="rId37" Type="http://schemas.openxmlformats.org/officeDocument/2006/relationships/hyperlink" Target="http://www.nevo.co.il/case/7697315" TargetMode="External"/><Relationship Id="rId40" Type="http://schemas.openxmlformats.org/officeDocument/2006/relationships/hyperlink" Target="http://www.nevo.co.il/case/13093721" TargetMode="External"/><Relationship Id="rId45" Type="http://schemas.openxmlformats.org/officeDocument/2006/relationships/hyperlink" Target="http://www.nevo.co.il/case/26538247" TargetMode="External"/><Relationship Id="rId53" Type="http://schemas.openxmlformats.org/officeDocument/2006/relationships/hyperlink" Target="http://www.nevo.co.il/case/27742715" TargetMode="External"/><Relationship Id="rId58" Type="http://schemas.openxmlformats.org/officeDocument/2006/relationships/hyperlink" Target="http://www.nevo.co.il/law/70301/58" TargetMode="External"/><Relationship Id="rId66"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yperlink" Target="http://www.nevo.co.il/case/6070684" TargetMode="External"/><Relationship Id="rId19" Type="http://schemas.openxmlformats.org/officeDocument/2006/relationships/hyperlink" Target="http://www.nevo.co.il/law/4216/19a" TargetMode="External"/><Relationship Id="rId14" Type="http://schemas.openxmlformats.org/officeDocument/2006/relationships/hyperlink" Target="http://www.nevo.co.il/law/70301/fCa1S"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0683594" TargetMode="External"/><Relationship Id="rId30" Type="http://schemas.openxmlformats.org/officeDocument/2006/relationships/hyperlink" Target="http://www.nevo.co.il/case/5763166" TargetMode="External"/><Relationship Id="rId35" Type="http://schemas.openxmlformats.org/officeDocument/2006/relationships/hyperlink" Target="http://www.nevo.co.il/case/5698919" TargetMode="External"/><Relationship Id="rId43" Type="http://schemas.openxmlformats.org/officeDocument/2006/relationships/hyperlink" Target="http://www.nevo.co.il/case/11303307" TargetMode="External"/><Relationship Id="rId48" Type="http://schemas.openxmlformats.org/officeDocument/2006/relationships/hyperlink" Target="http://www.nevo.co.il/case/20131420" TargetMode="External"/><Relationship Id="rId56" Type="http://schemas.openxmlformats.org/officeDocument/2006/relationships/hyperlink" Target="http://www.nevo.co.il/case/12930641" TargetMode="External"/><Relationship Id="rId64" Type="http://schemas.openxmlformats.org/officeDocument/2006/relationships/hyperlink" Target="http://www.nevo.co.il/advertisements/nevo-100.doc" TargetMode="External"/><Relationship Id="rId69" Type="http://schemas.openxmlformats.org/officeDocument/2006/relationships/fontTable" Target="fontTable.xml"/><Relationship Id="rId8" Type="http://schemas.openxmlformats.org/officeDocument/2006/relationships/hyperlink" Target="http://www.nevo.co.il/law/4216/13" TargetMode="External"/><Relationship Id="rId51" Type="http://schemas.openxmlformats.org/officeDocument/2006/relationships/hyperlink" Target="http://www.nevo.co.il/case/25179718" TargetMode="External"/><Relationship Id="rId3" Type="http://schemas.openxmlformats.org/officeDocument/2006/relationships/settings" Target="settings.xml"/><Relationship Id="rId12" Type="http://schemas.openxmlformats.org/officeDocument/2006/relationships/hyperlink" Target="http://www.nevo.co.il/law/70301/58"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6119015" TargetMode="External"/><Relationship Id="rId38" Type="http://schemas.openxmlformats.org/officeDocument/2006/relationships/hyperlink" Target="http://www.nevo.co.il/law/70301/40jc" TargetMode="External"/><Relationship Id="rId46" Type="http://schemas.openxmlformats.org/officeDocument/2006/relationships/hyperlink" Target="http://www.nevo.co.il/case/25489806" TargetMode="External"/><Relationship Id="rId59" Type="http://schemas.openxmlformats.org/officeDocument/2006/relationships/hyperlink" Target="http://www.nevo.co.il/law/70301" TargetMode="External"/><Relationship Id="rId67" Type="http://schemas.openxmlformats.org/officeDocument/2006/relationships/footer" Target="footer1.xml"/><Relationship Id="rId20" Type="http://schemas.openxmlformats.org/officeDocument/2006/relationships/hyperlink" Target="http://www.nevo.co.il/law/4216" TargetMode="External"/><Relationship Id="rId41" Type="http://schemas.openxmlformats.org/officeDocument/2006/relationships/hyperlink" Target="http://www.nevo.co.il/law/70301/40jc" TargetMode="External"/><Relationship Id="rId54" Type="http://schemas.openxmlformats.org/officeDocument/2006/relationships/hyperlink" Target="http://www.nevo.co.il/case/29331305" TargetMode="External"/><Relationship Id="rId62" Type="http://schemas.openxmlformats.org/officeDocument/2006/relationships/hyperlink" Target="http://www.nevo.co.il/case/5799039"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13" TargetMode="External"/><Relationship Id="rId23" Type="http://schemas.openxmlformats.org/officeDocument/2006/relationships/hyperlink" Target="http://www.nevo.co.il/case/26123847" TargetMode="External"/><Relationship Id="rId28" Type="http://schemas.openxmlformats.org/officeDocument/2006/relationships/hyperlink" Target="http://www.nevo.co.il/case/5585052" TargetMode="External"/><Relationship Id="rId36" Type="http://schemas.openxmlformats.org/officeDocument/2006/relationships/hyperlink" Target="http://www.nevo.co.il/case/7012289" TargetMode="External"/><Relationship Id="rId49" Type="http://schemas.openxmlformats.org/officeDocument/2006/relationships/hyperlink" Target="http://www.nevo.co.il/case/21472690"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21015131" TargetMode="External"/><Relationship Id="rId52" Type="http://schemas.openxmlformats.org/officeDocument/2006/relationships/hyperlink" Target="http://www.nevo.co.il/case/28142541" TargetMode="External"/><Relationship Id="rId60" Type="http://schemas.openxmlformats.org/officeDocument/2006/relationships/hyperlink" Target="http://www.nevo.co.il/case/5701345" TargetMode="External"/><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3" Type="http://schemas.openxmlformats.org/officeDocument/2006/relationships/hyperlink" Target="http://www.nevo.co.il/law/70301/40jc" TargetMode="External"/><Relationship Id="rId18" Type="http://schemas.openxmlformats.org/officeDocument/2006/relationships/hyperlink" Target="http://www.nevo.co.il/law/4216/13" TargetMode="External"/><Relationship Id="rId39" Type="http://schemas.openxmlformats.org/officeDocument/2006/relationships/hyperlink" Target="http://www.nevo.co.il/law/70301" TargetMode="External"/><Relationship Id="rId34" Type="http://schemas.openxmlformats.org/officeDocument/2006/relationships/hyperlink" Target="http://www.nevo.co.il/case/20402486" TargetMode="External"/><Relationship Id="rId50" Type="http://schemas.openxmlformats.org/officeDocument/2006/relationships/hyperlink" Target="http://www.nevo.co.il/case/25599088" TargetMode="External"/><Relationship Id="rId55" Type="http://schemas.openxmlformats.org/officeDocument/2006/relationships/hyperlink" Target="http://www.nevo.co.il/case/293306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4183</Words>
  <Characters>23847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27975</CharactersWithSpaces>
  <SharedDoc>false</SharedDoc>
  <HLinks>
    <vt:vector size="348" baseType="variant">
      <vt:variant>
        <vt:i4>393283</vt:i4>
      </vt:variant>
      <vt:variant>
        <vt:i4>171</vt:i4>
      </vt:variant>
      <vt:variant>
        <vt:i4>0</vt:i4>
      </vt:variant>
      <vt:variant>
        <vt:i4>5</vt:i4>
      </vt:variant>
      <vt:variant>
        <vt:lpwstr>http://www.nevo.co.il/advertisements/nevo-100.doc</vt:lpwstr>
      </vt:variant>
      <vt:variant>
        <vt:lpwstr/>
      </vt:variant>
      <vt:variant>
        <vt:i4>7864368</vt:i4>
      </vt:variant>
      <vt:variant>
        <vt:i4>168</vt:i4>
      </vt:variant>
      <vt:variant>
        <vt:i4>0</vt:i4>
      </vt:variant>
      <vt:variant>
        <vt:i4>5</vt:i4>
      </vt:variant>
      <vt:variant>
        <vt:lpwstr>http://www.eca.gov.il/</vt:lpwstr>
      </vt:variant>
      <vt:variant>
        <vt:lpwstr/>
      </vt:variant>
      <vt:variant>
        <vt:i4>3473529</vt:i4>
      </vt:variant>
      <vt:variant>
        <vt:i4>165</vt:i4>
      </vt:variant>
      <vt:variant>
        <vt:i4>0</vt:i4>
      </vt:variant>
      <vt:variant>
        <vt:i4>5</vt:i4>
      </vt:variant>
      <vt:variant>
        <vt:lpwstr>http://www.nevo.co.il/case/5799039</vt:lpwstr>
      </vt:variant>
      <vt:variant>
        <vt:lpwstr/>
      </vt:variant>
      <vt:variant>
        <vt:i4>3342460</vt:i4>
      </vt:variant>
      <vt:variant>
        <vt:i4>162</vt:i4>
      </vt:variant>
      <vt:variant>
        <vt:i4>0</vt:i4>
      </vt:variant>
      <vt:variant>
        <vt:i4>5</vt:i4>
      </vt:variant>
      <vt:variant>
        <vt:lpwstr>http://www.nevo.co.il/case/6070684</vt:lpwstr>
      </vt:variant>
      <vt:variant>
        <vt:lpwstr/>
      </vt:variant>
      <vt:variant>
        <vt:i4>3342454</vt:i4>
      </vt:variant>
      <vt:variant>
        <vt:i4>159</vt:i4>
      </vt:variant>
      <vt:variant>
        <vt:i4>0</vt:i4>
      </vt:variant>
      <vt:variant>
        <vt:i4>5</vt:i4>
      </vt:variant>
      <vt:variant>
        <vt:lpwstr>http://www.nevo.co.il/case/5701345</vt:lpwstr>
      </vt:variant>
      <vt:variant>
        <vt:lpwstr/>
      </vt:variant>
      <vt:variant>
        <vt:i4>7995492</vt:i4>
      </vt:variant>
      <vt:variant>
        <vt:i4>156</vt:i4>
      </vt:variant>
      <vt:variant>
        <vt:i4>0</vt:i4>
      </vt:variant>
      <vt:variant>
        <vt:i4>5</vt:i4>
      </vt:variant>
      <vt:variant>
        <vt:lpwstr>http://www.nevo.co.il/law/70301</vt:lpwstr>
      </vt:variant>
      <vt:variant>
        <vt:lpwstr/>
      </vt:variant>
      <vt:variant>
        <vt:i4>7143520</vt:i4>
      </vt:variant>
      <vt:variant>
        <vt:i4>153</vt:i4>
      </vt:variant>
      <vt:variant>
        <vt:i4>0</vt:i4>
      </vt:variant>
      <vt:variant>
        <vt:i4>5</vt:i4>
      </vt:variant>
      <vt:variant>
        <vt:lpwstr>http://www.nevo.co.il/law/70301/58</vt:lpwstr>
      </vt:variant>
      <vt:variant>
        <vt:lpwstr/>
      </vt:variant>
      <vt:variant>
        <vt:i4>7995492</vt:i4>
      </vt:variant>
      <vt:variant>
        <vt:i4>150</vt:i4>
      </vt:variant>
      <vt:variant>
        <vt:i4>0</vt:i4>
      </vt:variant>
      <vt:variant>
        <vt:i4>5</vt:i4>
      </vt:variant>
      <vt:variant>
        <vt:lpwstr>http://www.nevo.co.il/law/70301</vt:lpwstr>
      </vt:variant>
      <vt:variant>
        <vt:lpwstr/>
      </vt:variant>
      <vt:variant>
        <vt:i4>3932275</vt:i4>
      </vt:variant>
      <vt:variant>
        <vt:i4>147</vt:i4>
      </vt:variant>
      <vt:variant>
        <vt:i4>0</vt:i4>
      </vt:variant>
      <vt:variant>
        <vt:i4>5</vt:i4>
      </vt:variant>
      <vt:variant>
        <vt:lpwstr>http://www.nevo.co.il/case/12930641</vt:lpwstr>
      </vt:variant>
      <vt:variant>
        <vt:lpwstr/>
      </vt:variant>
      <vt:variant>
        <vt:i4>3145848</vt:i4>
      </vt:variant>
      <vt:variant>
        <vt:i4>144</vt:i4>
      </vt:variant>
      <vt:variant>
        <vt:i4>0</vt:i4>
      </vt:variant>
      <vt:variant>
        <vt:i4>5</vt:i4>
      </vt:variant>
      <vt:variant>
        <vt:lpwstr>http://www.nevo.co.il/case/29330617</vt:lpwstr>
      </vt:variant>
      <vt:variant>
        <vt:lpwstr/>
      </vt:variant>
      <vt:variant>
        <vt:i4>3145853</vt:i4>
      </vt:variant>
      <vt:variant>
        <vt:i4>141</vt:i4>
      </vt:variant>
      <vt:variant>
        <vt:i4>0</vt:i4>
      </vt:variant>
      <vt:variant>
        <vt:i4>5</vt:i4>
      </vt:variant>
      <vt:variant>
        <vt:lpwstr>http://www.nevo.co.il/case/29331305</vt:lpwstr>
      </vt:variant>
      <vt:variant>
        <vt:lpwstr/>
      </vt:variant>
      <vt:variant>
        <vt:i4>3539056</vt:i4>
      </vt:variant>
      <vt:variant>
        <vt:i4>138</vt:i4>
      </vt:variant>
      <vt:variant>
        <vt:i4>0</vt:i4>
      </vt:variant>
      <vt:variant>
        <vt:i4>5</vt:i4>
      </vt:variant>
      <vt:variant>
        <vt:lpwstr>http://www.nevo.co.il/case/27742715</vt:lpwstr>
      </vt:variant>
      <vt:variant>
        <vt:lpwstr/>
      </vt:variant>
      <vt:variant>
        <vt:i4>3473533</vt:i4>
      </vt:variant>
      <vt:variant>
        <vt:i4>135</vt:i4>
      </vt:variant>
      <vt:variant>
        <vt:i4>0</vt:i4>
      </vt:variant>
      <vt:variant>
        <vt:i4>5</vt:i4>
      </vt:variant>
      <vt:variant>
        <vt:lpwstr>http://www.nevo.co.il/case/28142541</vt:lpwstr>
      </vt:variant>
      <vt:variant>
        <vt:lpwstr/>
      </vt:variant>
      <vt:variant>
        <vt:i4>3866737</vt:i4>
      </vt:variant>
      <vt:variant>
        <vt:i4>132</vt:i4>
      </vt:variant>
      <vt:variant>
        <vt:i4>0</vt:i4>
      </vt:variant>
      <vt:variant>
        <vt:i4>5</vt:i4>
      </vt:variant>
      <vt:variant>
        <vt:lpwstr>http://www.nevo.co.il/case/25179718</vt:lpwstr>
      </vt:variant>
      <vt:variant>
        <vt:lpwstr/>
      </vt:variant>
      <vt:variant>
        <vt:i4>3539064</vt:i4>
      </vt:variant>
      <vt:variant>
        <vt:i4>129</vt:i4>
      </vt:variant>
      <vt:variant>
        <vt:i4>0</vt:i4>
      </vt:variant>
      <vt:variant>
        <vt:i4>5</vt:i4>
      </vt:variant>
      <vt:variant>
        <vt:lpwstr>http://www.nevo.co.il/case/25599088</vt:lpwstr>
      </vt:variant>
      <vt:variant>
        <vt:lpwstr/>
      </vt:variant>
      <vt:variant>
        <vt:i4>3997812</vt:i4>
      </vt:variant>
      <vt:variant>
        <vt:i4>126</vt:i4>
      </vt:variant>
      <vt:variant>
        <vt:i4>0</vt:i4>
      </vt:variant>
      <vt:variant>
        <vt:i4>5</vt:i4>
      </vt:variant>
      <vt:variant>
        <vt:lpwstr>http://www.nevo.co.il/case/21472690</vt:lpwstr>
      </vt:variant>
      <vt:variant>
        <vt:lpwstr/>
      </vt:variant>
      <vt:variant>
        <vt:i4>3145843</vt:i4>
      </vt:variant>
      <vt:variant>
        <vt:i4>123</vt:i4>
      </vt:variant>
      <vt:variant>
        <vt:i4>0</vt:i4>
      </vt:variant>
      <vt:variant>
        <vt:i4>5</vt:i4>
      </vt:variant>
      <vt:variant>
        <vt:lpwstr>http://www.nevo.co.il/case/20131420</vt:lpwstr>
      </vt:variant>
      <vt:variant>
        <vt:lpwstr/>
      </vt:variant>
      <vt:variant>
        <vt:i4>3801202</vt:i4>
      </vt:variant>
      <vt:variant>
        <vt:i4>120</vt:i4>
      </vt:variant>
      <vt:variant>
        <vt:i4>0</vt:i4>
      </vt:variant>
      <vt:variant>
        <vt:i4>5</vt:i4>
      </vt:variant>
      <vt:variant>
        <vt:lpwstr>http://www.nevo.co.il/case/20151384</vt:lpwstr>
      </vt:variant>
      <vt:variant>
        <vt:lpwstr/>
      </vt:variant>
      <vt:variant>
        <vt:i4>4128881</vt:i4>
      </vt:variant>
      <vt:variant>
        <vt:i4>117</vt:i4>
      </vt:variant>
      <vt:variant>
        <vt:i4>0</vt:i4>
      </vt:variant>
      <vt:variant>
        <vt:i4>5</vt:i4>
      </vt:variant>
      <vt:variant>
        <vt:lpwstr>http://www.nevo.co.il/case/25489806</vt:lpwstr>
      </vt:variant>
      <vt:variant>
        <vt:lpwstr/>
      </vt:variant>
      <vt:variant>
        <vt:i4>3866739</vt:i4>
      </vt:variant>
      <vt:variant>
        <vt:i4>114</vt:i4>
      </vt:variant>
      <vt:variant>
        <vt:i4>0</vt:i4>
      </vt:variant>
      <vt:variant>
        <vt:i4>5</vt:i4>
      </vt:variant>
      <vt:variant>
        <vt:lpwstr>http://www.nevo.co.il/case/26538247</vt:lpwstr>
      </vt:variant>
      <vt:variant>
        <vt:lpwstr/>
      </vt:variant>
      <vt:variant>
        <vt:i4>3407989</vt:i4>
      </vt:variant>
      <vt:variant>
        <vt:i4>111</vt:i4>
      </vt:variant>
      <vt:variant>
        <vt:i4>0</vt:i4>
      </vt:variant>
      <vt:variant>
        <vt:i4>5</vt:i4>
      </vt:variant>
      <vt:variant>
        <vt:lpwstr>http://www.nevo.co.il/case/21015131</vt:lpwstr>
      </vt:variant>
      <vt:variant>
        <vt:lpwstr/>
      </vt:variant>
      <vt:variant>
        <vt:i4>3211382</vt:i4>
      </vt:variant>
      <vt:variant>
        <vt:i4>108</vt:i4>
      </vt:variant>
      <vt:variant>
        <vt:i4>0</vt:i4>
      </vt:variant>
      <vt:variant>
        <vt:i4>5</vt:i4>
      </vt:variant>
      <vt:variant>
        <vt:lpwstr>http://www.nevo.co.il/case/11303307</vt:lpwstr>
      </vt:variant>
      <vt:variant>
        <vt:lpwstr/>
      </vt:variant>
      <vt:variant>
        <vt:i4>7995492</vt:i4>
      </vt:variant>
      <vt:variant>
        <vt:i4>105</vt:i4>
      </vt:variant>
      <vt:variant>
        <vt:i4>0</vt:i4>
      </vt:variant>
      <vt:variant>
        <vt:i4>5</vt:i4>
      </vt:variant>
      <vt:variant>
        <vt:lpwstr>http://www.nevo.co.il/law/70301</vt:lpwstr>
      </vt:variant>
      <vt:variant>
        <vt:lpwstr/>
      </vt:variant>
      <vt:variant>
        <vt:i4>393227</vt:i4>
      </vt:variant>
      <vt:variant>
        <vt:i4>102</vt:i4>
      </vt:variant>
      <vt:variant>
        <vt:i4>0</vt:i4>
      </vt:variant>
      <vt:variant>
        <vt:i4>5</vt:i4>
      </vt:variant>
      <vt:variant>
        <vt:lpwstr>http://www.nevo.co.il/law/70301/40jc</vt:lpwstr>
      </vt:variant>
      <vt:variant>
        <vt:lpwstr/>
      </vt:variant>
      <vt:variant>
        <vt:i4>3145849</vt:i4>
      </vt:variant>
      <vt:variant>
        <vt:i4>99</vt:i4>
      </vt:variant>
      <vt:variant>
        <vt:i4>0</vt:i4>
      </vt:variant>
      <vt:variant>
        <vt:i4>5</vt:i4>
      </vt:variant>
      <vt:variant>
        <vt:lpwstr>http://www.nevo.co.il/case/13093721</vt:lpwstr>
      </vt:variant>
      <vt:variant>
        <vt:lpwstr/>
      </vt:variant>
      <vt:variant>
        <vt:i4>7995492</vt:i4>
      </vt:variant>
      <vt:variant>
        <vt:i4>96</vt:i4>
      </vt:variant>
      <vt:variant>
        <vt:i4>0</vt:i4>
      </vt:variant>
      <vt:variant>
        <vt:i4>5</vt:i4>
      </vt:variant>
      <vt:variant>
        <vt:lpwstr>http://www.nevo.co.il/law/70301</vt:lpwstr>
      </vt:variant>
      <vt:variant>
        <vt:lpwstr/>
      </vt:variant>
      <vt:variant>
        <vt:i4>393227</vt:i4>
      </vt:variant>
      <vt:variant>
        <vt:i4>93</vt:i4>
      </vt:variant>
      <vt:variant>
        <vt:i4>0</vt:i4>
      </vt:variant>
      <vt:variant>
        <vt:i4>5</vt:i4>
      </vt:variant>
      <vt:variant>
        <vt:lpwstr>http://www.nevo.co.il/law/70301/40jc</vt:lpwstr>
      </vt:variant>
      <vt:variant>
        <vt:lpwstr/>
      </vt:variant>
      <vt:variant>
        <vt:i4>3670132</vt:i4>
      </vt:variant>
      <vt:variant>
        <vt:i4>90</vt:i4>
      </vt:variant>
      <vt:variant>
        <vt:i4>0</vt:i4>
      </vt:variant>
      <vt:variant>
        <vt:i4>5</vt:i4>
      </vt:variant>
      <vt:variant>
        <vt:lpwstr>http://www.nevo.co.il/case/7697315</vt:lpwstr>
      </vt:variant>
      <vt:variant>
        <vt:lpwstr/>
      </vt:variant>
      <vt:variant>
        <vt:i4>3997822</vt:i4>
      </vt:variant>
      <vt:variant>
        <vt:i4>87</vt:i4>
      </vt:variant>
      <vt:variant>
        <vt:i4>0</vt:i4>
      </vt:variant>
      <vt:variant>
        <vt:i4>5</vt:i4>
      </vt:variant>
      <vt:variant>
        <vt:lpwstr>http://www.nevo.co.il/case/7012289</vt:lpwstr>
      </vt:variant>
      <vt:variant>
        <vt:lpwstr/>
      </vt:variant>
      <vt:variant>
        <vt:i4>3932283</vt:i4>
      </vt:variant>
      <vt:variant>
        <vt:i4>84</vt:i4>
      </vt:variant>
      <vt:variant>
        <vt:i4>0</vt:i4>
      </vt:variant>
      <vt:variant>
        <vt:i4>5</vt:i4>
      </vt:variant>
      <vt:variant>
        <vt:lpwstr>http://www.nevo.co.il/case/5698919</vt:lpwstr>
      </vt:variant>
      <vt:variant>
        <vt:lpwstr/>
      </vt:variant>
      <vt:variant>
        <vt:i4>3932272</vt:i4>
      </vt:variant>
      <vt:variant>
        <vt:i4>81</vt:i4>
      </vt:variant>
      <vt:variant>
        <vt:i4>0</vt:i4>
      </vt:variant>
      <vt:variant>
        <vt:i4>5</vt:i4>
      </vt:variant>
      <vt:variant>
        <vt:lpwstr>http://www.nevo.co.il/case/20402486</vt:lpwstr>
      </vt:variant>
      <vt:variant>
        <vt:lpwstr/>
      </vt:variant>
      <vt:variant>
        <vt:i4>3276925</vt:i4>
      </vt:variant>
      <vt:variant>
        <vt:i4>78</vt:i4>
      </vt:variant>
      <vt:variant>
        <vt:i4>0</vt:i4>
      </vt:variant>
      <vt:variant>
        <vt:i4>5</vt:i4>
      </vt:variant>
      <vt:variant>
        <vt:lpwstr>http://www.nevo.co.il/case/6119015</vt:lpwstr>
      </vt:variant>
      <vt:variant>
        <vt:lpwstr/>
      </vt:variant>
      <vt:variant>
        <vt:i4>3670139</vt:i4>
      </vt:variant>
      <vt:variant>
        <vt:i4>75</vt:i4>
      </vt:variant>
      <vt:variant>
        <vt:i4>0</vt:i4>
      </vt:variant>
      <vt:variant>
        <vt:i4>5</vt:i4>
      </vt:variant>
      <vt:variant>
        <vt:lpwstr>http://www.nevo.co.il/case/5738608</vt:lpwstr>
      </vt:variant>
      <vt:variant>
        <vt:lpwstr/>
      </vt:variant>
      <vt:variant>
        <vt:i4>7995492</vt:i4>
      </vt:variant>
      <vt:variant>
        <vt:i4>72</vt:i4>
      </vt:variant>
      <vt:variant>
        <vt:i4>0</vt:i4>
      </vt:variant>
      <vt:variant>
        <vt:i4>5</vt:i4>
      </vt:variant>
      <vt:variant>
        <vt:lpwstr>http://www.nevo.co.il/law/70301</vt:lpwstr>
      </vt:variant>
      <vt:variant>
        <vt:lpwstr/>
      </vt:variant>
      <vt:variant>
        <vt:i4>3407990</vt:i4>
      </vt:variant>
      <vt:variant>
        <vt:i4>69</vt:i4>
      </vt:variant>
      <vt:variant>
        <vt:i4>0</vt:i4>
      </vt:variant>
      <vt:variant>
        <vt:i4>5</vt:i4>
      </vt:variant>
      <vt:variant>
        <vt:lpwstr>http://www.nevo.co.il/case/5763166</vt:lpwstr>
      </vt:variant>
      <vt:variant>
        <vt:lpwstr/>
      </vt:variant>
      <vt:variant>
        <vt:i4>3866738</vt:i4>
      </vt:variant>
      <vt:variant>
        <vt:i4>66</vt:i4>
      </vt:variant>
      <vt:variant>
        <vt:i4>0</vt:i4>
      </vt:variant>
      <vt:variant>
        <vt:i4>5</vt:i4>
      </vt:variant>
      <vt:variant>
        <vt:lpwstr>http://www.nevo.co.il/case/5726579</vt:lpwstr>
      </vt:variant>
      <vt:variant>
        <vt:lpwstr/>
      </vt:variant>
      <vt:variant>
        <vt:i4>4128881</vt:i4>
      </vt:variant>
      <vt:variant>
        <vt:i4>63</vt:i4>
      </vt:variant>
      <vt:variant>
        <vt:i4>0</vt:i4>
      </vt:variant>
      <vt:variant>
        <vt:i4>5</vt:i4>
      </vt:variant>
      <vt:variant>
        <vt:lpwstr>http://www.nevo.co.il/case/5585052</vt:lpwstr>
      </vt:variant>
      <vt:variant>
        <vt:lpwstr/>
      </vt:variant>
      <vt:variant>
        <vt:i4>4063353</vt:i4>
      </vt:variant>
      <vt:variant>
        <vt:i4>60</vt:i4>
      </vt:variant>
      <vt:variant>
        <vt:i4>0</vt:i4>
      </vt:variant>
      <vt:variant>
        <vt:i4>5</vt:i4>
      </vt:variant>
      <vt:variant>
        <vt:lpwstr>http://www.nevo.co.il/case/20683594</vt:lpwstr>
      </vt:variant>
      <vt:variant>
        <vt:lpwstr/>
      </vt:variant>
      <vt:variant>
        <vt:i4>3407991</vt:i4>
      </vt:variant>
      <vt:variant>
        <vt:i4>57</vt:i4>
      </vt:variant>
      <vt:variant>
        <vt:i4>0</vt:i4>
      </vt:variant>
      <vt:variant>
        <vt:i4>5</vt:i4>
      </vt:variant>
      <vt:variant>
        <vt:lpwstr>http://www.nevo.co.il/case/5786821</vt:lpwstr>
      </vt:variant>
      <vt:variant>
        <vt:lpwstr/>
      </vt:variant>
      <vt:variant>
        <vt:i4>7995492</vt:i4>
      </vt:variant>
      <vt:variant>
        <vt:i4>54</vt:i4>
      </vt:variant>
      <vt:variant>
        <vt:i4>0</vt:i4>
      </vt:variant>
      <vt:variant>
        <vt:i4>5</vt:i4>
      </vt:variant>
      <vt:variant>
        <vt:lpwstr>http://www.nevo.co.il/law/70301</vt:lpwstr>
      </vt:variant>
      <vt:variant>
        <vt:lpwstr/>
      </vt:variant>
      <vt:variant>
        <vt:i4>458834</vt:i4>
      </vt:variant>
      <vt:variant>
        <vt:i4>51</vt:i4>
      </vt:variant>
      <vt:variant>
        <vt:i4>0</vt:i4>
      </vt:variant>
      <vt:variant>
        <vt:i4>5</vt:i4>
      </vt:variant>
      <vt:variant>
        <vt:lpwstr>http://www.nevo.co.il/law/70301/fCa1S</vt:lpwstr>
      </vt:variant>
      <vt:variant>
        <vt:lpwstr/>
      </vt:variant>
      <vt:variant>
        <vt:i4>3407992</vt:i4>
      </vt:variant>
      <vt:variant>
        <vt:i4>48</vt:i4>
      </vt:variant>
      <vt:variant>
        <vt:i4>0</vt:i4>
      </vt:variant>
      <vt:variant>
        <vt:i4>5</vt:i4>
      </vt:variant>
      <vt:variant>
        <vt:lpwstr>http://www.nevo.co.il/case/26123847</vt:lpwstr>
      </vt:variant>
      <vt:variant>
        <vt:lpwstr/>
      </vt:variant>
      <vt:variant>
        <vt:i4>7995492</vt:i4>
      </vt:variant>
      <vt:variant>
        <vt:i4>45</vt:i4>
      </vt:variant>
      <vt:variant>
        <vt:i4>0</vt:i4>
      </vt:variant>
      <vt:variant>
        <vt:i4>5</vt:i4>
      </vt:variant>
      <vt:variant>
        <vt:lpwstr>http://www.nevo.co.il/law/70301</vt:lpwstr>
      </vt:variant>
      <vt:variant>
        <vt:lpwstr/>
      </vt:variant>
      <vt:variant>
        <vt:i4>6553702</vt:i4>
      </vt:variant>
      <vt:variant>
        <vt:i4>42</vt:i4>
      </vt:variant>
      <vt:variant>
        <vt:i4>0</vt:i4>
      </vt:variant>
      <vt:variant>
        <vt:i4>5</vt:i4>
      </vt:variant>
      <vt:variant>
        <vt:lpwstr>http://www.nevo.co.il/law/70301/31</vt:lpwstr>
      </vt:variant>
      <vt:variant>
        <vt:lpwstr/>
      </vt:variant>
      <vt:variant>
        <vt:i4>8257637</vt:i4>
      </vt:variant>
      <vt:variant>
        <vt:i4>39</vt:i4>
      </vt:variant>
      <vt:variant>
        <vt:i4>0</vt:i4>
      </vt:variant>
      <vt:variant>
        <vt:i4>5</vt:i4>
      </vt:variant>
      <vt:variant>
        <vt:lpwstr>http://www.nevo.co.il/law/4216</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458834</vt:i4>
      </vt:variant>
      <vt:variant>
        <vt:i4>21</vt:i4>
      </vt:variant>
      <vt:variant>
        <vt:i4>0</vt:i4>
      </vt:variant>
      <vt:variant>
        <vt:i4>5</vt:i4>
      </vt:variant>
      <vt:variant>
        <vt:lpwstr>http://www.nevo.co.il/law/70301/fCa1S</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7143520</vt:i4>
      </vt:variant>
      <vt:variant>
        <vt:i4>15</vt:i4>
      </vt:variant>
      <vt:variant>
        <vt:i4>0</vt:i4>
      </vt:variant>
      <vt:variant>
        <vt:i4>5</vt:i4>
      </vt:variant>
      <vt:variant>
        <vt:lpwstr>http://www.nevo.co.il/law/70301/58</vt:lpwstr>
      </vt:variant>
      <vt:variant>
        <vt:lpwstr/>
      </vt:variant>
      <vt:variant>
        <vt:i4>6553702</vt:i4>
      </vt:variant>
      <vt:variant>
        <vt:i4>12</vt:i4>
      </vt:variant>
      <vt:variant>
        <vt:i4>0</vt:i4>
      </vt:variant>
      <vt:variant>
        <vt:i4>5</vt:i4>
      </vt:variant>
      <vt:variant>
        <vt:lpwstr>http://www.nevo.co.il/law/70301/31</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2024-12-03T08:35:00Z</dcterms:created>
  <dcterms:modified xsi:type="dcterms:W3CDTF">2024-12-03T08:35:00Z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46786</vt:lpwstr>
  </property>
  <property fmtid="{D5CDD505-2E9C-101B-9397-08002B2CF9AE}" pid="6" name="NEWPARTB">
    <vt:lpwstr>01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אליאור ממן</vt:lpwstr>
  </property>
  <property fmtid="{D5CDD505-2E9C-101B-9397-08002B2CF9AE}" pid="10" name="JUDGE">
    <vt:lpwstr>גיל קרזבום</vt:lpwstr>
  </property>
  <property fmtid="{D5CDD505-2E9C-101B-9397-08002B2CF9AE}" pid="11" name="CITY">
    <vt:lpwstr>חי'</vt:lpwstr>
  </property>
  <property fmtid="{D5CDD505-2E9C-101B-9397-08002B2CF9AE}" pid="12" name="DATE">
    <vt:lpwstr>20240410</vt:lpwstr>
  </property>
  <property fmtid="{D5CDD505-2E9C-101B-9397-08002B2CF9AE}" pid="13" name="TYPE_N_DATE">
    <vt:lpwstr>39020240410</vt:lpwstr>
  </property>
  <property fmtid="{D5CDD505-2E9C-101B-9397-08002B2CF9AE}" pid="14" name="CASESLISTTMP1">
    <vt:lpwstr>26123847;5786821;20683594;5585052;5726579;5763166;5738608;6119015;20402486;5698919;7012289;7697315;13093721;11303307;21015131;26538247;25489806;20151384;20131420;21472690;25599088;25179718;28142541;27742715;29331305;29330617;12930641;5701345;6070684</vt:lpwstr>
  </property>
  <property fmtid="{D5CDD505-2E9C-101B-9397-08002B2CF9AE}" pid="15" name="CASESLISTTMP2">
    <vt:lpwstr>5799039</vt:lpwstr>
  </property>
  <property fmtid="{D5CDD505-2E9C-101B-9397-08002B2CF9AE}" pid="16" name="WORDNUMPAGES">
    <vt:lpwstr>10</vt:lpwstr>
  </property>
  <property fmtid="{D5CDD505-2E9C-101B-9397-08002B2CF9AE}" pid="17" name="TYPE_ABS_DATE">
    <vt:lpwstr>390020240410</vt:lpwstr>
  </property>
  <property fmtid="{D5CDD505-2E9C-101B-9397-08002B2CF9AE}" pid="18" name="ISABSTRACT">
    <vt:lpwstr>Y</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4216/013:2;019a:2</vt:lpwstr>
  </property>
  <property fmtid="{D5CDD505-2E9C-101B-9397-08002B2CF9AE}" pid="38" name="LAWLISTTMP2">
    <vt:lpwstr>70301/031;fCa1S;40jc:2;058</vt:lpwstr>
  </property>
</Properties>
</file>