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4"/>
        <w:gridCol w:w="3667"/>
      </w:tblGrid>
      <w:tr w:rsidR="00BE0B27" w:rsidRPr="007A19D4" w14:paraId="057040F8" w14:textId="77777777" w:rsidTr="00C82D76">
        <w:trPr>
          <w:trHeight w:hRule="exact" w:val="418"/>
          <w:jc w:val="center"/>
        </w:trPr>
        <w:tc>
          <w:tcPr>
            <w:tcW w:w="8721" w:type="dxa"/>
            <w:gridSpan w:val="2"/>
          </w:tcPr>
          <w:p w14:paraId="731B9D58" w14:textId="77777777" w:rsidR="00BE0B27" w:rsidRPr="007A19D4" w:rsidRDefault="00BE0B27" w:rsidP="00960807">
            <w:pPr>
              <w:pStyle w:val="Header"/>
              <w:jc w:val="center"/>
              <w:rPr>
                <w:rFonts w:ascii="Tahoma" w:hAnsi="Tahoma" w:cs="Tahoma"/>
                <w:color w:val="000080"/>
                <w:rtl/>
              </w:rPr>
            </w:pPr>
            <w:bookmarkStart w:id="0" w:name="LastJudge"/>
            <w:r w:rsidRPr="007A19D4">
              <w:rPr>
                <w:rFonts w:ascii="Tahoma" w:hAnsi="Tahoma" w:cs="Tahoma"/>
                <w:b/>
                <w:bCs/>
                <w:color w:val="000080"/>
                <w:rtl/>
              </w:rPr>
              <w:t>בית המשפט המחוזי בחיפה</w:t>
            </w:r>
          </w:p>
        </w:tc>
      </w:tr>
      <w:tr w:rsidR="00BE0B27" w:rsidRPr="007A19D4" w14:paraId="48177E33" w14:textId="77777777" w:rsidTr="00C82D76">
        <w:trPr>
          <w:trHeight w:val="337"/>
          <w:jc w:val="center"/>
        </w:trPr>
        <w:tc>
          <w:tcPr>
            <w:tcW w:w="5054" w:type="dxa"/>
          </w:tcPr>
          <w:p w14:paraId="3E791148" w14:textId="77777777" w:rsidR="00BE0B27" w:rsidRPr="007A19D4" w:rsidRDefault="00BE0B27" w:rsidP="00960807">
            <w:pPr>
              <w:rPr>
                <w:rFonts w:cs="FrankRuehl"/>
                <w:sz w:val="28"/>
                <w:szCs w:val="28"/>
                <w:rtl/>
              </w:rPr>
            </w:pPr>
            <w:r w:rsidRPr="007A19D4">
              <w:rPr>
                <w:b/>
                <w:bCs/>
                <w:sz w:val="26"/>
                <w:szCs w:val="26"/>
                <w:rtl/>
              </w:rPr>
              <w:t>ת"פ</w:t>
            </w:r>
            <w:r w:rsidRPr="007A19D4">
              <w:rPr>
                <w:rFonts w:cs="FrankRuehl" w:hint="cs"/>
                <w:sz w:val="28"/>
                <w:szCs w:val="28"/>
                <w:rtl/>
              </w:rPr>
              <w:t xml:space="preserve"> </w:t>
            </w:r>
            <w:r w:rsidRPr="007A19D4">
              <w:rPr>
                <w:b/>
                <w:bCs/>
                <w:sz w:val="26"/>
                <w:szCs w:val="26"/>
                <w:rtl/>
              </w:rPr>
              <w:t>35088-07-24</w:t>
            </w:r>
            <w:r w:rsidRPr="007A19D4">
              <w:rPr>
                <w:rFonts w:cs="FrankRuehl" w:hint="cs"/>
                <w:sz w:val="28"/>
                <w:szCs w:val="28"/>
                <w:rtl/>
              </w:rPr>
              <w:t xml:space="preserve"> </w:t>
            </w:r>
            <w:r w:rsidRPr="007A19D4">
              <w:rPr>
                <w:b/>
                <w:bCs/>
                <w:sz w:val="26"/>
                <w:szCs w:val="26"/>
                <w:rtl/>
              </w:rPr>
              <w:t>מדינת ישראל נ' חסן ואח'</w:t>
            </w:r>
          </w:p>
          <w:p w14:paraId="4598D0EC" w14:textId="77777777" w:rsidR="00BE0B27" w:rsidRPr="007A19D4" w:rsidRDefault="00BE0B27" w:rsidP="00960807">
            <w:pPr>
              <w:pStyle w:val="Header"/>
              <w:rPr>
                <w:rFonts w:cs="FrankRuehl"/>
                <w:sz w:val="28"/>
                <w:szCs w:val="28"/>
                <w:rtl/>
              </w:rPr>
            </w:pPr>
          </w:p>
        </w:tc>
        <w:tc>
          <w:tcPr>
            <w:tcW w:w="3667" w:type="dxa"/>
          </w:tcPr>
          <w:p w14:paraId="1293B871" w14:textId="77777777" w:rsidR="00BE0B27" w:rsidRPr="007A19D4" w:rsidRDefault="00BE0B27" w:rsidP="00960807">
            <w:pPr>
              <w:pStyle w:val="Header"/>
              <w:jc w:val="right"/>
              <w:rPr>
                <w:rFonts w:cs="FrankRuehl"/>
                <w:sz w:val="28"/>
                <w:szCs w:val="28"/>
                <w:rtl/>
              </w:rPr>
            </w:pPr>
          </w:p>
        </w:tc>
      </w:tr>
    </w:tbl>
    <w:p w14:paraId="48513861" w14:textId="77777777" w:rsidR="00BE0B27" w:rsidRPr="007A19D4" w:rsidRDefault="00BE0B27" w:rsidP="00BE0B27">
      <w:pPr>
        <w:pStyle w:val="Header"/>
        <w:rPr>
          <w:rtl/>
        </w:rPr>
      </w:pPr>
      <w:r w:rsidRPr="007A19D4">
        <w:rPr>
          <w:rFonts w:hint="cs"/>
          <w:rtl/>
        </w:rPr>
        <w:t xml:space="preserve"> </w:t>
      </w:r>
    </w:p>
    <w:p w14:paraId="6EECB083" w14:textId="77777777" w:rsidR="00BE0B27" w:rsidRPr="007A19D4" w:rsidRDefault="00BE0B27" w:rsidP="00BE0B27">
      <w:pPr>
        <w:rPr>
          <w:rFonts w:ascii="David" w:hAnsi="David"/>
          <w:b/>
          <w:bCs/>
          <w:rtl/>
        </w:rPr>
      </w:pPr>
    </w:p>
    <w:p w14:paraId="093C722D" w14:textId="77777777" w:rsidR="00BE0B27" w:rsidRPr="007A19D4" w:rsidRDefault="00BE0B27" w:rsidP="00BE0B27">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E0B27" w:rsidRPr="007A19D4" w14:paraId="46794CEA" w14:textId="77777777" w:rsidTr="00BE0B27">
        <w:trPr>
          <w:trHeight w:val="295"/>
          <w:jc w:val="center"/>
        </w:trPr>
        <w:tc>
          <w:tcPr>
            <w:tcW w:w="945" w:type="dxa"/>
            <w:tcBorders>
              <w:top w:val="nil"/>
              <w:left w:val="nil"/>
              <w:bottom w:val="nil"/>
              <w:right w:val="nil"/>
            </w:tcBorders>
            <w:shd w:val="clear" w:color="auto" w:fill="auto"/>
          </w:tcPr>
          <w:p w14:paraId="6EF4E111" w14:textId="77777777" w:rsidR="00BE0B27" w:rsidRPr="007A19D4" w:rsidRDefault="00BE0B27" w:rsidP="00BE0B27">
            <w:pPr>
              <w:jc w:val="both"/>
              <w:rPr>
                <w:rFonts w:ascii="David" w:hAnsi="David"/>
                <w:b/>
                <w:bCs/>
                <w:sz w:val="28"/>
                <w:szCs w:val="28"/>
              </w:rPr>
            </w:pPr>
            <w:r w:rsidRPr="007A19D4">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436B3646" w14:textId="77777777" w:rsidR="00BE0B27" w:rsidRPr="007A19D4" w:rsidRDefault="00BE0B27" w:rsidP="00960807">
            <w:pPr>
              <w:rPr>
                <w:rFonts w:ascii="David" w:hAnsi="David"/>
                <w:sz w:val="26"/>
                <w:szCs w:val="26"/>
              </w:rPr>
            </w:pPr>
            <w:r w:rsidRPr="007A19D4">
              <w:rPr>
                <w:rFonts w:ascii="David" w:hAnsi="David"/>
                <w:b/>
                <w:bCs/>
                <w:sz w:val="26"/>
                <w:szCs w:val="26"/>
                <w:rtl/>
              </w:rPr>
              <w:t>כב' הנשיא רון שפירא</w:t>
            </w:r>
          </w:p>
          <w:p w14:paraId="030DE0E4" w14:textId="77777777" w:rsidR="00BE0B27" w:rsidRPr="007A19D4" w:rsidRDefault="00BE0B27" w:rsidP="00BE0B27">
            <w:pPr>
              <w:jc w:val="both"/>
              <w:rPr>
                <w:rFonts w:ascii="David" w:hAnsi="David"/>
                <w:sz w:val="28"/>
                <w:szCs w:val="28"/>
              </w:rPr>
            </w:pPr>
          </w:p>
        </w:tc>
      </w:tr>
      <w:tr w:rsidR="00BE0B27" w:rsidRPr="007A19D4" w14:paraId="7D1697C3" w14:textId="77777777" w:rsidTr="00BE0B27">
        <w:trPr>
          <w:trHeight w:val="355"/>
          <w:jc w:val="center"/>
        </w:trPr>
        <w:tc>
          <w:tcPr>
            <w:tcW w:w="945" w:type="dxa"/>
            <w:tcBorders>
              <w:top w:val="nil"/>
              <w:left w:val="nil"/>
              <w:bottom w:val="nil"/>
              <w:right w:val="nil"/>
            </w:tcBorders>
            <w:shd w:val="clear" w:color="auto" w:fill="auto"/>
          </w:tcPr>
          <w:p w14:paraId="36888ECB" w14:textId="77777777" w:rsidR="00BE0B27" w:rsidRPr="007A19D4" w:rsidRDefault="00BE0B27" w:rsidP="00BE0B27">
            <w:pPr>
              <w:jc w:val="both"/>
              <w:rPr>
                <w:rFonts w:ascii="David" w:hAnsi="David"/>
                <w:b/>
                <w:bCs/>
                <w:sz w:val="28"/>
                <w:szCs w:val="28"/>
              </w:rPr>
            </w:pPr>
            <w:bookmarkStart w:id="1" w:name="FirstAppellant"/>
            <w:r w:rsidRPr="007A19D4">
              <w:rPr>
                <w:rFonts w:ascii="David" w:hAnsi="David"/>
                <w:b/>
                <w:bCs/>
                <w:sz w:val="28"/>
                <w:szCs w:val="28"/>
                <w:rtl/>
              </w:rPr>
              <w:t>בעניין:</w:t>
            </w:r>
          </w:p>
        </w:tc>
        <w:tc>
          <w:tcPr>
            <w:tcW w:w="4114" w:type="dxa"/>
            <w:tcBorders>
              <w:top w:val="nil"/>
              <w:left w:val="nil"/>
              <w:bottom w:val="nil"/>
              <w:right w:val="nil"/>
            </w:tcBorders>
            <w:shd w:val="clear" w:color="auto" w:fill="auto"/>
          </w:tcPr>
          <w:p w14:paraId="2FDACDCD" w14:textId="77777777" w:rsidR="00BE0B27" w:rsidRPr="007A19D4" w:rsidRDefault="00BE0B27" w:rsidP="00960807">
            <w:pPr>
              <w:rPr>
                <w:rFonts w:ascii="David" w:hAnsi="David"/>
              </w:rPr>
            </w:pPr>
            <w:r w:rsidRPr="007A19D4">
              <w:rPr>
                <w:rFonts w:ascii="David" w:hAnsi="David"/>
                <w:b/>
                <w:bCs/>
                <w:sz w:val="26"/>
                <w:szCs w:val="26"/>
                <w:rtl/>
              </w:rPr>
              <w:t>מדינת ישראל</w:t>
            </w:r>
          </w:p>
        </w:tc>
        <w:tc>
          <w:tcPr>
            <w:tcW w:w="3761" w:type="dxa"/>
            <w:tcBorders>
              <w:top w:val="nil"/>
              <w:left w:val="nil"/>
              <w:bottom w:val="nil"/>
              <w:right w:val="nil"/>
            </w:tcBorders>
            <w:shd w:val="clear" w:color="auto" w:fill="auto"/>
          </w:tcPr>
          <w:p w14:paraId="7815F2F5" w14:textId="77777777" w:rsidR="00BE0B27" w:rsidRPr="007A19D4" w:rsidRDefault="00BE0B27" w:rsidP="00BE0B27">
            <w:pPr>
              <w:jc w:val="both"/>
              <w:rPr>
                <w:rFonts w:ascii="David" w:hAnsi="David"/>
                <w:b/>
                <w:bCs/>
                <w:sz w:val="28"/>
                <w:szCs w:val="28"/>
              </w:rPr>
            </w:pPr>
            <w:r w:rsidRPr="007A19D4">
              <w:rPr>
                <w:rFonts w:ascii="David" w:hAnsi="David" w:hint="cs"/>
                <w:b/>
                <w:bCs/>
                <w:sz w:val="28"/>
                <w:szCs w:val="28"/>
                <w:rtl/>
              </w:rPr>
              <w:t>המאשימה</w:t>
            </w:r>
          </w:p>
        </w:tc>
      </w:tr>
      <w:bookmarkEnd w:id="1"/>
      <w:tr w:rsidR="00BE0B27" w:rsidRPr="007A19D4" w14:paraId="3850586F" w14:textId="77777777" w:rsidTr="00BE0B27">
        <w:trPr>
          <w:trHeight w:val="355"/>
          <w:jc w:val="center"/>
        </w:trPr>
        <w:tc>
          <w:tcPr>
            <w:tcW w:w="945" w:type="dxa"/>
            <w:tcBorders>
              <w:top w:val="nil"/>
              <w:left w:val="nil"/>
              <w:bottom w:val="nil"/>
              <w:right w:val="nil"/>
            </w:tcBorders>
            <w:shd w:val="clear" w:color="auto" w:fill="auto"/>
          </w:tcPr>
          <w:p w14:paraId="66C9104B" w14:textId="77777777" w:rsidR="00BE0B27" w:rsidRPr="007A19D4" w:rsidRDefault="00BE0B27" w:rsidP="00BE0B27">
            <w:pPr>
              <w:jc w:val="both"/>
              <w:rPr>
                <w:rFonts w:ascii="David" w:hAnsi="David"/>
                <w:sz w:val="28"/>
                <w:szCs w:val="28"/>
                <w:rtl/>
              </w:rPr>
            </w:pPr>
          </w:p>
        </w:tc>
        <w:tc>
          <w:tcPr>
            <w:tcW w:w="7875" w:type="dxa"/>
            <w:gridSpan w:val="2"/>
            <w:tcBorders>
              <w:top w:val="nil"/>
              <w:left w:val="nil"/>
              <w:bottom w:val="nil"/>
              <w:right w:val="nil"/>
            </w:tcBorders>
            <w:shd w:val="clear" w:color="auto" w:fill="auto"/>
          </w:tcPr>
          <w:p w14:paraId="4A830235" w14:textId="77777777" w:rsidR="00BE0B27" w:rsidRPr="007A19D4" w:rsidRDefault="00BE0B27" w:rsidP="00BE0B27">
            <w:pPr>
              <w:jc w:val="center"/>
              <w:rPr>
                <w:rFonts w:ascii="David" w:hAnsi="David"/>
                <w:b/>
                <w:bCs/>
                <w:sz w:val="28"/>
                <w:szCs w:val="28"/>
                <w:rtl/>
              </w:rPr>
            </w:pPr>
          </w:p>
          <w:p w14:paraId="1EF899DA" w14:textId="77777777" w:rsidR="00BE0B27" w:rsidRPr="007A19D4" w:rsidRDefault="00BE0B27" w:rsidP="00BE0B27">
            <w:pPr>
              <w:jc w:val="center"/>
              <w:rPr>
                <w:rFonts w:ascii="David" w:hAnsi="David"/>
                <w:b/>
                <w:bCs/>
                <w:sz w:val="28"/>
                <w:szCs w:val="28"/>
                <w:rtl/>
              </w:rPr>
            </w:pPr>
            <w:r w:rsidRPr="007A19D4">
              <w:rPr>
                <w:rFonts w:ascii="David" w:hAnsi="David"/>
                <w:b/>
                <w:bCs/>
                <w:sz w:val="28"/>
                <w:szCs w:val="28"/>
                <w:rtl/>
              </w:rPr>
              <w:t>נגד</w:t>
            </w:r>
          </w:p>
          <w:p w14:paraId="4232F791" w14:textId="77777777" w:rsidR="00BE0B27" w:rsidRPr="007A19D4" w:rsidRDefault="00BE0B27" w:rsidP="00BE0B27">
            <w:pPr>
              <w:jc w:val="both"/>
              <w:rPr>
                <w:rFonts w:ascii="David" w:hAnsi="David"/>
                <w:sz w:val="28"/>
                <w:szCs w:val="28"/>
              </w:rPr>
            </w:pPr>
          </w:p>
        </w:tc>
      </w:tr>
      <w:tr w:rsidR="00BE0B27" w:rsidRPr="007A19D4" w14:paraId="059174A8" w14:textId="77777777" w:rsidTr="00BE0B27">
        <w:trPr>
          <w:trHeight w:val="355"/>
          <w:jc w:val="center"/>
        </w:trPr>
        <w:tc>
          <w:tcPr>
            <w:tcW w:w="945" w:type="dxa"/>
            <w:tcBorders>
              <w:top w:val="nil"/>
              <w:left w:val="nil"/>
              <w:bottom w:val="nil"/>
              <w:right w:val="nil"/>
            </w:tcBorders>
            <w:shd w:val="clear" w:color="auto" w:fill="auto"/>
          </w:tcPr>
          <w:p w14:paraId="7D5D5D3B" w14:textId="77777777" w:rsidR="00BE0B27" w:rsidRPr="007A19D4" w:rsidRDefault="00BE0B27" w:rsidP="00960807">
            <w:pPr>
              <w:rPr>
                <w:rFonts w:ascii="David" w:hAnsi="David"/>
                <w:b/>
                <w:bCs/>
                <w:sz w:val="28"/>
                <w:szCs w:val="28"/>
                <w:rtl/>
              </w:rPr>
            </w:pPr>
          </w:p>
        </w:tc>
        <w:tc>
          <w:tcPr>
            <w:tcW w:w="4114" w:type="dxa"/>
            <w:tcBorders>
              <w:top w:val="nil"/>
              <w:left w:val="nil"/>
              <w:bottom w:val="nil"/>
              <w:right w:val="nil"/>
            </w:tcBorders>
            <w:shd w:val="clear" w:color="auto" w:fill="auto"/>
          </w:tcPr>
          <w:p w14:paraId="01CEA882" w14:textId="77777777" w:rsidR="00BE0B27" w:rsidRPr="007A19D4" w:rsidRDefault="00BE0B27" w:rsidP="00960807">
            <w:pPr>
              <w:rPr>
                <w:rFonts w:ascii="David" w:hAnsi="David"/>
                <w:b/>
                <w:bCs/>
                <w:rtl/>
              </w:rPr>
            </w:pPr>
            <w:r w:rsidRPr="007A19D4">
              <w:rPr>
                <w:rFonts w:ascii="David" w:hAnsi="David"/>
                <w:b/>
                <w:bCs/>
                <w:sz w:val="28"/>
                <w:szCs w:val="28"/>
                <w:rtl/>
              </w:rPr>
              <w:t>1.אמיל חסן</w:t>
            </w:r>
          </w:p>
          <w:p w14:paraId="7023314E" w14:textId="77777777" w:rsidR="00BE0B27" w:rsidRPr="007A19D4" w:rsidRDefault="00BE0B27" w:rsidP="00960807">
            <w:pPr>
              <w:rPr>
                <w:rFonts w:ascii="David" w:hAnsi="David"/>
                <w:b/>
                <w:bCs/>
                <w:rtl/>
              </w:rPr>
            </w:pPr>
            <w:r w:rsidRPr="007A19D4">
              <w:rPr>
                <w:rFonts w:ascii="David" w:hAnsi="David"/>
                <w:b/>
                <w:bCs/>
                <w:sz w:val="28"/>
                <w:szCs w:val="28"/>
                <w:rtl/>
              </w:rPr>
              <w:t>2.מקסים דדו</w:t>
            </w:r>
            <w:r w:rsidRPr="007A19D4">
              <w:rPr>
                <w:rFonts w:ascii="David" w:hAnsi="David" w:hint="cs"/>
                <w:b/>
                <w:bCs/>
                <w:sz w:val="28"/>
                <w:szCs w:val="28"/>
                <w:rtl/>
              </w:rPr>
              <w:t xml:space="preserve">ן ת"ז </w:t>
            </w:r>
            <w:r w:rsidR="007A19D4">
              <w:rPr>
                <w:rFonts w:ascii="David" w:hAnsi="David"/>
                <w:b/>
                <w:bCs/>
                <w:sz w:val="28"/>
                <w:szCs w:val="28"/>
              </w:rPr>
              <w:t>xxxxxxxxx</w:t>
            </w:r>
          </w:p>
          <w:p w14:paraId="11277261" w14:textId="77777777" w:rsidR="00BE0B27" w:rsidRPr="007A19D4" w:rsidRDefault="00BE0B27" w:rsidP="00960807">
            <w:pPr>
              <w:rPr>
                <w:rFonts w:ascii="David" w:hAnsi="David"/>
                <w:b/>
                <w:bCs/>
                <w:rtl/>
              </w:rPr>
            </w:pPr>
            <w:r w:rsidRPr="007A19D4">
              <w:rPr>
                <w:rFonts w:ascii="David" w:hAnsi="David"/>
                <w:b/>
                <w:bCs/>
                <w:sz w:val="28"/>
                <w:szCs w:val="28"/>
                <w:rtl/>
              </w:rPr>
              <w:t xml:space="preserve">3.אורי סעדון </w:t>
            </w:r>
            <w:r w:rsidRPr="007A19D4">
              <w:rPr>
                <w:rFonts w:ascii="David" w:hAnsi="David" w:hint="cs"/>
                <w:b/>
                <w:bCs/>
                <w:sz w:val="28"/>
                <w:szCs w:val="28"/>
                <w:rtl/>
              </w:rPr>
              <w:t xml:space="preserve"> </w:t>
            </w:r>
          </w:p>
          <w:p w14:paraId="315BB327" w14:textId="77777777" w:rsidR="00BE0B27" w:rsidRPr="007A19D4" w:rsidRDefault="00BE0B27" w:rsidP="00960807">
            <w:pPr>
              <w:rPr>
                <w:rFonts w:ascii="David" w:hAnsi="David"/>
                <w:b/>
                <w:bCs/>
                <w:rtl/>
              </w:rPr>
            </w:pPr>
            <w:r w:rsidRPr="007A19D4">
              <w:rPr>
                <w:rFonts w:ascii="David" w:hAnsi="David"/>
                <w:b/>
                <w:bCs/>
                <w:sz w:val="28"/>
                <w:szCs w:val="28"/>
                <w:rtl/>
              </w:rPr>
              <w:t>4.מור זוהר</w:t>
            </w:r>
          </w:p>
          <w:p w14:paraId="25F4B6B0" w14:textId="77777777" w:rsidR="00BE0B27" w:rsidRPr="007A19D4" w:rsidRDefault="00BE0B27" w:rsidP="00960807">
            <w:pPr>
              <w:rPr>
                <w:rFonts w:ascii="David" w:hAnsi="David"/>
                <w:b/>
                <w:bCs/>
                <w:rtl/>
              </w:rPr>
            </w:pPr>
            <w:r w:rsidRPr="007A19D4">
              <w:rPr>
                <w:rFonts w:ascii="David" w:hAnsi="David"/>
                <w:b/>
                <w:bCs/>
                <w:sz w:val="28"/>
                <w:szCs w:val="28"/>
                <w:rtl/>
              </w:rPr>
              <w:t>5.אסי איפרגן</w:t>
            </w:r>
          </w:p>
        </w:tc>
        <w:tc>
          <w:tcPr>
            <w:tcW w:w="3761" w:type="dxa"/>
            <w:tcBorders>
              <w:top w:val="nil"/>
              <w:left w:val="nil"/>
              <w:bottom w:val="nil"/>
              <w:right w:val="nil"/>
            </w:tcBorders>
            <w:shd w:val="clear" w:color="auto" w:fill="auto"/>
          </w:tcPr>
          <w:p w14:paraId="38113769" w14:textId="77777777" w:rsidR="00BE0B27" w:rsidRPr="007A19D4" w:rsidRDefault="00BE0B27" w:rsidP="00960807">
            <w:pPr>
              <w:rPr>
                <w:rFonts w:ascii="David" w:hAnsi="David"/>
                <w:b/>
                <w:bCs/>
                <w:sz w:val="28"/>
                <w:szCs w:val="28"/>
                <w:rtl/>
              </w:rPr>
            </w:pPr>
          </w:p>
          <w:p w14:paraId="078776D6" w14:textId="77777777" w:rsidR="00BE0B27" w:rsidRPr="007A19D4" w:rsidRDefault="00BE0B27" w:rsidP="00960807">
            <w:pPr>
              <w:rPr>
                <w:rFonts w:ascii="David" w:hAnsi="David"/>
                <w:b/>
                <w:bCs/>
                <w:sz w:val="28"/>
                <w:szCs w:val="28"/>
                <w:rtl/>
              </w:rPr>
            </w:pPr>
          </w:p>
          <w:p w14:paraId="72E6B25A" w14:textId="77777777" w:rsidR="00BE0B27" w:rsidRPr="007A19D4" w:rsidRDefault="00BE0B27" w:rsidP="00960807">
            <w:pPr>
              <w:rPr>
                <w:rFonts w:ascii="David" w:hAnsi="David"/>
                <w:b/>
                <w:bCs/>
                <w:sz w:val="28"/>
                <w:szCs w:val="28"/>
                <w:rtl/>
              </w:rPr>
            </w:pPr>
          </w:p>
          <w:p w14:paraId="175512E5" w14:textId="77777777" w:rsidR="00BE0B27" w:rsidRPr="007A19D4" w:rsidRDefault="00BE0B27" w:rsidP="00960807">
            <w:pPr>
              <w:rPr>
                <w:rFonts w:ascii="David" w:hAnsi="David"/>
                <w:b/>
                <w:bCs/>
                <w:sz w:val="28"/>
                <w:szCs w:val="28"/>
                <w:rtl/>
              </w:rPr>
            </w:pPr>
          </w:p>
          <w:p w14:paraId="35C299C2" w14:textId="77777777" w:rsidR="00BE0B27" w:rsidRPr="007A19D4" w:rsidRDefault="00BE0B27" w:rsidP="00960807">
            <w:pPr>
              <w:rPr>
                <w:rFonts w:ascii="David" w:hAnsi="David"/>
                <w:b/>
                <w:bCs/>
                <w:sz w:val="28"/>
                <w:szCs w:val="28"/>
              </w:rPr>
            </w:pPr>
            <w:r w:rsidRPr="007A19D4">
              <w:rPr>
                <w:rFonts w:ascii="David" w:hAnsi="David" w:hint="cs"/>
                <w:b/>
                <w:bCs/>
                <w:sz w:val="28"/>
                <w:szCs w:val="28"/>
                <w:rtl/>
              </w:rPr>
              <w:t>הנאשמים</w:t>
            </w:r>
          </w:p>
        </w:tc>
      </w:tr>
    </w:tbl>
    <w:p w14:paraId="383507F4" w14:textId="77777777" w:rsidR="00BE0B27" w:rsidRPr="007A19D4" w:rsidRDefault="00BE0B27" w:rsidP="00BE0B27">
      <w:pPr>
        <w:rPr>
          <w:rFonts w:ascii="David" w:hAnsi="David"/>
          <w:b/>
          <w:bCs/>
          <w:rtl/>
        </w:rPr>
      </w:pPr>
    </w:p>
    <w:p w14:paraId="657EFAF3" w14:textId="77777777" w:rsidR="00BE0B27" w:rsidRPr="007A19D4" w:rsidRDefault="00BE0B27" w:rsidP="00BE0B27">
      <w:pPr>
        <w:rPr>
          <w:rFonts w:ascii="David" w:hAnsi="David"/>
          <w:b/>
          <w:bCs/>
        </w:rPr>
      </w:pPr>
    </w:p>
    <w:p w14:paraId="536E17EA" w14:textId="77777777" w:rsidR="007A19D4" w:rsidRDefault="007A19D4" w:rsidP="007A19D4">
      <w:pPr>
        <w:spacing w:line="360" w:lineRule="auto"/>
        <w:jc w:val="both"/>
        <w:rPr>
          <w:rFonts w:ascii="Arial" w:hAnsi="Arial"/>
          <w:rtl/>
        </w:rPr>
      </w:pPr>
      <w:bookmarkStart w:id="2" w:name="LawTable"/>
      <w:bookmarkEnd w:id="2"/>
    </w:p>
    <w:p w14:paraId="41984B77" w14:textId="77777777" w:rsidR="007A19D4" w:rsidRPr="007A19D4" w:rsidRDefault="007A19D4" w:rsidP="007A19D4">
      <w:pPr>
        <w:spacing w:before="120" w:after="120" w:line="240" w:lineRule="exact"/>
        <w:ind w:left="283" w:hanging="283"/>
        <w:jc w:val="both"/>
        <w:rPr>
          <w:rFonts w:ascii="FrankRuehl" w:hAnsi="FrankRuehl" w:cs="FrankRuehl"/>
          <w:rtl/>
        </w:rPr>
      </w:pPr>
    </w:p>
    <w:p w14:paraId="0A93FDCF" w14:textId="77777777" w:rsidR="007A19D4" w:rsidRPr="007A19D4" w:rsidRDefault="007A19D4" w:rsidP="007A19D4">
      <w:pPr>
        <w:spacing w:before="120" w:after="120" w:line="240" w:lineRule="exact"/>
        <w:ind w:left="283" w:hanging="283"/>
        <w:jc w:val="both"/>
        <w:rPr>
          <w:rFonts w:ascii="FrankRuehl" w:hAnsi="FrankRuehl" w:cs="FrankRuehl"/>
          <w:rtl/>
        </w:rPr>
      </w:pPr>
    </w:p>
    <w:p w14:paraId="6A7C9F0D" w14:textId="77777777" w:rsidR="007A19D4" w:rsidRPr="007A19D4" w:rsidRDefault="007A19D4" w:rsidP="007A19D4">
      <w:pPr>
        <w:spacing w:before="120" w:after="120" w:line="240" w:lineRule="exact"/>
        <w:ind w:left="283" w:hanging="283"/>
        <w:jc w:val="both"/>
        <w:rPr>
          <w:rFonts w:ascii="FrankRuehl" w:hAnsi="FrankRuehl" w:cs="FrankRuehl"/>
          <w:rtl/>
        </w:rPr>
      </w:pPr>
      <w:r w:rsidRPr="007A19D4">
        <w:rPr>
          <w:rFonts w:ascii="FrankRuehl" w:hAnsi="FrankRuehl" w:cs="FrankRuehl"/>
          <w:rtl/>
        </w:rPr>
        <w:t xml:space="preserve">חקיקה שאוזכרה: </w:t>
      </w:r>
    </w:p>
    <w:p w14:paraId="49EEA00C" w14:textId="77777777" w:rsidR="007A19D4" w:rsidRPr="007A19D4" w:rsidRDefault="007A19D4" w:rsidP="007A19D4">
      <w:pPr>
        <w:spacing w:before="120" w:after="120" w:line="240" w:lineRule="exact"/>
        <w:ind w:left="283" w:hanging="283"/>
        <w:jc w:val="both"/>
        <w:rPr>
          <w:rFonts w:ascii="FrankRuehl" w:hAnsi="FrankRuehl" w:cs="FrankRuehl"/>
          <w:rtl/>
        </w:rPr>
      </w:pPr>
      <w:hyperlink r:id="rId6" w:history="1">
        <w:r w:rsidRPr="007A19D4">
          <w:rPr>
            <w:rFonts w:ascii="FrankRuehl" w:hAnsi="FrankRuehl" w:cs="FrankRuehl"/>
            <w:color w:val="0000FF"/>
            <w:rtl/>
          </w:rPr>
          <w:t>פקודת הסמים המסוכנים [נוסח חדש], תשל"ג-1973</w:t>
        </w:r>
      </w:hyperlink>
    </w:p>
    <w:p w14:paraId="627EBC88" w14:textId="77777777" w:rsidR="007A19D4" w:rsidRPr="007A19D4" w:rsidRDefault="007A19D4" w:rsidP="007A19D4">
      <w:pPr>
        <w:spacing w:before="120" w:after="120" w:line="240" w:lineRule="exact"/>
        <w:ind w:left="283" w:hanging="283"/>
        <w:jc w:val="both"/>
        <w:rPr>
          <w:rFonts w:ascii="FrankRuehl" w:hAnsi="FrankRuehl" w:cs="FrankRuehl"/>
          <w:rtl/>
        </w:rPr>
      </w:pPr>
      <w:hyperlink r:id="rId7" w:history="1">
        <w:r w:rsidRPr="007A19D4">
          <w:rPr>
            <w:rFonts w:ascii="FrankRuehl" w:hAnsi="FrankRuehl" w:cs="FrankRuehl"/>
            <w:color w:val="0000FF"/>
            <w:rtl/>
          </w:rPr>
          <w:t>חוק העונשין, תשל"ז-1977</w:t>
        </w:r>
      </w:hyperlink>
    </w:p>
    <w:p w14:paraId="331394E2" w14:textId="77777777" w:rsidR="007A19D4" w:rsidRPr="007A19D4" w:rsidRDefault="007A19D4" w:rsidP="007A19D4">
      <w:pPr>
        <w:spacing w:line="360" w:lineRule="auto"/>
        <w:jc w:val="both"/>
        <w:rPr>
          <w:rFonts w:ascii="Arial" w:hAnsi="Arial"/>
          <w:rtl/>
        </w:rPr>
      </w:pPr>
      <w:bookmarkStart w:id="3" w:name="LawTable_End"/>
      <w:bookmarkEnd w:id="3"/>
    </w:p>
    <w:p w14:paraId="11437606" w14:textId="77777777" w:rsidR="00BE0B27" w:rsidRPr="007A19D4" w:rsidRDefault="00BE0B27" w:rsidP="00BE0B27">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0B27" w14:paraId="54692F4A" w14:textId="77777777" w:rsidTr="00BE0B27">
        <w:trPr>
          <w:trHeight w:val="355"/>
          <w:jc w:val="center"/>
        </w:trPr>
        <w:tc>
          <w:tcPr>
            <w:tcW w:w="8820" w:type="dxa"/>
            <w:tcBorders>
              <w:top w:val="nil"/>
              <w:left w:val="nil"/>
              <w:bottom w:val="nil"/>
              <w:right w:val="nil"/>
            </w:tcBorders>
            <w:shd w:val="clear" w:color="auto" w:fill="auto"/>
          </w:tcPr>
          <w:p w14:paraId="64138870" w14:textId="77777777" w:rsidR="007A19D4" w:rsidRPr="007A19D4" w:rsidRDefault="007A19D4" w:rsidP="007A19D4">
            <w:pPr>
              <w:jc w:val="center"/>
              <w:rPr>
                <w:rFonts w:ascii="Arial" w:hAnsi="Arial"/>
                <w:bCs/>
                <w:sz w:val="28"/>
                <w:szCs w:val="28"/>
                <w:u w:val="single"/>
                <w:rtl/>
              </w:rPr>
            </w:pPr>
            <w:bookmarkStart w:id="4" w:name="PsakDin" w:colFirst="0" w:colLast="0"/>
            <w:bookmarkEnd w:id="0"/>
            <w:r w:rsidRPr="007A19D4">
              <w:rPr>
                <w:rFonts w:ascii="Arial" w:hAnsi="Arial"/>
                <w:bCs/>
                <w:sz w:val="28"/>
                <w:szCs w:val="28"/>
                <w:u w:val="single"/>
                <w:rtl/>
              </w:rPr>
              <w:t xml:space="preserve">גזר דין בעניין נאשם 2   מקסים דדון ת"ז </w:t>
            </w:r>
            <w:r>
              <w:rPr>
                <w:rFonts w:ascii="Arial" w:hAnsi="Arial"/>
                <w:bCs/>
                <w:sz w:val="28"/>
                <w:szCs w:val="28"/>
                <w:u w:val="single"/>
              </w:rPr>
              <w:t>xxxxxxxxx</w:t>
            </w:r>
          </w:p>
          <w:p w14:paraId="5C661CBC" w14:textId="77777777" w:rsidR="00BE0B27" w:rsidRPr="007A19D4" w:rsidRDefault="00BE0B27" w:rsidP="007A19D4">
            <w:pPr>
              <w:jc w:val="center"/>
              <w:rPr>
                <w:rFonts w:ascii="Arial" w:hAnsi="Arial"/>
                <w:bCs/>
                <w:sz w:val="28"/>
                <w:szCs w:val="28"/>
                <w:u w:val="single"/>
                <w:rtl/>
              </w:rPr>
            </w:pPr>
          </w:p>
        </w:tc>
      </w:tr>
      <w:bookmarkEnd w:id="4"/>
    </w:tbl>
    <w:p w14:paraId="6247FF4D" w14:textId="77777777" w:rsidR="00BE0B27" w:rsidRPr="004B0E0D" w:rsidRDefault="00BE0B27" w:rsidP="00BE0B27">
      <w:pPr>
        <w:spacing w:line="360" w:lineRule="auto"/>
        <w:jc w:val="both"/>
        <w:rPr>
          <w:rFonts w:ascii="Arial" w:hAnsi="Arial"/>
          <w:rtl/>
        </w:rPr>
      </w:pPr>
    </w:p>
    <w:p w14:paraId="7F1A0981" w14:textId="77777777" w:rsidR="00BE0B27" w:rsidRPr="00B05847" w:rsidRDefault="00BE0B27" w:rsidP="00BE0B27">
      <w:pPr>
        <w:spacing w:line="360" w:lineRule="auto"/>
        <w:jc w:val="both"/>
        <w:rPr>
          <w:rtl/>
        </w:rPr>
      </w:pPr>
    </w:p>
    <w:p w14:paraId="24EBA695" w14:textId="77777777" w:rsidR="00BE0B27" w:rsidRDefault="00BE0B27" w:rsidP="00BE0B27">
      <w:pPr>
        <w:spacing w:line="360" w:lineRule="auto"/>
        <w:jc w:val="both"/>
        <w:rPr>
          <w:rtl/>
        </w:rPr>
      </w:pPr>
      <w:r>
        <w:rPr>
          <w:rFonts w:hint="cs"/>
          <w:rtl/>
        </w:rPr>
        <w:t>הנאשם מקסים דדון, שהוא נאשם מס' 2 בכתב אישום שייחס עבירות לקבוצת נאשמים, הורשע על פי הודאתו במסגרת הסדר טיעון בעבירות של סיוע לייבוא סם מסוכן, עבירה לפי סעיף 13 ל</w:t>
      </w:r>
      <w:hyperlink r:id="rId8" w:history="1">
        <w:r w:rsidR="007A19D4" w:rsidRPr="007A19D4">
          <w:rPr>
            <w:color w:val="0000FF"/>
            <w:u w:val="single"/>
            <w:rtl/>
          </w:rPr>
          <w:t>פקודת הסמים המסוכנים</w:t>
        </w:r>
      </w:hyperlink>
      <w:r>
        <w:rPr>
          <w:rFonts w:hint="cs"/>
          <w:rtl/>
        </w:rPr>
        <w:t xml:space="preserve"> [נוסח חדש] תשל"ג-1973 ביחד עם סעיף 31 וסעיף 29 ל</w:t>
      </w:r>
      <w:hyperlink r:id="rId9" w:history="1">
        <w:r w:rsidR="007A19D4" w:rsidRPr="007A19D4">
          <w:rPr>
            <w:color w:val="0000FF"/>
            <w:u w:val="single"/>
            <w:rtl/>
          </w:rPr>
          <w:t>חוק העונשין</w:t>
        </w:r>
      </w:hyperlink>
      <w:r>
        <w:rPr>
          <w:rFonts w:hint="cs"/>
          <w:rtl/>
        </w:rPr>
        <w:t>, תשל"ז-1977 וכן בעבירה של ניסיון להחזקת סם מסוכן שלא לצריכה עצמית, עבירה לפי סעיף 7(א)+(ג) לפקודת הסמים המסוכנים + סעיפים 25 ו-29 לחוק העונשין.</w:t>
      </w:r>
    </w:p>
    <w:p w14:paraId="7F625A66" w14:textId="77777777" w:rsidR="00BE0B27" w:rsidRDefault="00BE0B27" w:rsidP="00BE0B27">
      <w:pPr>
        <w:jc w:val="both"/>
        <w:rPr>
          <w:rtl/>
        </w:rPr>
      </w:pPr>
    </w:p>
    <w:p w14:paraId="7B32E4B3" w14:textId="77777777" w:rsidR="00BE0B27" w:rsidRDefault="00BE0B27" w:rsidP="00BE0B27">
      <w:pPr>
        <w:spacing w:line="360" w:lineRule="auto"/>
        <w:jc w:val="both"/>
        <w:rPr>
          <w:rtl/>
        </w:rPr>
      </w:pPr>
      <w:r>
        <w:rPr>
          <w:rFonts w:hint="cs"/>
          <w:rtl/>
        </w:rPr>
        <w:t xml:space="preserve">במסגרת הסדר טיעון בעניינם של כל המעורבים, הוחלט כי ייגזר על הנאשם, מקסים דדון, עונש של 24 חודשי מאסר לריצוי בפועל, בניכוי ימי מעצרו מיום 21/11/22 ועד ליום 3/7/23. </w:t>
      </w:r>
    </w:p>
    <w:p w14:paraId="6A7CABB9" w14:textId="77777777" w:rsidR="00BE0B27" w:rsidRDefault="00BE0B27" w:rsidP="00BE0B27">
      <w:pPr>
        <w:jc w:val="both"/>
        <w:rPr>
          <w:rtl/>
        </w:rPr>
      </w:pPr>
    </w:p>
    <w:p w14:paraId="4BD4CC6C" w14:textId="77777777" w:rsidR="00BE0B27" w:rsidRDefault="00BE0B27" w:rsidP="00BE0B27">
      <w:pPr>
        <w:spacing w:line="360" w:lineRule="auto"/>
        <w:jc w:val="both"/>
        <w:rPr>
          <w:rtl/>
        </w:rPr>
      </w:pPr>
      <w:r>
        <w:rPr>
          <w:rFonts w:hint="cs"/>
          <w:rtl/>
        </w:rPr>
        <w:t>היום הופיעו הצדדים בפניי לאחר שביקשו להפריד את עניינם מהנאשמים האחרים, לגזור את הדין באופן שבו יוכל הנאשם שמעוניין לכפר על העבירות שביצע להתחיל לרצות את עונשו כבר מחר.</w:t>
      </w:r>
    </w:p>
    <w:p w14:paraId="3DB31A82" w14:textId="77777777" w:rsidR="00BE0B27" w:rsidRDefault="00BE0B27" w:rsidP="00BE0B27">
      <w:pPr>
        <w:spacing w:line="360" w:lineRule="auto"/>
        <w:jc w:val="both"/>
        <w:rPr>
          <w:rtl/>
        </w:rPr>
      </w:pPr>
    </w:p>
    <w:p w14:paraId="1B0CCDD0" w14:textId="77777777" w:rsidR="00BE0B27" w:rsidRDefault="00BE0B27" w:rsidP="00BE0B27">
      <w:pPr>
        <w:spacing w:line="360" w:lineRule="auto"/>
        <w:jc w:val="both"/>
        <w:rPr>
          <w:rtl/>
        </w:rPr>
      </w:pPr>
      <w:r>
        <w:rPr>
          <w:rFonts w:hint="cs"/>
          <w:rtl/>
        </w:rPr>
        <w:lastRenderedPageBreak/>
        <w:t>ב"כ הצדדים טענו בפניי. בנוסף, סיפרה אשתו של הנאשם ואם ילדיו גב' דדון, על קשיי המשפחה הן בהיבט הכלכלי והן בהיבט המשפחתי. דבריה הוקלטו ולא נחזור עליהם במסגרת גזר הדין מטעמי צנעת הפרט.</w:t>
      </w:r>
    </w:p>
    <w:p w14:paraId="55405D35" w14:textId="77777777" w:rsidR="00BE0B27" w:rsidRDefault="00BE0B27" w:rsidP="00BE0B27">
      <w:pPr>
        <w:spacing w:line="360" w:lineRule="auto"/>
        <w:jc w:val="both"/>
        <w:rPr>
          <w:rtl/>
        </w:rPr>
      </w:pPr>
    </w:p>
    <w:p w14:paraId="2144A062" w14:textId="77777777" w:rsidR="00BE0B27" w:rsidRDefault="00BE0B27" w:rsidP="00BE0B27">
      <w:pPr>
        <w:spacing w:line="360" w:lineRule="auto"/>
        <w:jc w:val="both"/>
        <w:rPr>
          <w:rtl/>
        </w:rPr>
      </w:pPr>
      <w:r>
        <w:rPr>
          <w:rFonts w:hint="cs"/>
          <w:rtl/>
        </w:rPr>
        <w:t>הנאשם סקר את עברו כמי שהיה לוחם ואח"כ שוטר במשך שנים, הביע חרטה על מעשיו, הוא ביקש להתחשב במצבו הכלכלי הקשה ומצבה הכלכלי של משפחתו ולהימנע מענישה כספית.</w:t>
      </w:r>
    </w:p>
    <w:p w14:paraId="60C9992E" w14:textId="77777777" w:rsidR="00BE0B27" w:rsidRDefault="00BE0B27" w:rsidP="00BE0B27">
      <w:pPr>
        <w:jc w:val="both"/>
        <w:rPr>
          <w:rtl/>
        </w:rPr>
      </w:pPr>
    </w:p>
    <w:p w14:paraId="310661CA" w14:textId="77777777" w:rsidR="00BE0B27" w:rsidRDefault="00BE0B27" w:rsidP="00BE0B27">
      <w:pPr>
        <w:spacing w:line="360" w:lineRule="auto"/>
        <w:jc w:val="both"/>
        <w:rPr>
          <w:rtl/>
        </w:rPr>
      </w:pPr>
      <w:r>
        <w:rPr>
          <w:rFonts w:hint="cs"/>
          <w:rtl/>
        </w:rPr>
        <w:t>לאחר ששמעתי את ב"כ הצדדים, את הגב' דדון ואת הנאשם, אני מורה כדלקמן:</w:t>
      </w:r>
    </w:p>
    <w:p w14:paraId="5CE24152" w14:textId="77777777" w:rsidR="00BE0B27" w:rsidRDefault="00BE0B27" w:rsidP="00BE0B27">
      <w:pPr>
        <w:jc w:val="both"/>
        <w:rPr>
          <w:rtl/>
        </w:rPr>
      </w:pPr>
    </w:p>
    <w:p w14:paraId="6EF0D6CE" w14:textId="77777777" w:rsidR="00BE0B27" w:rsidRDefault="00BE0B27" w:rsidP="00BE0B27">
      <w:pPr>
        <w:spacing w:line="360" w:lineRule="auto"/>
        <w:jc w:val="both"/>
        <w:rPr>
          <w:rtl/>
        </w:rPr>
      </w:pPr>
      <w:r>
        <w:rPr>
          <w:rFonts w:hint="cs"/>
          <w:rtl/>
        </w:rPr>
        <w:t>אני מאשר את הסדר הטיעון ואת העונש שנקבע בעניינו של הנאשם 2, הכל כפי שפורט בהסדר המוסכם ומורה לגזור עליו עונש של 24 חודשי מאסר, בניכוי ימי מעצרו מיום 21/11/22 ועד ליום 3/7/23.</w:t>
      </w:r>
    </w:p>
    <w:p w14:paraId="286D8BE2" w14:textId="77777777" w:rsidR="00BE0B27" w:rsidRDefault="00BE0B27" w:rsidP="00BE0B27">
      <w:pPr>
        <w:spacing w:line="360" w:lineRule="auto"/>
        <w:jc w:val="both"/>
        <w:rPr>
          <w:rtl/>
        </w:rPr>
      </w:pPr>
    </w:p>
    <w:p w14:paraId="0D9C1813" w14:textId="77777777" w:rsidR="00BE0B27" w:rsidRDefault="00BE0B27" w:rsidP="00BE0B27">
      <w:pPr>
        <w:spacing w:line="360" w:lineRule="auto"/>
        <w:jc w:val="both"/>
        <w:rPr>
          <w:rtl/>
        </w:rPr>
      </w:pPr>
      <w:r>
        <w:rPr>
          <w:rFonts w:hint="cs"/>
          <w:rtl/>
        </w:rPr>
        <w:t>לבקשת הנאשם, אני מורה כי הוא יחל לרצות את עונשו מחר ה- 10/9/24 שעה 09:00, שאז עליו להתייצב בבית מעצר קישון לריצוי מאסרו (אלא אם כן יורה לו שב"ס להתייצב במקום אחר).</w:t>
      </w:r>
    </w:p>
    <w:p w14:paraId="38544281" w14:textId="77777777" w:rsidR="00BE0B27" w:rsidRDefault="00BE0B27" w:rsidP="00BE0B27">
      <w:pPr>
        <w:spacing w:line="360" w:lineRule="auto"/>
        <w:jc w:val="both"/>
        <w:rPr>
          <w:rtl/>
        </w:rPr>
      </w:pPr>
    </w:p>
    <w:p w14:paraId="13883225" w14:textId="77777777" w:rsidR="00BE0B27" w:rsidRDefault="00BE0B27" w:rsidP="00BE0B27">
      <w:pPr>
        <w:spacing w:line="360" w:lineRule="auto"/>
        <w:jc w:val="both"/>
        <w:rPr>
          <w:rtl/>
        </w:rPr>
      </w:pPr>
      <w:r>
        <w:rPr>
          <w:rFonts w:hint="cs"/>
          <w:rtl/>
        </w:rPr>
        <w:t>לתשומת לב שב"ס, לדברי הנאשם הוא היה שוטר לאורך שנים ויש להביא את הדבר בחשבון בכל הנוגע לשמירה מתאימה מפני פגיעה של כאלו שאולי זוכרים לו את תקופת פעילותו כשוטר.</w:t>
      </w:r>
    </w:p>
    <w:p w14:paraId="6AF882C4" w14:textId="77777777" w:rsidR="00BE0B27" w:rsidRDefault="00BE0B27" w:rsidP="00BE0B27">
      <w:pPr>
        <w:jc w:val="both"/>
        <w:rPr>
          <w:rtl/>
        </w:rPr>
      </w:pPr>
    </w:p>
    <w:p w14:paraId="5ABD846D" w14:textId="77777777" w:rsidR="00BE0B27" w:rsidRDefault="00BE0B27" w:rsidP="00BE0B27">
      <w:pPr>
        <w:spacing w:line="360" w:lineRule="auto"/>
        <w:jc w:val="both"/>
        <w:rPr>
          <w:rtl/>
        </w:rPr>
      </w:pPr>
      <w:r>
        <w:rPr>
          <w:rFonts w:hint="cs"/>
          <w:rtl/>
        </w:rPr>
        <w:t>בשים לב לכל שנאמר בדיון בפניי, בהתחשב בהודאה שחסכה זמן שיפוטי רב ובהתחשב במכלול הנסיבות וכדי לא לגזור עונש נוסף שבעיקר ייפגע באשתו ובילדיו, החלטתי להסתפק ברכיבי ענישה אלו ולא גזרתי עליו עונש כספי.</w:t>
      </w:r>
    </w:p>
    <w:p w14:paraId="338E20BE" w14:textId="77777777" w:rsidR="00BE0B27" w:rsidRDefault="00BE0B27" w:rsidP="00BE0B27">
      <w:pPr>
        <w:jc w:val="both"/>
        <w:rPr>
          <w:rtl/>
        </w:rPr>
      </w:pPr>
    </w:p>
    <w:p w14:paraId="6E8AD603" w14:textId="77777777" w:rsidR="00BE0B27" w:rsidRDefault="00BE0B27" w:rsidP="00BE0B27">
      <w:pPr>
        <w:spacing w:line="360" w:lineRule="auto"/>
        <w:jc w:val="both"/>
        <w:rPr>
          <w:rtl/>
        </w:rPr>
      </w:pPr>
      <w:r>
        <w:rPr>
          <w:rFonts w:hint="cs"/>
          <w:rtl/>
        </w:rPr>
        <w:t>בנוסף אני גוזר על הנאשם עונש של 9 חודשי מאסר על תנאי והתנאי הוא, שהנאשם לא יעבור עבירות בהם הורשע או עבירות על פקודת הסמים, למעט צריכה עצמית וזאת בתוך 24 חודשים ממועד שחרורו ממאסר.</w:t>
      </w:r>
    </w:p>
    <w:p w14:paraId="5F412BBF" w14:textId="77777777" w:rsidR="00BE0B27" w:rsidRDefault="00BE0B27" w:rsidP="00BE0B27">
      <w:pPr>
        <w:jc w:val="both"/>
        <w:rPr>
          <w:rtl/>
        </w:rPr>
      </w:pPr>
    </w:p>
    <w:p w14:paraId="62382590" w14:textId="77777777" w:rsidR="00BE0B27" w:rsidRDefault="00BE0B27" w:rsidP="00BE0B27">
      <w:pPr>
        <w:spacing w:line="360" w:lineRule="auto"/>
        <w:jc w:val="both"/>
        <w:rPr>
          <w:rtl/>
        </w:rPr>
      </w:pPr>
      <w:r>
        <w:rPr>
          <w:rFonts w:hint="cs"/>
          <w:rtl/>
        </w:rPr>
        <w:t>ככל שבמסגרת הליכי מעצר או הליכים אחרים הופקדו כספים על ידי הנאשם 2 להבטחת קיום תנאי חלופת המעצר או לכל עניין אחר, יש להשיב את הכספים לנאשם באמצעות משפחתו.</w:t>
      </w:r>
    </w:p>
    <w:p w14:paraId="1F05E3B9" w14:textId="77777777" w:rsidR="00BE0B27" w:rsidRDefault="00BE0B27" w:rsidP="00BE0B27">
      <w:pPr>
        <w:jc w:val="both"/>
        <w:rPr>
          <w:rtl/>
        </w:rPr>
      </w:pPr>
    </w:p>
    <w:p w14:paraId="3FFE04F4" w14:textId="77777777" w:rsidR="00BE0B27" w:rsidRDefault="00BE0B27" w:rsidP="00BE0B27">
      <w:pPr>
        <w:spacing w:line="360" w:lineRule="auto"/>
        <w:jc w:val="both"/>
        <w:rPr>
          <w:rtl/>
        </w:rPr>
      </w:pPr>
      <w:r>
        <w:rPr>
          <w:rFonts w:hint="cs"/>
          <w:rtl/>
        </w:rPr>
        <w:t>יובהר למען הסר ספק, שככל שחולטו כספים שנתפסו כחלק מכספי ביצוע העבירה, הרי שגזר הדין אינו מבטל את החלטת החילוט.</w:t>
      </w:r>
    </w:p>
    <w:p w14:paraId="0F10C8D4" w14:textId="77777777" w:rsidR="00BE0B27" w:rsidRDefault="00BE0B27" w:rsidP="00BE0B27">
      <w:pPr>
        <w:jc w:val="both"/>
        <w:rPr>
          <w:rtl/>
        </w:rPr>
      </w:pPr>
    </w:p>
    <w:p w14:paraId="11F52BBC" w14:textId="77777777" w:rsidR="00BE0B27" w:rsidRPr="004B0E0D" w:rsidRDefault="00BE0B27" w:rsidP="00BE0B27">
      <w:pPr>
        <w:spacing w:line="360" w:lineRule="auto"/>
        <w:jc w:val="both"/>
        <w:rPr>
          <w:u w:val="single"/>
          <w:rtl/>
        </w:rPr>
      </w:pPr>
      <w:r w:rsidRPr="004B0E0D">
        <w:rPr>
          <w:rFonts w:hint="cs"/>
          <w:u w:val="single"/>
          <w:rtl/>
        </w:rPr>
        <w:t>מזכירות בית המשפט תנפיק פקודת מאסר לאלתר וזאת כדי לאפשר לנאשם 2 להתייצב מחר לריצוי מאסרו.</w:t>
      </w:r>
    </w:p>
    <w:p w14:paraId="059B800D" w14:textId="77777777" w:rsidR="00BE0B27" w:rsidRDefault="00BE0B27" w:rsidP="00BE0B27">
      <w:pPr>
        <w:jc w:val="both"/>
        <w:rPr>
          <w:rtl/>
        </w:rPr>
      </w:pPr>
    </w:p>
    <w:p w14:paraId="398C2167" w14:textId="77777777" w:rsidR="00BE0B27" w:rsidRPr="004B0E0D" w:rsidRDefault="00BE0B27" w:rsidP="00BE0B27">
      <w:pPr>
        <w:spacing w:line="360" w:lineRule="auto"/>
        <w:jc w:val="both"/>
        <w:rPr>
          <w:u w:val="single"/>
          <w:rtl/>
        </w:rPr>
      </w:pPr>
      <w:r w:rsidRPr="004B0E0D">
        <w:rPr>
          <w:rFonts w:hint="cs"/>
          <w:u w:val="single"/>
          <w:rtl/>
        </w:rPr>
        <w:t>זכות ערעור לבית המשפט העליון תוך 45 יום מהיום.</w:t>
      </w:r>
    </w:p>
    <w:p w14:paraId="4FEA4C7A" w14:textId="77777777" w:rsidR="00BE0B27" w:rsidRPr="00B05847" w:rsidRDefault="00BE0B27" w:rsidP="00BE0B27">
      <w:pPr>
        <w:jc w:val="both"/>
        <w:rPr>
          <w:rtl/>
        </w:rPr>
      </w:pPr>
    </w:p>
    <w:p w14:paraId="6A84B8E9" w14:textId="77777777" w:rsidR="00BE0B27" w:rsidRDefault="007A19D4" w:rsidP="00BE0B27">
      <w:pPr>
        <w:spacing w:line="360" w:lineRule="auto"/>
        <w:jc w:val="both"/>
        <w:rPr>
          <w:rFonts w:ascii="Arial" w:hAnsi="Arial"/>
          <w:rtl/>
        </w:rPr>
      </w:pPr>
      <w:bookmarkStart w:id="5" w:name="Nitan"/>
      <w:r>
        <w:rPr>
          <w:rFonts w:ascii="Arial" w:hAnsi="Arial"/>
          <w:rtl/>
        </w:rPr>
        <w:t xml:space="preserve">ניתן היום,  ו' אלול תשפ"ד, 09 ספטמבר 2024, במעמד ב"כ המאשימה, ב"כ הנאשם והנאשם </w:t>
      </w:r>
      <w:bookmarkEnd w:id="5"/>
      <w:r w:rsidR="00BE0B27">
        <w:rPr>
          <w:rFonts w:ascii="Arial" w:hAnsi="Arial" w:hint="cs"/>
          <w:rtl/>
        </w:rPr>
        <w:t>בעצמו.</w:t>
      </w:r>
    </w:p>
    <w:p w14:paraId="00B6C5A0" w14:textId="77777777" w:rsidR="00BE0B27" w:rsidRDefault="00BE0B27" w:rsidP="00BE0B27">
      <w:pPr>
        <w:spacing w:line="360" w:lineRule="auto"/>
        <w:ind w:left="5040"/>
        <w:jc w:val="both"/>
        <w:rPr>
          <w:rFonts w:ascii="Arial" w:hAnsi="Arial"/>
          <w:rtl/>
        </w:rPr>
      </w:pPr>
    </w:p>
    <w:p w14:paraId="7EC82BB7" w14:textId="77777777" w:rsidR="00BE0B27" w:rsidRPr="007A19D4" w:rsidRDefault="007A19D4" w:rsidP="00BE0B27">
      <w:pPr>
        <w:ind w:left="5040"/>
        <w:jc w:val="center"/>
        <w:rPr>
          <w:color w:val="FFFFFF"/>
          <w:sz w:val="2"/>
          <w:szCs w:val="2"/>
        </w:rPr>
      </w:pPr>
      <w:r w:rsidRPr="007A19D4">
        <w:rPr>
          <w:color w:val="FFFFFF"/>
          <w:sz w:val="2"/>
          <w:szCs w:val="2"/>
          <w:rtl/>
        </w:rPr>
        <w:t>5129371</w:t>
      </w:r>
    </w:p>
    <w:tbl>
      <w:tblPr>
        <w:bidiVisual/>
        <w:tblW w:w="3708" w:type="dxa"/>
        <w:tblInd w:w="5040" w:type="dxa"/>
        <w:tblBorders>
          <w:insideH w:val="single" w:sz="4" w:space="0" w:color="auto"/>
          <w:insideV w:val="single" w:sz="4" w:space="0" w:color="auto"/>
        </w:tblBorders>
        <w:tblLook w:val="01E0" w:firstRow="1" w:lastRow="1" w:firstColumn="1" w:lastColumn="1" w:noHBand="0" w:noVBand="0"/>
      </w:tblPr>
      <w:tblGrid>
        <w:gridCol w:w="3708"/>
      </w:tblGrid>
      <w:tr w:rsidR="00BE0B27" w14:paraId="60DB34E1" w14:textId="77777777" w:rsidTr="00BE0B27">
        <w:trPr>
          <w:trHeight w:val="364"/>
        </w:trPr>
        <w:tc>
          <w:tcPr>
            <w:tcW w:w="3708" w:type="dxa"/>
            <w:tcBorders>
              <w:top w:val="nil"/>
              <w:left w:val="nil"/>
              <w:bottom w:val="single" w:sz="4" w:space="0" w:color="auto"/>
              <w:right w:val="nil"/>
            </w:tcBorders>
            <w:shd w:val="clear" w:color="auto" w:fill="auto"/>
          </w:tcPr>
          <w:p w14:paraId="60420C35" w14:textId="77777777" w:rsidR="00BE0B27" w:rsidRPr="007A19D4" w:rsidRDefault="007A19D4" w:rsidP="00BE0B27">
            <w:pPr>
              <w:bidi w:val="0"/>
              <w:jc w:val="center"/>
              <w:rPr>
                <w:color w:val="FFFFFF"/>
                <w:sz w:val="2"/>
                <w:szCs w:val="2"/>
              </w:rPr>
            </w:pPr>
            <w:r w:rsidRPr="007A19D4">
              <w:rPr>
                <w:color w:val="FFFFFF"/>
                <w:sz w:val="2"/>
                <w:szCs w:val="2"/>
              </w:rPr>
              <w:lastRenderedPageBreak/>
              <w:t>54678313</w:t>
            </w:r>
          </w:p>
        </w:tc>
      </w:tr>
      <w:tr w:rsidR="00BE0B27" w14:paraId="1347129A" w14:textId="77777777" w:rsidTr="00BE0B27">
        <w:trPr>
          <w:trHeight w:val="415"/>
        </w:trPr>
        <w:tc>
          <w:tcPr>
            <w:tcW w:w="3708" w:type="dxa"/>
            <w:tcBorders>
              <w:top w:val="single" w:sz="4" w:space="0" w:color="auto"/>
              <w:left w:val="nil"/>
              <w:bottom w:val="nil"/>
              <w:right w:val="nil"/>
            </w:tcBorders>
            <w:shd w:val="clear" w:color="auto" w:fill="auto"/>
          </w:tcPr>
          <w:p w14:paraId="54887D98" w14:textId="77777777" w:rsidR="00BE0B27" w:rsidRPr="00BE0B27" w:rsidRDefault="00BE0B27" w:rsidP="00BE0B27">
            <w:pPr>
              <w:jc w:val="center"/>
              <w:rPr>
                <w:b/>
                <w:bCs/>
                <w:rtl/>
              </w:rPr>
            </w:pPr>
            <w:r w:rsidRPr="00BE0B27">
              <w:rPr>
                <w:rFonts w:hint="cs"/>
                <w:b/>
                <w:bCs/>
                <w:rtl/>
              </w:rPr>
              <w:t xml:space="preserve"> רון שפירא, נשיא</w:t>
            </w:r>
          </w:p>
        </w:tc>
      </w:tr>
    </w:tbl>
    <w:p w14:paraId="28A16461" w14:textId="77777777" w:rsidR="00BE0B27" w:rsidRDefault="00BE0B27" w:rsidP="00BE0B27">
      <w:pPr>
        <w:ind w:left="5040"/>
        <w:rPr>
          <w:rFonts w:cs="FrankRuehl"/>
          <w:sz w:val="28"/>
          <w:szCs w:val="28"/>
          <w:rtl/>
        </w:rPr>
      </w:pPr>
      <w:r>
        <w:rPr>
          <w:rFonts w:ascii="Arial" w:hAnsi="Arial" w:hint="cs"/>
          <w:rtl/>
        </w:rPr>
        <w:t xml:space="preserve"> </w:t>
      </w:r>
    </w:p>
    <w:p w14:paraId="5294AD30" w14:textId="77777777" w:rsidR="00BE0B27" w:rsidRDefault="00BE0B27" w:rsidP="00BE0B27">
      <w:pPr>
        <w:pStyle w:val="Header"/>
        <w:jc w:val="center"/>
        <w:rPr>
          <w:rtl/>
        </w:rPr>
      </w:pPr>
    </w:p>
    <w:p w14:paraId="2CC4DD03" w14:textId="77777777" w:rsidR="007668DD" w:rsidRPr="007A19D4" w:rsidRDefault="007668DD" w:rsidP="007A19D4">
      <w:pPr>
        <w:keepNext/>
        <w:rPr>
          <w:rFonts w:ascii="David" w:hAnsi="David" w:hint="cs"/>
          <w:color w:val="000000"/>
          <w:sz w:val="22"/>
          <w:szCs w:val="22"/>
          <w:rtl/>
        </w:rPr>
      </w:pPr>
    </w:p>
    <w:p w14:paraId="175F7603" w14:textId="77777777" w:rsidR="007A19D4" w:rsidRPr="007A19D4" w:rsidRDefault="007A19D4" w:rsidP="007A19D4">
      <w:pPr>
        <w:keepNext/>
        <w:rPr>
          <w:rFonts w:ascii="David" w:hAnsi="David"/>
          <w:color w:val="000000"/>
          <w:sz w:val="22"/>
          <w:szCs w:val="22"/>
          <w:rtl/>
        </w:rPr>
      </w:pPr>
      <w:r w:rsidRPr="007A19D4">
        <w:rPr>
          <w:rFonts w:ascii="David" w:hAnsi="David"/>
          <w:color w:val="000000"/>
          <w:sz w:val="22"/>
          <w:szCs w:val="22"/>
          <w:rtl/>
        </w:rPr>
        <w:t>רון שפירא 54678313</w:t>
      </w:r>
    </w:p>
    <w:p w14:paraId="443F143A" w14:textId="77777777" w:rsidR="007A19D4" w:rsidRDefault="007A19D4" w:rsidP="007A19D4">
      <w:r w:rsidRPr="007A19D4">
        <w:rPr>
          <w:color w:val="000000"/>
          <w:rtl/>
        </w:rPr>
        <w:t>נוסח מסמך זה כפוף לשינויי ניסוח ועריכה</w:t>
      </w:r>
    </w:p>
    <w:p w14:paraId="42F7C552" w14:textId="77777777" w:rsidR="007A19D4" w:rsidRDefault="007A19D4" w:rsidP="007A19D4">
      <w:pPr>
        <w:rPr>
          <w:rtl/>
        </w:rPr>
      </w:pPr>
    </w:p>
    <w:p w14:paraId="3659A2DF" w14:textId="77777777" w:rsidR="007A19D4" w:rsidRDefault="007A19D4" w:rsidP="007A19D4">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27CA14D0" w14:textId="77777777" w:rsidR="007A19D4" w:rsidRPr="007A19D4" w:rsidRDefault="007A19D4" w:rsidP="007A19D4">
      <w:pPr>
        <w:jc w:val="center"/>
        <w:rPr>
          <w:rFonts w:hint="cs"/>
          <w:color w:val="0000FF"/>
          <w:u w:val="single"/>
        </w:rPr>
      </w:pPr>
    </w:p>
    <w:sectPr w:rsidR="007A19D4" w:rsidRPr="007A19D4" w:rsidSect="007A19D4">
      <w:headerReference w:type="even" r:id="rId11"/>
      <w:headerReference w:type="default" r:id="rId12"/>
      <w:footerReference w:type="even" r:id="rId13"/>
      <w:footerReference w:type="default" r:id="rId14"/>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976B6" w14:textId="77777777" w:rsidR="001A3984" w:rsidRDefault="001A3984" w:rsidP="006D1581">
      <w:r>
        <w:separator/>
      </w:r>
    </w:p>
  </w:endnote>
  <w:endnote w:type="continuationSeparator" w:id="0">
    <w:p w14:paraId="60A622D1" w14:textId="77777777" w:rsidR="001A3984" w:rsidRDefault="001A3984" w:rsidP="006D1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8DE6E" w14:textId="77777777" w:rsidR="007A19D4" w:rsidRDefault="007A19D4" w:rsidP="007A19D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A9E8D8" w14:textId="77777777" w:rsidR="00960807" w:rsidRPr="007A19D4" w:rsidRDefault="007A19D4" w:rsidP="007A19D4">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02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5pt;height:17.5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DF37E" w14:textId="77777777" w:rsidR="007A19D4" w:rsidRDefault="007A19D4" w:rsidP="007A19D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554B">
      <w:rPr>
        <w:rFonts w:ascii="FrankRuehl" w:hAnsi="FrankRuehl" w:cs="FrankRuehl"/>
        <w:noProof/>
        <w:rtl/>
      </w:rPr>
      <w:t>1</w:t>
    </w:r>
    <w:r>
      <w:rPr>
        <w:rFonts w:ascii="FrankRuehl" w:hAnsi="FrankRuehl" w:cs="FrankRuehl"/>
        <w:rtl/>
      </w:rPr>
      <w:fldChar w:fldCharType="end"/>
    </w:r>
  </w:p>
  <w:p w14:paraId="4BC30B4E" w14:textId="77777777" w:rsidR="00960807" w:rsidRPr="007A19D4" w:rsidRDefault="007A19D4" w:rsidP="007A19D4">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983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5pt;height:17.5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84AB0" w14:textId="77777777" w:rsidR="001A3984" w:rsidRDefault="001A3984" w:rsidP="006D1581">
      <w:r>
        <w:separator/>
      </w:r>
    </w:p>
  </w:footnote>
  <w:footnote w:type="continuationSeparator" w:id="0">
    <w:p w14:paraId="2ED0793B" w14:textId="77777777" w:rsidR="001A3984" w:rsidRDefault="001A3984" w:rsidP="006D1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E4C13" w14:textId="77777777" w:rsidR="007A19D4" w:rsidRPr="007A19D4" w:rsidRDefault="007A19D4" w:rsidP="007A19D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35088-07-24</w:t>
    </w:r>
    <w:r>
      <w:rPr>
        <w:rFonts w:ascii="David" w:hAnsi="David"/>
        <w:color w:val="000000"/>
        <w:sz w:val="22"/>
        <w:szCs w:val="22"/>
        <w:rtl/>
      </w:rPr>
      <w:tab/>
      <w:t xml:space="preserve"> מדינת ישראל נ' אמיל חסן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94CDA" w14:textId="77777777" w:rsidR="007A19D4" w:rsidRPr="007A19D4" w:rsidRDefault="007A19D4" w:rsidP="007A19D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35088-07-24</w:t>
    </w:r>
    <w:r>
      <w:rPr>
        <w:rFonts w:ascii="David" w:hAnsi="David"/>
        <w:color w:val="000000"/>
        <w:sz w:val="22"/>
        <w:szCs w:val="22"/>
        <w:rtl/>
      </w:rPr>
      <w:tab/>
      <w:t xml:space="preserve"> מדינת ישראל נ' אמיל חסן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0B27"/>
    <w:rsid w:val="001A3984"/>
    <w:rsid w:val="006516C3"/>
    <w:rsid w:val="006D1581"/>
    <w:rsid w:val="007668DD"/>
    <w:rsid w:val="007A19D4"/>
    <w:rsid w:val="0087554B"/>
    <w:rsid w:val="00960807"/>
    <w:rsid w:val="00B92735"/>
    <w:rsid w:val="00BE0B27"/>
    <w:rsid w:val="00C82D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F5EB7F"/>
  <w15:chartTrackingRefBased/>
  <w15:docId w15:val="{B8F74E00-8402-4FA4-9D8F-C5F33B56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0B27"/>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0B27"/>
    <w:pPr>
      <w:tabs>
        <w:tab w:val="center" w:pos="4153"/>
        <w:tab w:val="right" w:pos="8306"/>
      </w:tabs>
    </w:pPr>
  </w:style>
  <w:style w:type="character" w:customStyle="1" w:styleId="HeaderChar">
    <w:name w:val="Header Char"/>
    <w:link w:val="Header"/>
    <w:rsid w:val="00BE0B27"/>
    <w:rPr>
      <w:rFonts w:ascii="Times New Roman" w:eastAsia="Times New Roman" w:hAnsi="Times New Roman" w:cs="David"/>
      <w:sz w:val="24"/>
      <w:szCs w:val="24"/>
    </w:rPr>
  </w:style>
  <w:style w:type="paragraph" w:styleId="Footer">
    <w:name w:val="footer"/>
    <w:basedOn w:val="Normal"/>
    <w:link w:val="FooterChar"/>
    <w:rsid w:val="00BE0B27"/>
    <w:pPr>
      <w:tabs>
        <w:tab w:val="center" w:pos="4153"/>
        <w:tab w:val="right" w:pos="8306"/>
      </w:tabs>
    </w:pPr>
  </w:style>
  <w:style w:type="character" w:customStyle="1" w:styleId="FooterChar">
    <w:name w:val="Footer Char"/>
    <w:link w:val="Footer"/>
    <w:rsid w:val="00BE0B27"/>
    <w:rPr>
      <w:rFonts w:ascii="Times New Roman" w:eastAsia="Times New Roman" w:hAnsi="Times New Roman" w:cs="David"/>
      <w:sz w:val="24"/>
      <w:szCs w:val="24"/>
    </w:rPr>
  </w:style>
  <w:style w:type="table" w:styleId="TableGrid">
    <w:name w:val="Table Grid"/>
    <w:basedOn w:val="TableNormal"/>
    <w:rsid w:val="00BE0B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BE0B27"/>
  </w:style>
  <w:style w:type="character" w:styleId="Hyperlink">
    <w:name w:val="Hyperlink"/>
    <w:rsid w:val="007A19D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3296</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8257637</vt:i4>
      </vt:variant>
      <vt:variant>
        <vt:i4>6</vt:i4>
      </vt:variant>
      <vt:variant>
        <vt:i4>0</vt:i4>
      </vt:variant>
      <vt:variant>
        <vt:i4>5</vt:i4>
      </vt:variant>
      <vt:variant>
        <vt:lpwstr>http://www.nevo.co.il/law/4216</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35088</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אמיל חסן;מקסים דדון;אורי סעדון;מור זוהר;אסי איפרגן</vt:lpwstr>
  </property>
  <property fmtid="{D5CDD505-2E9C-101B-9397-08002B2CF9AE}" pid="10" name="JUDGE">
    <vt:lpwstr>רון שפירא</vt:lpwstr>
  </property>
  <property fmtid="{D5CDD505-2E9C-101B-9397-08002B2CF9AE}" pid="11" name="CITY">
    <vt:lpwstr>חי'</vt:lpwstr>
  </property>
  <property fmtid="{D5CDD505-2E9C-101B-9397-08002B2CF9AE}" pid="12" name="DATE">
    <vt:lpwstr>20240909</vt:lpwstr>
  </property>
  <property fmtid="{D5CDD505-2E9C-101B-9397-08002B2CF9AE}" pid="13" name="TYPE_N_DATE">
    <vt:lpwstr>39020240909</vt:lpwstr>
  </property>
  <property fmtid="{D5CDD505-2E9C-101B-9397-08002B2CF9AE}" pid="14" name="LAWLISTTMP1">
    <vt:lpwstr>4216</vt:lpwstr>
  </property>
  <property fmtid="{D5CDD505-2E9C-101B-9397-08002B2CF9AE}" pid="15" name="LAWLISTTMP2">
    <vt:lpwstr>70301</vt:lpwstr>
  </property>
  <property fmtid="{D5CDD505-2E9C-101B-9397-08002B2CF9AE}" pid="16" name="WORDNUMPAGES">
    <vt:lpwstr>3</vt:lpwstr>
  </property>
  <property fmtid="{D5CDD505-2E9C-101B-9397-08002B2CF9AE}" pid="17" name="TYPE_ABS_DATE">
    <vt:lpwstr>390020240909</vt:lpwstr>
  </property>
</Properties>
</file>