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0" w:type="auto"/>
        <w:jc w:val="center"/>
        <w:tblLook w:val="0000" w:firstRow="0" w:lastRow="0" w:firstColumn="0" w:lastColumn="0" w:noHBand="0" w:noVBand="0"/>
      </w:tblPr>
      <w:tblGrid>
        <w:gridCol w:w="5054"/>
        <w:gridCol w:w="3667"/>
      </w:tblGrid>
      <w:tr w:rsidR="00447855" w:rsidRPr="002B5031" w:rsidTr="000C2E36">
        <w:trPr>
          <w:trHeight w:hRule="exact" w:val="418"/>
          <w:jc w:val="center"/>
        </w:trPr>
        <w:tc>
          <w:tcPr>
            <w:tcW w:w="8721" w:type="dxa"/>
            <w:gridSpan w:val="2"/>
          </w:tcPr>
          <w:p w:rsidR="00447855" w:rsidRPr="002B5031" w:rsidRDefault="00447855" w:rsidP="00704A13">
            <w:pPr>
              <w:pStyle w:val="Header"/>
              <w:jc w:val="center"/>
              <w:rPr>
                <w:rFonts w:ascii="Tahoma" w:hAnsi="Tahoma" w:cs="Tahoma"/>
                <w:color w:val="000080"/>
                <w:rtl/>
              </w:rPr>
            </w:pPr>
            <w:bookmarkStart w:id="0" w:name="LastJudge"/>
            <w:r w:rsidRPr="002B5031">
              <w:rPr>
                <w:rFonts w:ascii="Tahoma" w:hAnsi="Tahoma" w:cs="Tahoma"/>
                <w:b/>
                <w:bCs/>
                <w:color w:val="000080"/>
                <w:rtl/>
              </w:rPr>
              <w:t>בית משפט השלום בתל אביב -יפו</w:t>
            </w:r>
          </w:p>
        </w:tc>
      </w:tr>
      <w:tr w:rsidR="00447855" w:rsidRPr="002B5031" w:rsidTr="000C2E36">
        <w:trPr>
          <w:trHeight w:val="337"/>
          <w:jc w:val="center"/>
        </w:trPr>
        <w:tc>
          <w:tcPr>
            <w:tcW w:w="5054" w:type="dxa"/>
          </w:tcPr>
          <w:p w:rsidR="00447855" w:rsidRPr="002B5031" w:rsidRDefault="00447855" w:rsidP="00704A13">
            <w:pPr>
              <w:rPr>
                <w:rFonts w:cs="FrankRuehl"/>
                <w:sz w:val="28"/>
                <w:szCs w:val="28"/>
                <w:rtl/>
              </w:rPr>
            </w:pPr>
            <w:r w:rsidRPr="002B5031">
              <w:rPr>
                <w:rFonts w:cs="FrankRuehl"/>
                <w:sz w:val="28"/>
                <w:szCs w:val="28"/>
                <w:rtl/>
              </w:rPr>
              <w:t>ת"פ</w:t>
            </w:r>
            <w:r w:rsidRPr="002B5031">
              <w:rPr>
                <w:rFonts w:cs="FrankRuehl" w:hint="cs"/>
                <w:sz w:val="28"/>
                <w:szCs w:val="28"/>
                <w:rtl/>
              </w:rPr>
              <w:t xml:space="preserve"> </w:t>
            </w:r>
            <w:r w:rsidRPr="002B5031">
              <w:rPr>
                <w:rFonts w:cs="FrankRuehl"/>
                <w:sz w:val="28"/>
                <w:szCs w:val="28"/>
                <w:rtl/>
              </w:rPr>
              <w:t>57459-06-20</w:t>
            </w:r>
            <w:r w:rsidRPr="002B5031">
              <w:rPr>
                <w:rFonts w:cs="FrankRuehl" w:hint="cs"/>
                <w:sz w:val="28"/>
                <w:szCs w:val="28"/>
                <w:rtl/>
              </w:rPr>
              <w:t xml:space="preserve"> </w:t>
            </w:r>
            <w:r w:rsidRPr="002B5031">
              <w:rPr>
                <w:rFonts w:cs="FrankRuehl"/>
                <w:sz w:val="28"/>
                <w:szCs w:val="28"/>
                <w:rtl/>
              </w:rPr>
              <w:t>מדינת ישראל נ' וקנין</w:t>
            </w:r>
          </w:p>
          <w:p w:rsidR="00447855" w:rsidRPr="002B5031" w:rsidRDefault="00447855" w:rsidP="00704A13">
            <w:pPr>
              <w:pStyle w:val="Header"/>
              <w:rPr>
                <w:rFonts w:cs="FrankRuehl"/>
                <w:sz w:val="28"/>
                <w:szCs w:val="28"/>
                <w:rtl/>
              </w:rPr>
            </w:pPr>
          </w:p>
        </w:tc>
        <w:tc>
          <w:tcPr>
            <w:tcW w:w="3667" w:type="dxa"/>
          </w:tcPr>
          <w:p w:rsidR="00447855" w:rsidRPr="002B5031" w:rsidRDefault="00447855" w:rsidP="00704A13">
            <w:pPr>
              <w:pStyle w:val="Header"/>
              <w:jc w:val="right"/>
              <w:rPr>
                <w:rFonts w:cs="FrankRuehl"/>
                <w:sz w:val="28"/>
                <w:szCs w:val="28"/>
                <w:rtl/>
              </w:rPr>
            </w:pPr>
          </w:p>
        </w:tc>
      </w:tr>
    </w:tbl>
    <w:p w:rsidR="00447855" w:rsidRPr="002B5031" w:rsidRDefault="00447855" w:rsidP="00447855">
      <w:pPr>
        <w:pStyle w:val="Header"/>
        <w:rPr>
          <w:rtl/>
        </w:rPr>
      </w:pPr>
      <w:r w:rsidRPr="002B5031">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447855" w:rsidRPr="002B5031" w:rsidTr="00447855">
        <w:trPr>
          <w:trHeight w:val="295"/>
          <w:jc w:val="center"/>
        </w:trPr>
        <w:tc>
          <w:tcPr>
            <w:tcW w:w="923" w:type="dxa"/>
            <w:tcBorders>
              <w:top w:val="nil"/>
              <w:left w:val="nil"/>
              <w:bottom w:val="nil"/>
              <w:right w:val="nil"/>
            </w:tcBorders>
            <w:shd w:val="clear" w:color="auto" w:fill="auto"/>
          </w:tcPr>
          <w:p w:rsidR="00447855" w:rsidRPr="002B5031" w:rsidRDefault="00447855" w:rsidP="00447855">
            <w:pPr>
              <w:jc w:val="both"/>
              <w:rPr>
                <w:rFonts w:ascii="David" w:hAnsi="David"/>
                <w:sz w:val="26"/>
                <w:szCs w:val="26"/>
              </w:rPr>
            </w:pPr>
            <w:r w:rsidRPr="002B5031">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rsidR="00447855" w:rsidRPr="002B5031" w:rsidRDefault="00447855" w:rsidP="00704A13">
            <w:pPr>
              <w:rPr>
                <w:rFonts w:ascii="David" w:hAnsi="David"/>
                <w:b/>
                <w:bCs/>
                <w:sz w:val="26"/>
                <w:szCs w:val="26"/>
                <w:rtl/>
              </w:rPr>
            </w:pPr>
            <w:r w:rsidRPr="002B5031">
              <w:rPr>
                <w:rFonts w:ascii="David" w:hAnsi="David"/>
                <w:b/>
                <w:bCs/>
                <w:sz w:val="26"/>
                <w:szCs w:val="26"/>
                <w:rtl/>
              </w:rPr>
              <w:t>כבוד השופטת  דנה אמיר</w:t>
            </w:r>
          </w:p>
          <w:p w:rsidR="00447855" w:rsidRPr="002B5031" w:rsidRDefault="00447855" w:rsidP="00704A13">
            <w:pPr>
              <w:rPr>
                <w:rFonts w:ascii="David" w:hAnsi="David"/>
                <w:sz w:val="26"/>
                <w:szCs w:val="26"/>
                <w:rtl/>
              </w:rPr>
            </w:pPr>
          </w:p>
          <w:p w:rsidR="00447855" w:rsidRPr="002B5031" w:rsidRDefault="00447855" w:rsidP="00447855">
            <w:pPr>
              <w:jc w:val="both"/>
              <w:rPr>
                <w:rFonts w:ascii="David" w:hAnsi="David"/>
                <w:sz w:val="26"/>
                <w:szCs w:val="26"/>
              </w:rPr>
            </w:pPr>
          </w:p>
        </w:tc>
      </w:tr>
      <w:tr w:rsidR="00447855" w:rsidRPr="002B5031" w:rsidTr="00447855">
        <w:trPr>
          <w:trHeight w:val="355"/>
          <w:jc w:val="center"/>
        </w:trPr>
        <w:tc>
          <w:tcPr>
            <w:tcW w:w="923" w:type="dxa"/>
            <w:tcBorders>
              <w:top w:val="nil"/>
              <w:left w:val="nil"/>
              <w:bottom w:val="nil"/>
              <w:right w:val="nil"/>
            </w:tcBorders>
            <w:shd w:val="clear" w:color="auto" w:fill="auto"/>
          </w:tcPr>
          <w:p w:rsidR="00447855" w:rsidRPr="002B5031" w:rsidRDefault="00447855" w:rsidP="00447855">
            <w:pPr>
              <w:jc w:val="both"/>
              <w:rPr>
                <w:rFonts w:ascii="David" w:hAnsi="David"/>
                <w:sz w:val="26"/>
                <w:szCs w:val="26"/>
              </w:rPr>
            </w:pPr>
            <w:bookmarkStart w:id="1" w:name="FirstAppellant"/>
            <w:r w:rsidRPr="002B5031">
              <w:rPr>
                <w:rFonts w:ascii="David" w:hAnsi="David"/>
                <w:sz w:val="26"/>
                <w:szCs w:val="26"/>
                <w:rtl/>
              </w:rPr>
              <w:t>בעניין:</w:t>
            </w:r>
          </w:p>
        </w:tc>
        <w:tc>
          <w:tcPr>
            <w:tcW w:w="3219" w:type="dxa"/>
            <w:tcBorders>
              <w:top w:val="nil"/>
              <w:left w:val="nil"/>
              <w:bottom w:val="nil"/>
              <w:right w:val="nil"/>
            </w:tcBorders>
            <w:shd w:val="clear" w:color="auto" w:fill="auto"/>
          </w:tcPr>
          <w:p w:rsidR="00447855" w:rsidRPr="002B5031" w:rsidRDefault="00447855" w:rsidP="00447855">
            <w:pPr>
              <w:suppressLineNumbers/>
            </w:pPr>
            <w:r w:rsidRPr="002B5031">
              <w:rPr>
                <w:rFonts w:ascii="Arial" w:hAnsi="Arial" w:hint="cs"/>
                <w:b/>
                <w:bCs/>
                <w:sz w:val="26"/>
                <w:szCs w:val="26"/>
                <w:rtl/>
              </w:rPr>
              <w:t>מאשימה:</w:t>
            </w:r>
          </w:p>
          <w:p w:rsidR="00447855" w:rsidRPr="002B5031" w:rsidRDefault="00447855" w:rsidP="00704A13">
            <w:pPr>
              <w:rPr>
                <w:rFonts w:ascii="David" w:hAnsi="David"/>
                <w:sz w:val="26"/>
                <w:szCs w:val="26"/>
              </w:rPr>
            </w:pPr>
          </w:p>
        </w:tc>
        <w:tc>
          <w:tcPr>
            <w:tcW w:w="4678" w:type="dxa"/>
            <w:tcBorders>
              <w:top w:val="nil"/>
              <w:left w:val="nil"/>
              <w:bottom w:val="nil"/>
              <w:right w:val="nil"/>
            </w:tcBorders>
            <w:shd w:val="clear" w:color="auto" w:fill="auto"/>
            <w:vAlign w:val="center"/>
          </w:tcPr>
          <w:p w:rsidR="00447855" w:rsidRPr="002B5031" w:rsidRDefault="00447855" w:rsidP="00447855">
            <w:pPr>
              <w:suppressLineNumbers/>
              <w:rPr>
                <w:rFonts w:ascii="Arial" w:hAnsi="Arial"/>
                <w:b/>
                <w:bCs/>
                <w:sz w:val="26"/>
                <w:szCs w:val="26"/>
                <w:rtl/>
              </w:rPr>
            </w:pPr>
            <w:r w:rsidRPr="002B5031">
              <w:rPr>
                <w:rFonts w:ascii="Arial" w:hAnsi="Arial"/>
                <w:b/>
                <w:bCs/>
                <w:sz w:val="26"/>
                <w:szCs w:val="26"/>
                <w:rtl/>
              </w:rPr>
              <w:t>מדינת ישראל</w:t>
            </w:r>
            <w:r w:rsidRPr="002B5031">
              <w:rPr>
                <w:rFonts w:ascii="Arial" w:hAnsi="Arial" w:hint="cs"/>
                <w:b/>
                <w:bCs/>
                <w:sz w:val="26"/>
                <w:szCs w:val="26"/>
                <w:rtl/>
              </w:rPr>
              <w:t xml:space="preserve"> </w:t>
            </w:r>
          </w:p>
          <w:p w:rsidR="00447855" w:rsidRPr="002B5031" w:rsidRDefault="00447855" w:rsidP="00447855">
            <w:pPr>
              <w:suppressLineNumbers/>
              <w:rPr>
                <w:rFonts w:ascii="David" w:hAnsi="David"/>
                <w:sz w:val="26"/>
                <w:szCs w:val="26"/>
              </w:rPr>
            </w:pPr>
          </w:p>
        </w:tc>
      </w:tr>
      <w:bookmarkEnd w:id="1"/>
      <w:tr w:rsidR="00447855" w:rsidRPr="002B5031" w:rsidTr="00447855">
        <w:trPr>
          <w:trHeight w:val="355"/>
          <w:jc w:val="center"/>
        </w:trPr>
        <w:tc>
          <w:tcPr>
            <w:tcW w:w="923" w:type="dxa"/>
            <w:tcBorders>
              <w:top w:val="nil"/>
              <w:left w:val="nil"/>
              <w:bottom w:val="nil"/>
              <w:right w:val="nil"/>
            </w:tcBorders>
            <w:shd w:val="clear" w:color="auto" w:fill="auto"/>
          </w:tcPr>
          <w:p w:rsidR="00447855" w:rsidRPr="002B5031" w:rsidRDefault="00447855" w:rsidP="00447855">
            <w:pPr>
              <w:jc w:val="both"/>
              <w:rPr>
                <w:rFonts w:ascii="David" w:hAnsi="David"/>
                <w:sz w:val="26"/>
                <w:szCs w:val="26"/>
                <w:rtl/>
              </w:rPr>
            </w:pPr>
          </w:p>
        </w:tc>
        <w:tc>
          <w:tcPr>
            <w:tcW w:w="7897" w:type="dxa"/>
            <w:gridSpan w:val="2"/>
            <w:tcBorders>
              <w:top w:val="nil"/>
              <w:left w:val="nil"/>
              <w:bottom w:val="nil"/>
              <w:right w:val="nil"/>
            </w:tcBorders>
            <w:shd w:val="clear" w:color="auto" w:fill="auto"/>
          </w:tcPr>
          <w:p w:rsidR="00447855" w:rsidRPr="002B5031" w:rsidRDefault="00447855" w:rsidP="00447855">
            <w:pPr>
              <w:jc w:val="center"/>
              <w:rPr>
                <w:rFonts w:ascii="David" w:hAnsi="David"/>
                <w:b/>
                <w:bCs/>
                <w:sz w:val="26"/>
                <w:szCs w:val="26"/>
                <w:rtl/>
              </w:rPr>
            </w:pPr>
          </w:p>
          <w:p w:rsidR="00447855" w:rsidRPr="002B5031" w:rsidRDefault="00447855" w:rsidP="00447855">
            <w:pPr>
              <w:jc w:val="center"/>
              <w:rPr>
                <w:rFonts w:ascii="David" w:hAnsi="David"/>
                <w:b/>
                <w:bCs/>
                <w:sz w:val="26"/>
                <w:szCs w:val="26"/>
                <w:rtl/>
              </w:rPr>
            </w:pPr>
            <w:r w:rsidRPr="002B5031">
              <w:rPr>
                <w:rFonts w:ascii="David" w:hAnsi="David"/>
                <w:b/>
                <w:bCs/>
                <w:sz w:val="26"/>
                <w:szCs w:val="26"/>
                <w:rtl/>
              </w:rPr>
              <w:t>נגד</w:t>
            </w:r>
          </w:p>
          <w:p w:rsidR="00447855" w:rsidRPr="002B5031" w:rsidRDefault="00447855" w:rsidP="00447855">
            <w:pPr>
              <w:jc w:val="both"/>
              <w:rPr>
                <w:rFonts w:ascii="David" w:hAnsi="David"/>
                <w:sz w:val="26"/>
                <w:szCs w:val="26"/>
              </w:rPr>
            </w:pPr>
          </w:p>
        </w:tc>
      </w:tr>
      <w:tr w:rsidR="00447855" w:rsidRPr="002B5031" w:rsidTr="00447855">
        <w:trPr>
          <w:trHeight w:val="355"/>
          <w:jc w:val="center"/>
        </w:trPr>
        <w:tc>
          <w:tcPr>
            <w:tcW w:w="923" w:type="dxa"/>
            <w:tcBorders>
              <w:top w:val="nil"/>
              <w:left w:val="nil"/>
              <w:bottom w:val="nil"/>
              <w:right w:val="nil"/>
            </w:tcBorders>
            <w:shd w:val="clear" w:color="auto" w:fill="auto"/>
          </w:tcPr>
          <w:p w:rsidR="00447855" w:rsidRPr="002B5031" w:rsidRDefault="00447855" w:rsidP="00704A13">
            <w:pPr>
              <w:rPr>
                <w:rFonts w:ascii="David" w:hAnsi="David"/>
                <w:sz w:val="26"/>
                <w:szCs w:val="26"/>
                <w:rtl/>
              </w:rPr>
            </w:pPr>
          </w:p>
        </w:tc>
        <w:tc>
          <w:tcPr>
            <w:tcW w:w="3219" w:type="dxa"/>
            <w:tcBorders>
              <w:top w:val="nil"/>
              <w:left w:val="nil"/>
              <w:bottom w:val="nil"/>
              <w:right w:val="nil"/>
            </w:tcBorders>
            <w:shd w:val="clear" w:color="auto" w:fill="auto"/>
          </w:tcPr>
          <w:p w:rsidR="00447855" w:rsidRPr="002B5031" w:rsidRDefault="00447855" w:rsidP="00704A13">
            <w:pPr>
              <w:rPr>
                <w:rFonts w:ascii="Arial" w:hAnsi="Arial"/>
                <w:b/>
                <w:bCs/>
                <w:sz w:val="26"/>
                <w:szCs w:val="26"/>
                <w:rtl/>
              </w:rPr>
            </w:pPr>
            <w:r w:rsidRPr="002B5031">
              <w:rPr>
                <w:rFonts w:ascii="Arial" w:hAnsi="Arial" w:hint="cs"/>
                <w:b/>
                <w:bCs/>
                <w:sz w:val="26"/>
                <w:szCs w:val="26"/>
                <w:rtl/>
              </w:rPr>
              <w:t>הנאשם:</w:t>
            </w:r>
          </w:p>
        </w:tc>
        <w:tc>
          <w:tcPr>
            <w:tcW w:w="4678" w:type="dxa"/>
            <w:tcBorders>
              <w:top w:val="nil"/>
              <w:left w:val="nil"/>
              <w:bottom w:val="nil"/>
              <w:right w:val="nil"/>
            </w:tcBorders>
            <w:shd w:val="clear" w:color="auto" w:fill="auto"/>
            <w:vAlign w:val="center"/>
          </w:tcPr>
          <w:p w:rsidR="00447855" w:rsidRPr="002B5031" w:rsidRDefault="00447855" w:rsidP="00447855">
            <w:pPr>
              <w:suppressLineNumbers/>
              <w:rPr>
                <w:rFonts w:ascii="Arial" w:hAnsi="Arial"/>
                <w:b/>
                <w:bCs/>
                <w:sz w:val="26"/>
                <w:szCs w:val="26"/>
                <w:rtl/>
              </w:rPr>
            </w:pPr>
            <w:r w:rsidRPr="002B5031">
              <w:rPr>
                <w:rFonts w:ascii="Arial" w:hAnsi="Arial"/>
                <w:b/>
                <w:bCs/>
                <w:sz w:val="26"/>
                <w:szCs w:val="26"/>
                <w:rtl/>
              </w:rPr>
              <w:t>ארי וקנין</w:t>
            </w:r>
            <w:r w:rsidRPr="002B5031">
              <w:rPr>
                <w:rFonts w:ascii="Arial" w:hAnsi="Arial" w:hint="cs"/>
                <w:b/>
                <w:bCs/>
                <w:sz w:val="26"/>
                <w:szCs w:val="26"/>
                <w:rtl/>
              </w:rPr>
              <w:t xml:space="preserve"> </w:t>
            </w:r>
          </w:p>
          <w:p w:rsidR="00447855" w:rsidRPr="002B5031" w:rsidRDefault="00447855" w:rsidP="00447855">
            <w:pPr>
              <w:suppressLineNumbers/>
              <w:rPr>
                <w:rFonts w:ascii="David" w:hAnsi="David"/>
                <w:sz w:val="26"/>
                <w:szCs w:val="26"/>
              </w:rPr>
            </w:pPr>
          </w:p>
        </w:tc>
      </w:tr>
    </w:tbl>
    <w:p w:rsidR="00447855" w:rsidRPr="002B5031" w:rsidRDefault="00447855" w:rsidP="00447855">
      <w:pPr>
        <w:rPr>
          <w:sz w:val="26"/>
          <w:szCs w:val="26"/>
          <w:rtl/>
        </w:rPr>
      </w:pPr>
    </w:p>
    <w:p w:rsidR="00447855" w:rsidRPr="002B5031" w:rsidRDefault="00447855" w:rsidP="00447855">
      <w:pPr>
        <w:rPr>
          <w:b/>
          <w:bCs/>
          <w:sz w:val="26"/>
          <w:szCs w:val="26"/>
          <w:rtl/>
        </w:rPr>
      </w:pPr>
      <w:r w:rsidRPr="002B5031">
        <w:rPr>
          <w:rFonts w:hint="cs"/>
          <w:b/>
          <w:bCs/>
          <w:sz w:val="26"/>
          <w:szCs w:val="26"/>
          <w:rtl/>
        </w:rPr>
        <w:t>נוכחים:</w:t>
      </w:r>
    </w:p>
    <w:p w:rsidR="00447855" w:rsidRPr="002B5031" w:rsidRDefault="00447855" w:rsidP="00447855">
      <w:pPr>
        <w:rPr>
          <w:sz w:val="26"/>
          <w:szCs w:val="26"/>
          <w:rtl/>
        </w:rPr>
      </w:pPr>
      <w:bookmarkStart w:id="2" w:name="FirstLawyer"/>
      <w:r w:rsidRPr="002B5031">
        <w:rPr>
          <w:rFonts w:hint="cs"/>
          <w:b/>
          <w:bCs/>
          <w:sz w:val="26"/>
          <w:szCs w:val="26"/>
          <w:rtl/>
        </w:rPr>
        <w:t>ב"כ</w:t>
      </w:r>
      <w:bookmarkEnd w:id="2"/>
      <w:r w:rsidRPr="002B5031">
        <w:rPr>
          <w:rFonts w:hint="cs"/>
          <w:b/>
          <w:bCs/>
          <w:sz w:val="26"/>
          <w:szCs w:val="26"/>
          <w:rtl/>
        </w:rPr>
        <w:t xml:space="preserve"> המאשימה</w:t>
      </w:r>
      <w:r w:rsidRPr="002B5031">
        <w:rPr>
          <w:rFonts w:hint="cs"/>
          <w:sz w:val="26"/>
          <w:szCs w:val="26"/>
          <w:rtl/>
        </w:rPr>
        <w:t>: יעקב יחיא, מתמחה</w:t>
      </w:r>
    </w:p>
    <w:p w:rsidR="00447855" w:rsidRPr="002B5031" w:rsidRDefault="00447855" w:rsidP="00447855">
      <w:pPr>
        <w:rPr>
          <w:sz w:val="26"/>
          <w:szCs w:val="26"/>
          <w:rtl/>
        </w:rPr>
      </w:pPr>
      <w:r w:rsidRPr="002B5031">
        <w:rPr>
          <w:rFonts w:hint="cs"/>
          <w:b/>
          <w:bCs/>
          <w:sz w:val="26"/>
          <w:szCs w:val="26"/>
          <w:rtl/>
        </w:rPr>
        <w:t>ב"כ הנאשם</w:t>
      </w:r>
      <w:r w:rsidRPr="002B5031">
        <w:rPr>
          <w:rFonts w:hint="cs"/>
          <w:sz w:val="26"/>
          <w:szCs w:val="26"/>
          <w:rtl/>
        </w:rPr>
        <w:t>: עו"ד מיכל הלבני</w:t>
      </w:r>
    </w:p>
    <w:p w:rsidR="00447855" w:rsidRPr="002B5031" w:rsidRDefault="00447855" w:rsidP="00447855">
      <w:pPr>
        <w:rPr>
          <w:b/>
          <w:bCs/>
          <w:sz w:val="26"/>
          <w:szCs w:val="26"/>
          <w:rtl/>
        </w:rPr>
      </w:pPr>
      <w:r w:rsidRPr="002B5031">
        <w:rPr>
          <w:rFonts w:hint="cs"/>
          <w:b/>
          <w:bCs/>
          <w:sz w:val="26"/>
          <w:szCs w:val="26"/>
          <w:rtl/>
        </w:rPr>
        <w:t>הנאשם</w:t>
      </w:r>
    </w:p>
    <w:p w:rsidR="00447855" w:rsidRPr="002B5031" w:rsidRDefault="00447855" w:rsidP="00447855">
      <w:pPr>
        <w:rPr>
          <w:sz w:val="26"/>
          <w:szCs w:val="26"/>
          <w:rtl/>
        </w:rPr>
      </w:pPr>
      <w:r w:rsidRPr="002B5031">
        <w:rPr>
          <w:rFonts w:hint="cs"/>
          <w:sz w:val="26"/>
          <w:szCs w:val="26"/>
          <w:rtl/>
        </w:rPr>
        <w:t>מתורגמן לשפה האנגלית, מר עידו ברסקי</w:t>
      </w:r>
    </w:p>
    <w:p w:rsidR="000C2E36" w:rsidRPr="000C2E36" w:rsidRDefault="000C2E36" w:rsidP="000C2E36">
      <w:pPr>
        <w:spacing w:before="120" w:after="120" w:line="240" w:lineRule="exact"/>
        <w:ind w:left="283" w:hanging="283"/>
        <w:jc w:val="both"/>
        <w:rPr>
          <w:rFonts w:ascii="FrankRuehl" w:hAnsi="FrankRuehl" w:cs="FrankRuehl"/>
          <w:rtl/>
        </w:rPr>
      </w:pPr>
      <w:bookmarkStart w:id="3" w:name="LawTable"/>
      <w:bookmarkEnd w:id="3"/>
    </w:p>
    <w:p w:rsidR="000C2E36" w:rsidRPr="000C2E36" w:rsidRDefault="000C2E36" w:rsidP="000C2E36">
      <w:pPr>
        <w:spacing w:before="120" w:after="120" w:line="240" w:lineRule="exact"/>
        <w:ind w:left="283" w:hanging="283"/>
        <w:jc w:val="both"/>
        <w:rPr>
          <w:rFonts w:ascii="FrankRuehl" w:hAnsi="FrankRuehl" w:cs="FrankRuehl"/>
          <w:rtl/>
        </w:rPr>
      </w:pPr>
      <w:r w:rsidRPr="000C2E36">
        <w:rPr>
          <w:rFonts w:ascii="FrankRuehl" w:hAnsi="FrankRuehl" w:cs="FrankRuehl"/>
          <w:rtl/>
        </w:rPr>
        <w:t xml:space="preserve">חקיקה שאוזכרה: </w:t>
      </w:r>
    </w:p>
    <w:p w:rsidR="000C2E36" w:rsidRPr="000C2E36" w:rsidRDefault="000C2E36" w:rsidP="000C2E36">
      <w:pPr>
        <w:spacing w:before="120" w:after="120" w:line="240" w:lineRule="exact"/>
        <w:ind w:left="283" w:hanging="283"/>
        <w:jc w:val="both"/>
        <w:rPr>
          <w:rFonts w:ascii="FrankRuehl" w:hAnsi="FrankRuehl" w:cs="FrankRuehl"/>
          <w:color w:val="0000FF"/>
          <w:rtl/>
        </w:rPr>
      </w:pPr>
      <w:hyperlink r:id="rId7" w:history="1">
        <w:r w:rsidRPr="000C2E36">
          <w:rPr>
            <w:rStyle w:val="Hyperlink"/>
            <w:rFonts w:ascii="FrankRuehl" w:hAnsi="FrankRuehl" w:cs="FrankRuehl"/>
            <w:u w:val="none"/>
            <w:rtl/>
          </w:rPr>
          <w:t>פקודת הסמים המסוכנים [נוסח חדש], תשל"ג-1973</w:t>
        </w:r>
      </w:hyperlink>
      <w:r w:rsidRPr="000C2E36">
        <w:rPr>
          <w:rFonts w:ascii="FrankRuehl" w:hAnsi="FrankRuehl" w:cs="FrankRuehl"/>
          <w:color w:val="0000FF"/>
          <w:rtl/>
        </w:rPr>
        <w:t xml:space="preserve">: סע'  </w:t>
      </w:r>
      <w:hyperlink r:id="rId8" w:history="1">
        <w:r w:rsidRPr="000C2E36">
          <w:rPr>
            <w:rStyle w:val="Hyperlink"/>
            <w:rFonts w:ascii="FrankRuehl" w:hAnsi="FrankRuehl" w:cs="FrankRuehl"/>
            <w:u w:val="none"/>
            <w:rtl/>
          </w:rPr>
          <w:t>ג</w:t>
        </w:r>
      </w:hyperlink>
      <w:r w:rsidRPr="000C2E36">
        <w:rPr>
          <w:rFonts w:ascii="FrankRuehl" w:hAnsi="FrankRuehl" w:cs="FrankRuehl"/>
          <w:color w:val="0000FF"/>
          <w:rtl/>
        </w:rPr>
        <w:t xml:space="preserve">, </w:t>
      </w:r>
      <w:hyperlink r:id="rId9" w:history="1">
        <w:r w:rsidRPr="000C2E36">
          <w:rPr>
            <w:rStyle w:val="Hyperlink"/>
            <w:rFonts w:ascii="FrankRuehl" w:hAnsi="FrankRuehl" w:cs="FrankRuehl"/>
            <w:u w:val="none"/>
          </w:rPr>
          <w:t>13</w:t>
        </w:r>
      </w:hyperlink>
      <w:r w:rsidRPr="000C2E36">
        <w:rPr>
          <w:rFonts w:ascii="FrankRuehl" w:hAnsi="FrankRuehl" w:cs="FrankRuehl"/>
          <w:color w:val="0000FF"/>
          <w:rtl/>
        </w:rPr>
        <w:t xml:space="preserve">, </w:t>
      </w:r>
      <w:hyperlink r:id="rId10" w:history="1">
        <w:r w:rsidRPr="000C2E36">
          <w:rPr>
            <w:rStyle w:val="Hyperlink"/>
            <w:rFonts w:ascii="FrankRuehl" w:hAnsi="FrankRuehl" w:cs="FrankRuehl"/>
            <w:u w:val="none"/>
          </w:rPr>
          <w:t>19</w:t>
        </w:r>
        <w:r w:rsidRPr="000C2E36">
          <w:rPr>
            <w:rStyle w:val="Hyperlink"/>
            <w:rFonts w:ascii="FrankRuehl" w:hAnsi="FrankRuehl" w:cs="FrankRuehl"/>
            <w:u w:val="none"/>
            <w:rtl/>
          </w:rPr>
          <w:t>א</w:t>
        </w:r>
      </w:hyperlink>
      <w:r w:rsidRPr="000C2E36">
        <w:rPr>
          <w:rFonts w:ascii="FrankRuehl" w:hAnsi="FrankRuehl" w:cs="FrankRuehl"/>
          <w:color w:val="0000FF"/>
          <w:rtl/>
        </w:rPr>
        <w:t xml:space="preserve">, </w:t>
      </w:r>
      <w:hyperlink r:id="rId11" w:history="1">
        <w:r w:rsidRPr="000C2E36">
          <w:rPr>
            <w:rStyle w:val="Hyperlink"/>
            <w:rFonts w:ascii="FrankRuehl" w:hAnsi="FrankRuehl" w:cs="FrankRuehl"/>
            <w:u w:val="none"/>
          </w:rPr>
          <w:t>36</w:t>
        </w:r>
        <w:r w:rsidRPr="000C2E36">
          <w:rPr>
            <w:rStyle w:val="Hyperlink"/>
            <w:rFonts w:ascii="FrankRuehl" w:hAnsi="FrankRuehl" w:cs="FrankRuehl"/>
            <w:u w:val="none"/>
            <w:rtl/>
          </w:rPr>
          <w:t>א</w:t>
        </w:r>
      </w:hyperlink>
      <w:r w:rsidRPr="000C2E36">
        <w:rPr>
          <w:rFonts w:ascii="FrankRuehl" w:hAnsi="FrankRuehl" w:cs="FrankRuehl"/>
          <w:color w:val="0000FF"/>
          <w:rtl/>
        </w:rPr>
        <w:t xml:space="preserve">(א), </w:t>
      </w:r>
      <w:hyperlink r:id="rId12" w:history="1">
        <w:r w:rsidRPr="000C2E36">
          <w:rPr>
            <w:rStyle w:val="Hyperlink"/>
            <w:rFonts w:ascii="FrankRuehl" w:hAnsi="FrankRuehl" w:cs="FrankRuehl"/>
            <w:u w:val="none"/>
          </w:rPr>
          <w:t xml:space="preserve">36 </w:t>
        </w:r>
        <w:r w:rsidRPr="000C2E36">
          <w:rPr>
            <w:rStyle w:val="Hyperlink"/>
            <w:rFonts w:ascii="FrankRuehl" w:hAnsi="FrankRuehl" w:cs="FrankRuehl"/>
            <w:u w:val="none"/>
            <w:rtl/>
          </w:rPr>
          <w:t>א</w:t>
        </w:r>
      </w:hyperlink>
      <w:r w:rsidRPr="000C2E36">
        <w:rPr>
          <w:rFonts w:ascii="FrankRuehl" w:hAnsi="FrankRuehl" w:cs="FrankRuehl"/>
          <w:color w:val="0000FF"/>
          <w:rtl/>
        </w:rPr>
        <w:t>(ב)</w:t>
      </w:r>
    </w:p>
    <w:p w:rsidR="000C2E36" w:rsidRPr="000C2E36" w:rsidRDefault="000C2E36" w:rsidP="000C2E36">
      <w:pPr>
        <w:spacing w:before="120" w:after="120" w:line="240" w:lineRule="exact"/>
        <w:ind w:left="283" w:hanging="283"/>
        <w:jc w:val="both"/>
        <w:rPr>
          <w:rFonts w:ascii="FrankRuehl" w:hAnsi="FrankRuehl" w:cs="FrankRuehl"/>
          <w:color w:val="0000FF"/>
          <w:rtl/>
        </w:rPr>
      </w:pPr>
      <w:hyperlink r:id="rId13" w:history="1">
        <w:r w:rsidRPr="000C2E36">
          <w:rPr>
            <w:rStyle w:val="Hyperlink"/>
            <w:rFonts w:ascii="FrankRuehl" w:hAnsi="FrankRuehl" w:cs="FrankRuehl"/>
            <w:u w:val="none"/>
            <w:rtl/>
          </w:rPr>
          <w:t>חוק העונשין, תשל"ז-1977</w:t>
        </w:r>
      </w:hyperlink>
      <w:r w:rsidRPr="000C2E36">
        <w:rPr>
          <w:rFonts w:ascii="FrankRuehl" w:hAnsi="FrankRuehl" w:cs="FrankRuehl"/>
          <w:color w:val="0000FF"/>
          <w:rtl/>
        </w:rPr>
        <w:t xml:space="preserve">: סע'  </w:t>
      </w:r>
      <w:hyperlink r:id="rId14" w:history="1">
        <w:r w:rsidRPr="000C2E36">
          <w:rPr>
            <w:rStyle w:val="Hyperlink"/>
            <w:rFonts w:ascii="FrankRuehl" w:hAnsi="FrankRuehl" w:cs="FrankRuehl"/>
            <w:u w:val="none"/>
          </w:rPr>
          <w:t>40</w:t>
        </w:r>
        <w:r w:rsidRPr="000C2E36">
          <w:rPr>
            <w:rStyle w:val="Hyperlink"/>
            <w:rFonts w:ascii="FrankRuehl" w:hAnsi="FrankRuehl" w:cs="FrankRuehl"/>
            <w:u w:val="none"/>
            <w:rtl/>
          </w:rPr>
          <w:t>יא</w:t>
        </w:r>
      </w:hyperlink>
      <w:r w:rsidRPr="000C2E36">
        <w:rPr>
          <w:rFonts w:ascii="FrankRuehl" w:hAnsi="FrankRuehl" w:cs="FrankRuehl"/>
          <w:color w:val="0000FF"/>
          <w:rtl/>
        </w:rPr>
        <w:t>(9)</w:t>
      </w:r>
    </w:p>
    <w:p w:rsidR="00447855" w:rsidRPr="000C2E36" w:rsidRDefault="00447855" w:rsidP="000C2E36">
      <w:pPr>
        <w:rPr>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47855" w:rsidTr="00447855">
        <w:trPr>
          <w:trHeight w:val="355"/>
          <w:jc w:val="center"/>
        </w:trPr>
        <w:tc>
          <w:tcPr>
            <w:tcW w:w="8820" w:type="dxa"/>
            <w:tcBorders>
              <w:top w:val="nil"/>
              <w:left w:val="nil"/>
              <w:bottom w:val="nil"/>
              <w:right w:val="nil"/>
            </w:tcBorders>
            <w:shd w:val="clear" w:color="auto" w:fill="auto"/>
          </w:tcPr>
          <w:p w:rsidR="002B5031" w:rsidRPr="002B5031" w:rsidRDefault="002B5031" w:rsidP="002B5031">
            <w:pPr>
              <w:jc w:val="center"/>
              <w:rPr>
                <w:rFonts w:ascii="David" w:hAnsi="David"/>
                <w:b/>
                <w:bCs/>
                <w:sz w:val="36"/>
                <w:szCs w:val="36"/>
                <w:u w:val="single"/>
                <w:rtl/>
              </w:rPr>
            </w:pPr>
            <w:bookmarkStart w:id="5" w:name="PsakDin" w:colFirst="0" w:colLast="0"/>
            <w:bookmarkEnd w:id="0"/>
            <w:r w:rsidRPr="002B5031">
              <w:rPr>
                <w:rFonts w:ascii="David" w:hAnsi="David"/>
                <w:b/>
                <w:bCs/>
                <w:sz w:val="36"/>
                <w:szCs w:val="36"/>
                <w:u w:val="single"/>
                <w:rtl/>
              </w:rPr>
              <w:t>גזר דין</w:t>
            </w:r>
          </w:p>
          <w:p w:rsidR="00447855" w:rsidRPr="002B5031" w:rsidRDefault="00447855" w:rsidP="002B5031">
            <w:pPr>
              <w:jc w:val="center"/>
              <w:rPr>
                <w:rFonts w:ascii="David" w:hAnsi="David"/>
                <w:bCs/>
                <w:sz w:val="36"/>
                <w:szCs w:val="36"/>
                <w:u w:val="single"/>
                <w:rtl/>
              </w:rPr>
            </w:pPr>
          </w:p>
        </w:tc>
      </w:tr>
      <w:bookmarkEnd w:id="5"/>
    </w:tbl>
    <w:p w:rsidR="00447855" w:rsidRPr="000F2247" w:rsidRDefault="00447855" w:rsidP="00447855">
      <w:pPr>
        <w:rPr>
          <w:rFonts w:ascii="Arial" w:hAnsi="Arial"/>
          <w:b/>
          <w:bCs/>
          <w:sz w:val="26"/>
          <w:szCs w:val="26"/>
          <w:rtl/>
        </w:rPr>
      </w:pPr>
    </w:p>
    <w:p w:rsidR="00447855" w:rsidRDefault="00447855" w:rsidP="00447855">
      <w:pPr>
        <w:spacing w:line="360" w:lineRule="auto"/>
        <w:rPr>
          <w:rFonts w:ascii="David" w:hAnsi="David"/>
          <w:b/>
          <w:bCs/>
          <w:u w:val="single"/>
          <w:rtl/>
        </w:rPr>
      </w:pPr>
      <w:r>
        <w:rPr>
          <w:rFonts w:ascii="David" w:hAnsi="David"/>
          <w:b/>
          <w:bCs/>
          <w:u w:val="single"/>
          <w:rtl/>
        </w:rPr>
        <w:t>עיקרי הכרעת הדין</w:t>
      </w:r>
    </w:p>
    <w:p w:rsidR="00447855" w:rsidRDefault="00447855" w:rsidP="00447855">
      <w:pPr>
        <w:pStyle w:val="ListParagraph"/>
        <w:numPr>
          <w:ilvl w:val="0"/>
          <w:numId w:val="1"/>
        </w:numPr>
        <w:spacing w:after="0" w:line="360" w:lineRule="auto"/>
        <w:ind w:left="-58" w:firstLine="8"/>
        <w:jc w:val="both"/>
        <w:rPr>
          <w:rFonts w:ascii="David" w:hAnsi="David" w:cs="David"/>
          <w:sz w:val="24"/>
          <w:szCs w:val="24"/>
          <w:rtl/>
        </w:rPr>
      </w:pPr>
      <w:bookmarkStart w:id="6" w:name="ABSTRACT_START"/>
      <w:bookmarkEnd w:id="6"/>
      <w:r>
        <w:rPr>
          <w:rFonts w:ascii="David" w:hAnsi="David" w:cs="David"/>
          <w:sz w:val="24"/>
          <w:szCs w:val="24"/>
          <w:rtl/>
        </w:rPr>
        <w:t xml:space="preserve">הנאשם הורשע לאחר ניהול הוכחות בביצוע העבירות הבאות: באישום הראשון ב-2 עבירות של סחר בסם מסוכן לפי </w:t>
      </w:r>
      <w:hyperlink r:id="rId15" w:history="1">
        <w:r w:rsidR="000C2E36" w:rsidRPr="000C2E36">
          <w:rPr>
            <w:rStyle w:val="Hyperlink"/>
            <w:rFonts w:ascii="David" w:hAnsi="David" w:cs="David"/>
            <w:sz w:val="24"/>
            <w:szCs w:val="24"/>
            <w:rtl/>
          </w:rPr>
          <w:t>סעיף 13</w:t>
        </w:r>
      </w:hyperlink>
      <w:r>
        <w:rPr>
          <w:rFonts w:ascii="David" w:hAnsi="David" w:cs="David"/>
          <w:sz w:val="24"/>
          <w:szCs w:val="24"/>
          <w:rtl/>
        </w:rPr>
        <w:t xml:space="preserve"> + </w:t>
      </w:r>
      <w:hyperlink r:id="rId16" w:history="1">
        <w:r w:rsidR="000C2E36" w:rsidRPr="000C2E36">
          <w:rPr>
            <w:rStyle w:val="Hyperlink"/>
            <w:rFonts w:ascii="David" w:hAnsi="David" w:cs="David"/>
            <w:sz w:val="24"/>
            <w:szCs w:val="24"/>
            <w:rtl/>
          </w:rPr>
          <w:t>19א</w:t>
        </w:r>
      </w:hyperlink>
      <w:r>
        <w:rPr>
          <w:rFonts w:ascii="David" w:hAnsi="David" w:cs="David"/>
          <w:sz w:val="24"/>
          <w:szCs w:val="24"/>
          <w:rtl/>
        </w:rPr>
        <w:t xml:space="preserve"> ל</w:t>
      </w:r>
      <w:hyperlink r:id="rId17" w:history="1">
        <w:r w:rsidR="002B5031" w:rsidRPr="002B5031">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תשל"ג-1973 (להלן: </w:t>
      </w:r>
      <w:r>
        <w:rPr>
          <w:rFonts w:ascii="David" w:hAnsi="David" w:cs="David"/>
          <w:b/>
          <w:bCs/>
          <w:sz w:val="24"/>
          <w:szCs w:val="24"/>
          <w:rtl/>
        </w:rPr>
        <w:t>פקודת הסמים</w:t>
      </w:r>
      <w:r>
        <w:rPr>
          <w:rFonts w:ascii="David" w:hAnsi="David" w:cs="David"/>
          <w:sz w:val="24"/>
          <w:szCs w:val="24"/>
          <w:rtl/>
        </w:rPr>
        <w:t xml:space="preserve">), באישום השני ב-3 עבירות של סחר בסם מסוכן לפי </w:t>
      </w:r>
      <w:hyperlink r:id="rId18" w:history="1">
        <w:r w:rsidR="000C2E36" w:rsidRPr="000C2E36">
          <w:rPr>
            <w:rStyle w:val="Hyperlink"/>
            <w:rFonts w:ascii="David" w:hAnsi="David" w:cs="David"/>
            <w:sz w:val="24"/>
            <w:szCs w:val="24"/>
            <w:rtl/>
          </w:rPr>
          <w:t>סעיף 13</w:t>
        </w:r>
      </w:hyperlink>
      <w:r>
        <w:rPr>
          <w:rFonts w:ascii="David" w:hAnsi="David" w:cs="David"/>
          <w:sz w:val="24"/>
          <w:szCs w:val="24"/>
          <w:rtl/>
        </w:rPr>
        <w:t xml:space="preserve"> + </w:t>
      </w:r>
      <w:hyperlink r:id="rId19" w:history="1">
        <w:r w:rsidR="000C2E36" w:rsidRPr="000C2E36">
          <w:rPr>
            <w:rStyle w:val="Hyperlink"/>
            <w:rFonts w:ascii="David" w:hAnsi="David" w:cs="David"/>
            <w:sz w:val="24"/>
            <w:szCs w:val="24"/>
            <w:rtl/>
          </w:rPr>
          <w:t>19א</w:t>
        </w:r>
      </w:hyperlink>
      <w:r>
        <w:rPr>
          <w:rFonts w:ascii="David" w:hAnsi="David" w:cs="David"/>
          <w:sz w:val="24"/>
          <w:szCs w:val="24"/>
          <w:rtl/>
        </w:rPr>
        <w:t xml:space="preserve"> לפקודת הסמים, באישום השלישי בעבירה של סחר בסם מסוכן לפי </w:t>
      </w:r>
      <w:hyperlink r:id="rId20" w:history="1">
        <w:r w:rsidR="000C2E36" w:rsidRPr="000C2E36">
          <w:rPr>
            <w:rStyle w:val="Hyperlink"/>
            <w:rFonts w:ascii="David" w:hAnsi="David" w:cs="David"/>
            <w:sz w:val="24"/>
            <w:szCs w:val="24"/>
            <w:rtl/>
          </w:rPr>
          <w:t>סעיף 13</w:t>
        </w:r>
      </w:hyperlink>
      <w:r>
        <w:rPr>
          <w:rFonts w:ascii="David" w:hAnsi="David" w:cs="David"/>
          <w:sz w:val="24"/>
          <w:szCs w:val="24"/>
          <w:rtl/>
        </w:rPr>
        <w:t xml:space="preserve"> + </w:t>
      </w:r>
      <w:hyperlink r:id="rId21" w:history="1">
        <w:r w:rsidR="000C2E36" w:rsidRPr="000C2E36">
          <w:rPr>
            <w:rStyle w:val="Hyperlink"/>
            <w:rFonts w:ascii="David" w:hAnsi="David" w:cs="David"/>
            <w:sz w:val="24"/>
            <w:szCs w:val="24"/>
            <w:rtl/>
          </w:rPr>
          <w:t>19א</w:t>
        </w:r>
      </w:hyperlink>
      <w:r>
        <w:rPr>
          <w:rFonts w:ascii="David" w:hAnsi="David" w:cs="David"/>
          <w:sz w:val="24"/>
          <w:szCs w:val="24"/>
          <w:rtl/>
        </w:rPr>
        <w:t xml:space="preserve"> לפקודת הסמים, ובאישום הרביעי בהחזקה/שימוש בסם מסוכן שלא לצריכה עצמית לפי </w:t>
      </w:r>
      <w:hyperlink r:id="rId22" w:history="1">
        <w:r w:rsidR="000C2E36" w:rsidRPr="000C2E36">
          <w:rPr>
            <w:rStyle w:val="Hyperlink"/>
            <w:rFonts w:ascii="David" w:hAnsi="David" w:cs="David"/>
            <w:sz w:val="24"/>
            <w:szCs w:val="24"/>
            <w:rtl/>
          </w:rPr>
          <w:t>סעיף 7(א)</w:t>
        </w:r>
      </w:hyperlink>
      <w:r>
        <w:rPr>
          <w:rFonts w:ascii="David" w:hAnsi="David" w:cs="David"/>
          <w:sz w:val="24"/>
          <w:szCs w:val="24"/>
          <w:rtl/>
        </w:rPr>
        <w:t xml:space="preserve"> + (</w:t>
      </w:r>
      <w:hyperlink r:id="rId23" w:history="1">
        <w:r w:rsidR="000C2E36" w:rsidRPr="000C2E36">
          <w:rPr>
            <w:rStyle w:val="Hyperlink"/>
            <w:rFonts w:ascii="David" w:hAnsi="David" w:cs="David"/>
            <w:sz w:val="24"/>
            <w:szCs w:val="24"/>
            <w:rtl/>
          </w:rPr>
          <w:t>ג</w:t>
        </w:r>
      </w:hyperlink>
      <w:r>
        <w:rPr>
          <w:rFonts w:ascii="David" w:hAnsi="David" w:cs="David"/>
          <w:sz w:val="24"/>
          <w:szCs w:val="24"/>
          <w:rtl/>
        </w:rPr>
        <w:t>) לפקודת הסמים.</w:t>
      </w:r>
    </w:p>
    <w:p w:rsidR="00447855" w:rsidRDefault="00447855" w:rsidP="00447855">
      <w:pPr>
        <w:pStyle w:val="ListParagraph"/>
        <w:spacing w:after="0" w:line="240" w:lineRule="auto"/>
        <w:ind w:left="-50"/>
        <w:jc w:val="both"/>
        <w:rPr>
          <w:rFonts w:ascii="David" w:hAnsi="David" w:cs="David"/>
          <w:sz w:val="20"/>
          <w:szCs w:val="20"/>
        </w:rPr>
      </w:pPr>
      <w:bookmarkStart w:id="7" w:name="ABSTRACT_END"/>
      <w:bookmarkEnd w:id="7"/>
    </w:p>
    <w:p w:rsidR="00447855" w:rsidRDefault="00447855" w:rsidP="00447855">
      <w:pPr>
        <w:pStyle w:val="ListParagraph"/>
        <w:numPr>
          <w:ilvl w:val="0"/>
          <w:numId w:val="1"/>
        </w:numPr>
        <w:spacing w:after="0" w:line="360" w:lineRule="auto"/>
        <w:ind w:left="-58" w:firstLine="8"/>
        <w:jc w:val="both"/>
        <w:rPr>
          <w:rFonts w:ascii="David" w:hAnsi="David" w:cs="David"/>
          <w:sz w:val="20"/>
          <w:szCs w:val="20"/>
        </w:rPr>
      </w:pPr>
      <w:r>
        <w:rPr>
          <w:rFonts w:ascii="David" w:hAnsi="David" w:cs="David"/>
          <w:sz w:val="24"/>
          <w:szCs w:val="24"/>
          <w:rtl/>
        </w:rPr>
        <w:t xml:space="preserve">ביחס </w:t>
      </w:r>
      <w:r>
        <w:rPr>
          <w:rFonts w:ascii="David" w:hAnsi="David" w:cs="David"/>
          <w:b/>
          <w:bCs/>
          <w:sz w:val="24"/>
          <w:szCs w:val="24"/>
          <w:rtl/>
        </w:rPr>
        <w:t>לאישום הראשון</w:t>
      </w:r>
      <w:r>
        <w:rPr>
          <w:rFonts w:ascii="David" w:hAnsi="David" w:cs="David"/>
          <w:sz w:val="24"/>
          <w:szCs w:val="24"/>
          <w:rtl/>
        </w:rPr>
        <w:t xml:space="preserve"> נקבע בהכרעת הדין כי הוכח שביום 13.6.2020 בשעה 23:21 לערך, ברחוב אלנבי 95 בתל-אביב (להלן: </w:t>
      </w:r>
      <w:r>
        <w:rPr>
          <w:rFonts w:ascii="David" w:hAnsi="David" w:cs="David"/>
          <w:b/>
          <w:bCs/>
          <w:sz w:val="24"/>
          <w:szCs w:val="24"/>
          <w:rtl/>
        </w:rPr>
        <w:t>דירת הנאשם</w:t>
      </w:r>
      <w:r>
        <w:rPr>
          <w:rFonts w:ascii="David" w:hAnsi="David" w:cs="David"/>
          <w:sz w:val="24"/>
          <w:szCs w:val="24"/>
          <w:rtl/>
        </w:rPr>
        <w:t xml:space="preserve">), מכר הנאשם לעמית אסייג (להלן: </w:t>
      </w:r>
      <w:r>
        <w:rPr>
          <w:rFonts w:ascii="David" w:hAnsi="David" w:cs="David"/>
          <w:b/>
          <w:bCs/>
          <w:sz w:val="24"/>
          <w:szCs w:val="24"/>
          <w:rtl/>
        </w:rPr>
        <w:t>עמית</w:t>
      </w:r>
      <w:r>
        <w:rPr>
          <w:rFonts w:ascii="David" w:hAnsi="David" w:cs="David"/>
          <w:sz w:val="24"/>
          <w:szCs w:val="24"/>
          <w:rtl/>
        </w:rPr>
        <w:t xml:space="preserve">) קנבוס במשקל של 4.84 גרם נטו בתמורה ל-400 ₪. בנוסף כי כשנה עובר ליום 14.6.2020, במועד שאינו ידוע במדויק, מכר לעמית קנבוס במשקל 3 גרם תמורת 300 ₪. </w:t>
      </w:r>
    </w:p>
    <w:p w:rsidR="00447855" w:rsidRDefault="00447855" w:rsidP="00447855">
      <w:pPr>
        <w:pStyle w:val="ListParagraph"/>
        <w:spacing w:line="240" w:lineRule="auto"/>
        <w:rPr>
          <w:rFonts w:ascii="David" w:hAnsi="David" w:cs="David"/>
          <w:sz w:val="20"/>
          <w:szCs w:val="20"/>
        </w:rPr>
      </w:pPr>
    </w:p>
    <w:p w:rsidR="00447855" w:rsidRDefault="00447855" w:rsidP="00447855">
      <w:pPr>
        <w:pStyle w:val="ListParagraph"/>
        <w:numPr>
          <w:ilvl w:val="0"/>
          <w:numId w:val="1"/>
        </w:numPr>
        <w:spacing w:after="0" w:line="360" w:lineRule="auto"/>
        <w:ind w:left="-58" w:firstLine="8"/>
        <w:jc w:val="both"/>
        <w:rPr>
          <w:rFonts w:ascii="David" w:hAnsi="David" w:cs="David"/>
          <w:sz w:val="20"/>
          <w:szCs w:val="20"/>
          <w:rtl/>
        </w:rPr>
      </w:pPr>
      <w:r>
        <w:rPr>
          <w:rFonts w:ascii="David" w:hAnsi="David" w:cs="David"/>
          <w:sz w:val="24"/>
          <w:szCs w:val="24"/>
          <w:rtl/>
        </w:rPr>
        <w:lastRenderedPageBreak/>
        <w:t xml:space="preserve">לגבי </w:t>
      </w:r>
      <w:r>
        <w:rPr>
          <w:rFonts w:ascii="David" w:hAnsi="David" w:cs="David"/>
          <w:b/>
          <w:bCs/>
          <w:sz w:val="24"/>
          <w:szCs w:val="24"/>
          <w:rtl/>
        </w:rPr>
        <w:t>האישום השני</w:t>
      </w:r>
      <w:r>
        <w:rPr>
          <w:rFonts w:ascii="David" w:hAnsi="David" w:cs="David"/>
          <w:sz w:val="24"/>
          <w:szCs w:val="24"/>
          <w:rtl/>
        </w:rPr>
        <w:t xml:space="preserve"> נקבע כי הוכח שהנאשם סחר בקנבוס מול מור דהן (להלן: </w:t>
      </w:r>
      <w:r>
        <w:rPr>
          <w:rFonts w:ascii="David" w:hAnsi="David" w:cs="David"/>
          <w:b/>
          <w:bCs/>
          <w:sz w:val="24"/>
          <w:szCs w:val="24"/>
          <w:rtl/>
        </w:rPr>
        <w:t>מור</w:t>
      </w:r>
      <w:r>
        <w:rPr>
          <w:rFonts w:ascii="David" w:hAnsi="David" w:cs="David"/>
          <w:sz w:val="24"/>
          <w:szCs w:val="24"/>
          <w:rtl/>
        </w:rPr>
        <w:t xml:space="preserve">) ב-3 הזדמנויות: ביום 17.11.2019 בשעה 13:15 או בסמוך לכך ברחוב קרליבך 4 בתל אביב (להלן: </w:t>
      </w:r>
      <w:r>
        <w:rPr>
          <w:rFonts w:ascii="David" w:hAnsi="David" w:cs="David"/>
          <w:b/>
          <w:bCs/>
          <w:sz w:val="24"/>
          <w:szCs w:val="24"/>
          <w:rtl/>
        </w:rPr>
        <w:t>המקום</w:t>
      </w:r>
      <w:r>
        <w:rPr>
          <w:rFonts w:ascii="David" w:hAnsi="David" w:cs="David"/>
          <w:sz w:val="24"/>
          <w:szCs w:val="24"/>
          <w:rtl/>
        </w:rPr>
        <w:t xml:space="preserve">) במשקל שאינו ידוע בתמורה לסכום כספי שאינו ידוע; ביום 20.1.2020 בשעה 19:30 לערך במקום, במשקל 10 גרם תמורת סכום שאינו ידוע; ביום 7.4.2020 בשעה 15:00 במקום, במשקל שאינו ידוע בתמורה לסכום כספי שאינו ידוע. </w:t>
      </w:r>
    </w:p>
    <w:p w:rsidR="00447855" w:rsidRDefault="00447855" w:rsidP="00447855">
      <w:pPr>
        <w:pStyle w:val="ListParagraph"/>
        <w:spacing w:line="240" w:lineRule="auto"/>
        <w:rPr>
          <w:rFonts w:ascii="David" w:hAnsi="David" w:cs="David"/>
          <w:sz w:val="20"/>
          <w:szCs w:val="20"/>
        </w:rPr>
      </w:pPr>
    </w:p>
    <w:p w:rsidR="00447855" w:rsidRDefault="00447855" w:rsidP="00447855">
      <w:pPr>
        <w:pStyle w:val="ListParagraph"/>
        <w:numPr>
          <w:ilvl w:val="0"/>
          <w:numId w:val="1"/>
        </w:numPr>
        <w:spacing w:after="0" w:line="360" w:lineRule="auto"/>
        <w:ind w:left="-58" w:firstLine="8"/>
        <w:jc w:val="both"/>
        <w:rPr>
          <w:rFonts w:ascii="David" w:hAnsi="David" w:cs="David"/>
          <w:sz w:val="20"/>
          <w:szCs w:val="20"/>
          <w:rtl/>
        </w:rPr>
      </w:pPr>
      <w:r>
        <w:rPr>
          <w:rFonts w:ascii="David" w:hAnsi="David" w:cs="David"/>
          <w:sz w:val="24"/>
          <w:szCs w:val="24"/>
          <w:rtl/>
        </w:rPr>
        <w:t xml:space="preserve">ביחס </w:t>
      </w:r>
      <w:r w:rsidRPr="0086340A">
        <w:rPr>
          <w:rFonts w:ascii="David" w:hAnsi="David" w:cs="David"/>
          <w:b/>
          <w:bCs/>
          <w:sz w:val="24"/>
          <w:szCs w:val="24"/>
          <w:rtl/>
        </w:rPr>
        <w:t>לאישום השלישי</w:t>
      </w:r>
      <w:r>
        <w:rPr>
          <w:rFonts w:ascii="David" w:hAnsi="David" w:cs="David"/>
          <w:sz w:val="24"/>
          <w:szCs w:val="24"/>
          <w:rtl/>
        </w:rPr>
        <w:t xml:space="preserve"> נקבע כי הוכח שביום 26.5.2020 בשעה 14:18 לערך מכר הנאשם לעומר פקין (להלן: </w:t>
      </w:r>
      <w:r>
        <w:rPr>
          <w:rFonts w:ascii="David" w:hAnsi="David" w:cs="David"/>
          <w:b/>
          <w:bCs/>
          <w:sz w:val="24"/>
          <w:szCs w:val="24"/>
          <w:rtl/>
        </w:rPr>
        <w:t>עומר</w:t>
      </w:r>
      <w:r>
        <w:rPr>
          <w:rFonts w:ascii="David" w:hAnsi="David" w:cs="David"/>
          <w:sz w:val="24"/>
          <w:szCs w:val="24"/>
          <w:rtl/>
        </w:rPr>
        <w:t xml:space="preserve">) קנבוס במשקל 5 גרם תמורת 375 ₪. </w:t>
      </w:r>
    </w:p>
    <w:p w:rsidR="00447855" w:rsidRDefault="00447855" w:rsidP="00447855">
      <w:pPr>
        <w:jc w:val="both"/>
        <w:rPr>
          <w:rFonts w:ascii="David" w:hAnsi="David"/>
          <w:sz w:val="20"/>
          <w:szCs w:val="20"/>
        </w:rPr>
      </w:pPr>
    </w:p>
    <w:p w:rsidR="00447855" w:rsidRDefault="00447855" w:rsidP="00447855">
      <w:pPr>
        <w:pStyle w:val="ListParagraph"/>
        <w:numPr>
          <w:ilvl w:val="0"/>
          <w:numId w:val="1"/>
        </w:numPr>
        <w:spacing w:after="0" w:line="360" w:lineRule="auto"/>
        <w:ind w:left="-58" w:firstLine="8"/>
        <w:jc w:val="both"/>
        <w:rPr>
          <w:rFonts w:ascii="David" w:hAnsi="David" w:cs="David"/>
          <w:sz w:val="32"/>
          <w:szCs w:val="32"/>
          <w:rtl/>
        </w:rPr>
      </w:pPr>
      <w:r>
        <w:rPr>
          <w:rFonts w:ascii="David" w:hAnsi="David" w:cs="David"/>
          <w:sz w:val="24"/>
          <w:szCs w:val="24"/>
          <w:rtl/>
        </w:rPr>
        <w:t xml:space="preserve">לגבי </w:t>
      </w:r>
      <w:r>
        <w:rPr>
          <w:rFonts w:ascii="David" w:hAnsi="David" w:cs="David"/>
          <w:b/>
          <w:bCs/>
          <w:sz w:val="24"/>
          <w:szCs w:val="24"/>
          <w:rtl/>
        </w:rPr>
        <w:t>האישום הרביעי</w:t>
      </w:r>
      <w:r>
        <w:rPr>
          <w:rFonts w:ascii="David" w:hAnsi="David" w:cs="David"/>
          <w:sz w:val="24"/>
          <w:szCs w:val="24"/>
          <w:rtl/>
        </w:rPr>
        <w:t xml:space="preserve"> נקבע כי הוכח שביום 13.6.2020 בשעה 23:21 לערך, החזיק הנאשם בדירתו  קנבוס שלא לצריכה עצמית, ללא היתר בפקודה או בתקנות וללא רישיון מאת המנהל כדלקמן: בשקית מתחת לשולחן בסלון קנבוס במשקל 130.66 גרם נטו; בשקית שחורה קנבוס במשקל 4.85 גרם נטו; בשתי שקיות שחורות קנבוס במשקל 19.54 גרם נטו. בנוסף הנאשם החזיק בדירה משקל דיגיטלי ושקיות אריזה.</w:t>
      </w:r>
    </w:p>
    <w:p w:rsidR="00447855" w:rsidRDefault="00447855" w:rsidP="00447855">
      <w:pPr>
        <w:pStyle w:val="ListParagraph"/>
        <w:spacing w:after="0" w:line="240" w:lineRule="auto"/>
        <w:rPr>
          <w:rFonts w:ascii="David" w:hAnsi="David" w:cs="David"/>
          <w:sz w:val="20"/>
          <w:szCs w:val="20"/>
        </w:rPr>
      </w:pPr>
    </w:p>
    <w:p w:rsidR="00447855" w:rsidRDefault="00447855" w:rsidP="00447855">
      <w:pPr>
        <w:pStyle w:val="ListParagraph"/>
        <w:numPr>
          <w:ilvl w:val="0"/>
          <w:numId w:val="1"/>
        </w:numPr>
        <w:spacing w:after="0" w:line="360" w:lineRule="auto"/>
        <w:ind w:left="-58" w:firstLine="8"/>
        <w:jc w:val="both"/>
        <w:rPr>
          <w:rFonts w:ascii="David" w:hAnsi="David" w:cs="David"/>
          <w:sz w:val="24"/>
          <w:szCs w:val="24"/>
          <w:rtl/>
        </w:rPr>
      </w:pPr>
      <w:r>
        <w:rPr>
          <w:rFonts w:ascii="David" w:hAnsi="David" w:cs="David"/>
          <w:sz w:val="24"/>
          <w:szCs w:val="24"/>
          <w:rtl/>
        </w:rPr>
        <w:t xml:space="preserve">בהכרעת הדין זוכה הנאשם מביצוע 3 עבירות סחר בקנבוס בקשר למור. זאת לאחר פסילת הראיות הבאות: חלק מאמרותיו של מור בהודעתו </w:t>
      </w:r>
      <w:r>
        <w:rPr>
          <w:rFonts w:ascii="David" w:hAnsi="David" w:cs="David"/>
          <w:b/>
          <w:bCs/>
          <w:sz w:val="24"/>
          <w:szCs w:val="24"/>
          <w:rtl/>
        </w:rPr>
        <w:t>ת/16</w:t>
      </w:r>
      <w:r>
        <w:rPr>
          <w:rFonts w:ascii="David" w:hAnsi="David" w:cs="David"/>
          <w:sz w:val="24"/>
          <w:szCs w:val="24"/>
          <w:rtl/>
        </w:rPr>
        <w:t xml:space="preserve"> (משורה 45 ועד שורה 73 ל</w:t>
      </w:r>
      <w:r>
        <w:rPr>
          <w:rFonts w:ascii="David" w:hAnsi="David" w:cs="David"/>
          <w:b/>
          <w:bCs/>
          <w:sz w:val="24"/>
          <w:szCs w:val="24"/>
          <w:rtl/>
        </w:rPr>
        <w:t>ת/16</w:t>
      </w:r>
      <w:r>
        <w:rPr>
          <w:rFonts w:ascii="David" w:hAnsi="David" w:cs="David"/>
          <w:sz w:val="24"/>
          <w:szCs w:val="24"/>
          <w:rtl/>
        </w:rPr>
        <w:t>), צילום פרטי הנאשם ממכשיר הטלפון של מור (</w:t>
      </w:r>
      <w:r>
        <w:rPr>
          <w:rFonts w:ascii="David" w:hAnsi="David" w:cs="David"/>
          <w:b/>
          <w:bCs/>
          <w:sz w:val="24"/>
          <w:szCs w:val="24"/>
          <w:rtl/>
        </w:rPr>
        <w:t>ת/12</w:t>
      </w:r>
      <w:r>
        <w:rPr>
          <w:rFonts w:ascii="David" w:hAnsi="David" w:cs="David"/>
          <w:sz w:val="24"/>
          <w:szCs w:val="24"/>
          <w:rtl/>
        </w:rPr>
        <w:t>) ופלט התכתבויות אשר הופקו בחיפוש בלתי חוקי במכשיר הטלפון הנייד שלו. נקבע בהכרעת הדין שהחוקרת לא הבהירה למור כנדרש את זכותו לסרב לחיפוש ולא היה בידה צו חיפוש (</w:t>
      </w:r>
      <w:r>
        <w:rPr>
          <w:rFonts w:ascii="David" w:hAnsi="David" w:cs="David"/>
          <w:b/>
          <w:bCs/>
          <w:sz w:val="24"/>
          <w:szCs w:val="24"/>
          <w:rtl/>
        </w:rPr>
        <w:t>ת/15</w:t>
      </w:r>
      <w:r>
        <w:rPr>
          <w:rFonts w:ascii="David" w:hAnsi="David" w:cs="David"/>
          <w:sz w:val="24"/>
          <w:szCs w:val="24"/>
          <w:rtl/>
        </w:rPr>
        <w:t>). הנאשם אף זוכה מחמת הספק מביצוע עבירת סחר בקנבוס בקשר לעומר, תוך שנקבע שאין בראיות אינדיקציה להשלמת העסקה הנטענת מיום 29.11.2019.</w:t>
      </w:r>
    </w:p>
    <w:p w:rsidR="00447855" w:rsidRDefault="00447855" w:rsidP="00447855">
      <w:pPr>
        <w:jc w:val="both"/>
        <w:rPr>
          <w:rFonts w:ascii="David" w:hAnsi="David"/>
          <w:sz w:val="20"/>
          <w:szCs w:val="20"/>
        </w:rPr>
      </w:pPr>
    </w:p>
    <w:p w:rsidR="00447855" w:rsidRDefault="00447855" w:rsidP="00447855">
      <w:pPr>
        <w:pStyle w:val="ListParagraph"/>
        <w:numPr>
          <w:ilvl w:val="0"/>
          <w:numId w:val="1"/>
        </w:numPr>
        <w:spacing w:after="0" w:line="360" w:lineRule="auto"/>
        <w:ind w:left="-58" w:firstLine="8"/>
        <w:jc w:val="both"/>
        <w:rPr>
          <w:rFonts w:ascii="David" w:hAnsi="David" w:cs="David"/>
          <w:sz w:val="24"/>
          <w:szCs w:val="24"/>
          <w:rtl/>
        </w:rPr>
      </w:pPr>
      <w:r>
        <w:rPr>
          <w:rFonts w:ascii="David" w:hAnsi="David" w:cs="David"/>
          <w:sz w:val="24"/>
          <w:szCs w:val="24"/>
          <w:rtl/>
        </w:rPr>
        <w:t>בהכרעת הדין נקבע כי נפלו פגמים נוספים מסוימים בחקירה</w:t>
      </w:r>
      <w:r>
        <w:rPr>
          <w:rFonts w:ascii="David" w:hAnsi="David" w:cs="David" w:hint="cs"/>
          <w:sz w:val="24"/>
          <w:szCs w:val="24"/>
          <w:rtl/>
        </w:rPr>
        <w:t xml:space="preserve">. במסגרת זו אף נפסלה הודאת הנאשם בשטח (מושא האישום הראשון) משלא הוזהר כנדרש טרם תשאולו </w:t>
      </w:r>
      <w:r>
        <w:rPr>
          <w:rFonts w:ascii="David" w:hAnsi="David" w:cs="David"/>
          <w:sz w:val="24"/>
          <w:szCs w:val="24"/>
          <w:rtl/>
        </w:rPr>
        <w:t>–</w:t>
      </w:r>
      <w:r>
        <w:rPr>
          <w:rFonts w:ascii="David" w:hAnsi="David" w:cs="David" w:hint="cs"/>
          <w:sz w:val="24"/>
          <w:szCs w:val="24"/>
          <w:rtl/>
        </w:rPr>
        <w:t xml:space="preserve"> הגם שפסילת ההודאה לא הביא לזיכוי מפרטי האישום כמנומק בהכרעת הדין. עוד נקבע כי נפלו פגמים נוספים בחקירה אשר לא </w:t>
      </w:r>
      <w:r>
        <w:rPr>
          <w:rFonts w:ascii="David" w:hAnsi="David" w:cs="David"/>
          <w:sz w:val="24"/>
          <w:szCs w:val="24"/>
          <w:rtl/>
        </w:rPr>
        <w:t>הביאו לפסילת ראיות או לביטול כתב האישום מטעמי הגנה מן הצדק</w:t>
      </w:r>
      <w:r>
        <w:rPr>
          <w:rFonts w:ascii="David" w:hAnsi="David" w:cs="David" w:hint="cs"/>
          <w:sz w:val="24"/>
          <w:szCs w:val="24"/>
          <w:rtl/>
        </w:rPr>
        <w:t xml:space="preserve"> (אף לא תוך התייחסות לכלל הפגמים בחקירה כמכלול)</w:t>
      </w:r>
      <w:r>
        <w:rPr>
          <w:rFonts w:ascii="David" w:hAnsi="David" w:cs="David"/>
          <w:sz w:val="24"/>
          <w:szCs w:val="24"/>
          <w:rtl/>
        </w:rPr>
        <w:t xml:space="preserve">. כך נקבע שנפל כשל בנוגע לאופן עיכובם של הנאשם ועמית משהשוטרים בשטח לא הודיעו להם על העיכוב וסיבתו. בנוסף נקבע כי החיפוש במכשיר הטלפון של הנאשם בוצע על ידי מי שאינו חוקר מחשב מיומן בניגוד לצו החיפוש שניתן על ידי בית המשפט.   </w:t>
      </w:r>
    </w:p>
    <w:p w:rsidR="00447855" w:rsidRDefault="00447855" w:rsidP="00447855">
      <w:pPr>
        <w:ind w:left="-58"/>
        <w:jc w:val="both"/>
        <w:rPr>
          <w:rFonts w:ascii="David" w:hAnsi="David"/>
          <w:sz w:val="20"/>
          <w:szCs w:val="20"/>
        </w:rPr>
      </w:pPr>
    </w:p>
    <w:p w:rsidR="00447855" w:rsidRDefault="00447855" w:rsidP="00447855">
      <w:pPr>
        <w:pStyle w:val="ListParagraph"/>
        <w:spacing w:after="0" w:line="360" w:lineRule="auto"/>
        <w:ind w:left="-50"/>
        <w:jc w:val="both"/>
        <w:rPr>
          <w:rFonts w:ascii="David" w:hAnsi="David" w:cs="David"/>
          <w:b/>
          <w:bCs/>
          <w:sz w:val="24"/>
          <w:szCs w:val="24"/>
          <w:u w:val="single"/>
          <w:rtl/>
        </w:rPr>
      </w:pPr>
      <w:r>
        <w:rPr>
          <w:rFonts w:ascii="David" w:hAnsi="David" w:cs="David"/>
          <w:b/>
          <w:bCs/>
          <w:sz w:val="24"/>
          <w:szCs w:val="24"/>
          <w:u w:val="single"/>
          <w:rtl/>
        </w:rPr>
        <w:t>עיקרי תסקירי שירות המבחן</w:t>
      </w:r>
    </w:p>
    <w:p w:rsidR="00447855" w:rsidRDefault="00447855" w:rsidP="00447855">
      <w:pPr>
        <w:pStyle w:val="ListParagraph"/>
        <w:numPr>
          <w:ilvl w:val="0"/>
          <w:numId w:val="1"/>
        </w:numPr>
        <w:spacing w:after="0" w:line="360" w:lineRule="auto"/>
        <w:ind w:left="-58" w:firstLine="8"/>
        <w:jc w:val="both"/>
        <w:rPr>
          <w:rFonts w:ascii="David" w:hAnsi="David" w:cs="David"/>
          <w:sz w:val="20"/>
          <w:szCs w:val="20"/>
        </w:rPr>
      </w:pPr>
      <w:r>
        <w:rPr>
          <w:rFonts w:ascii="David" w:hAnsi="David" w:cs="David"/>
          <w:b/>
          <w:bCs/>
          <w:sz w:val="24"/>
          <w:szCs w:val="24"/>
          <w:rtl/>
        </w:rPr>
        <w:t>בתסקיר הראשון</w:t>
      </w:r>
      <w:r>
        <w:rPr>
          <w:rFonts w:ascii="David" w:hAnsi="David" w:cs="David"/>
          <w:sz w:val="24"/>
          <w:szCs w:val="24"/>
          <w:rtl/>
        </w:rPr>
        <w:t xml:space="preserve"> פורטו נסיבות חייו ומאפייניו של הנאשם, אשר עלה לארץ בגפו בשנת 2006, מתגורר בארץ ללא גורמי תמיכה ונעדר עבר פלילי, ללא תיקי מב"ד. פורט כי הנאשם חווה קושי בהתאקלמות בארץ, וכי מתמודד עם קשיים כלכליים וחובות. בנוסף, כי התמודד במהלך חייו עם הפרעות קשב וריכוז ותחושות דיכאון, ובשנת 1999, בעקבות תאונה שעבר התמכר למשככי כאבים אותם צרך קרוב לשני עשורים. לדבריו, החל חודש נובמבר 2021 עד מאי 2022 החל לצרוך תחליף סם. בנוסף, הנאשם השתמש בקנבוס מגיל צעיר בתדירות יומיומית. במסגרת הליך המעצר </w:t>
      </w:r>
      <w:r>
        <w:rPr>
          <w:rFonts w:ascii="David" w:hAnsi="David" w:cs="David"/>
          <w:sz w:val="24"/>
          <w:szCs w:val="24"/>
          <w:rtl/>
        </w:rPr>
        <w:lastRenderedPageBreak/>
        <w:t>בוצע ניסיון לשלב את הנאשם במרכז יום בבית חוסן, אך ניסיון זה לא צלח בשל קשיי שפה. הנאשם אף סירב להשתלב בקהילה טיפולית. הרושם שהתקבל אז הוא שהנאשם מביע מוטיבציה חיצונית בלבד להשתלב בהליך גמילה. על-פי התסקיר, במועד עריכתו חזר הנאשם לטיפול במרפאת "צור אביב" ומסר כי הפסיק את השימוש בקנבוס, מבין את השלכותיו ומעוניין לערוך שינוי בחייו. מעדכון שהתקבל ממרפאת "צור אביב" עלה כי ביום 5.6.2023 ביקש הנאשם להשתלב בשנית, לאחר שניסיונותיו להתמודד בכוחות עצמו לא צלחו.</w:t>
      </w:r>
    </w:p>
    <w:p w:rsidR="00447855" w:rsidRDefault="00447855" w:rsidP="00447855">
      <w:pPr>
        <w:pStyle w:val="ListParagraph"/>
        <w:spacing w:after="0" w:line="240" w:lineRule="auto"/>
        <w:ind w:left="-50"/>
        <w:jc w:val="both"/>
        <w:rPr>
          <w:rFonts w:ascii="David" w:hAnsi="David" w:cs="David"/>
          <w:sz w:val="20"/>
          <w:szCs w:val="20"/>
        </w:rPr>
      </w:pPr>
    </w:p>
    <w:p w:rsidR="00447855" w:rsidRDefault="00447855" w:rsidP="00447855">
      <w:pPr>
        <w:pStyle w:val="ListParagraph"/>
        <w:numPr>
          <w:ilvl w:val="0"/>
          <w:numId w:val="1"/>
        </w:numPr>
        <w:spacing w:after="0" w:line="360" w:lineRule="auto"/>
        <w:ind w:left="-58" w:firstLine="8"/>
        <w:jc w:val="both"/>
        <w:rPr>
          <w:rFonts w:ascii="David" w:hAnsi="David" w:cs="David"/>
          <w:sz w:val="20"/>
          <w:szCs w:val="20"/>
          <w:rtl/>
        </w:rPr>
      </w:pPr>
      <w:r>
        <w:rPr>
          <w:rFonts w:ascii="David" w:hAnsi="David" w:cs="David"/>
          <w:sz w:val="24"/>
          <w:szCs w:val="24"/>
          <w:rtl/>
        </w:rPr>
        <w:t>הנאשם פירט כי בתקופת ביצוע העבירות נטל משככי כאבים ופעל מצורך הישרדותי. לדבריו, מעצרו היווה עבורו גבול חיצוני להפסקת ה"סחרור" בו היה מצוי. עוד מסר כי לא הבין את חומרת מעשיו, כשסבר כי הוא עושה טובות לחבריו, והציג עמדות מקלות ביחס לשימוש בקנבוס. שירות המבחן התרשם כי ההליך המשפטי והמעצר מהווים עבור הנאשם גורם מרתיע, אם כי הוא אמביוולנטי ביחס לדרכי הטיפול בהתמכרותו ובהתמודדותו עם קשייו.</w:t>
      </w:r>
    </w:p>
    <w:p w:rsidR="00447855" w:rsidRDefault="00447855" w:rsidP="00447855">
      <w:pPr>
        <w:pStyle w:val="ListParagraph"/>
        <w:spacing w:after="0" w:line="240" w:lineRule="auto"/>
        <w:ind w:left="-50"/>
        <w:jc w:val="both"/>
        <w:rPr>
          <w:rFonts w:ascii="David" w:hAnsi="David" w:cs="David"/>
          <w:sz w:val="20"/>
          <w:szCs w:val="20"/>
        </w:rPr>
      </w:pPr>
    </w:p>
    <w:p w:rsidR="00447855" w:rsidRDefault="00447855" w:rsidP="00447855">
      <w:pPr>
        <w:pStyle w:val="ListParagraph"/>
        <w:numPr>
          <w:ilvl w:val="0"/>
          <w:numId w:val="1"/>
        </w:numPr>
        <w:spacing w:after="0" w:line="360" w:lineRule="auto"/>
        <w:ind w:left="-58" w:firstLine="8"/>
        <w:jc w:val="both"/>
        <w:rPr>
          <w:rFonts w:ascii="David" w:hAnsi="David" w:cs="David"/>
          <w:sz w:val="20"/>
          <w:szCs w:val="20"/>
        </w:rPr>
      </w:pPr>
      <w:r>
        <w:rPr>
          <w:rFonts w:ascii="David" w:hAnsi="David" w:cs="David"/>
          <w:sz w:val="24"/>
          <w:szCs w:val="24"/>
          <w:rtl/>
        </w:rPr>
        <w:t xml:space="preserve">מעדכון שהתקבל </w:t>
      </w:r>
      <w:r>
        <w:rPr>
          <w:rFonts w:ascii="David" w:hAnsi="David" w:cs="David" w:hint="cs"/>
          <w:sz w:val="24"/>
          <w:szCs w:val="24"/>
          <w:rtl/>
        </w:rPr>
        <w:t>מ</w:t>
      </w:r>
      <w:r>
        <w:rPr>
          <w:rFonts w:ascii="David" w:hAnsi="David" w:cs="David"/>
          <w:sz w:val="24"/>
          <w:szCs w:val="24"/>
          <w:rtl/>
        </w:rPr>
        <w:t>מרפאת "צור אביב" עלה כי ביום 5.6.2023 מסר הנאשם בדיקה שהעידה על שימוש בקנבוס וביקש להשתלב שנית בטיפול, לאחר שניסיונותיו להתמודד בכוחות עצמו לא צלחו. דווח כי הנאשם משתף פעולה לרוב ומגיע לשיחות הפרטניות. עוד פורט כי הנאשם מצוי במעקב רפואי ומוסר בדיקות שתן לאיתור שרידי סם אחת לשבועיים. כגורמי סיכון צוינו</w:t>
      </w:r>
      <w:r w:rsidR="002B5031">
        <w:rPr>
          <w:rFonts w:ascii="David" w:hAnsi="David" w:cs="David"/>
          <w:sz w:val="24"/>
          <w:szCs w:val="24"/>
          <w:rtl/>
        </w:rPr>
        <w:t xml:space="preserve"> </w:t>
      </w:r>
      <w:r>
        <w:rPr>
          <w:rFonts w:ascii="David" w:hAnsi="David" w:cs="David"/>
          <w:sz w:val="24"/>
          <w:szCs w:val="24"/>
          <w:rtl/>
        </w:rPr>
        <w:t>מעורבותו בעבירות, התמכרותו, וקשייו ליתן אמון וליצור קשרים מיטיבים גם עם גורמי הטיפול. כמו כן קשיי הסתגלותו בארץ, קושי לייצר שגרה ויציבות, קשייו הכלכליים וקושי בוויסות דחפיו. כגורמי סיכוי לשיקום צוין כי על אף קשייו הנאשם נעדר עבר פלילי. כן צוינו השינויים שמבקש הנאשם לערוך בחייו, חזרתו לטיפול במרפאת "צור אביב", השתלבותו בעבודה וקביעת תור לטיפול בתחום בריאות הנפש. נוכח המפורט, המליץ שירות המבחן על דחיית הדיון לצורך מעקב אחר התקדמותו של הנאשם.</w:t>
      </w:r>
    </w:p>
    <w:p w:rsidR="00447855" w:rsidRDefault="00447855" w:rsidP="00447855">
      <w:pPr>
        <w:jc w:val="both"/>
        <w:rPr>
          <w:rFonts w:ascii="David" w:hAnsi="David"/>
          <w:sz w:val="20"/>
          <w:szCs w:val="20"/>
        </w:rPr>
      </w:pPr>
    </w:p>
    <w:p w:rsidR="00447855" w:rsidRDefault="00447855" w:rsidP="00447855">
      <w:pPr>
        <w:pStyle w:val="ListParagraph"/>
        <w:numPr>
          <w:ilvl w:val="0"/>
          <w:numId w:val="1"/>
        </w:numPr>
        <w:spacing w:after="0" w:line="360" w:lineRule="auto"/>
        <w:ind w:left="-58" w:firstLine="8"/>
        <w:jc w:val="both"/>
        <w:rPr>
          <w:rFonts w:ascii="David" w:hAnsi="David" w:cs="David"/>
          <w:sz w:val="20"/>
          <w:szCs w:val="20"/>
          <w:rtl/>
        </w:rPr>
      </w:pPr>
      <w:r>
        <w:rPr>
          <w:rFonts w:ascii="David" w:hAnsi="David" w:cs="David"/>
          <w:b/>
          <w:bCs/>
          <w:sz w:val="24"/>
          <w:szCs w:val="24"/>
          <w:rtl/>
        </w:rPr>
        <w:t xml:space="preserve">בתסקיר המשלים </w:t>
      </w:r>
      <w:r>
        <w:rPr>
          <w:rFonts w:ascii="David" w:hAnsi="David" w:cs="David"/>
          <w:sz w:val="24"/>
          <w:szCs w:val="24"/>
          <w:rtl/>
        </w:rPr>
        <w:t>צוין כי הנאשם עבר דירה, המשיך להיות מועסק במסגרת תעסוקתית, משלם את חובותיו, והתארס לאישה המתגוררת בארצות הברית</w:t>
      </w:r>
      <w:r>
        <w:rPr>
          <w:rFonts w:ascii="David" w:hAnsi="David" w:cs="David" w:hint="cs"/>
          <w:sz w:val="24"/>
          <w:szCs w:val="24"/>
          <w:rtl/>
        </w:rPr>
        <w:t xml:space="preserve">. </w:t>
      </w:r>
      <w:r>
        <w:rPr>
          <w:rFonts w:ascii="David" w:hAnsi="David" w:cs="David"/>
          <w:sz w:val="24"/>
          <w:szCs w:val="24"/>
          <w:rtl/>
        </w:rPr>
        <w:t>עוד צוין כי הנאשם מצליח להימנע משימוש בחומרים ממכרים, מגיע לטיפולים במרפאת "צור אביב", נוטל תחליף סם ומספק בדיקות שתן נקיות משרידי סם. פורט כי מאז תחילת חודש ספטמבר 2023 הנאשם לא זומן לבדיקות שתן משהמרפאה עברה לכתובת אחרת שאינה מאפשרת פגישות פרטניות נוכח המצב הביטחוני, אך מטופל בתחליף סם. מדברי המטפלת עולה כי הנאשם מעוניין לערוך שינוי בחייו ולחזור להתגורר בארה"ב. בכל הנוגע לטיפול בתחום בריאות הנפש פורט כי הנאשם הופנה למרכז לבריאות הנפש אך משאין ברצונו ליטול תרופות פסיכיאטריות ומבקש להמשיך לצרוך תחליף סם, מסר כי אינו מעוניין.</w:t>
      </w:r>
    </w:p>
    <w:p w:rsidR="00447855" w:rsidRPr="00831A4B" w:rsidRDefault="00447855" w:rsidP="00447855">
      <w:pPr>
        <w:rPr>
          <w:rFonts w:ascii="David" w:hAnsi="David"/>
          <w:sz w:val="20"/>
          <w:szCs w:val="20"/>
        </w:rPr>
      </w:pPr>
    </w:p>
    <w:p w:rsidR="00447855" w:rsidRDefault="00447855" w:rsidP="00447855">
      <w:pPr>
        <w:pStyle w:val="ListParagraph"/>
        <w:numPr>
          <w:ilvl w:val="0"/>
          <w:numId w:val="1"/>
        </w:numPr>
        <w:spacing w:after="0" w:line="360" w:lineRule="auto"/>
        <w:ind w:left="-58" w:firstLine="8"/>
        <w:jc w:val="both"/>
        <w:rPr>
          <w:rFonts w:ascii="David" w:hAnsi="David" w:cs="David"/>
          <w:sz w:val="24"/>
          <w:szCs w:val="24"/>
          <w:rtl/>
        </w:rPr>
      </w:pPr>
      <w:r>
        <w:rPr>
          <w:rFonts w:ascii="David" w:hAnsi="David" w:cs="David"/>
          <w:sz w:val="24"/>
          <w:szCs w:val="24"/>
          <w:rtl/>
        </w:rPr>
        <w:t>שירות המבחן התרשם כי הנאשם משקיע</w:t>
      </w:r>
      <w:r>
        <w:rPr>
          <w:rFonts w:ascii="David" w:hAnsi="David" w:cs="David"/>
          <w:sz w:val="24"/>
          <w:szCs w:val="24"/>
        </w:rPr>
        <w:t xml:space="preserve"> </w:t>
      </w:r>
      <w:r>
        <w:rPr>
          <w:rFonts w:ascii="David" w:hAnsi="David" w:cs="David"/>
          <w:sz w:val="24"/>
          <w:szCs w:val="24"/>
          <w:rtl/>
        </w:rPr>
        <w:t>מאמצים</w:t>
      </w:r>
      <w:r>
        <w:rPr>
          <w:rFonts w:ascii="David" w:hAnsi="David" w:cs="David"/>
          <w:sz w:val="24"/>
          <w:szCs w:val="24"/>
        </w:rPr>
        <w:t xml:space="preserve"> </w:t>
      </w:r>
      <w:r>
        <w:rPr>
          <w:rFonts w:ascii="David" w:hAnsi="David" w:cs="David"/>
          <w:sz w:val="24"/>
          <w:szCs w:val="24"/>
          <w:rtl/>
        </w:rPr>
        <w:t>לשמירה</w:t>
      </w:r>
      <w:r>
        <w:rPr>
          <w:rFonts w:ascii="David" w:hAnsi="David" w:cs="David"/>
          <w:sz w:val="24"/>
          <w:szCs w:val="24"/>
        </w:rPr>
        <w:t xml:space="preserve"> </w:t>
      </w:r>
      <w:r>
        <w:rPr>
          <w:rFonts w:ascii="David" w:hAnsi="David" w:cs="David"/>
          <w:sz w:val="24"/>
          <w:szCs w:val="24"/>
          <w:rtl/>
        </w:rPr>
        <w:t>על</w:t>
      </w:r>
      <w:r>
        <w:rPr>
          <w:rFonts w:ascii="David" w:hAnsi="David" w:cs="David"/>
          <w:sz w:val="24"/>
          <w:szCs w:val="24"/>
        </w:rPr>
        <w:t xml:space="preserve"> </w:t>
      </w:r>
      <w:r>
        <w:rPr>
          <w:rFonts w:ascii="David" w:hAnsi="David" w:cs="David"/>
          <w:sz w:val="24"/>
          <w:szCs w:val="24"/>
          <w:rtl/>
        </w:rPr>
        <w:t>אורח</w:t>
      </w:r>
      <w:r>
        <w:rPr>
          <w:rFonts w:ascii="David" w:hAnsi="David" w:cs="David"/>
          <w:sz w:val="24"/>
          <w:szCs w:val="24"/>
        </w:rPr>
        <w:t xml:space="preserve"> </w:t>
      </w:r>
      <w:r>
        <w:rPr>
          <w:rFonts w:ascii="David" w:hAnsi="David" w:cs="David"/>
          <w:sz w:val="24"/>
          <w:szCs w:val="24"/>
          <w:rtl/>
        </w:rPr>
        <w:t>חיים</w:t>
      </w:r>
      <w:r>
        <w:rPr>
          <w:rFonts w:ascii="David" w:hAnsi="David" w:cs="David"/>
          <w:sz w:val="24"/>
          <w:szCs w:val="24"/>
        </w:rPr>
        <w:t xml:space="preserve"> </w:t>
      </w:r>
      <w:r>
        <w:rPr>
          <w:rFonts w:ascii="David" w:hAnsi="David" w:cs="David"/>
          <w:sz w:val="24"/>
          <w:szCs w:val="24"/>
          <w:rtl/>
        </w:rPr>
        <w:t>נקי, עובד</w:t>
      </w:r>
      <w:r>
        <w:rPr>
          <w:rFonts w:ascii="David" w:hAnsi="David" w:cs="David"/>
          <w:sz w:val="24"/>
          <w:szCs w:val="24"/>
        </w:rPr>
        <w:t xml:space="preserve"> </w:t>
      </w:r>
      <w:r>
        <w:rPr>
          <w:rFonts w:ascii="David" w:hAnsi="David" w:cs="David"/>
          <w:sz w:val="24"/>
          <w:szCs w:val="24"/>
          <w:rtl/>
        </w:rPr>
        <w:t>בסופי</w:t>
      </w:r>
      <w:r>
        <w:rPr>
          <w:rFonts w:ascii="David" w:hAnsi="David" w:cs="David"/>
          <w:sz w:val="24"/>
          <w:szCs w:val="24"/>
        </w:rPr>
        <w:t xml:space="preserve"> </w:t>
      </w:r>
      <w:r>
        <w:rPr>
          <w:rFonts w:ascii="David" w:hAnsi="David" w:cs="David"/>
          <w:sz w:val="24"/>
          <w:szCs w:val="24"/>
          <w:rtl/>
        </w:rPr>
        <w:t>שבוע, אך במהלך</w:t>
      </w:r>
      <w:r>
        <w:rPr>
          <w:rFonts w:ascii="David" w:hAnsi="David" w:cs="David"/>
          <w:sz w:val="24"/>
          <w:szCs w:val="24"/>
        </w:rPr>
        <w:t xml:space="preserve"> </w:t>
      </w:r>
      <w:r>
        <w:rPr>
          <w:rFonts w:ascii="David" w:hAnsi="David" w:cs="David"/>
          <w:sz w:val="24"/>
          <w:szCs w:val="24"/>
          <w:rtl/>
        </w:rPr>
        <w:t>השבוע לא בהיר האופי התעסקותי משעיקר עיסוקו של הנאשם הוא כעצמאי. המלצת שירות המבחן היא להשית על הנאשם צו</w:t>
      </w:r>
      <w:r>
        <w:rPr>
          <w:rFonts w:ascii="David" w:hAnsi="David" w:cs="David"/>
          <w:sz w:val="24"/>
          <w:szCs w:val="24"/>
        </w:rPr>
        <w:t xml:space="preserve"> </w:t>
      </w:r>
      <w:r>
        <w:rPr>
          <w:rFonts w:ascii="David" w:hAnsi="David" w:cs="David"/>
          <w:sz w:val="24"/>
          <w:szCs w:val="24"/>
          <w:rtl/>
        </w:rPr>
        <w:t>של"צ</w:t>
      </w:r>
      <w:r>
        <w:rPr>
          <w:rFonts w:ascii="David" w:hAnsi="David" w:cs="David"/>
          <w:sz w:val="24"/>
          <w:szCs w:val="24"/>
        </w:rPr>
        <w:t xml:space="preserve"> </w:t>
      </w:r>
      <w:r>
        <w:rPr>
          <w:rFonts w:ascii="David" w:hAnsi="David" w:cs="David"/>
          <w:sz w:val="24"/>
          <w:szCs w:val="24"/>
          <w:rtl/>
        </w:rPr>
        <w:t>העשוי להוות</w:t>
      </w:r>
      <w:r>
        <w:rPr>
          <w:rFonts w:ascii="David" w:hAnsi="David" w:cs="David"/>
          <w:sz w:val="24"/>
          <w:szCs w:val="24"/>
        </w:rPr>
        <w:t xml:space="preserve"> </w:t>
      </w:r>
      <w:r>
        <w:rPr>
          <w:rFonts w:ascii="David" w:hAnsi="David" w:cs="David"/>
          <w:sz w:val="24"/>
          <w:szCs w:val="24"/>
          <w:rtl/>
        </w:rPr>
        <w:t>ענישה</w:t>
      </w:r>
      <w:r>
        <w:rPr>
          <w:rFonts w:ascii="David" w:hAnsi="David" w:cs="David"/>
          <w:sz w:val="24"/>
          <w:szCs w:val="24"/>
        </w:rPr>
        <w:t xml:space="preserve"> </w:t>
      </w:r>
      <w:r>
        <w:rPr>
          <w:rFonts w:ascii="David" w:hAnsi="David" w:cs="David"/>
          <w:sz w:val="24"/>
          <w:szCs w:val="24"/>
          <w:rtl/>
        </w:rPr>
        <w:t>שיקומית</w:t>
      </w:r>
      <w:r>
        <w:rPr>
          <w:rFonts w:ascii="David" w:hAnsi="David" w:cs="David"/>
          <w:sz w:val="24"/>
          <w:szCs w:val="24"/>
        </w:rPr>
        <w:t xml:space="preserve"> </w:t>
      </w:r>
      <w:r>
        <w:rPr>
          <w:rFonts w:ascii="David" w:hAnsi="David" w:cs="David"/>
          <w:sz w:val="24"/>
          <w:szCs w:val="24"/>
          <w:rtl/>
        </w:rPr>
        <w:t>ואפיק</w:t>
      </w:r>
      <w:r>
        <w:rPr>
          <w:rFonts w:ascii="David" w:hAnsi="David" w:cs="David"/>
          <w:sz w:val="24"/>
          <w:szCs w:val="24"/>
        </w:rPr>
        <w:t xml:space="preserve"> </w:t>
      </w:r>
      <w:r>
        <w:rPr>
          <w:rFonts w:ascii="David" w:hAnsi="David" w:cs="David"/>
          <w:sz w:val="24"/>
          <w:szCs w:val="24"/>
          <w:rtl/>
        </w:rPr>
        <w:t>לכפרה</w:t>
      </w:r>
      <w:r>
        <w:rPr>
          <w:rFonts w:ascii="David" w:hAnsi="David" w:cs="David"/>
          <w:sz w:val="24"/>
          <w:szCs w:val="24"/>
        </w:rPr>
        <w:t xml:space="preserve"> </w:t>
      </w:r>
      <w:r>
        <w:rPr>
          <w:rFonts w:ascii="David" w:hAnsi="David" w:cs="David"/>
          <w:sz w:val="24"/>
          <w:szCs w:val="24"/>
          <w:rtl/>
        </w:rPr>
        <w:t>ולתרומה</w:t>
      </w:r>
      <w:r>
        <w:rPr>
          <w:rFonts w:ascii="David" w:hAnsi="David" w:cs="David"/>
          <w:sz w:val="24"/>
          <w:szCs w:val="24"/>
        </w:rPr>
        <w:t xml:space="preserve"> </w:t>
      </w:r>
      <w:r>
        <w:rPr>
          <w:rFonts w:ascii="David" w:hAnsi="David" w:cs="David"/>
          <w:sz w:val="24"/>
          <w:szCs w:val="24"/>
          <w:rtl/>
        </w:rPr>
        <w:t>לזולת. שירות המבחן לא המליץ על הטלת צו מבחן לאור כוונת הנאשם לעבור להתגורר בארה"ב.</w:t>
      </w:r>
    </w:p>
    <w:p w:rsidR="00447855" w:rsidRDefault="00447855" w:rsidP="00447855">
      <w:pPr>
        <w:pStyle w:val="ListParagraph"/>
        <w:spacing w:after="0" w:line="240" w:lineRule="auto"/>
        <w:ind w:left="-50"/>
        <w:jc w:val="both"/>
        <w:rPr>
          <w:rFonts w:ascii="David" w:hAnsi="David" w:cs="David"/>
          <w:sz w:val="20"/>
          <w:szCs w:val="20"/>
        </w:rPr>
      </w:pPr>
    </w:p>
    <w:p w:rsidR="00447855" w:rsidRDefault="00447855" w:rsidP="00447855">
      <w:pPr>
        <w:pStyle w:val="ListParagraph"/>
        <w:spacing w:after="0" w:line="360" w:lineRule="auto"/>
        <w:ind w:left="-50"/>
        <w:jc w:val="both"/>
        <w:rPr>
          <w:rFonts w:ascii="David" w:hAnsi="David" w:cs="David"/>
          <w:b/>
          <w:bCs/>
          <w:sz w:val="24"/>
          <w:szCs w:val="24"/>
          <w:u w:val="single"/>
          <w:rtl/>
        </w:rPr>
      </w:pPr>
      <w:r>
        <w:rPr>
          <w:rFonts w:ascii="David" w:hAnsi="David" w:cs="David"/>
          <w:b/>
          <w:bCs/>
          <w:sz w:val="24"/>
          <w:szCs w:val="24"/>
          <w:u w:val="single"/>
          <w:rtl/>
        </w:rPr>
        <w:t xml:space="preserve">תמצית טיעוני הצדדים </w:t>
      </w:r>
    </w:p>
    <w:p w:rsidR="00447855" w:rsidRDefault="00447855" w:rsidP="00447855">
      <w:pPr>
        <w:pStyle w:val="ListParagraph"/>
        <w:numPr>
          <w:ilvl w:val="0"/>
          <w:numId w:val="1"/>
        </w:numPr>
        <w:spacing w:after="0" w:line="360" w:lineRule="auto"/>
        <w:ind w:left="-58" w:firstLine="8"/>
        <w:jc w:val="both"/>
        <w:rPr>
          <w:rFonts w:ascii="David" w:hAnsi="David" w:cs="David"/>
          <w:sz w:val="24"/>
          <w:szCs w:val="24"/>
        </w:rPr>
      </w:pPr>
      <w:r>
        <w:rPr>
          <w:rFonts w:ascii="David" w:hAnsi="David" w:cs="David"/>
          <w:sz w:val="24"/>
          <w:szCs w:val="24"/>
          <w:rtl/>
        </w:rPr>
        <w:t xml:space="preserve">טיעונים לעונש נשמעו בשני מועדים, לפני ואחרי קבלת התסקיר המשלים. </w:t>
      </w:r>
    </w:p>
    <w:p w:rsidR="00447855" w:rsidRPr="00A31761" w:rsidRDefault="00447855" w:rsidP="00447855">
      <w:pPr>
        <w:pStyle w:val="ListParagraph"/>
        <w:spacing w:after="0" w:line="240" w:lineRule="auto"/>
        <w:ind w:left="-50"/>
        <w:jc w:val="both"/>
        <w:rPr>
          <w:rFonts w:ascii="David" w:hAnsi="David" w:cs="David"/>
          <w:sz w:val="20"/>
          <w:szCs w:val="20"/>
        </w:rPr>
      </w:pPr>
    </w:p>
    <w:p w:rsidR="00447855" w:rsidRDefault="00447855" w:rsidP="00447855">
      <w:pPr>
        <w:pStyle w:val="ListParagraph"/>
        <w:numPr>
          <w:ilvl w:val="0"/>
          <w:numId w:val="1"/>
        </w:numPr>
        <w:spacing w:after="0" w:line="360" w:lineRule="auto"/>
        <w:ind w:left="-58" w:firstLine="8"/>
        <w:jc w:val="both"/>
        <w:rPr>
          <w:rFonts w:ascii="David" w:hAnsi="David" w:cs="David"/>
          <w:sz w:val="24"/>
          <w:szCs w:val="24"/>
        </w:rPr>
      </w:pPr>
      <w:r>
        <w:rPr>
          <w:rFonts w:ascii="David" w:hAnsi="David" w:cs="David"/>
          <w:sz w:val="24"/>
          <w:szCs w:val="24"/>
          <w:rtl/>
        </w:rPr>
        <w:t xml:space="preserve">בטיעוניו, הפנה </w:t>
      </w:r>
      <w:r>
        <w:rPr>
          <w:rFonts w:ascii="David" w:hAnsi="David" w:cs="David"/>
          <w:b/>
          <w:bCs/>
          <w:sz w:val="24"/>
          <w:szCs w:val="24"/>
          <w:rtl/>
        </w:rPr>
        <w:t>ב"כ המאשימה</w:t>
      </w:r>
      <w:r>
        <w:rPr>
          <w:rFonts w:ascii="David" w:hAnsi="David" w:cs="David"/>
          <w:sz w:val="24"/>
          <w:szCs w:val="24"/>
          <w:rtl/>
        </w:rPr>
        <w:t xml:space="preserve"> לנסיבות ביצוע העבירות ולערכים המוגנים שנפגעו מביצוען וטען לפגיעה חמורה בהם ממעשי הנאשם. בהקשר זה הפנה למהות העבירות, כמות עסקאות הסחר שביצע הנאשם, ולחלוף הזמן בין עסקה לעסקה. עתירתו היא לקביעת מתחם ענישה הנע בין 4 ו-12 חודשי מאסר בגין כל עסקת סחר ומתחם זהה לעבירת החזקת הקנבוס שלא לצריכה עצמית, </w:t>
      </w:r>
      <w:r>
        <w:rPr>
          <w:rFonts w:ascii="David" w:hAnsi="David" w:cs="David" w:hint="cs"/>
          <w:sz w:val="24"/>
          <w:szCs w:val="24"/>
          <w:rtl/>
        </w:rPr>
        <w:t>תוך ש</w:t>
      </w:r>
      <w:r>
        <w:rPr>
          <w:rFonts w:ascii="David" w:hAnsi="David" w:cs="David"/>
          <w:sz w:val="24"/>
          <w:szCs w:val="24"/>
          <w:rtl/>
        </w:rPr>
        <w:t xml:space="preserve">הפנה לפסיקה. </w:t>
      </w:r>
    </w:p>
    <w:p w:rsidR="00447855" w:rsidRDefault="00447855" w:rsidP="00447855">
      <w:pPr>
        <w:pStyle w:val="ListParagraph"/>
        <w:spacing w:after="0" w:line="240" w:lineRule="auto"/>
        <w:ind w:left="-50"/>
        <w:jc w:val="both"/>
        <w:rPr>
          <w:rFonts w:ascii="David" w:hAnsi="David" w:cs="David"/>
          <w:sz w:val="20"/>
          <w:szCs w:val="20"/>
        </w:rPr>
      </w:pPr>
    </w:p>
    <w:p w:rsidR="00447855" w:rsidRDefault="00447855" w:rsidP="00447855">
      <w:pPr>
        <w:pStyle w:val="ListParagraph"/>
        <w:numPr>
          <w:ilvl w:val="0"/>
          <w:numId w:val="1"/>
        </w:numPr>
        <w:spacing w:after="0" w:line="360" w:lineRule="auto"/>
        <w:ind w:left="-58" w:firstLine="8"/>
        <w:jc w:val="both"/>
        <w:rPr>
          <w:rFonts w:ascii="David" w:hAnsi="David" w:cs="David"/>
          <w:sz w:val="24"/>
          <w:szCs w:val="24"/>
        </w:rPr>
      </w:pPr>
      <w:r>
        <w:rPr>
          <w:rFonts w:ascii="David" w:hAnsi="David" w:cs="David"/>
          <w:sz w:val="24"/>
          <w:szCs w:val="24"/>
          <w:rtl/>
        </w:rPr>
        <w:t>ביחס לעונש הקונקרטי הפנה לכך שהנאשם ללא עבר פלילי ולא נפתחו תיקים נוספים בעניינו. ב"כ המאשימה ציין כי כמפורט בתסקיר המשלים מאז ספטמבר 2023 לא ערך הנאשם בדיקת שתן. לטענתו, התסקיר המשלים אינו כזה המשנה את התמונה העונשית, וגם אם עשה הנאשם מאמצים לשמירה על אורח חיים נקי אין בכך לבטל את חומרת מעשיו. עתירתו היא כי יושת על הנאשם עונש שלא יפחת מ-18 חודשי מאסר בפועל לצד מאסר על תנאי, קנס, התחייבות להימנע מביצוע עבירות, ופסילת רישיון נהיגה. כמו כן ביקש כי הנאשם יוכרז כסוחר סמים ויחולט הרכוש המפורט בכתב האישום.</w:t>
      </w:r>
    </w:p>
    <w:p w:rsidR="00447855" w:rsidRDefault="00447855" w:rsidP="00447855">
      <w:pPr>
        <w:pStyle w:val="ListParagraph"/>
        <w:spacing w:after="0" w:line="240" w:lineRule="auto"/>
        <w:rPr>
          <w:rFonts w:ascii="David" w:hAnsi="David" w:cs="David"/>
          <w:sz w:val="20"/>
          <w:szCs w:val="20"/>
        </w:rPr>
      </w:pPr>
    </w:p>
    <w:p w:rsidR="00447855" w:rsidRDefault="00447855" w:rsidP="00447855">
      <w:pPr>
        <w:pStyle w:val="ListParagraph"/>
        <w:numPr>
          <w:ilvl w:val="0"/>
          <w:numId w:val="1"/>
        </w:numPr>
        <w:spacing w:after="0" w:line="360" w:lineRule="auto"/>
        <w:ind w:left="-58" w:firstLine="8"/>
        <w:jc w:val="both"/>
        <w:rPr>
          <w:rFonts w:ascii="David" w:hAnsi="David" w:cs="David"/>
          <w:sz w:val="24"/>
          <w:szCs w:val="24"/>
          <w:rtl/>
        </w:rPr>
      </w:pPr>
      <w:r>
        <w:rPr>
          <w:rFonts w:ascii="David" w:hAnsi="David" w:cs="David"/>
          <w:b/>
          <w:bCs/>
          <w:sz w:val="24"/>
          <w:szCs w:val="24"/>
          <w:rtl/>
        </w:rPr>
        <w:t>ב"כ הנאשם</w:t>
      </w:r>
      <w:r>
        <w:rPr>
          <w:rFonts w:ascii="David" w:hAnsi="David" w:cs="David"/>
          <w:sz w:val="24"/>
          <w:szCs w:val="24"/>
          <w:rtl/>
        </w:rPr>
        <w:t xml:space="preserve"> טענה כי בנסיבות המקרה יש לקבוע קיומו של אירוע אחד בגין כלל העבירות. בנוסף, חלקה על עמדת המאשימה הן ביחס למתחמי הענישה, הן ביחס לעונש הקונקרטי והציגה פסיקה. לטענתה, נסיבות ביצוע העבירות אינן מעידות על רף חומרה גבוה, תוך שטענה שהנאשם מכר קנבוס למכריו, לאור קושי כלכלי וצורך לממן התמכרותו. לדבריה, כמויות הקנבוס בשתי</w:t>
      </w:r>
      <w:r>
        <w:rPr>
          <w:rFonts w:ascii="David" w:hAnsi="David" w:cs="David" w:hint="cs"/>
          <w:sz w:val="24"/>
          <w:szCs w:val="24"/>
          <w:rtl/>
        </w:rPr>
        <w:t>ים מבין</w:t>
      </w:r>
      <w:r>
        <w:rPr>
          <w:rFonts w:ascii="David" w:hAnsi="David" w:cs="David"/>
          <w:sz w:val="24"/>
          <w:szCs w:val="24"/>
          <w:rtl/>
        </w:rPr>
        <w:t xml:space="preserve"> </w:t>
      </w:r>
      <w:r>
        <w:rPr>
          <w:rFonts w:ascii="David" w:hAnsi="David" w:cs="David" w:hint="cs"/>
          <w:sz w:val="24"/>
          <w:szCs w:val="24"/>
          <w:rtl/>
        </w:rPr>
        <w:t>ה</w:t>
      </w:r>
      <w:r>
        <w:rPr>
          <w:rFonts w:ascii="David" w:hAnsi="David" w:cs="David"/>
          <w:sz w:val="24"/>
          <w:szCs w:val="24"/>
          <w:rtl/>
        </w:rPr>
        <w:t xml:space="preserve">עסקאות בהן הורשע הנאשם הן מזעריות, ובחלק מהעסקאות הסחר לא ידועה הכמות והתמורה. בנסיבות אלה אף טענה שאין להכריז על הנאשם </w:t>
      </w:r>
      <w:r>
        <w:rPr>
          <w:rFonts w:ascii="David" w:hAnsi="David" w:cs="David" w:hint="cs"/>
          <w:sz w:val="24"/>
          <w:szCs w:val="24"/>
          <w:rtl/>
        </w:rPr>
        <w:t>כ</w:t>
      </w:r>
      <w:r>
        <w:rPr>
          <w:rFonts w:ascii="David" w:hAnsi="David" w:cs="David"/>
          <w:sz w:val="24"/>
          <w:szCs w:val="24"/>
          <w:rtl/>
        </w:rPr>
        <w:t>"סוחר סמים".</w:t>
      </w:r>
    </w:p>
    <w:p w:rsidR="00447855" w:rsidRDefault="00447855" w:rsidP="00447855">
      <w:pPr>
        <w:pStyle w:val="ListParagraph"/>
        <w:spacing w:line="240" w:lineRule="auto"/>
        <w:rPr>
          <w:rFonts w:ascii="David" w:hAnsi="David" w:cs="David"/>
          <w:sz w:val="20"/>
          <w:szCs w:val="20"/>
        </w:rPr>
      </w:pPr>
    </w:p>
    <w:p w:rsidR="00447855" w:rsidRDefault="00447855" w:rsidP="00447855">
      <w:pPr>
        <w:pStyle w:val="ListParagraph"/>
        <w:numPr>
          <w:ilvl w:val="0"/>
          <w:numId w:val="1"/>
        </w:numPr>
        <w:spacing w:after="0" w:line="360" w:lineRule="auto"/>
        <w:ind w:left="-58" w:firstLine="8"/>
        <w:jc w:val="both"/>
        <w:rPr>
          <w:rFonts w:ascii="David" w:hAnsi="David" w:cs="David"/>
          <w:sz w:val="24"/>
          <w:szCs w:val="24"/>
          <w:rtl/>
        </w:rPr>
      </w:pPr>
      <w:r>
        <w:rPr>
          <w:rFonts w:ascii="David" w:hAnsi="David" w:cs="David"/>
          <w:sz w:val="24"/>
          <w:szCs w:val="24"/>
          <w:rtl/>
        </w:rPr>
        <w:t xml:space="preserve">בנוסף, </w:t>
      </w:r>
      <w:r>
        <w:rPr>
          <w:rFonts w:ascii="David" w:hAnsi="David" w:cs="David" w:hint="cs"/>
          <w:sz w:val="24"/>
          <w:szCs w:val="24"/>
          <w:rtl/>
        </w:rPr>
        <w:t>טענה</w:t>
      </w:r>
      <w:r>
        <w:rPr>
          <w:rFonts w:ascii="David" w:hAnsi="David" w:cs="David"/>
          <w:sz w:val="24"/>
          <w:szCs w:val="24"/>
          <w:rtl/>
        </w:rPr>
        <w:t xml:space="preserve"> הסנגורית והדגישה כשלים שנפלו בחקירה, </w:t>
      </w:r>
      <w:r>
        <w:rPr>
          <w:rFonts w:ascii="David" w:hAnsi="David" w:cs="David" w:hint="cs"/>
          <w:sz w:val="24"/>
          <w:szCs w:val="24"/>
          <w:rtl/>
        </w:rPr>
        <w:t>אשר לטענתה</w:t>
      </w:r>
      <w:r>
        <w:rPr>
          <w:rFonts w:ascii="David" w:hAnsi="David" w:cs="David"/>
          <w:sz w:val="24"/>
          <w:szCs w:val="24"/>
          <w:rtl/>
        </w:rPr>
        <w:t xml:space="preserve"> הובילו לפגיעה בזכותו של הנאשם להליך הוגן. עוד ציינה כי חלק מכשלי החקירה הביאו לפסילת ראיות ולזיכוי הנאשם ממספר עסקאות סחר אשר יוחסו לו. לטענתה, באופן רגיל נכון היה לקבוע מתחם ענישה כולל שתחתיתו לכל היותר 3 חודשי מאסר לריצוי בעבודות שירות, א</w:t>
      </w:r>
      <w:r>
        <w:rPr>
          <w:rFonts w:ascii="David" w:hAnsi="David" w:cs="David" w:hint="cs"/>
          <w:sz w:val="24"/>
          <w:szCs w:val="24"/>
          <w:rtl/>
        </w:rPr>
        <w:t>ך</w:t>
      </w:r>
      <w:r>
        <w:rPr>
          <w:rFonts w:ascii="David" w:hAnsi="David" w:cs="David"/>
          <w:sz w:val="24"/>
          <w:szCs w:val="24"/>
          <w:rtl/>
        </w:rPr>
        <w:t xml:space="preserve"> נוכח צבר הפגמים ומהותם והפגיעה בזכות הנאשם להליך הוגן, על תחתית מתחם הענישה לעמוד על מאסר על תנאי בלבד. לטענת הסנגורית, לכשלי חקירה ופגיעה בזכויות משמעות והשפעה במקרים מתאימים על קביעת מתחם הענישה</w:t>
      </w:r>
      <w:r>
        <w:rPr>
          <w:rFonts w:ascii="David" w:hAnsi="David" w:cs="David" w:hint="cs"/>
          <w:sz w:val="24"/>
          <w:szCs w:val="24"/>
          <w:rtl/>
        </w:rPr>
        <w:t xml:space="preserve">, </w:t>
      </w:r>
      <w:r>
        <w:rPr>
          <w:rFonts w:ascii="David" w:hAnsi="David" w:cs="David"/>
          <w:sz w:val="24"/>
          <w:szCs w:val="24"/>
          <w:rtl/>
        </w:rPr>
        <w:t>תוך שהפנתה ל</w:t>
      </w:r>
      <w:hyperlink r:id="rId24" w:history="1">
        <w:r w:rsidR="002B5031" w:rsidRPr="002B5031">
          <w:rPr>
            <w:rFonts w:ascii="David" w:hAnsi="David" w:cs="David"/>
            <w:color w:val="0000FF"/>
            <w:sz w:val="24"/>
            <w:szCs w:val="24"/>
            <w:u w:val="single"/>
            <w:rtl/>
          </w:rPr>
          <w:t>ת"פ 50359-08-19</w:t>
        </w:r>
      </w:hyperlink>
      <w:r>
        <w:rPr>
          <w:rFonts w:ascii="David" w:hAnsi="David" w:cs="David"/>
          <w:sz w:val="24"/>
          <w:szCs w:val="24"/>
          <w:rtl/>
        </w:rPr>
        <w:t xml:space="preserve"> </w:t>
      </w:r>
      <w:r>
        <w:rPr>
          <w:rFonts w:ascii="David" w:hAnsi="David" w:cs="David"/>
          <w:b/>
          <w:bCs/>
          <w:sz w:val="24"/>
          <w:szCs w:val="24"/>
          <w:rtl/>
        </w:rPr>
        <w:t>מדינת ישראל נ' אבו קינץ</w:t>
      </w:r>
      <w:r>
        <w:rPr>
          <w:rFonts w:ascii="David" w:hAnsi="David" w:cs="David"/>
          <w:sz w:val="24"/>
          <w:szCs w:val="24"/>
          <w:rtl/>
        </w:rPr>
        <w:t xml:space="preserve"> (13.3.2022) (להלן: </w:t>
      </w:r>
      <w:r>
        <w:rPr>
          <w:rFonts w:ascii="David" w:hAnsi="David" w:cs="David"/>
          <w:b/>
          <w:bCs/>
          <w:sz w:val="24"/>
          <w:szCs w:val="24"/>
          <w:rtl/>
        </w:rPr>
        <w:t>עניין אבו קינץ</w:t>
      </w:r>
      <w:r>
        <w:rPr>
          <w:rFonts w:ascii="David" w:hAnsi="David" w:cs="David"/>
          <w:sz w:val="24"/>
          <w:szCs w:val="24"/>
          <w:rtl/>
        </w:rPr>
        <w:t>) ול</w:t>
      </w:r>
      <w:hyperlink r:id="rId25" w:history="1">
        <w:r w:rsidR="002B5031" w:rsidRPr="002B5031">
          <w:rPr>
            <w:rFonts w:ascii="David" w:hAnsi="David" w:cs="David"/>
            <w:color w:val="0000FF"/>
            <w:sz w:val="24"/>
            <w:szCs w:val="24"/>
            <w:u w:val="single"/>
            <w:rtl/>
          </w:rPr>
          <w:t>ת"פ 13776-12-16</w:t>
        </w:r>
      </w:hyperlink>
      <w:r>
        <w:rPr>
          <w:rFonts w:ascii="David" w:hAnsi="David" w:cs="David"/>
          <w:sz w:val="24"/>
          <w:szCs w:val="24"/>
          <w:rtl/>
        </w:rPr>
        <w:t xml:space="preserve"> </w:t>
      </w:r>
      <w:r>
        <w:rPr>
          <w:rFonts w:ascii="David" w:hAnsi="David" w:cs="David"/>
          <w:b/>
          <w:bCs/>
          <w:sz w:val="24"/>
          <w:szCs w:val="24"/>
          <w:rtl/>
        </w:rPr>
        <w:t>מדינת ישראל נ' וסרמן ואח'</w:t>
      </w:r>
      <w:r>
        <w:rPr>
          <w:rFonts w:ascii="David" w:hAnsi="David" w:cs="David"/>
          <w:sz w:val="24"/>
          <w:szCs w:val="24"/>
          <w:rtl/>
        </w:rPr>
        <w:t xml:space="preserve"> (21.4.2021) (להלן: </w:t>
      </w:r>
      <w:r>
        <w:rPr>
          <w:rFonts w:ascii="David" w:hAnsi="David" w:cs="David"/>
          <w:b/>
          <w:bCs/>
          <w:sz w:val="24"/>
          <w:szCs w:val="24"/>
          <w:rtl/>
        </w:rPr>
        <w:t>עניין וסרמן</w:t>
      </w:r>
      <w:r>
        <w:rPr>
          <w:rFonts w:ascii="David" w:hAnsi="David" w:cs="David"/>
          <w:sz w:val="24"/>
          <w:szCs w:val="24"/>
          <w:rtl/>
        </w:rPr>
        <w:t>)</w:t>
      </w:r>
      <w:r>
        <w:rPr>
          <w:rFonts w:ascii="David" w:hAnsi="David" w:cs="David" w:hint="cs"/>
          <w:sz w:val="24"/>
          <w:szCs w:val="24"/>
          <w:rtl/>
        </w:rPr>
        <w:t>.</w:t>
      </w:r>
      <w:r>
        <w:rPr>
          <w:rFonts w:ascii="David" w:hAnsi="David" w:cs="David"/>
          <w:sz w:val="24"/>
          <w:szCs w:val="24"/>
          <w:rtl/>
        </w:rPr>
        <w:t xml:space="preserve"> </w:t>
      </w:r>
      <w:r>
        <w:rPr>
          <w:rFonts w:ascii="David" w:hAnsi="David" w:cs="David"/>
          <w:sz w:val="20"/>
          <w:szCs w:val="20"/>
          <w:rtl/>
        </w:rPr>
        <w:t xml:space="preserve"> </w:t>
      </w:r>
      <w:r>
        <w:rPr>
          <w:rFonts w:ascii="David" w:hAnsi="David" w:cs="David"/>
          <w:sz w:val="24"/>
          <w:szCs w:val="24"/>
          <w:rtl/>
        </w:rPr>
        <w:t>במאמר מוסגר יצוין כי הסנגורית ביקשה לתת משקל לכשלים שונים להם טענה כמפורט בטיעוניה לעונש, אך הכשלים שנפלו הם אלה המפורטים בהכרעת הדין ויפורטו שוב בהמשך גזר הדין, והם בלבד.</w:t>
      </w:r>
    </w:p>
    <w:p w:rsidR="00447855" w:rsidRPr="00831A4B" w:rsidRDefault="00447855" w:rsidP="00447855">
      <w:pPr>
        <w:jc w:val="both"/>
        <w:rPr>
          <w:rFonts w:ascii="David" w:hAnsi="David"/>
          <w:sz w:val="20"/>
          <w:szCs w:val="20"/>
        </w:rPr>
      </w:pPr>
    </w:p>
    <w:p w:rsidR="00447855" w:rsidRDefault="00447855" w:rsidP="00447855">
      <w:pPr>
        <w:pStyle w:val="ListParagraph"/>
        <w:numPr>
          <w:ilvl w:val="0"/>
          <w:numId w:val="1"/>
        </w:numPr>
        <w:spacing w:after="0" w:line="360" w:lineRule="auto"/>
        <w:ind w:left="-58" w:firstLine="8"/>
        <w:jc w:val="both"/>
        <w:rPr>
          <w:rFonts w:ascii="David" w:hAnsi="David" w:cs="David"/>
          <w:sz w:val="20"/>
          <w:szCs w:val="20"/>
          <w:rtl/>
        </w:rPr>
      </w:pPr>
      <w:r>
        <w:rPr>
          <w:rFonts w:ascii="David" w:hAnsi="David" w:cs="David"/>
          <w:sz w:val="24"/>
          <w:szCs w:val="24"/>
          <w:rtl/>
        </w:rPr>
        <w:t>ב"כ הנאשם אף עתרה לחריגה ממתחם העונש ההולם משיקולי שיקום. בהקשר זה טענה שהנאשם ללא עבר פלילי ואלה עבירותיו היחידות, שומר על יציבות תעסוקתית, משקיע בעבודותיו מאמץ רב, ועושה מאמצים לפרוע חובות. עוד טענה כי הנאשם נטל אחריות למעשיו וניהול המשפט נסוב סביב טענות משפטיות שחלקן התקבלו</w:t>
      </w:r>
      <w:r>
        <w:rPr>
          <w:rFonts w:ascii="David" w:hAnsi="David" w:cs="David" w:hint="cs"/>
          <w:sz w:val="24"/>
          <w:szCs w:val="24"/>
          <w:rtl/>
        </w:rPr>
        <w:t xml:space="preserve"> כך ש</w:t>
      </w:r>
      <w:r>
        <w:rPr>
          <w:rFonts w:ascii="David" w:hAnsi="David" w:cs="David"/>
          <w:sz w:val="24"/>
          <w:szCs w:val="24"/>
          <w:rtl/>
        </w:rPr>
        <w:t xml:space="preserve">לא ניתן לומר </w:t>
      </w:r>
      <w:r>
        <w:rPr>
          <w:rFonts w:ascii="David" w:hAnsi="David" w:cs="David" w:hint="cs"/>
          <w:sz w:val="24"/>
          <w:szCs w:val="24"/>
          <w:rtl/>
        </w:rPr>
        <w:t>ש</w:t>
      </w:r>
      <w:r>
        <w:rPr>
          <w:rFonts w:ascii="David" w:hAnsi="David" w:cs="David"/>
          <w:sz w:val="24"/>
          <w:szCs w:val="24"/>
          <w:rtl/>
        </w:rPr>
        <w:t xml:space="preserve">ניהול המשפט היה לשווא. הסנגורית הדגישה את התמכרותו של הנאשם למשככי כאבים, ואת השימוש התדיר על ידו בקנבוס בעבר, וטענה כי החל בהליכי שיקום וגמילה עוד בשלב המעצר. לדבריה, לאחר הפסקה, המשיך לנסות ולהיגמל בכוחות עצמו ולא דרך שירות המבחן. עוד ציינה כי לדברי הנאשם, </w:t>
      </w:r>
      <w:r>
        <w:rPr>
          <w:rFonts w:ascii="David" w:hAnsi="David" w:cs="David" w:hint="cs"/>
          <w:sz w:val="24"/>
          <w:szCs w:val="24"/>
          <w:rtl/>
        </w:rPr>
        <w:t>הוא</w:t>
      </w:r>
      <w:r>
        <w:rPr>
          <w:rFonts w:ascii="David" w:hAnsi="David" w:cs="David"/>
          <w:sz w:val="24"/>
          <w:szCs w:val="24"/>
          <w:rtl/>
        </w:rPr>
        <w:t xml:space="preserve"> אף נטל חלק במסגרת פרטית טיפולית משך 4 חודשים (אך לא הוצג כל מסמך לתמיכה בנטען).  </w:t>
      </w:r>
      <w:r>
        <w:rPr>
          <w:rFonts w:ascii="David" w:hAnsi="David" w:cs="David" w:hint="cs"/>
          <w:sz w:val="24"/>
          <w:szCs w:val="24"/>
          <w:rtl/>
        </w:rPr>
        <w:t xml:space="preserve">לטענת הסנגורית, </w:t>
      </w:r>
      <w:r>
        <w:rPr>
          <w:rFonts w:ascii="David" w:hAnsi="David" w:cs="David"/>
          <w:sz w:val="24"/>
          <w:szCs w:val="24"/>
          <w:rtl/>
        </w:rPr>
        <w:t>כיום הנאשם משולב בהליך שיקומי, נגמל ונוטל תחליף סם</w:t>
      </w:r>
      <w:r>
        <w:rPr>
          <w:rFonts w:ascii="David" w:hAnsi="David" w:cs="David" w:hint="cs"/>
          <w:sz w:val="24"/>
          <w:szCs w:val="24"/>
          <w:rtl/>
        </w:rPr>
        <w:t xml:space="preserve">, והפנתה </w:t>
      </w:r>
      <w:r>
        <w:rPr>
          <w:rFonts w:ascii="David" w:hAnsi="David" w:cs="David"/>
          <w:sz w:val="24"/>
          <w:szCs w:val="24"/>
          <w:rtl/>
        </w:rPr>
        <w:t xml:space="preserve">למכתב ממרפאת "צור אביב" </w:t>
      </w:r>
      <w:r>
        <w:rPr>
          <w:rFonts w:ascii="David" w:hAnsi="David" w:cs="David"/>
          <w:b/>
          <w:bCs/>
          <w:sz w:val="24"/>
          <w:szCs w:val="24"/>
          <w:rtl/>
        </w:rPr>
        <w:t>ענ/1</w:t>
      </w:r>
      <w:r>
        <w:rPr>
          <w:rFonts w:ascii="David" w:hAnsi="David" w:cs="David"/>
          <w:sz w:val="24"/>
          <w:szCs w:val="24"/>
          <w:rtl/>
        </w:rPr>
        <w:t>. בסופו של יום עתרה לאימוץ המלצת שירות המבחן והטלת צו של"צ.</w:t>
      </w:r>
    </w:p>
    <w:p w:rsidR="00447855" w:rsidRDefault="00447855" w:rsidP="00447855">
      <w:pPr>
        <w:rPr>
          <w:rFonts w:ascii="David" w:hAnsi="David"/>
          <w:sz w:val="20"/>
          <w:szCs w:val="20"/>
        </w:rPr>
      </w:pPr>
    </w:p>
    <w:p w:rsidR="00447855" w:rsidRDefault="00447855" w:rsidP="00447855">
      <w:pPr>
        <w:pStyle w:val="ListParagraph"/>
        <w:spacing w:after="0" w:line="360" w:lineRule="auto"/>
        <w:ind w:left="-50"/>
        <w:jc w:val="both"/>
        <w:rPr>
          <w:rFonts w:ascii="David" w:hAnsi="David" w:cs="David"/>
          <w:b/>
          <w:bCs/>
          <w:sz w:val="24"/>
          <w:szCs w:val="24"/>
          <w:u w:val="single"/>
          <w:rtl/>
        </w:rPr>
      </w:pPr>
      <w:r>
        <w:rPr>
          <w:rFonts w:ascii="David" w:hAnsi="David" w:cs="David"/>
          <w:b/>
          <w:bCs/>
          <w:sz w:val="24"/>
          <w:szCs w:val="24"/>
          <w:u w:val="single"/>
          <w:rtl/>
        </w:rPr>
        <w:t xml:space="preserve">דבר הנאשם </w:t>
      </w:r>
    </w:p>
    <w:p w:rsidR="00447855" w:rsidRDefault="00447855" w:rsidP="00447855">
      <w:pPr>
        <w:pStyle w:val="ListParagraph"/>
        <w:numPr>
          <w:ilvl w:val="0"/>
          <w:numId w:val="1"/>
        </w:numPr>
        <w:spacing w:after="0" w:line="360" w:lineRule="auto"/>
        <w:ind w:left="-58" w:firstLine="8"/>
        <w:jc w:val="both"/>
        <w:rPr>
          <w:rFonts w:ascii="David" w:hAnsi="David" w:cs="David"/>
          <w:sz w:val="24"/>
          <w:szCs w:val="24"/>
        </w:rPr>
      </w:pPr>
      <w:r>
        <w:rPr>
          <w:rFonts w:ascii="David" w:hAnsi="David" w:cs="David"/>
          <w:sz w:val="24"/>
          <w:szCs w:val="24"/>
          <w:rtl/>
        </w:rPr>
        <w:t xml:space="preserve">הנאשם מסר כי הוא מבין שמעשיו היו פוגעניים, והביע רצון לשנות התנהלותו. לדבריו הוא נקי מסמים מזה כשנה וחצי והוא עובד כשכיר במלון. הנאשם התנצל על פגיעתו באחרים וטען כי השתקם ולא לצורך ההליך המשפטי גרידא. </w:t>
      </w:r>
      <w:r>
        <w:rPr>
          <w:rFonts w:ascii="David" w:hAnsi="David" w:cs="David" w:hint="cs"/>
          <w:sz w:val="24"/>
          <w:szCs w:val="24"/>
          <w:rtl/>
        </w:rPr>
        <w:t xml:space="preserve">לדבריו: </w:t>
      </w:r>
      <w:r>
        <w:rPr>
          <w:rFonts w:ascii="David" w:hAnsi="David" w:cs="David"/>
          <w:sz w:val="24"/>
          <w:szCs w:val="24"/>
          <w:rtl/>
        </w:rPr>
        <w:t>"</w:t>
      </w:r>
      <w:r>
        <w:rPr>
          <w:rFonts w:ascii="David" w:hAnsi="David" w:cs="David"/>
          <w:b/>
          <w:bCs/>
          <w:sz w:val="24"/>
          <w:szCs w:val="24"/>
          <w:rtl/>
        </w:rPr>
        <w:t>זה שיעור שלמדתי, עכשיו אני בשגרה אני עובד הרבה, אני מרגיש הרבה יותר טוב ממה שהייתי לפני שלוש שנים, אני רוצה לקבל הזדמנות</w:t>
      </w:r>
      <w:r>
        <w:rPr>
          <w:rFonts w:ascii="David" w:hAnsi="David" w:cs="David"/>
          <w:sz w:val="24"/>
          <w:szCs w:val="24"/>
          <w:rtl/>
        </w:rPr>
        <w:t>".</w:t>
      </w:r>
    </w:p>
    <w:p w:rsidR="00447855" w:rsidRDefault="00447855" w:rsidP="00447855">
      <w:pPr>
        <w:pStyle w:val="ListParagraph"/>
        <w:spacing w:after="0" w:line="240" w:lineRule="auto"/>
        <w:ind w:left="-50"/>
        <w:jc w:val="both"/>
        <w:rPr>
          <w:rFonts w:ascii="David" w:hAnsi="David" w:cs="David"/>
          <w:sz w:val="20"/>
          <w:szCs w:val="20"/>
        </w:rPr>
      </w:pPr>
    </w:p>
    <w:p w:rsidR="00447855" w:rsidRDefault="00447855" w:rsidP="00447855">
      <w:pPr>
        <w:pStyle w:val="ListParagraph"/>
        <w:spacing w:after="0" w:line="360" w:lineRule="auto"/>
        <w:ind w:left="-50"/>
        <w:jc w:val="both"/>
        <w:rPr>
          <w:rFonts w:ascii="David" w:hAnsi="David" w:cs="David"/>
          <w:b/>
          <w:bCs/>
          <w:sz w:val="24"/>
          <w:szCs w:val="24"/>
          <w:u w:val="single"/>
          <w:rtl/>
        </w:rPr>
      </w:pPr>
      <w:r>
        <w:rPr>
          <w:rFonts w:ascii="David" w:hAnsi="David" w:cs="David"/>
          <w:b/>
          <w:bCs/>
          <w:sz w:val="24"/>
          <w:szCs w:val="24"/>
          <w:u w:val="single"/>
          <w:rtl/>
        </w:rPr>
        <w:t>קביעת מתחם העונש ההולם</w:t>
      </w:r>
    </w:p>
    <w:p w:rsidR="00447855" w:rsidRDefault="00447855" w:rsidP="00447855">
      <w:pPr>
        <w:pStyle w:val="ListParagraph"/>
        <w:numPr>
          <w:ilvl w:val="0"/>
          <w:numId w:val="1"/>
        </w:numPr>
        <w:spacing w:after="0" w:line="360" w:lineRule="auto"/>
        <w:ind w:left="-58" w:firstLine="8"/>
        <w:jc w:val="both"/>
        <w:rPr>
          <w:rFonts w:ascii="David" w:hAnsi="David" w:cs="David"/>
          <w:sz w:val="28"/>
          <w:szCs w:val="28"/>
        </w:rPr>
      </w:pPr>
      <w:r>
        <w:rPr>
          <w:rFonts w:ascii="David" w:hAnsi="David" w:cs="David"/>
          <w:color w:val="000000"/>
          <w:sz w:val="24"/>
          <w:szCs w:val="24"/>
          <w:rtl/>
        </w:rPr>
        <w:t>כידוע, מתחם העונש ההולם</w:t>
      </w:r>
      <w:r w:rsidR="002B5031">
        <w:rPr>
          <w:rFonts w:ascii="David" w:hAnsi="David" w:cs="David"/>
          <w:color w:val="000000"/>
          <w:sz w:val="24"/>
          <w:szCs w:val="24"/>
          <w:rtl/>
        </w:rPr>
        <w:t xml:space="preserve"> </w:t>
      </w:r>
      <w:r>
        <w:rPr>
          <w:rFonts w:ascii="David" w:hAnsi="David" w:cs="David"/>
          <w:color w:val="000000"/>
          <w:sz w:val="24"/>
          <w:szCs w:val="24"/>
          <w:rtl/>
        </w:rPr>
        <w:t>נקבע בהתאם לעקרון המנחה בענישה, היינו קיומו של יחס הולם בין חומרת מעשה העבירה בנסיבותיו ומידת אשמו של הנאשם לבין סוג ומידת העונש המוטל עליו, תוך התחשבות בערך החברתי אשר נפגע, במידת הפגיעה בו, בנסיבות הקשורות בביצוע העבירה ובמדיניות הענישה הנהוגה.</w:t>
      </w:r>
    </w:p>
    <w:p w:rsidR="00447855" w:rsidRDefault="00447855" w:rsidP="00447855">
      <w:pPr>
        <w:pStyle w:val="ListParagraph"/>
        <w:spacing w:after="0" w:line="240" w:lineRule="auto"/>
        <w:ind w:left="-50"/>
        <w:jc w:val="both"/>
        <w:rPr>
          <w:rFonts w:ascii="David" w:hAnsi="David" w:cs="David"/>
          <w:sz w:val="20"/>
          <w:szCs w:val="20"/>
        </w:rPr>
      </w:pPr>
    </w:p>
    <w:p w:rsidR="00447855" w:rsidRDefault="00447855" w:rsidP="00447855">
      <w:pPr>
        <w:pStyle w:val="ListParagraph"/>
        <w:numPr>
          <w:ilvl w:val="0"/>
          <w:numId w:val="1"/>
        </w:numPr>
        <w:spacing w:after="0" w:line="360" w:lineRule="auto"/>
        <w:ind w:left="-58" w:firstLine="8"/>
        <w:jc w:val="both"/>
        <w:rPr>
          <w:rFonts w:ascii="David" w:hAnsi="David" w:cs="David"/>
          <w:sz w:val="28"/>
          <w:szCs w:val="28"/>
        </w:rPr>
      </w:pPr>
      <w:r>
        <w:rPr>
          <w:rFonts w:ascii="David" w:hAnsi="David" w:cs="David"/>
          <w:color w:val="000000"/>
          <w:rtl/>
        </w:rPr>
        <w:t>ר</w:t>
      </w:r>
      <w:r>
        <w:rPr>
          <w:rFonts w:ascii="David" w:hAnsi="David" w:cs="David"/>
          <w:color w:val="000000"/>
          <w:sz w:val="24"/>
          <w:szCs w:val="24"/>
          <w:rtl/>
        </w:rPr>
        <w:t>בות נכתב אודות הנזק לגוף ולנפש מנגע הסמים, אשר</w:t>
      </w:r>
      <w:r w:rsidR="002B5031">
        <w:rPr>
          <w:rFonts w:ascii="David" w:hAnsi="David" w:cs="David"/>
          <w:color w:val="000000"/>
          <w:sz w:val="24"/>
          <w:szCs w:val="24"/>
          <w:rtl/>
        </w:rPr>
        <w:t xml:space="preserve"> </w:t>
      </w:r>
      <w:r>
        <w:rPr>
          <w:rFonts w:ascii="David" w:hAnsi="David" w:cs="David"/>
          <w:color w:val="000000"/>
          <w:sz w:val="24"/>
          <w:szCs w:val="24"/>
          <w:rtl/>
        </w:rPr>
        <w:t xml:space="preserve">אף עלול לגרום בדרך עקיפה לביצוען של עבירות אחרות ונוספות. קנבוס אינו מצוי במדרג חומרה גבוה מבין הסמים השונים. עם זאת, כידוע, החוק אוסר שימוש ובוודאי סחר בקנבוס, וקיים נזק </w:t>
      </w:r>
      <w:r>
        <w:rPr>
          <w:rFonts w:ascii="David" w:hAnsi="David" w:cs="David"/>
          <w:sz w:val="24"/>
          <w:szCs w:val="24"/>
          <w:rtl/>
        </w:rPr>
        <w:t xml:space="preserve">אמיתי לערכים המוגנים מביצוע עבירה זו. יש לזכור כי הסוחרים בסמים מביאים לכך שהסמים יהיו זמינים לכל דורש, קלים להשגה וכך הם מתפשטים בקלות ובמהירות בקרב הציבור. כפי שנקבע בע"פ 2569/18 </w:t>
      </w:r>
      <w:r>
        <w:rPr>
          <w:rFonts w:ascii="David" w:hAnsi="David" w:cs="David"/>
          <w:b/>
          <w:bCs/>
          <w:sz w:val="24"/>
          <w:szCs w:val="24"/>
          <w:rtl/>
        </w:rPr>
        <w:t>זנזורי נ' מדינת ישראל</w:t>
      </w:r>
      <w:r>
        <w:rPr>
          <w:rFonts w:ascii="David" w:hAnsi="David" w:cs="David"/>
          <w:sz w:val="24"/>
          <w:szCs w:val="24"/>
          <w:rtl/>
        </w:rPr>
        <w:t xml:space="preserve">, פסקה 8 (12.8.2018) גם כאשר מדובר בסחר בסמים קלים </w:t>
      </w:r>
      <w:r>
        <w:rPr>
          <w:rFonts w:ascii="David" w:hAnsi="David" w:cs="David"/>
          <w:b/>
          <w:bCs/>
          <w:sz w:val="24"/>
          <w:szCs w:val="24"/>
          <w:rtl/>
        </w:rPr>
        <w:t>"סחר בסמים הוא סחר בסמים"</w:t>
      </w:r>
      <w:r>
        <w:rPr>
          <w:rFonts w:ascii="David" w:hAnsi="David" w:cs="David"/>
          <w:sz w:val="24"/>
          <w:szCs w:val="24"/>
          <w:rtl/>
        </w:rPr>
        <w:t xml:space="preserve"> ועל החומרה שבכך לבוא לידי ביטוי במדיניות הענישה. כן ראו את הקביעות הנורמטיביות ביחס לקנבוס ב</w:t>
      </w:r>
      <w:hyperlink r:id="rId26" w:history="1">
        <w:r w:rsidR="002B5031" w:rsidRPr="002B5031">
          <w:rPr>
            <w:rFonts w:ascii="David" w:hAnsi="David" w:cs="David"/>
            <w:color w:val="0000FF"/>
            <w:sz w:val="24"/>
            <w:szCs w:val="24"/>
            <w:u w:val="single"/>
            <w:rtl/>
          </w:rPr>
          <w:t>ע"פ 6299/20</w:t>
        </w:r>
      </w:hyperlink>
      <w:r>
        <w:rPr>
          <w:rFonts w:ascii="David" w:hAnsi="David" w:cs="David"/>
          <w:sz w:val="24"/>
          <w:szCs w:val="24"/>
          <w:rtl/>
        </w:rPr>
        <w:t xml:space="preserve"> </w:t>
      </w:r>
      <w:r>
        <w:rPr>
          <w:rFonts w:ascii="David" w:hAnsi="David" w:cs="David"/>
          <w:b/>
          <w:bCs/>
          <w:sz w:val="24"/>
          <w:szCs w:val="24"/>
          <w:rtl/>
        </w:rPr>
        <w:t>חן נ' מדינת ישראל</w:t>
      </w:r>
      <w:r>
        <w:rPr>
          <w:rFonts w:ascii="David" w:hAnsi="David" w:cs="David"/>
          <w:sz w:val="24"/>
          <w:szCs w:val="24"/>
          <w:rtl/>
        </w:rPr>
        <w:t>, פסקה 13 (4.2.2021).</w:t>
      </w:r>
    </w:p>
    <w:p w:rsidR="00447855" w:rsidRDefault="00447855" w:rsidP="00447855">
      <w:pPr>
        <w:pStyle w:val="ListParagraph"/>
        <w:spacing w:line="240" w:lineRule="auto"/>
        <w:rPr>
          <w:rFonts w:ascii="David" w:hAnsi="David" w:cs="David"/>
          <w:color w:val="000000"/>
          <w:sz w:val="20"/>
          <w:szCs w:val="20"/>
        </w:rPr>
      </w:pPr>
    </w:p>
    <w:p w:rsidR="00447855" w:rsidRDefault="00447855" w:rsidP="00447855">
      <w:pPr>
        <w:pStyle w:val="ListParagraph"/>
        <w:numPr>
          <w:ilvl w:val="0"/>
          <w:numId w:val="1"/>
        </w:numPr>
        <w:spacing w:after="0" w:line="360" w:lineRule="auto"/>
        <w:ind w:left="-58" w:firstLine="8"/>
        <w:jc w:val="both"/>
        <w:rPr>
          <w:rFonts w:ascii="David" w:hAnsi="David" w:cs="David"/>
          <w:sz w:val="28"/>
          <w:szCs w:val="28"/>
          <w:rtl/>
        </w:rPr>
      </w:pPr>
      <w:r>
        <w:rPr>
          <w:rFonts w:ascii="David" w:hAnsi="David" w:cs="David"/>
          <w:color w:val="000000"/>
          <w:sz w:val="24"/>
          <w:szCs w:val="24"/>
          <w:rtl/>
        </w:rPr>
        <w:t xml:space="preserve">מקרה הנדון, יקבעו מתחמי ענישה נפרדים לכל אחד </w:t>
      </w:r>
      <w:r>
        <w:rPr>
          <w:rFonts w:ascii="David" w:hAnsi="David" w:cs="David" w:hint="cs"/>
          <w:color w:val="000000"/>
          <w:sz w:val="24"/>
          <w:szCs w:val="24"/>
          <w:rtl/>
        </w:rPr>
        <w:t>מאישומי הסחר</w:t>
      </w:r>
      <w:r>
        <w:rPr>
          <w:rFonts w:ascii="David" w:hAnsi="David" w:cs="David"/>
          <w:color w:val="000000"/>
          <w:sz w:val="24"/>
          <w:szCs w:val="24"/>
          <w:rtl/>
        </w:rPr>
        <w:t xml:space="preserve"> כאירוע בהתאם לפסיקת בית המשפט העליון ב</w:t>
      </w:r>
      <w:hyperlink r:id="rId27" w:history="1">
        <w:r w:rsidR="002B5031" w:rsidRPr="002B5031">
          <w:rPr>
            <w:rFonts w:ascii="David" w:hAnsi="David" w:cs="David"/>
            <w:color w:val="0000FF"/>
            <w:sz w:val="24"/>
            <w:szCs w:val="24"/>
            <w:u w:val="single"/>
            <w:rtl/>
          </w:rPr>
          <w:t>ע"פ 4910/13</w:t>
        </w:r>
      </w:hyperlink>
      <w:r w:rsidR="002B5031">
        <w:rPr>
          <w:rFonts w:ascii="David" w:hAnsi="David" w:cs="David"/>
          <w:sz w:val="24"/>
          <w:szCs w:val="24"/>
        </w:rPr>
        <w:t xml:space="preserve"> </w:t>
      </w:r>
      <w:r>
        <w:rPr>
          <w:rFonts w:ascii="David" w:hAnsi="David" w:cs="David"/>
          <w:b/>
          <w:bCs/>
          <w:sz w:val="24"/>
          <w:szCs w:val="24"/>
          <w:rtl/>
        </w:rPr>
        <w:t>ג'אבר נ' מדינת ישראל</w:t>
      </w:r>
      <w:r>
        <w:rPr>
          <w:rFonts w:ascii="David" w:hAnsi="David" w:cs="David"/>
          <w:sz w:val="24"/>
          <w:szCs w:val="24"/>
          <w:rtl/>
        </w:rPr>
        <w:t xml:space="preserve"> (29.10.2014) ומבחן הקשר ההדוק שנקבע במסגרתו. </w:t>
      </w:r>
      <w:r>
        <w:rPr>
          <w:rFonts w:ascii="David" w:hAnsi="David" w:cs="David"/>
          <w:color w:val="000000"/>
          <w:sz w:val="24"/>
          <w:szCs w:val="24"/>
          <w:rtl/>
        </w:rPr>
        <w:t>זאת, משמבלי להתעלם מזהות העבירות מבחינת סוגן וביצוען בתקופות חופפות –</w:t>
      </w:r>
      <w:r>
        <w:rPr>
          <w:rFonts w:ascii="David" w:hAnsi="David" w:cs="David" w:hint="cs"/>
          <w:color w:val="000000"/>
          <w:sz w:val="24"/>
          <w:szCs w:val="24"/>
          <w:rtl/>
        </w:rPr>
        <w:t xml:space="preserve"> </w:t>
      </w:r>
      <w:r>
        <w:rPr>
          <w:rFonts w:ascii="David" w:hAnsi="David" w:cs="David"/>
          <w:color w:val="000000"/>
          <w:sz w:val="24"/>
          <w:szCs w:val="24"/>
          <w:rtl/>
        </w:rPr>
        <w:t>כל אחד משלושת אישומי הסחר מפרט סחר בקנבוס מול קונה אחר</w:t>
      </w:r>
      <w:r>
        <w:rPr>
          <w:rFonts w:ascii="David" w:hAnsi="David" w:cs="David" w:hint="cs"/>
          <w:color w:val="000000"/>
          <w:sz w:val="24"/>
          <w:szCs w:val="24"/>
          <w:rtl/>
        </w:rPr>
        <w:t>, ו</w:t>
      </w:r>
      <w:r>
        <w:rPr>
          <w:rFonts w:ascii="David" w:hAnsi="David" w:cs="David"/>
          <w:color w:val="000000"/>
          <w:sz w:val="24"/>
          <w:szCs w:val="24"/>
          <w:rtl/>
        </w:rPr>
        <w:t xml:space="preserve">לא בוסס כל קשר בין אירועי הסחר השונים שהתפרשו על פני כשנה (ראו בהקשר זה גם </w:t>
      </w:r>
      <w:hyperlink r:id="rId28" w:history="1">
        <w:r w:rsidR="002B5031" w:rsidRPr="002B5031">
          <w:rPr>
            <w:rFonts w:ascii="David" w:hAnsi="David" w:cs="David"/>
            <w:color w:val="0000FF"/>
            <w:sz w:val="24"/>
            <w:szCs w:val="24"/>
            <w:u w:val="single"/>
            <w:rtl/>
          </w:rPr>
          <w:t>רע"פ 4687/15</w:t>
        </w:r>
      </w:hyperlink>
      <w:r>
        <w:rPr>
          <w:rFonts w:ascii="David" w:hAnsi="David" w:cs="David"/>
          <w:color w:val="000000"/>
          <w:sz w:val="24"/>
          <w:szCs w:val="24"/>
          <w:rtl/>
        </w:rPr>
        <w:t xml:space="preserve"> </w:t>
      </w:r>
      <w:r>
        <w:rPr>
          <w:rFonts w:ascii="David" w:hAnsi="David" w:cs="David"/>
          <w:b/>
          <w:bCs/>
          <w:color w:val="000000"/>
          <w:sz w:val="24"/>
          <w:szCs w:val="24"/>
          <w:rtl/>
        </w:rPr>
        <w:t>אייל פלג נ' מדינת ישראל</w:t>
      </w:r>
      <w:r>
        <w:rPr>
          <w:rFonts w:ascii="David" w:hAnsi="David" w:cs="David"/>
          <w:color w:val="000000"/>
          <w:sz w:val="24"/>
          <w:szCs w:val="24"/>
          <w:rtl/>
        </w:rPr>
        <w:t xml:space="preserve">, פסקה 9 (13.8.2015)). בנוסף, יקבע מתחם ענישה נפרד לעבירת החזקת הסם שלא לצריכה עצמית. </w:t>
      </w:r>
    </w:p>
    <w:p w:rsidR="00447855" w:rsidRDefault="00447855" w:rsidP="00447855">
      <w:pPr>
        <w:jc w:val="both"/>
        <w:rPr>
          <w:rFonts w:ascii="David" w:hAnsi="David"/>
          <w:sz w:val="20"/>
          <w:szCs w:val="20"/>
        </w:rPr>
      </w:pPr>
    </w:p>
    <w:p w:rsidR="00447855" w:rsidRDefault="00447855" w:rsidP="00447855">
      <w:pPr>
        <w:pStyle w:val="ListParagraph"/>
        <w:numPr>
          <w:ilvl w:val="0"/>
          <w:numId w:val="1"/>
        </w:numPr>
        <w:spacing w:after="0" w:line="360" w:lineRule="auto"/>
        <w:ind w:left="-58" w:firstLine="8"/>
        <w:jc w:val="both"/>
        <w:rPr>
          <w:rFonts w:ascii="David" w:hAnsi="David" w:cs="David"/>
          <w:sz w:val="28"/>
          <w:szCs w:val="28"/>
          <w:rtl/>
        </w:rPr>
      </w:pPr>
      <w:r>
        <w:rPr>
          <w:rFonts w:ascii="David" w:hAnsi="David" w:cs="David"/>
          <w:color w:val="000000"/>
          <w:sz w:val="24"/>
          <w:szCs w:val="24"/>
          <w:rtl/>
        </w:rPr>
        <w:t xml:space="preserve">מבחינת </w:t>
      </w:r>
      <w:r>
        <w:rPr>
          <w:rFonts w:ascii="David" w:hAnsi="David" w:cs="David"/>
          <w:b/>
          <w:bCs/>
          <w:color w:val="000000"/>
          <w:sz w:val="24"/>
          <w:szCs w:val="24"/>
          <w:rtl/>
        </w:rPr>
        <w:t>נסיבות ביצוע העבירות</w:t>
      </w:r>
      <w:r>
        <w:rPr>
          <w:rFonts w:ascii="David" w:hAnsi="David" w:cs="David"/>
          <w:color w:val="000000"/>
          <w:sz w:val="24"/>
          <w:szCs w:val="24"/>
          <w:rtl/>
        </w:rPr>
        <w:t xml:space="preserve"> ניתן ללמוד על פגיעה שאיננה זניחה בערכים המוגנים, גם אם אין המדובר במי שסחר בקנבוס באמצעות </w:t>
      </w:r>
      <w:r>
        <w:rPr>
          <w:rFonts w:ascii="David" w:hAnsi="David" w:cs="David" w:hint="cs"/>
          <w:color w:val="000000"/>
          <w:sz w:val="24"/>
          <w:szCs w:val="24"/>
          <w:rtl/>
        </w:rPr>
        <w:t>יישומון</w:t>
      </w:r>
      <w:r>
        <w:rPr>
          <w:rFonts w:ascii="David" w:hAnsi="David" w:cs="David"/>
          <w:color w:val="000000"/>
          <w:sz w:val="24"/>
          <w:szCs w:val="24"/>
          <w:rtl/>
        </w:rPr>
        <w:t>. זאת גם בהינתן משקל ממתן מסוים לכך שמדובר בביצוע 6 עסקאות סחר על פני שנה שלמה, לכמות הקנבוס בה סחר הנאשם שאינה בהיקף ניכר, כשבחלק מן המקרים אף לא ידועה הכמות ו/או התמורה, ולכך שהנאשם היה מכור למשככי כאבים והשתמש בסמים קלים באותה עת. בנוסף, לא נעלם ממני שבעת ביצוע העבירות חווה הנאשם קשיי התאקלמות בארץ, וכן נטען שכל שביקש הוא להקל על קשיו הכלכליים ולממן את הסמים אותם צרך</w:t>
      </w:r>
      <w:r w:rsidRPr="000D66F3">
        <w:rPr>
          <w:rFonts w:ascii="David" w:hAnsi="David" w:cs="David"/>
          <w:color w:val="000000"/>
          <w:sz w:val="24"/>
          <w:szCs w:val="24"/>
          <w:rtl/>
        </w:rPr>
        <w:t xml:space="preserve">. </w:t>
      </w:r>
    </w:p>
    <w:p w:rsidR="00447855" w:rsidRDefault="00447855" w:rsidP="00447855">
      <w:pPr>
        <w:pStyle w:val="ListParagraph"/>
        <w:spacing w:line="240" w:lineRule="auto"/>
        <w:rPr>
          <w:rFonts w:ascii="David" w:hAnsi="David" w:cs="David"/>
          <w:color w:val="000000"/>
          <w:sz w:val="20"/>
          <w:szCs w:val="20"/>
        </w:rPr>
      </w:pPr>
    </w:p>
    <w:p w:rsidR="00447855" w:rsidRDefault="00447855" w:rsidP="00447855">
      <w:pPr>
        <w:pStyle w:val="ListParagraph"/>
        <w:numPr>
          <w:ilvl w:val="0"/>
          <w:numId w:val="1"/>
        </w:numPr>
        <w:spacing w:after="0" w:line="360" w:lineRule="auto"/>
        <w:ind w:left="-58" w:firstLine="8"/>
        <w:jc w:val="both"/>
        <w:rPr>
          <w:rFonts w:ascii="David" w:hAnsi="David" w:cs="David"/>
          <w:sz w:val="28"/>
          <w:szCs w:val="28"/>
          <w:rtl/>
        </w:rPr>
      </w:pPr>
      <w:r>
        <w:rPr>
          <w:rFonts w:ascii="David" w:hAnsi="David" w:cs="David"/>
          <w:color w:val="000000"/>
          <w:sz w:val="24"/>
          <w:szCs w:val="24"/>
          <w:rtl/>
        </w:rPr>
        <w:t xml:space="preserve">כזכור, </w:t>
      </w:r>
      <w:r>
        <w:rPr>
          <w:rFonts w:ascii="David" w:hAnsi="David" w:cs="David" w:hint="cs"/>
          <w:color w:val="000000"/>
          <w:sz w:val="24"/>
          <w:szCs w:val="24"/>
          <w:rtl/>
        </w:rPr>
        <w:t>בהכרעת הדין נקבע כי ב</w:t>
      </w:r>
      <w:r>
        <w:rPr>
          <w:rFonts w:ascii="David" w:hAnsi="David" w:cs="David"/>
          <w:color w:val="000000"/>
          <w:sz w:val="24"/>
          <w:szCs w:val="24"/>
          <w:rtl/>
        </w:rPr>
        <w:t xml:space="preserve">אירוע הראשון (אישום ראשון) מכר </w:t>
      </w:r>
      <w:r>
        <w:rPr>
          <w:rFonts w:ascii="David" w:hAnsi="David" w:cs="David" w:hint="cs"/>
          <w:color w:val="000000"/>
          <w:sz w:val="24"/>
          <w:szCs w:val="24"/>
          <w:rtl/>
        </w:rPr>
        <w:t xml:space="preserve">הנאשם </w:t>
      </w:r>
      <w:r>
        <w:rPr>
          <w:rFonts w:ascii="David" w:hAnsi="David" w:cs="David"/>
          <w:color w:val="000000"/>
          <w:sz w:val="24"/>
          <w:szCs w:val="24"/>
          <w:rtl/>
        </w:rPr>
        <w:t xml:space="preserve">לעמית 7.84 גרם קנבוס בשתי עסקאות סחר על פני שנה עבור 700 ₪. באירוע השני (אישום שני) </w:t>
      </w:r>
      <w:r>
        <w:rPr>
          <w:rFonts w:ascii="David" w:hAnsi="David" w:cs="David" w:hint="cs"/>
          <w:color w:val="000000"/>
          <w:sz w:val="24"/>
          <w:szCs w:val="24"/>
          <w:rtl/>
        </w:rPr>
        <w:t xml:space="preserve">קנבוס </w:t>
      </w:r>
      <w:r>
        <w:rPr>
          <w:rFonts w:ascii="David" w:hAnsi="David" w:cs="David"/>
          <w:color w:val="000000"/>
          <w:sz w:val="24"/>
          <w:szCs w:val="24"/>
          <w:rtl/>
        </w:rPr>
        <w:t xml:space="preserve">למור בשלוש עסקאות סחר על פני תקופה בת 5 חודשים. בשתיים מן העסקאות לא ידועה </w:t>
      </w:r>
      <w:r>
        <w:rPr>
          <w:rFonts w:ascii="David" w:hAnsi="David" w:cs="David" w:hint="cs"/>
          <w:color w:val="000000"/>
          <w:sz w:val="24"/>
          <w:szCs w:val="24"/>
          <w:rtl/>
        </w:rPr>
        <w:t>ה</w:t>
      </w:r>
      <w:r>
        <w:rPr>
          <w:rFonts w:ascii="David" w:hAnsi="David" w:cs="David"/>
          <w:color w:val="000000"/>
          <w:sz w:val="24"/>
          <w:szCs w:val="24"/>
          <w:rtl/>
        </w:rPr>
        <w:t xml:space="preserve">כמות שנמכרה ותמורתה. בשלישית מכר הנאשם למור 10 גרם קנבוס תמורת סכום שאינו ידוע. באירוע השלישי (אישום שלישי) מכר הנאשם לעומר 5 גרם קנבוס תמורת 375 ₪.  הגם שאין המדובר בכמות קנבוס גבוהה כאמור, מן המפורט עולה כי אין מדובר </w:t>
      </w:r>
      <w:r>
        <w:rPr>
          <w:rFonts w:ascii="David" w:hAnsi="David" w:cs="David"/>
          <w:sz w:val="24"/>
          <w:szCs w:val="24"/>
          <w:rtl/>
        </w:rPr>
        <w:t>במי שהתנהל באופן חד פעמי ואימפולסיבי, ו</w:t>
      </w:r>
      <w:r>
        <w:rPr>
          <w:rFonts w:ascii="David" w:hAnsi="David" w:cs="David"/>
          <w:color w:val="000000"/>
          <w:sz w:val="24"/>
          <w:szCs w:val="24"/>
          <w:rtl/>
        </w:rPr>
        <w:t>בנסיבות אשר פורטו אף יש כדי ללמד על זמינות הסם לנאשם. זמינות הסם לנאשם אף נלמדת מן האירוע הרביעי (אישום רביעי), החזקת קנבוס על ידי הנאשם בביתו שלא לצריכה עצמית בכמות לא מבוטלת של כ-</w:t>
      </w:r>
      <w:r>
        <w:rPr>
          <w:rFonts w:ascii="David" w:hAnsi="David" w:cs="David"/>
          <w:sz w:val="24"/>
          <w:szCs w:val="24"/>
          <w:rtl/>
        </w:rPr>
        <w:t>155.04 גרם נטו, לצד שקיות חלוקה ומשקל דיגיטלי. טענת הנאשם לפיה לא הבין שקיים איסור על מכירת קנבוס בישראל ועל כן לא הבין את הפסול במעשיו וסבר כי הוא עושה "טובה" לחבריו אינה מתקבלת – ואין בה כדי להשפיע על העונש שייגזר עליו</w:t>
      </w:r>
      <w:r>
        <w:rPr>
          <w:rFonts w:ascii="David" w:hAnsi="David" w:cs="David"/>
          <w:color w:val="000000"/>
          <w:sz w:val="24"/>
          <w:szCs w:val="24"/>
          <w:rtl/>
        </w:rPr>
        <w:t xml:space="preserve">. </w:t>
      </w:r>
    </w:p>
    <w:p w:rsidR="00447855" w:rsidRDefault="00447855" w:rsidP="00447855">
      <w:pPr>
        <w:jc w:val="both"/>
        <w:rPr>
          <w:rFonts w:ascii="David" w:hAnsi="David"/>
          <w:color w:val="000000"/>
          <w:sz w:val="20"/>
          <w:szCs w:val="20"/>
          <w:rtl/>
        </w:rPr>
      </w:pPr>
    </w:p>
    <w:p w:rsidR="00447855" w:rsidRDefault="00447855" w:rsidP="00447855">
      <w:pPr>
        <w:pStyle w:val="ListParagraph"/>
        <w:numPr>
          <w:ilvl w:val="0"/>
          <w:numId w:val="1"/>
        </w:numPr>
        <w:spacing w:after="0" w:line="360" w:lineRule="auto"/>
        <w:ind w:left="-58" w:firstLine="8"/>
        <w:jc w:val="both"/>
        <w:rPr>
          <w:rFonts w:ascii="David" w:hAnsi="David" w:cs="David"/>
          <w:color w:val="000000"/>
          <w:sz w:val="24"/>
          <w:szCs w:val="24"/>
        </w:rPr>
      </w:pPr>
      <w:r>
        <w:rPr>
          <w:rFonts w:ascii="David" w:hAnsi="David" w:cs="David"/>
          <w:color w:val="000000"/>
          <w:sz w:val="24"/>
          <w:szCs w:val="24"/>
          <w:rtl/>
        </w:rPr>
        <w:t>בכל הנוגע לענישה הנוהגת, במקרים רבים, כאשר מדובר במספר עסקאות בודדות של סחר בקנבוס ובכמות שאיננה גבוהה, נקבעת תחתית מתחם הענישה על עונש מאסר בן מספר חודשים אותו ניתן לרצות במקרים מתאימים בעבודות שירות ותקרתו על עונש מאסר מאחורי סורג ובריח. כך גם ביחס להחזקת קנבוס שלא לצריכה עצמית במשקל הדומה לעניינ</w:t>
      </w:r>
      <w:r>
        <w:rPr>
          <w:rFonts w:ascii="David" w:hAnsi="David" w:cs="David" w:hint="cs"/>
          <w:color w:val="000000"/>
          <w:sz w:val="24"/>
          <w:szCs w:val="24"/>
          <w:rtl/>
        </w:rPr>
        <w:t>נ</w:t>
      </w:r>
      <w:r>
        <w:rPr>
          <w:rFonts w:ascii="David" w:hAnsi="David" w:cs="David"/>
          <w:color w:val="000000"/>
          <w:sz w:val="24"/>
          <w:szCs w:val="24"/>
          <w:rtl/>
        </w:rPr>
        <w:t>ו. אשר לעונשים הכוללים – קיים מנעד רחב של עונשים בהתאם למקרה הקונקרטי ולמכלול הנסיבות. ראו והשוו דוגמאות לענישה שרובה נבחנה על ידי בית המשפט העליון</w:t>
      </w:r>
      <w:r>
        <w:rPr>
          <w:rFonts w:ascii="David" w:hAnsi="David" w:cs="David" w:hint="cs"/>
          <w:color w:val="000000"/>
          <w:sz w:val="24"/>
          <w:szCs w:val="24"/>
          <w:rtl/>
        </w:rPr>
        <w:t>:</w:t>
      </w:r>
      <w:r>
        <w:rPr>
          <w:rFonts w:ascii="David" w:hAnsi="David" w:cs="David"/>
          <w:color w:val="000000"/>
          <w:sz w:val="24"/>
          <w:szCs w:val="24"/>
          <w:rtl/>
        </w:rPr>
        <w:t xml:space="preserve"> </w:t>
      </w:r>
    </w:p>
    <w:p w:rsidR="00447855" w:rsidRDefault="00447855" w:rsidP="00447855">
      <w:pPr>
        <w:pStyle w:val="ListParagraph"/>
        <w:spacing w:after="0" w:line="240" w:lineRule="auto"/>
        <w:rPr>
          <w:rFonts w:ascii="David" w:hAnsi="David" w:cs="David"/>
          <w:color w:val="000000"/>
          <w:sz w:val="20"/>
          <w:szCs w:val="20"/>
        </w:rPr>
      </w:pPr>
    </w:p>
    <w:p w:rsidR="00447855" w:rsidRDefault="002B5031" w:rsidP="00447855">
      <w:pPr>
        <w:pStyle w:val="ListParagraph"/>
        <w:numPr>
          <w:ilvl w:val="0"/>
          <w:numId w:val="2"/>
        </w:numPr>
        <w:spacing w:after="0" w:line="360" w:lineRule="auto"/>
        <w:ind w:left="360"/>
        <w:jc w:val="both"/>
        <w:rPr>
          <w:rFonts w:ascii="David" w:hAnsi="David" w:cs="David"/>
          <w:color w:val="000000"/>
          <w:sz w:val="24"/>
          <w:szCs w:val="24"/>
        </w:rPr>
      </w:pPr>
      <w:hyperlink r:id="rId29" w:history="1">
        <w:r w:rsidRPr="002B5031">
          <w:rPr>
            <w:rFonts w:ascii="David" w:hAnsi="David" w:cs="David"/>
            <w:color w:val="0000FF"/>
            <w:sz w:val="24"/>
            <w:szCs w:val="24"/>
            <w:u w:val="single"/>
            <w:rtl/>
          </w:rPr>
          <w:t>רע"פ 957/22</w:t>
        </w:r>
      </w:hyperlink>
      <w:r w:rsidR="00447855">
        <w:rPr>
          <w:rFonts w:ascii="David" w:hAnsi="David" w:cs="David"/>
          <w:color w:val="000000"/>
          <w:sz w:val="24"/>
          <w:szCs w:val="24"/>
          <w:rtl/>
        </w:rPr>
        <w:t xml:space="preserve"> </w:t>
      </w:r>
      <w:r w:rsidR="00447855">
        <w:rPr>
          <w:rFonts w:ascii="David" w:hAnsi="David" w:cs="David"/>
          <w:b/>
          <w:bCs/>
          <w:color w:val="000000"/>
          <w:sz w:val="24"/>
          <w:szCs w:val="24"/>
          <w:rtl/>
        </w:rPr>
        <w:t>חבושה נ' מדינת ישראל</w:t>
      </w:r>
      <w:r w:rsidR="00447855">
        <w:rPr>
          <w:rFonts w:ascii="David" w:hAnsi="David" w:cs="David"/>
          <w:color w:val="000000"/>
          <w:sz w:val="24"/>
          <w:szCs w:val="24"/>
          <w:rtl/>
        </w:rPr>
        <w:t xml:space="preserve"> (8.2.2022) שם הורשע המבקש על יסוד הודאתו ב</w:t>
      </w:r>
      <w:r w:rsidR="00447855">
        <w:rPr>
          <w:rFonts w:ascii="David" w:hAnsi="David" w:cs="David" w:hint="cs"/>
          <w:color w:val="000000"/>
          <w:sz w:val="24"/>
          <w:szCs w:val="24"/>
          <w:rtl/>
        </w:rPr>
        <w:t>-5</w:t>
      </w:r>
      <w:r w:rsidR="00447855">
        <w:rPr>
          <w:rFonts w:ascii="David" w:hAnsi="David" w:cs="David"/>
          <w:color w:val="000000"/>
          <w:sz w:val="24"/>
          <w:szCs w:val="24"/>
          <w:rtl/>
        </w:rPr>
        <w:t xml:space="preserve"> עבירות של סחר בקנבוס וחשיש (20 גרם, 10 גרם, ושני מקרים של 5 גרם) באמצעות יישומון ה"טלגראס" וכן בהחזקת קנבוס וחשיש במשקל של לא פחות מ- 228 גרם מחולק ל- 47 יחידות שלא לצריכה עצמית (הכל בערב אחד). כעתירת הצדדים נקבע מתחם ענישה כולל. בית המשפט קבע את גדר המתחם בין 6 ועד 18 חודשי מאסר. על המבקש נגזרו 6 חודשי מאסר בעבודות שירות ועונשים נלווים. ערעור שהוגש לבית המשפט המחוזי נדחה כמו גם בקשת רשות ערעור בבית המשפט העליון, תוך שצוין כי מדובר בעונש מקל.</w:t>
      </w:r>
    </w:p>
    <w:p w:rsidR="00447855" w:rsidRDefault="002B5031" w:rsidP="00447855">
      <w:pPr>
        <w:pStyle w:val="ListParagraph"/>
        <w:numPr>
          <w:ilvl w:val="0"/>
          <w:numId w:val="2"/>
        </w:numPr>
        <w:spacing w:after="0" w:line="360" w:lineRule="auto"/>
        <w:ind w:left="360"/>
        <w:jc w:val="both"/>
        <w:rPr>
          <w:rFonts w:ascii="David" w:hAnsi="David" w:cs="David"/>
          <w:color w:val="000000"/>
          <w:sz w:val="24"/>
          <w:szCs w:val="24"/>
        </w:rPr>
      </w:pPr>
      <w:hyperlink r:id="rId30" w:history="1">
        <w:r w:rsidRPr="002B5031">
          <w:rPr>
            <w:rFonts w:ascii="David" w:hAnsi="David" w:cs="David"/>
            <w:color w:val="0000FF"/>
            <w:sz w:val="24"/>
            <w:szCs w:val="24"/>
            <w:u w:val="single"/>
            <w:rtl/>
          </w:rPr>
          <w:t>רע"פ 3059/21</w:t>
        </w:r>
      </w:hyperlink>
      <w:r w:rsidR="00447855" w:rsidRPr="00A64AC6">
        <w:rPr>
          <w:rFonts w:ascii="David" w:hAnsi="David" w:cs="David"/>
          <w:color w:val="000000"/>
          <w:sz w:val="24"/>
          <w:szCs w:val="24"/>
          <w:rtl/>
        </w:rPr>
        <w:t xml:space="preserve"> </w:t>
      </w:r>
      <w:r w:rsidR="00447855" w:rsidRPr="00A64AC6">
        <w:rPr>
          <w:rFonts w:ascii="David" w:hAnsi="David" w:cs="David"/>
          <w:b/>
          <w:bCs/>
          <w:color w:val="000000"/>
          <w:sz w:val="24"/>
          <w:szCs w:val="24"/>
          <w:rtl/>
        </w:rPr>
        <w:t>ימין נ' מדינת ישראל</w:t>
      </w:r>
      <w:r w:rsidR="00447855" w:rsidRPr="00A64AC6">
        <w:rPr>
          <w:rFonts w:ascii="David" w:hAnsi="David" w:cs="David"/>
          <w:color w:val="000000"/>
          <w:sz w:val="24"/>
          <w:szCs w:val="24"/>
          <w:rtl/>
        </w:rPr>
        <w:t xml:space="preserve"> (5.5.2021) שם הורשע המבקש על יסוד הודאתו ב-5 עבירות של סחר בסמים בצוותא והחזקת סמים שלא לצריכה עצמית. המבקש קשר קשר עם אחר למכירת סמים מסוג קנבוס באמצעות יישומון ה"טלגראס", פרסם את הסמים למכירה וביצע את העסקאות בתמורה לשכר יומי בסך 500 ₪. כמו כן החזיק שלא לצריכה עצמית 50 גרם קנבוס מחולק למנות, שקיות חלוקה, משקל אלקטרוני </w:t>
      </w:r>
      <w:r w:rsidR="00447855">
        <w:rPr>
          <w:rFonts w:ascii="David" w:hAnsi="David" w:cs="David" w:hint="cs"/>
          <w:color w:val="000000"/>
          <w:sz w:val="24"/>
          <w:szCs w:val="24"/>
          <w:rtl/>
        </w:rPr>
        <w:t xml:space="preserve">ו- </w:t>
      </w:r>
      <w:r w:rsidR="00447855" w:rsidRPr="00A64AC6">
        <w:rPr>
          <w:rFonts w:ascii="David" w:hAnsi="David" w:cs="David"/>
          <w:color w:val="000000"/>
          <w:sz w:val="24"/>
          <w:szCs w:val="24"/>
          <w:rtl/>
        </w:rPr>
        <w:t xml:space="preserve">25,155 ₪. מתחם הענישה בגין עבירת ההחזקה נקבע בבית משפט השלום בין מספר חודשי מאסר ועד 12 חודשי מאסר בפועל, ובגין כלל עבירות הסחר בין 10 ועד 20 חודשי מאסר. בית המשפט מצא לחרוג ממתחם הענישה משיקולי שיקום והטיל על </w:t>
      </w:r>
      <w:r w:rsidR="00447855">
        <w:rPr>
          <w:rFonts w:ascii="David" w:hAnsi="David" w:cs="David" w:hint="cs"/>
          <w:color w:val="000000"/>
          <w:sz w:val="24"/>
          <w:szCs w:val="24"/>
          <w:rtl/>
        </w:rPr>
        <w:t>המבקש</w:t>
      </w:r>
      <w:r w:rsidR="00447855" w:rsidRPr="00A64AC6">
        <w:rPr>
          <w:rFonts w:ascii="David" w:hAnsi="David" w:cs="David"/>
          <w:color w:val="000000"/>
          <w:sz w:val="24"/>
          <w:szCs w:val="24"/>
          <w:rtl/>
        </w:rPr>
        <w:t xml:space="preserve"> 8 חודשי מאסר שירוצו בעבודות שירות לצד ענישה נלווית. ערעור שהוגש לבית המשפט המחוזי נדחה כמו </w:t>
      </w:r>
      <w:r w:rsidR="00447855">
        <w:rPr>
          <w:rFonts w:ascii="David" w:hAnsi="David" w:cs="David" w:hint="cs"/>
          <w:color w:val="000000"/>
          <w:sz w:val="24"/>
          <w:szCs w:val="24"/>
          <w:rtl/>
        </w:rPr>
        <w:t xml:space="preserve">גם </w:t>
      </w:r>
      <w:r w:rsidR="00447855" w:rsidRPr="00A64AC6">
        <w:rPr>
          <w:rFonts w:ascii="David" w:hAnsi="David" w:cs="David"/>
          <w:color w:val="000000"/>
          <w:sz w:val="24"/>
          <w:szCs w:val="24"/>
          <w:rtl/>
        </w:rPr>
        <w:t xml:space="preserve">בקשת רשות ערעור לבית המשפט העליון. </w:t>
      </w:r>
    </w:p>
    <w:p w:rsidR="00447855" w:rsidRDefault="002B5031" w:rsidP="00447855">
      <w:pPr>
        <w:pStyle w:val="ListParagraph"/>
        <w:numPr>
          <w:ilvl w:val="0"/>
          <w:numId w:val="2"/>
        </w:numPr>
        <w:spacing w:after="0" w:line="360" w:lineRule="auto"/>
        <w:ind w:left="360"/>
        <w:jc w:val="both"/>
        <w:rPr>
          <w:rFonts w:ascii="David" w:hAnsi="David" w:cs="David"/>
          <w:color w:val="000000"/>
          <w:sz w:val="24"/>
          <w:szCs w:val="24"/>
        </w:rPr>
      </w:pPr>
      <w:hyperlink r:id="rId31" w:history="1">
        <w:r w:rsidRPr="002B5031">
          <w:rPr>
            <w:rFonts w:ascii="David" w:hAnsi="David" w:cs="David"/>
            <w:color w:val="0000FF"/>
            <w:sz w:val="24"/>
            <w:szCs w:val="24"/>
            <w:u w:val="single"/>
            <w:rtl/>
          </w:rPr>
          <w:t>רע"פ 7858/19</w:t>
        </w:r>
      </w:hyperlink>
      <w:r>
        <w:rPr>
          <w:rFonts w:ascii="David" w:hAnsi="David" w:cs="David"/>
          <w:sz w:val="24"/>
          <w:szCs w:val="24"/>
        </w:rPr>
        <w:t xml:space="preserve"> </w:t>
      </w:r>
      <w:r w:rsidR="00447855" w:rsidRPr="00A64AC6">
        <w:rPr>
          <w:rFonts w:ascii="David" w:hAnsi="David" w:cs="David"/>
          <w:b/>
          <w:bCs/>
          <w:color w:val="000000"/>
          <w:sz w:val="24"/>
          <w:szCs w:val="24"/>
          <w:rtl/>
        </w:rPr>
        <w:t>וקנין נ' מדינת ישראל</w:t>
      </w:r>
      <w:r w:rsidR="00447855" w:rsidRPr="00A64AC6">
        <w:rPr>
          <w:rFonts w:ascii="David" w:hAnsi="David" w:cs="David"/>
          <w:color w:val="000000"/>
          <w:sz w:val="24"/>
          <w:szCs w:val="24"/>
          <w:rtl/>
        </w:rPr>
        <w:t xml:space="preserve"> (28.11.2019): שם הורשע המבקש על יסוד הודאתו בביצוע 2 ע</w:t>
      </w:r>
      <w:r w:rsidR="00447855">
        <w:rPr>
          <w:rFonts w:ascii="David" w:hAnsi="David" w:cs="David"/>
          <w:color w:val="000000"/>
          <w:sz w:val="24"/>
          <w:szCs w:val="24"/>
          <w:rtl/>
        </w:rPr>
        <w:t>בירות של סחר בקנבוס וחשיש. ה</w:t>
      </w:r>
      <w:r w:rsidR="00447855">
        <w:rPr>
          <w:rFonts w:ascii="David" w:hAnsi="David" w:cs="David" w:hint="cs"/>
          <w:color w:val="000000"/>
          <w:sz w:val="24"/>
          <w:szCs w:val="24"/>
          <w:rtl/>
        </w:rPr>
        <w:t>מבקש</w:t>
      </w:r>
      <w:r w:rsidR="00447855" w:rsidRPr="00A64AC6">
        <w:rPr>
          <w:rFonts w:ascii="David" w:hAnsi="David" w:cs="David"/>
          <w:color w:val="000000"/>
          <w:sz w:val="24"/>
          <w:szCs w:val="24"/>
          <w:rtl/>
        </w:rPr>
        <w:t xml:space="preserve"> מכר ב-2 מועדים שונים קנבוס וחשיש במשקל כולל של כ-5.8 גרם. מתחם הענישה נקבע בין מספר חודשי מאסר אותם ניתן לרצות בעבודות שירות ועד 8 חודשי מאסר. על המבקש נגזרו 5 חודשי מאסר בפועל לצד עונשים נלווים. ערעור שהוגש לבית המשפט המחוזי נדחה כמו גם בקשת רשות ערעור בבית המשפט העליון.</w:t>
      </w:r>
    </w:p>
    <w:p w:rsidR="00447855" w:rsidRDefault="002B5031" w:rsidP="00447855">
      <w:pPr>
        <w:pStyle w:val="ListParagraph"/>
        <w:numPr>
          <w:ilvl w:val="0"/>
          <w:numId w:val="2"/>
        </w:numPr>
        <w:spacing w:after="0" w:line="360" w:lineRule="auto"/>
        <w:ind w:left="360"/>
        <w:jc w:val="both"/>
        <w:rPr>
          <w:rFonts w:ascii="David" w:hAnsi="David" w:cs="David"/>
          <w:color w:val="000000"/>
          <w:sz w:val="24"/>
          <w:szCs w:val="24"/>
        </w:rPr>
      </w:pPr>
      <w:hyperlink r:id="rId32" w:history="1">
        <w:r w:rsidRPr="002B5031">
          <w:rPr>
            <w:rFonts w:ascii="David" w:hAnsi="David" w:cs="David"/>
            <w:color w:val="0000FF"/>
            <w:sz w:val="24"/>
            <w:szCs w:val="24"/>
            <w:u w:val="single"/>
            <w:rtl/>
          </w:rPr>
          <w:t>רע"פ 5712/16</w:t>
        </w:r>
      </w:hyperlink>
      <w:r w:rsidR="00447855" w:rsidRPr="00A64AC6">
        <w:rPr>
          <w:rFonts w:ascii="David" w:hAnsi="David" w:cs="David"/>
          <w:color w:val="000000"/>
          <w:sz w:val="24"/>
          <w:szCs w:val="24"/>
          <w:rtl/>
        </w:rPr>
        <w:t xml:space="preserve"> </w:t>
      </w:r>
      <w:r w:rsidR="00447855" w:rsidRPr="00A64AC6">
        <w:rPr>
          <w:rFonts w:ascii="David" w:hAnsi="David" w:cs="David"/>
          <w:b/>
          <w:bCs/>
          <w:color w:val="000000"/>
          <w:sz w:val="24"/>
          <w:szCs w:val="24"/>
          <w:rtl/>
        </w:rPr>
        <w:t>אייזנבאך נ' מדינת ישראל</w:t>
      </w:r>
      <w:r w:rsidR="00447855" w:rsidRPr="00A64AC6">
        <w:rPr>
          <w:rFonts w:ascii="David" w:hAnsi="David" w:cs="David"/>
          <w:color w:val="000000"/>
          <w:sz w:val="24"/>
          <w:szCs w:val="24"/>
          <w:rtl/>
        </w:rPr>
        <w:t xml:space="preserve"> (17.8.2016): שם הורשע המבקש על יסוד הודאתו בביצוע 4 עבירות של סחר בקנבוס. למעט מכירה אחת של 2 גרם קנבוס, משקל הסם אינו ידוע אך הסכום הכולל אותו קיבל המבקש עמד על 1,800 ₪. מתחם הענישה הכולל נקבע בין 8 ועד 24 חודשי מאסר. על המבקש נגזרו 8 חודשי מאסר ועונשים נלווים, חרף תסקיר חיובי והמלצת שירות המבחן לשל"צ. ערעור שהגיש המבקש לבית המשפט המחוזי נדחה תוך שנקבע כי העונשים שנגזרו על המבקש נמצאים במתחם הסבירות ואין מקום להתערב בהם. בקשת רשות ערעור לבית המשפט העליון נדחתה תוך שנקבע כי העונש שהושת על המבקש ראוי, מאוזן ומבטא התחשבות בכלל השיקולים לקולא ובאינטרס השיקום בעניינו</w:t>
      </w:r>
      <w:r w:rsidR="00447855">
        <w:rPr>
          <w:rFonts w:ascii="David" w:hAnsi="David" w:cs="David" w:hint="cs"/>
          <w:color w:val="000000"/>
          <w:sz w:val="24"/>
          <w:szCs w:val="24"/>
          <w:rtl/>
        </w:rPr>
        <w:t>.</w:t>
      </w:r>
    </w:p>
    <w:p w:rsidR="00447855" w:rsidRPr="00A64AC6" w:rsidRDefault="002B5031" w:rsidP="00447855">
      <w:pPr>
        <w:pStyle w:val="ListParagraph"/>
        <w:numPr>
          <w:ilvl w:val="0"/>
          <w:numId w:val="2"/>
        </w:numPr>
        <w:spacing w:after="0" w:line="360" w:lineRule="auto"/>
        <w:ind w:left="360"/>
        <w:jc w:val="both"/>
        <w:rPr>
          <w:rFonts w:ascii="David" w:hAnsi="David" w:cs="David"/>
          <w:color w:val="000000"/>
          <w:sz w:val="24"/>
          <w:szCs w:val="24"/>
        </w:rPr>
      </w:pPr>
      <w:hyperlink r:id="rId33" w:history="1">
        <w:r w:rsidRPr="002B5031">
          <w:rPr>
            <w:rFonts w:ascii="David" w:hAnsi="David" w:cs="David"/>
            <w:color w:val="0000FF"/>
            <w:sz w:val="24"/>
            <w:szCs w:val="24"/>
            <w:u w:val="single"/>
            <w:rtl/>
          </w:rPr>
          <w:t>עפ"ג 13736-12-18</w:t>
        </w:r>
      </w:hyperlink>
      <w:r w:rsidR="00447855" w:rsidRPr="00A64AC6">
        <w:rPr>
          <w:rFonts w:ascii="David" w:hAnsi="David" w:cs="David"/>
          <w:color w:val="000000"/>
          <w:sz w:val="24"/>
          <w:szCs w:val="24"/>
          <w:rtl/>
        </w:rPr>
        <w:t xml:space="preserve"> </w:t>
      </w:r>
      <w:r w:rsidR="00447855" w:rsidRPr="00A64AC6">
        <w:rPr>
          <w:rFonts w:ascii="David" w:hAnsi="David" w:cs="David"/>
          <w:b/>
          <w:bCs/>
          <w:color w:val="000000"/>
          <w:sz w:val="24"/>
          <w:szCs w:val="24"/>
          <w:rtl/>
        </w:rPr>
        <w:t>מדינת ישראל נ' אשכנזי</w:t>
      </w:r>
      <w:r w:rsidR="00447855" w:rsidRPr="00A64AC6">
        <w:rPr>
          <w:rFonts w:ascii="David" w:hAnsi="David" w:cs="David"/>
          <w:color w:val="000000"/>
          <w:sz w:val="24"/>
          <w:szCs w:val="24"/>
          <w:rtl/>
        </w:rPr>
        <w:t xml:space="preserve"> (15.3.2019): שם הורשע המערער על יסוד הודאתו בביצוע עבירות של סחר בסם מסוכן והחזקה של סם מסוכן שלא לצריכה עצמית. המערער סחר בקנבוס ב-16 הזדמנויות שונות על פני מספר חודשים במשקלים שנעו בין 2 ו-17 גרם תמורת 100 ₪ לגרם. כמו כן החזיק שלא לצריכה עצמית כ-66 גרם קנבוס, חשיש ומריחואנה לצד משקל אלקטרוני ושקיות אריזה. מתחם הענישה בגין כל עבירת סחר נקבע בין מאסר קצר שיכול וירוצה בעבודות שירות ועד 10 חודשי מאסר בפועל. ביחס לכל עבירת החזקה נקבע מתחם ענישה שבין מאסר מותנה ובין 8 חודשי מאסר. משיקולי שיקום הסתפק בית המשפט במאסר על תנאי וצו של"צ לצד עונשים נלווים. ערעור על קולת העונש התקבל כך שעונש המאסר הועמד על 6 חודשי מאסר בעבודות שירות.</w:t>
      </w:r>
    </w:p>
    <w:p w:rsidR="00447855" w:rsidRDefault="00447855" w:rsidP="00447855">
      <w:pPr>
        <w:jc w:val="both"/>
        <w:rPr>
          <w:rFonts w:ascii="David" w:hAnsi="David"/>
          <w:color w:val="000000"/>
          <w:sz w:val="20"/>
          <w:szCs w:val="20"/>
        </w:rPr>
      </w:pPr>
    </w:p>
    <w:p w:rsidR="00447855" w:rsidRDefault="00447855" w:rsidP="00447855">
      <w:pPr>
        <w:pStyle w:val="ListParagraph"/>
        <w:numPr>
          <w:ilvl w:val="0"/>
          <w:numId w:val="1"/>
        </w:numPr>
        <w:spacing w:after="0" w:line="360" w:lineRule="auto"/>
        <w:ind w:left="-58" w:firstLine="8"/>
        <w:jc w:val="both"/>
        <w:rPr>
          <w:rFonts w:ascii="David" w:eastAsia="Times New Roman" w:hAnsi="David" w:cs="David"/>
          <w:sz w:val="24"/>
          <w:szCs w:val="24"/>
        </w:rPr>
      </w:pPr>
      <w:r>
        <w:rPr>
          <w:rFonts w:ascii="David" w:hAnsi="David" w:cs="David"/>
          <w:color w:val="000000"/>
          <w:sz w:val="24"/>
          <w:szCs w:val="24"/>
          <w:rtl/>
        </w:rPr>
        <w:t xml:space="preserve">נתתי דעתי גם לכלל הפסיקה אליה הפנו הצדדים. כידוע, וכפי </w:t>
      </w:r>
      <w:r>
        <w:rPr>
          <w:rFonts w:ascii="David" w:eastAsia="Times New Roman" w:hAnsi="David" w:cs="David"/>
          <w:sz w:val="24"/>
          <w:szCs w:val="24"/>
          <w:rtl/>
        </w:rPr>
        <w:t xml:space="preserve">שציין כב' השופט פוגלמן </w:t>
      </w:r>
      <w:r>
        <w:rPr>
          <w:rFonts w:ascii="David" w:hAnsi="David" w:cs="David"/>
          <w:sz w:val="24"/>
          <w:szCs w:val="24"/>
          <w:rtl/>
        </w:rPr>
        <w:t xml:space="preserve">(כתוארו דאז) </w:t>
      </w:r>
      <w:r>
        <w:rPr>
          <w:rFonts w:ascii="David" w:eastAsia="Times New Roman" w:hAnsi="David" w:cs="David"/>
          <w:sz w:val="24"/>
          <w:szCs w:val="24"/>
          <w:rtl/>
        </w:rPr>
        <w:t>ב</w:t>
      </w:r>
      <w:hyperlink r:id="rId34" w:history="1">
        <w:r w:rsidR="002B5031" w:rsidRPr="002B5031">
          <w:rPr>
            <w:rFonts w:ascii="David" w:eastAsia="Times New Roman" w:hAnsi="David" w:cs="David"/>
            <w:color w:val="0000FF"/>
            <w:sz w:val="24"/>
            <w:szCs w:val="24"/>
            <w:u w:val="single"/>
            <w:rtl/>
          </w:rPr>
          <w:t>ע"פ 4456/14</w:t>
        </w:r>
      </w:hyperlink>
      <w:r>
        <w:rPr>
          <w:rFonts w:ascii="David" w:eastAsia="Times New Roman" w:hAnsi="David" w:cs="David"/>
          <w:sz w:val="24"/>
          <w:szCs w:val="24"/>
          <w:rtl/>
        </w:rPr>
        <w:t xml:space="preserve"> </w:t>
      </w:r>
      <w:r>
        <w:rPr>
          <w:rFonts w:ascii="David" w:eastAsia="Times New Roman" w:hAnsi="David" w:cs="David" w:hint="cs"/>
          <w:b/>
          <w:bCs/>
          <w:sz w:val="24"/>
          <w:szCs w:val="24"/>
          <w:rtl/>
        </w:rPr>
        <w:t>קלנר נ' מדינת ישראל</w:t>
      </w:r>
      <w:r>
        <w:rPr>
          <w:rFonts w:ascii="David" w:eastAsia="Times New Roman" w:hAnsi="David" w:cs="David" w:hint="cs"/>
          <w:sz w:val="24"/>
          <w:szCs w:val="24"/>
          <w:rtl/>
        </w:rPr>
        <w:t xml:space="preserve"> (29.12.2015):</w:t>
      </w:r>
    </w:p>
    <w:p w:rsidR="00447855" w:rsidRPr="000D66F3" w:rsidRDefault="00447855" w:rsidP="00447855">
      <w:pPr>
        <w:ind w:left="720"/>
        <w:contextualSpacing/>
        <w:jc w:val="both"/>
        <w:rPr>
          <w:rFonts w:ascii="David" w:hAnsi="David"/>
          <w:sz w:val="20"/>
          <w:szCs w:val="20"/>
          <w:rtl/>
        </w:rPr>
      </w:pPr>
    </w:p>
    <w:p w:rsidR="00447855" w:rsidRPr="00A64AC6" w:rsidRDefault="00447855" w:rsidP="00447855">
      <w:pPr>
        <w:ind w:left="454" w:right="454"/>
        <w:contextualSpacing/>
        <w:jc w:val="both"/>
        <w:rPr>
          <w:rFonts w:ascii="David" w:hAnsi="David"/>
          <w:b/>
          <w:bCs/>
          <w:sz w:val="22"/>
          <w:szCs w:val="22"/>
          <w:rtl/>
        </w:rPr>
      </w:pPr>
      <w:r w:rsidRPr="00A64AC6">
        <w:rPr>
          <w:rFonts w:ascii="David" w:hAnsi="David"/>
          <w:b/>
          <w:bCs/>
          <w:sz w:val="22"/>
          <w:szCs w:val="22"/>
          <w:rtl/>
        </w:rPr>
        <w:t xml:space="preserve">"תיקון 113 לחוק מדריך את בית המשפט לקבוע בגזר דינו מתחם עונש הולם למעשי הנאשם. מתחם העונש ההולם הוא טווח של עונשים אשר כל עונש שבתוכו יעמוד בעקרון המנחה וייחשב הולם. אין מדובר בטווחי ענישה הנקבעים ביחס לעבירה פלונית; המתחמים משתנים ממעשה עבירה אחד לשני, בהתאם לחומרתו, ומנאשם אחד לשני, בהתאם לאשמו". </w:t>
      </w:r>
      <w:r w:rsidRPr="00A64AC6">
        <w:rPr>
          <w:rFonts w:ascii="David" w:hAnsi="David"/>
          <w:sz w:val="22"/>
          <w:szCs w:val="22"/>
          <w:rtl/>
        </w:rPr>
        <w:t xml:space="preserve">(שם, פסקה 198 בפרק הדן </w:t>
      </w:r>
      <w:r w:rsidRPr="00A64AC6">
        <w:rPr>
          <w:rFonts w:ascii="David" w:hAnsi="David"/>
          <w:b/>
          <w:bCs/>
          <w:sz w:val="22"/>
          <w:szCs w:val="22"/>
          <w:rtl/>
        </w:rPr>
        <w:t>ב</w:t>
      </w:r>
      <w:hyperlink r:id="rId35" w:history="1">
        <w:r w:rsidR="002B5031" w:rsidRPr="002B5031">
          <w:rPr>
            <w:rFonts w:ascii="David" w:hAnsi="David"/>
            <w:b/>
            <w:bCs/>
            <w:color w:val="0000FF"/>
            <w:sz w:val="22"/>
            <w:szCs w:val="22"/>
            <w:u w:val="single"/>
            <w:rtl/>
          </w:rPr>
          <w:t>ע"פ 5669/14</w:t>
        </w:r>
      </w:hyperlink>
      <w:r w:rsidRPr="00A64AC6">
        <w:rPr>
          <w:rFonts w:ascii="David" w:hAnsi="David"/>
          <w:b/>
          <w:bCs/>
          <w:sz w:val="22"/>
          <w:szCs w:val="22"/>
          <w:rtl/>
        </w:rPr>
        <w:t xml:space="preserve"> לופוליאנסקי נ' מדינת ישראל</w:t>
      </w:r>
      <w:r w:rsidRPr="00A64AC6">
        <w:rPr>
          <w:rFonts w:ascii="David" w:hAnsi="David"/>
          <w:sz w:val="22"/>
          <w:szCs w:val="22"/>
          <w:rtl/>
        </w:rPr>
        <w:t>)</w:t>
      </w:r>
      <w:r w:rsidRPr="00A64AC6">
        <w:rPr>
          <w:rFonts w:ascii="David" w:hAnsi="David"/>
          <w:b/>
          <w:bCs/>
          <w:sz w:val="22"/>
          <w:szCs w:val="22"/>
          <w:rtl/>
        </w:rPr>
        <w:t>.</w:t>
      </w:r>
    </w:p>
    <w:p w:rsidR="00447855" w:rsidRPr="00D9536A" w:rsidRDefault="00447855" w:rsidP="00447855">
      <w:pPr>
        <w:ind w:left="720"/>
        <w:contextualSpacing/>
        <w:jc w:val="both"/>
        <w:rPr>
          <w:rFonts w:ascii="David" w:hAnsi="David"/>
          <w:sz w:val="20"/>
          <w:szCs w:val="20"/>
        </w:rPr>
      </w:pPr>
    </w:p>
    <w:p w:rsidR="00447855" w:rsidRDefault="00447855" w:rsidP="00447855">
      <w:pPr>
        <w:pStyle w:val="ListParagraph"/>
        <w:numPr>
          <w:ilvl w:val="0"/>
          <w:numId w:val="1"/>
        </w:numPr>
        <w:spacing w:after="0" w:line="360" w:lineRule="auto"/>
        <w:ind w:left="-42" w:firstLine="8"/>
        <w:jc w:val="both"/>
        <w:rPr>
          <w:rFonts w:ascii="David" w:hAnsi="David" w:cs="David"/>
          <w:color w:val="000000"/>
          <w:sz w:val="20"/>
          <w:szCs w:val="20"/>
        </w:rPr>
      </w:pPr>
      <w:r w:rsidRPr="008E1F51">
        <w:rPr>
          <w:rFonts w:ascii="David" w:hAnsi="David" w:cs="David"/>
          <w:color w:val="000000"/>
          <w:sz w:val="24"/>
          <w:szCs w:val="24"/>
          <w:rtl/>
        </w:rPr>
        <w:t xml:space="preserve">שקלתי את עתירת הסנגורית כי בעת קביעת מתחם הענישה יילקחו בחשבון כשלים ומחדלי החקירה שנפלו אך לא מצאתי להיעתר למבוקש. כידוע, </w:t>
      </w:r>
      <w:r w:rsidRPr="008E1F51">
        <w:rPr>
          <w:rFonts w:ascii="David" w:hAnsi="David" w:cs="David"/>
          <w:sz w:val="24"/>
          <w:szCs w:val="24"/>
          <w:rtl/>
        </w:rPr>
        <w:t>על פי</w:t>
      </w:r>
      <w:r w:rsidR="002B5031">
        <w:rPr>
          <w:rFonts w:ascii="David" w:hAnsi="David" w:cs="David"/>
          <w:sz w:val="24"/>
          <w:szCs w:val="24"/>
          <w:rtl/>
        </w:rPr>
        <w:t xml:space="preserve"> </w:t>
      </w:r>
      <w:hyperlink r:id="rId36" w:history="1">
        <w:r w:rsidR="000C2E36" w:rsidRPr="000C2E36">
          <w:rPr>
            <w:rStyle w:val="Hyperlink"/>
            <w:rFonts w:ascii="David" w:hAnsi="David" w:cs="David"/>
            <w:sz w:val="24"/>
            <w:szCs w:val="24"/>
            <w:rtl/>
          </w:rPr>
          <w:t>סעיף 40יא(9)</w:t>
        </w:r>
      </w:hyperlink>
      <w:r w:rsidR="002B5031">
        <w:rPr>
          <w:rFonts w:ascii="David" w:hAnsi="David" w:cs="David"/>
          <w:sz w:val="24"/>
          <w:szCs w:val="24"/>
          <w:rtl/>
        </w:rPr>
        <w:t xml:space="preserve"> </w:t>
      </w:r>
      <w:r w:rsidRPr="008E1F51">
        <w:rPr>
          <w:rFonts w:ascii="David" w:hAnsi="David" w:cs="David"/>
          <w:sz w:val="24"/>
          <w:szCs w:val="24"/>
          <w:rtl/>
        </w:rPr>
        <w:t>ל</w:t>
      </w:r>
      <w:hyperlink r:id="rId37" w:history="1">
        <w:r w:rsidR="002B5031" w:rsidRPr="002B5031">
          <w:rPr>
            <w:rFonts w:ascii="David" w:hAnsi="David" w:cs="David"/>
            <w:color w:val="0000FF"/>
            <w:sz w:val="24"/>
            <w:szCs w:val="24"/>
            <w:u w:val="single"/>
            <w:rtl/>
          </w:rPr>
          <w:t>חוק העונשין</w:t>
        </w:r>
      </w:hyperlink>
      <w:r w:rsidRPr="008E1F51">
        <w:rPr>
          <w:rFonts w:ascii="David" w:hAnsi="David" w:cs="David"/>
          <w:sz w:val="24"/>
          <w:szCs w:val="24"/>
          <w:rtl/>
        </w:rPr>
        <w:t xml:space="preserve">, בעת </w:t>
      </w:r>
      <w:r w:rsidRPr="008E1F51">
        <w:rPr>
          <w:rFonts w:ascii="David" w:hAnsi="David" w:cs="David"/>
          <w:color w:val="000000"/>
          <w:sz w:val="24"/>
          <w:szCs w:val="24"/>
          <w:rtl/>
        </w:rPr>
        <w:t xml:space="preserve">מיקום עונשו של נאשם בגדרי המתחם רשאי בית המשפט לשקול את התנהגות רשויות אכיפת החוק בין יתר שיקוליו – וזה המקום הראוי לשקול שיקולים אלה גם במקרה דנן. </w:t>
      </w:r>
      <w:r w:rsidRPr="008E1F51">
        <w:rPr>
          <w:rFonts w:ascii="David" w:hAnsi="David" w:cs="David" w:hint="cs"/>
          <w:color w:val="000000"/>
          <w:sz w:val="24"/>
          <w:szCs w:val="24"/>
          <w:rtl/>
        </w:rPr>
        <w:t xml:space="preserve">אמנם, </w:t>
      </w:r>
      <w:r w:rsidRPr="008E1F51">
        <w:rPr>
          <w:rFonts w:ascii="David" w:hAnsi="David" w:cs="David"/>
          <w:color w:val="000000"/>
          <w:sz w:val="24"/>
          <w:szCs w:val="24"/>
          <w:rtl/>
        </w:rPr>
        <w:t>על פי הפסיקה</w:t>
      </w:r>
      <w:r>
        <w:rPr>
          <w:rFonts w:ascii="David" w:hAnsi="David" w:cs="David" w:hint="cs"/>
          <w:color w:val="000000"/>
          <w:sz w:val="24"/>
          <w:szCs w:val="24"/>
          <w:rtl/>
        </w:rPr>
        <w:t>,</w:t>
      </w:r>
      <w:r w:rsidRPr="008E1F51">
        <w:rPr>
          <w:rFonts w:ascii="David" w:hAnsi="David" w:cs="David"/>
          <w:color w:val="000000"/>
          <w:sz w:val="24"/>
          <w:szCs w:val="24"/>
          <w:rtl/>
        </w:rPr>
        <w:t xml:space="preserve"> החלת דוקטרינת ההגנה מן הצדק עשויה להשפיע במקרים מתאימים על קביעת מתחם העונש עצמו (</w:t>
      </w:r>
      <w:hyperlink r:id="rId38" w:history="1">
        <w:r w:rsidR="002B5031" w:rsidRPr="002B5031">
          <w:rPr>
            <w:rFonts w:ascii="David" w:hAnsi="David" w:cs="David"/>
            <w:color w:val="0000FF"/>
            <w:sz w:val="24"/>
            <w:szCs w:val="24"/>
            <w:u w:val="single"/>
            <w:rtl/>
          </w:rPr>
          <w:t>ע"פ 7621/14</w:t>
        </w:r>
      </w:hyperlink>
      <w:r w:rsidRPr="008E1F51">
        <w:rPr>
          <w:rFonts w:ascii="David" w:hAnsi="David" w:cs="David"/>
          <w:color w:val="000000"/>
          <w:sz w:val="24"/>
          <w:szCs w:val="24"/>
          <w:rtl/>
        </w:rPr>
        <w:t xml:space="preserve"> </w:t>
      </w:r>
      <w:r w:rsidRPr="008E1F51">
        <w:rPr>
          <w:rFonts w:ascii="David" w:hAnsi="David" w:cs="David"/>
          <w:b/>
          <w:bCs/>
          <w:color w:val="000000"/>
          <w:sz w:val="24"/>
          <w:szCs w:val="24"/>
          <w:rtl/>
        </w:rPr>
        <w:t>גוטסדינר נ' מדינת ישראל</w:t>
      </w:r>
      <w:r w:rsidRPr="008E1F51">
        <w:rPr>
          <w:rFonts w:ascii="David" w:hAnsi="David" w:cs="David"/>
          <w:color w:val="000000"/>
          <w:sz w:val="24"/>
          <w:szCs w:val="24"/>
          <w:rtl/>
        </w:rPr>
        <w:t xml:space="preserve"> (1.3.2017)) – אך </w:t>
      </w:r>
      <w:r w:rsidRPr="008E1F51">
        <w:rPr>
          <w:rFonts w:ascii="David" w:hAnsi="David" w:cs="David" w:hint="cs"/>
          <w:color w:val="000000"/>
          <w:sz w:val="24"/>
          <w:szCs w:val="24"/>
          <w:rtl/>
        </w:rPr>
        <w:t>גם בהינתן האמור, לאור לשון תיקון 113 ל</w:t>
      </w:r>
      <w:hyperlink r:id="rId39" w:history="1">
        <w:r w:rsidR="002B5031" w:rsidRPr="002B5031">
          <w:rPr>
            <w:rFonts w:ascii="David" w:hAnsi="David" w:cs="David"/>
            <w:color w:val="0000FF"/>
            <w:sz w:val="24"/>
            <w:szCs w:val="24"/>
            <w:u w:val="single"/>
            <w:rtl/>
          </w:rPr>
          <w:t>חוק העונשין</w:t>
        </w:r>
      </w:hyperlink>
      <w:r w:rsidRPr="008E1F51">
        <w:rPr>
          <w:rFonts w:ascii="David" w:hAnsi="David" w:cs="David" w:hint="cs"/>
          <w:color w:val="000000"/>
          <w:sz w:val="24"/>
          <w:szCs w:val="24"/>
          <w:rtl/>
        </w:rPr>
        <w:t>, ברי כי אפשרות זו שמורה למקרים חריגים ומיוחדים</w:t>
      </w:r>
      <w:r>
        <w:rPr>
          <w:rFonts w:ascii="David" w:hAnsi="David" w:cs="David" w:hint="cs"/>
          <w:color w:val="000000"/>
          <w:sz w:val="24"/>
          <w:szCs w:val="24"/>
          <w:rtl/>
        </w:rPr>
        <w:t>. אינני מוצאת כי מקרה זה בא בגדר אותם מקרים חריגים, מה גם ש</w:t>
      </w:r>
      <w:r w:rsidRPr="008E1F51">
        <w:rPr>
          <w:rFonts w:ascii="David" w:hAnsi="David" w:cs="David" w:hint="cs"/>
          <w:color w:val="000000"/>
          <w:sz w:val="24"/>
          <w:szCs w:val="24"/>
          <w:rtl/>
        </w:rPr>
        <w:t xml:space="preserve">חלק </w:t>
      </w:r>
      <w:r>
        <w:rPr>
          <w:rFonts w:ascii="David" w:hAnsi="David" w:cs="David" w:hint="cs"/>
          <w:color w:val="000000"/>
          <w:sz w:val="24"/>
          <w:szCs w:val="24"/>
          <w:rtl/>
        </w:rPr>
        <w:t>ממשי מן ה</w:t>
      </w:r>
      <w:r w:rsidRPr="008E1F51">
        <w:rPr>
          <w:rFonts w:ascii="David" w:hAnsi="David" w:cs="David" w:hint="cs"/>
          <w:color w:val="000000"/>
          <w:sz w:val="24"/>
          <w:szCs w:val="24"/>
          <w:rtl/>
        </w:rPr>
        <w:t>פגמים שנפלו בהליך הביא לפסלות ראיות וכפועל יו</w:t>
      </w:r>
      <w:r>
        <w:rPr>
          <w:rFonts w:ascii="David" w:hAnsi="David" w:cs="David" w:hint="cs"/>
          <w:color w:val="000000"/>
          <w:sz w:val="24"/>
          <w:szCs w:val="24"/>
          <w:rtl/>
        </w:rPr>
        <w:t>צא אף לזיכוי הנאשם מחלק מן העבירות,</w:t>
      </w:r>
      <w:r w:rsidRPr="008E1F51">
        <w:rPr>
          <w:rFonts w:ascii="David" w:hAnsi="David" w:cs="David" w:hint="cs"/>
          <w:color w:val="000000"/>
          <w:sz w:val="24"/>
          <w:szCs w:val="24"/>
          <w:rtl/>
        </w:rPr>
        <w:t xml:space="preserve"> </w:t>
      </w:r>
      <w:r w:rsidRPr="008E1F51">
        <w:rPr>
          <w:rFonts w:ascii="David" w:hAnsi="David" w:cs="David"/>
          <w:color w:val="000000"/>
          <w:sz w:val="24"/>
          <w:szCs w:val="24"/>
          <w:rtl/>
        </w:rPr>
        <w:t xml:space="preserve">כך שניתנה </w:t>
      </w:r>
      <w:r>
        <w:rPr>
          <w:rFonts w:ascii="David" w:hAnsi="David" w:cs="David" w:hint="cs"/>
          <w:color w:val="000000"/>
          <w:sz w:val="24"/>
          <w:szCs w:val="24"/>
          <w:rtl/>
        </w:rPr>
        <w:t>ל</w:t>
      </w:r>
      <w:r w:rsidRPr="008E1F51">
        <w:rPr>
          <w:rFonts w:ascii="David" w:hAnsi="David" w:cs="David"/>
          <w:color w:val="000000"/>
          <w:sz w:val="24"/>
          <w:szCs w:val="24"/>
          <w:rtl/>
        </w:rPr>
        <w:t xml:space="preserve">פגיעה </w:t>
      </w:r>
      <w:r w:rsidRPr="008E1F51">
        <w:rPr>
          <w:rFonts w:ascii="David" w:hAnsi="David" w:cs="David" w:hint="cs"/>
          <w:color w:val="000000"/>
          <w:sz w:val="24"/>
          <w:szCs w:val="24"/>
          <w:rtl/>
        </w:rPr>
        <w:t xml:space="preserve">בזכות הנאשם להליך הוגן </w:t>
      </w:r>
      <w:r w:rsidRPr="008E1F51">
        <w:rPr>
          <w:rFonts w:ascii="David" w:hAnsi="David" w:cs="David"/>
          <w:color w:val="000000"/>
          <w:sz w:val="24"/>
          <w:szCs w:val="24"/>
          <w:rtl/>
        </w:rPr>
        <w:t xml:space="preserve">משמעות משפטית </w:t>
      </w:r>
      <w:r>
        <w:rPr>
          <w:rFonts w:ascii="David" w:hAnsi="David" w:cs="David" w:hint="cs"/>
          <w:color w:val="000000"/>
          <w:sz w:val="24"/>
          <w:szCs w:val="24"/>
          <w:rtl/>
        </w:rPr>
        <w:t xml:space="preserve">של ממש </w:t>
      </w:r>
      <w:r w:rsidRPr="008E1F51">
        <w:rPr>
          <w:rFonts w:ascii="David" w:hAnsi="David" w:cs="David"/>
          <w:color w:val="000000"/>
          <w:sz w:val="24"/>
          <w:szCs w:val="24"/>
          <w:rtl/>
        </w:rPr>
        <w:t xml:space="preserve">לטובת הנאשם. </w:t>
      </w:r>
      <w:r>
        <w:rPr>
          <w:rFonts w:ascii="David" w:hAnsi="David" w:cs="David" w:hint="cs"/>
          <w:color w:val="000000"/>
          <w:sz w:val="24"/>
          <w:szCs w:val="24"/>
          <w:rtl/>
        </w:rPr>
        <w:t>זו מסקנתי</w:t>
      </w:r>
      <w:r w:rsidRPr="008E1F51">
        <w:rPr>
          <w:rFonts w:ascii="David" w:hAnsi="David" w:cs="David" w:hint="cs"/>
          <w:color w:val="000000"/>
          <w:sz w:val="24"/>
          <w:szCs w:val="24"/>
          <w:rtl/>
        </w:rPr>
        <w:t xml:space="preserve"> אף לאחר שעיינתי </w:t>
      </w:r>
      <w:r w:rsidRPr="00671864">
        <w:rPr>
          <w:rFonts w:ascii="David" w:hAnsi="David" w:cs="David" w:hint="cs"/>
          <w:b/>
          <w:bCs/>
          <w:color w:val="000000"/>
          <w:sz w:val="24"/>
          <w:szCs w:val="24"/>
          <w:rtl/>
        </w:rPr>
        <w:t>בעניין וסרמן</w:t>
      </w:r>
      <w:r w:rsidRPr="008E1F51">
        <w:rPr>
          <w:rFonts w:ascii="David" w:hAnsi="David" w:cs="David" w:hint="cs"/>
          <w:color w:val="000000"/>
          <w:sz w:val="24"/>
          <w:szCs w:val="24"/>
          <w:rtl/>
        </w:rPr>
        <w:t xml:space="preserve"> </w:t>
      </w:r>
      <w:r w:rsidRPr="00671864">
        <w:rPr>
          <w:rFonts w:ascii="David" w:hAnsi="David" w:cs="David" w:hint="cs"/>
          <w:b/>
          <w:bCs/>
          <w:color w:val="000000"/>
          <w:sz w:val="24"/>
          <w:szCs w:val="24"/>
          <w:rtl/>
        </w:rPr>
        <w:t>ועניין אבו קינץ</w:t>
      </w:r>
      <w:r w:rsidRPr="008E1F51">
        <w:rPr>
          <w:rFonts w:ascii="David" w:hAnsi="David" w:cs="David" w:hint="cs"/>
          <w:color w:val="000000"/>
          <w:sz w:val="24"/>
          <w:szCs w:val="24"/>
          <w:rtl/>
        </w:rPr>
        <w:t xml:space="preserve"> אליהם הפנתה הסנגורית</w:t>
      </w:r>
      <w:r>
        <w:rPr>
          <w:rFonts w:ascii="David" w:hAnsi="David" w:cs="David" w:hint="cs"/>
          <w:color w:val="000000"/>
          <w:sz w:val="20"/>
          <w:szCs w:val="20"/>
          <w:rtl/>
        </w:rPr>
        <w:t xml:space="preserve">. </w:t>
      </w:r>
    </w:p>
    <w:p w:rsidR="00447855" w:rsidRPr="008E1F51" w:rsidRDefault="00447855" w:rsidP="00447855">
      <w:pPr>
        <w:pStyle w:val="ListParagraph"/>
        <w:spacing w:after="0" w:line="240" w:lineRule="auto"/>
        <w:ind w:left="-34"/>
        <w:jc w:val="both"/>
        <w:rPr>
          <w:rFonts w:ascii="David" w:hAnsi="David" w:cs="David"/>
          <w:color w:val="000000"/>
          <w:sz w:val="20"/>
          <w:szCs w:val="20"/>
        </w:rPr>
      </w:pPr>
    </w:p>
    <w:p w:rsidR="00447855" w:rsidRDefault="00447855" w:rsidP="00447855">
      <w:pPr>
        <w:pStyle w:val="ListParagraph"/>
        <w:numPr>
          <w:ilvl w:val="0"/>
          <w:numId w:val="1"/>
        </w:numPr>
        <w:spacing w:after="0" w:line="360" w:lineRule="auto"/>
        <w:ind w:left="-58" w:firstLine="8"/>
        <w:jc w:val="both"/>
        <w:rPr>
          <w:rFonts w:ascii="David" w:hAnsi="David" w:cs="David"/>
          <w:color w:val="000000"/>
          <w:sz w:val="24"/>
          <w:szCs w:val="24"/>
        </w:rPr>
      </w:pPr>
      <w:r>
        <w:rPr>
          <w:rFonts w:ascii="David" w:hAnsi="David" w:cs="David"/>
          <w:color w:val="000000"/>
          <w:sz w:val="24"/>
          <w:szCs w:val="24"/>
          <w:rtl/>
        </w:rPr>
        <w:t>בראי כלל המפורט לעיל, יקבעו מתחמי הענישה הבאים ביחס לעונש המאסר, כשלצידם ענישה נלווית:</w:t>
      </w:r>
    </w:p>
    <w:p w:rsidR="00447855" w:rsidRPr="00A64AC6" w:rsidRDefault="00447855" w:rsidP="00447855">
      <w:pPr>
        <w:spacing w:line="360" w:lineRule="auto"/>
        <w:jc w:val="both"/>
        <w:rPr>
          <w:rFonts w:ascii="David" w:hAnsi="David"/>
          <w:color w:val="000000"/>
        </w:rPr>
      </w:pPr>
      <w:r w:rsidRPr="00A64AC6">
        <w:rPr>
          <w:rFonts w:ascii="David" w:hAnsi="David"/>
          <w:b/>
          <w:bCs/>
          <w:color w:val="000000"/>
          <w:rtl/>
        </w:rPr>
        <w:t>ביחס לאישום הראשון</w:t>
      </w:r>
      <w:r w:rsidRPr="00A64AC6">
        <w:rPr>
          <w:rFonts w:ascii="David" w:hAnsi="David"/>
          <w:color w:val="000000"/>
          <w:rtl/>
        </w:rPr>
        <w:t xml:space="preserve"> – בין 3 חודשי מאסר אותם ניתן לרצות בעבודות שירות במקרים מתאימים ועד 12 חודשי מאסר בפועל.</w:t>
      </w:r>
    </w:p>
    <w:p w:rsidR="00447855" w:rsidRDefault="00447855" w:rsidP="00447855">
      <w:pPr>
        <w:spacing w:line="360" w:lineRule="auto"/>
        <w:jc w:val="both"/>
        <w:rPr>
          <w:rFonts w:ascii="David" w:hAnsi="David"/>
          <w:color w:val="000000"/>
          <w:rtl/>
        </w:rPr>
      </w:pPr>
      <w:r w:rsidRPr="00A64AC6">
        <w:rPr>
          <w:rFonts w:ascii="David" w:hAnsi="David"/>
          <w:b/>
          <w:bCs/>
          <w:color w:val="000000"/>
          <w:rtl/>
        </w:rPr>
        <w:t>ביחס לאישום השני</w:t>
      </w:r>
      <w:r>
        <w:rPr>
          <w:rFonts w:ascii="David" w:hAnsi="David"/>
          <w:color w:val="000000"/>
          <w:rtl/>
        </w:rPr>
        <w:t xml:space="preserve"> – בין 4 חודשי מאסר אותם ניתן לרצות בעבודות שירות במקרים מתאימים ועד 14 חודשי מאסר בפועל.</w:t>
      </w:r>
    </w:p>
    <w:p w:rsidR="00447855" w:rsidRDefault="00447855" w:rsidP="00447855">
      <w:pPr>
        <w:spacing w:line="360" w:lineRule="auto"/>
        <w:jc w:val="both"/>
        <w:rPr>
          <w:rFonts w:ascii="David" w:hAnsi="David"/>
          <w:color w:val="000000"/>
          <w:rtl/>
        </w:rPr>
      </w:pPr>
      <w:r w:rsidRPr="00A64AC6">
        <w:rPr>
          <w:rFonts w:ascii="David" w:hAnsi="David"/>
          <w:b/>
          <w:bCs/>
          <w:color w:val="000000"/>
          <w:rtl/>
        </w:rPr>
        <w:t xml:space="preserve">ביחס לאישום </w:t>
      </w:r>
      <w:r w:rsidRPr="00484015">
        <w:rPr>
          <w:rFonts w:ascii="David" w:hAnsi="David"/>
          <w:b/>
          <w:bCs/>
          <w:color w:val="000000"/>
          <w:rtl/>
        </w:rPr>
        <w:t>השלישי</w:t>
      </w:r>
      <w:r>
        <w:rPr>
          <w:rFonts w:ascii="David" w:hAnsi="David"/>
          <w:color w:val="000000"/>
          <w:rtl/>
        </w:rPr>
        <w:t xml:space="preserve"> – בין תקופה קצרה של מאסר אותה ניתן לרצות בעבודות שירות במקרים מתאימים ועד 10 חודשי מאסר בפועל.</w:t>
      </w:r>
    </w:p>
    <w:p w:rsidR="00447855" w:rsidRDefault="00447855" w:rsidP="00447855">
      <w:pPr>
        <w:spacing w:line="360" w:lineRule="auto"/>
        <w:jc w:val="both"/>
        <w:rPr>
          <w:rFonts w:ascii="David" w:hAnsi="David"/>
          <w:color w:val="000000"/>
          <w:rtl/>
        </w:rPr>
      </w:pPr>
      <w:r w:rsidRPr="00A64AC6">
        <w:rPr>
          <w:rFonts w:ascii="David" w:hAnsi="David"/>
          <w:b/>
          <w:bCs/>
          <w:color w:val="000000"/>
          <w:rtl/>
        </w:rPr>
        <w:t>ביחס לאישום הרביעי</w:t>
      </w:r>
      <w:r>
        <w:rPr>
          <w:rFonts w:ascii="David" w:hAnsi="David"/>
          <w:color w:val="000000"/>
          <w:rtl/>
        </w:rPr>
        <w:t xml:space="preserve"> –  בין תקופה קצרה של מאסר אותה ניתן לרצות בעבודות שירות במקרים מתאימים ועד 10 חודשי מאסר בפועל.</w:t>
      </w:r>
    </w:p>
    <w:p w:rsidR="00447855" w:rsidRDefault="00447855" w:rsidP="00447855">
      <w:pPr>
        <w:jc w:val="both"/>
        <w:rPr>
          <w:rFonts w:ascii="David" w:hAnsi="David"/>
          <w:color w:val="000000"/>
          <w:sz w:val="20"/>
          <w:szCs w:val="20"/>
          <w:rtl/>
        </w:rPr>
      </w:pPr>
    </w:p>
    <w:p w:rsidR="00447855" w:rsidRDefault="00447855" w:rsidP="00447855">
      <w:pPr>
        <w:pStyle w:val="ListParagraph"/>
        <w:spacing w:after="0" w:line="360" w:lineRule="auto"/>
        <w:ind w:left="-50"/>
        <w:jc w:val="both"/>
        <w:rPr>
          <w:rFonts w:ascii="David" w:hAnsi="David" w:cs="David"/>
          <w:b/>
          <w:bCs/>
          <w:color w:val="000000"/>
          <w:sz w:val="24"/>
          <w:szCs w:val="24"/>
          <w:u w:val="single"/>
          <w:rtl/>
        </w:rPr>
      </w:pPr>
      <w:r>
        <w:rPr>
          <w:rFonts w:ascii="David" w:hAnsi="David" w:cs="David"/>
          <w:b/>
          <w:bCs/>
          <w:color w:val="000000"/>
          <w:sz w:val="24"/>
          <w:szCs w:val="24"/>
          <w:u w:val="single"/>
          <w:rtl/>
        </w:rPr>
        <w:t xml:space="preserve">העונש ההולם לנאשם </w:t>
      </w:r>
    </w:p>
    <w:p w:rsidR="00447855" w:rsidRDefault="00447855" w:rsidP="00447855">
      <w:pPr>
        <w:pStyle w:val="ListParagraph"/>
        <w:numPr>
          <w:ilvl w:val="0"/>
          <w:numId w:val="1"/>
        </w:numPr>
        <w:spacing w:after="0" w:line="360" w:lineRule="auto"/>
        <w:ind w:left="-58" w:firstLine="8"/>
        <w:jc w:val="both"/>
        <w:rPr>
          <w:rFonts w:ascii="David" w:hAnsi="David" w:cs="David"/>
          <w:color w:val="000000"/>
          <w:sz w:val="24"/>
          <w:szCs w:val="24"/>
        </w:rPr>
      </w:pPr>
      <w:r>
        <w:rPr>
          <w:rFonts w:ascii="David" w:hAnsi="David" w:cs="David"/>
          <w:color w:val="000000"/>
          <w:sz w:val="24"/>
          <w:szCs w:val="24"/>
          <w:rtl/>
        </w:rPr>
        <w:t>הנאשם הוא יליד שנת 1976, ללא עבר פלילי, לא נפתח נגדו כל הליך בחלוף הזמן ואף לא תלויים ועומדים תיקים הממתינים לבירור דין בעניינו. הנאשם ניהל את ההליך דנן כשעיקר טענותיו נוגעות לכשלי חקירה, קבילות ראיות והגנה מן הצדק. אמנם הנאשם לא הודה ונטל אחריות למעשיו ואף לא חסך בזמן שיפוטי או את העדת העדים, כך שאינו זכאי להקלה הניתנת באופן רגיל למי שנוטל אחריות וחוסך זמן שיפוטי כאמור. עם זאת, אך מובן שאין לזקוף לחובת נאשם באשר הוא את ניהול המשפט, מה גם שבעניי</w:t>
      </w:r>
      <w:r>
        <w:rPr>
          <w:rFonts w:ascii="David" w:hAnsi="David" w:cs="David" w:hint="cs"/>
          <w:color w:val="000000"/>
          <w:sz w:val="24"/>
          <w:szCs w:val="24"/>
          <w:rtl/>
        </w:rPr>
        <w:t>נ</w:t>
      </w:r>
      <w:r>
        <w:rPr>
          <w:rFonts w:ascii="David" w:hAnsi="David" w:cs="David"/>
          <w:color w:val="000000"/>
          <w:sz w:val="24"/>
          <w:szCs w:val="24"/>
          <w:rtl/>
        </w:rPr>
        <w:t>נו חלק מטענו</w:t>
      </w:r>
      <w:r>
        <w:rPr>
          <w:rFonts w:ascii="David" w:hAnsi="David" w:cs="David" w:hint="cs"/>
          <w:color w:val="000000"/>
          <w:sz w:val="24"/>
          <w:szCs w:val="24"/>
          <w:rtl/>
        </w:rPr>
        <w:t>ת</w:t>
      </w:r>
      <w:r>
        <w:rPr>
          <w:rFonts w:ascii="David" w:hAnsi="David" w:cs="David"/>
          <w:color w:val="000000"/>
          <w:sz w:val="24"/>
          <w:szCs w:val="24"/>
          <w:rtl/>
        </w:rPr>
        <w:t xml:space="preserve"> הנאשם התקבלו, כך שניהול המשפט על ידו לא היה לשווא.</w:t>
      </w:r>
    </w:p>
    <w:p w:rsidR="00447855" w:rsidRPr="00831A4B" w:rsidRDefault="00447855" w:rsidP="00447855">
      <w:pPr>
        <w:pStyle w:val="ListParagraph"/>
        <w:spacing w:after="0" w:line="240" w:lineRule="auto"/>
        <w:ind w:left="-50"/>
        <w:jc w:val="both"/>
        <w:rPr>
          <w:rFonts w:ascii="David" w:hAnsi="David" w:cs="David"/>
          <w:color w:val="000000"/>
          <w:sz w:val="20"/>
          <w:szCs w:val="20"/>
          <w:rtl/>
        </w:rPr>
      </w:pPr>
    </w:p>
    <w:p w:rsidR="00447855" w:rsidRDefault="00447855" w:rsidP="00447855">
      <w:pPr>
        <w:pStyle w:val="ListParagraph"/>
        <w:numPr>
          <w:ilvl w:val="0"/>
          <w:numId w:val="1"/>
        </w:numPr>
        <w:spacing w:after="0" w:line="360" w:lineRule="auto"/>
        <w:ind w:left="-58" w:firstLine="8"/>
        <w:jc w:val="both"/>
        <w:rPr>
          <w:rFonts w:ascii="David" w:hAnsi="David" w:cs="David"/>
          <w:color w:val="000000"/>
          <w:sz w:val="24"/>
          <w:szCs w:val="24"/>
        </w:rPr>
      </w:pPr>
      <w:r>
        <w:rPr>
          <w:rFonts w:ascii="David" w:hAnsi="David" w:cs="David"/>
          <w:color w:val="000000"/>
          <w:sz w:val="24"/>
          <w:szCs w:val="24"/>
          <w:rtl/>
        </w:rPr>
        <w:t xml:space="preserve">בעת קביעת עונשו של הנאשם בחנתי את גורמי הסיכוי והסיכון בעניינו כמפורט בתסקירים, בין היתר להתמכרותו </w:t>
      </w:r>
      <w:r>
        <w:rPr>
          <w:rFonts w:ascii="David" w:hAnsi="David" w:cs="David" w:hint="cs"/>
          <w:color w:val="000000"/>
          <w:sz w:val="24"/>
          <w:szCs w:val="24"/>
          <w:rtl/>
        </w:rPr>
        <w:t xml:space="preserve">לסמים </w:t>
      </w:r>
      <w:r>
        <w:rPr>
          <w:rFonts w:ascii="David" w:hAnsi="David" w:cs="David"/>
          <w:color w:val="000000"/>
          <w:sz w:val="24"/>
          <w:szCs w:val="24"/>
          <w:rtl/>
        </w:rPr>
        <w:t>לאורך השנים, קשייו ליתן אמון באחרים ובפרט גורמי הטיפול, וקשייו לייצר שגרה ויציבות. בנוסף, את בדידותו של הנאשם בארץ, קשיי התאקלמותו, והתמודד</w:t>
      </w:r>
      <w:r>
        <w:rPr>
          <w:rFonts w:ascii="David" w:hAnsi="David" w:cs="David" w:hint="cs"/>
          <w:color w:val="000000"/>
          <w:sz w:val="24"/>
          <w:szCs w:val="24"/>
          <w:rtl/>
        </w:rPr>
        <w:t>ו</w:t>
      </w:r>
      <w:r>
        <w:rPr>
          <w:rFonts w:ascii="David" w:hAnsi="David" w:cs="David"/>
          <w:color w:val="000000"/>
          <w:sz w:val="24"/>
          <w:szCs w:val="24"/>
          <w:rtl/>
        </w:rPr>
        <w:t>תו ההישרדותית עם התמכרותו ועם קושי כלכלי. כן נתתי דעתי את חלוף הזמן מאז ביצוע העבירות.</w:t>
      </w:r>
    </w:p>
    <w:p w:rsidR="00447855" w:rsidRPr="00831A4B" w:rsidRDefault="00447855" w:rsidP="00447855">
      <w:pPr>
        <w:pStyle w:val="ListParagraph"/>
        <w:spacing w:after="0" w:line="240" w:lineRule="auto"/>
        <w:ind w:left="-50"/>
        <w:jc w:val="both"/>
        <w:rPr>
          <w:rFonts w:ascii="David" w:hAnsi="David" w:cs="David"/>
          <w:color w:val="000000"/>
          <w:sz w:val="20"/>
          <w:szCs w:val="20"/>
        </w:rPr>
      </w:pPr>
    </w:p>
    <w:p w:rsidR="00447855" w:rsidRDefault="00447855" w:rsidP="00447855">
      <w:pPr>
        <w:pStyle w:val="ListParagraph"/>
        <w:numPr>
          <w:ilvl w:val="0"/>
          <w:numId w:val="1"/>
        </w:numPr>
        <w:spacing w:after="0" w:line="360" w:lineRule="auto"/>
        <w:ind w:left="-58" w:firstLine="8"/>
        <w:jc w:val="both"/>
        <w:rPr>
          <w:rFonts w:ascii="David" w:hAnsi="David" w:cs="David"/>
          <w:color w:val="000000"/>
          <w:sz w:val="24"/>
          <w:szCs w:val="24"/>
        </w:rPr>
      </w:pPr>
      <w:r>
        <w:rPr>
          <w:rFonts w:ascii="David" w:hAnsi="David" w:cs="David"/>
          <w:sz w:val="24"/>
          <w:szCs w:val="24"/>
          <w:rtl/>
        </w:rPr>
        <w:t>כאמור, בהכרעת הדין נקבע כי נפלו מספר מחדלים ופגמים בהתנהלות המשטרה ובגין חלקם אף נפסלו ראיות. כך, נקבע כי סוג ואופי סדרת השאלות ששאל רס"ר אגיאן את הנאשם בשטח – מבלי שהודיע לו על זכויותיו – מהווה פגם משמעותי, ולכן נפסלה הודאתו של הנאשם בשטח. עוד נקבע כי נגרמה פגיעה ממשית בזכויותיו של העד מור בשל האופן בו נערך החיפוש בטלפון הנייד שלו ללא צו חיפוש כחוק ומבלי שהובהרה לו כנדרש זכותו לסרב לחיפוש. בעקבות כך אף נפסלה חלק מעדותו, מה שהוביל לזיכוי הנאשם מ-3 עסקאות סחר למור</w:t>
      </w:r>
      <w:r>
        <w:rPr>
          <w:rFonts w:ascii="David" w:hAnsi="David" w:cs="David"/>
          <w:color w:val="000000"/>
          <w:sz w:val="24"/>
          <w:szCs w:val="24"/>
          <w:rtl/>
        </w:rPr>
        <w:t xml:space="preserve">. </w:t>
      </w:r>
    </w:p>
    <w:p w:rsidR="00447855" w:rsidRPr="00E565D4" w:rsidRDefault="00447855" w:rsidP="00447855">
      <w:pPr>
        <w:jc w:val="both"/>
        <w:rPr>
          <w:rFonts w:ascii="David" w:hAnsi="David"/>
          <w:color w:val="000000"/>
          <w:sz w:val="20"/>
          <w:szCs w:val="20"/>
        </w:rPr>
      </w:pPr>
    </w:p>
    <w:p w:rsidR="00447855" w:rsidRPr="00036358" w:rsidRDefault="00447855" w:rsidP="00447855">
      <w:pPr>
        <w:pStyle w:val="ListParagraph"/>
        <w:numPr>
          <w:ilvl w:val="0"/>
          <w:numId w:val="1"/>
        </w:numPr>
        <w:spacing w:after="0" w:line="360" w:lineRule="auto"/>
        <w:ind w:left="-58" w:firstLine="8"/>
        <w:jc w:val="both"/>
        <w:rPr>
          <w:rFonts w:ascii="David" w:hAnsi="David"/>
          <w:color w:val="000000"/>
          <w:sz w:val="20"/>
          <w:szCs w:val="20"/>
        </w:rPr>
      </w:pPr>
      <w:r>
        <w:rPr>
          <w:rFonts w:ascii="David" w:hAnsi="David" w:cs="David"/>
          <w:sz w:val="24"/>
          <w:szCs w:val="24"/>
          <w:rtl/>
        </w:rPr>
        <w:t>לצד פסילת הראיות כמפורט לעיל, בהכרעת הדין נקבע כי נפלו כשלים נוספים שאינם יורדים לשורש העניין, אשר לא הצדיקו פסילת ראיות או קבלת טענת הגנה מן הצדק המובילה לביטול כתב האישום. כך נקבע כי השוטרים בשטח לא הודיעו לנאשם ולעמית על עיכובם ואף לא פירטו את הסיבה לעיכוב. בנוסף נקבע כי החיפוש הטלפון הנייד של הנאשם בוצע על ידי מי שאינו חוקר מחשב מיומן ולא היה רשאי לחפש בטלפון, בניגוד לצו החיפוש– וגם התנהלות מסוג זה מהווה פגם בפעולת החקירה. מובן וברור שיש ליתן משקל גם לפגמים אלה בעת קביעת עונשו של הנאשם בגדרי מתחם הענישה</w:t>
      </w:r>
      <w:r>
        <w:rPr>
          <w:rFonts w:ascii="David" w:hAnsi="David" w:cs="David" w:hint="cs"/>
          <w:sz w:val="24"/>
          <w:szCs w:val="24"/>
          <w:rtl/>
        </w:rPr>
        <w:t xml:space="preserve"> (מבלי לחרוג ממנו)</w:t>
      </w:r>
      <w:r>
        <w:rPr>
          <w:rFonts w:ascii="David" w:hAnsi="David" w:cs="David"/>
          <w:sz w:val="24"/>
          <w:szCs w:val="24"/>
          <w:rtl/>
        </w:rPr>
        <w:t xml:space="preserve">. ראו בהקשר זה </w:t>
      </w:r>
      <w:hyperlink r:id="rId40" w:history="1">
        <w:r w:rsidR="002B5031" w:rsidRPr="002B5031">
          <w:rPr>
            <w:rFonts w:ascii="David" w:hAnsi="David" w:cs="David"/>
            <w:color w:val="0000FF"/>
            <w:sz w:val="24"/>
            <w:szCs w:val="24"/>
            <w:u w:val="single"/>
            <w:rtl/>
          </w:rPr>
          <w:t>ע"פ 1840/16</w:t>
        </w:r>
      </w:hyperlink>
      <w:r w:rsidR="002B5031">
        <w:rPr>
          <w:rFonts w:ascii="David" w:hAnsi="David" w:cs="David"/>
          <w:color w:val="000000"/>
          <w:sz w:val="24"/>
          <w:szCs w:val="24"/>
          <w:rtl/>
        </w:rPr>
        <w:t xml:space="preserve"> </w:t>
      </w:r>
      <w:r>
        <w:rPr>
          <w:rFonts w:ascii="David" w:hAnsi="David" w:cs="David"/>
          <w:b/>
          <w:bCs/>
          <w:color w:val="000000"/>
          <w:sz w:val="24"/>
          <w:szCs w:val="24"/>
          <w:rtl/>
        </w:rPr>
        <w:t>אדרי נ' מדינת ישראל</w:t>
      </w:r>
      <w:r w:rsidR="002B5031">
        <w:rPr>
          <w:rFonts w:ascii="David" w:hAnsi="David" w:cs="David"/>
          <w:color w:val="000000"/>
          <w:sz w:val="24"/>
          <w:szCs w:val="24"/>
          <w:rtl/>
        </w:rPr>
        <w:t xml:space="preserve"> </w:t>
      </w:r>
      <w:r>
        <w:rPr>
          <w:rFonts w:ascii="David" w:hAnsi="David" w:cs="David"/>
          <w:color w:val="000000"/>
          <w:sz w:val="24"/>
          <w:szCs w:val="24"/>
          <w:rtl/>
        </w:rPr>
        <w:t xml:space="preserve">(1.2.2017) (להלן: </w:t>
      </w:r>
      <w:r>
        <w:rPr>
          <w:rFonts w:ascii="David" w:hAnsi="David" w:cs="David"/>
          <w:b/>
          <w:bCs/>
          <w:color w:val="000000"/>
          <w:sz w:val="24"/>
          <w:szCs w:val="24"/>
          <w:rtl/>
        </w:rPr>
        <w:t>עניין אדרי</w:t>
      </w:r>
      <w:r>
        <w:rPr>
          <w:rFonts w:ascii="David" w:hAnsi="David" w:cs="David"/>
          <w:color w:val="000000"/>
          <w:sz w:val="24"/>
          <w:szCs w:val="24"/>
          <w:rtl/>
        </w:rPr>
        <w:t>) והפסיקה המוזכרת שם.</w:t>
      </w:r>
      <w:r>
        <w:rPr>
          <w:rFonts w:ascii="David" w:hAnsi="David" w:hint="cs"/>
          <w:color w:val="000000"/>
          <w:sz w:val="20"/>
          <w:szCs w:val="20"/>
          <w:rtl/>
        </w:rPr>
        <w:t xml:space="preserve"> </w:t>
      </w:r>
    </w:p>
    <w:p w:rsidR="00447855" w:rsidRPr="00036358" w:rsidRDefault="00447855" w:rsidP="00447855">
      <w:pPr>
        <w:spacing w:line="360" w:lineRule="auto"/>
        <w:jc w:val="both"/>
        <w:rPr>
          <w:rFonts w:ascii="David" w:hAnsi="David"/>
          <w:color w:val="000000"/>
          <w:sz w:val="20"/>
          <w:szCs w:val="20"/>
          <w:rtl/>
        </w:rPr>
      </w:pPr>
    </w:p>
    <w:p w:rsidR="00447855" w:rsidRDefault="00447855" w:rsidP="00447855">
      <w:pPr>
        <w:pStyle w:val="ListParagraph"/>
        <w:numPr>
          <w:ilvl w:val="0"/>
          <w:numId w:val="1"/>
        </w:numPr>
        <w:spacing w:after="0" w:line="360" w:lineRule="auto"/>
        <w:ind w:left="-58" w:firstLine="8"/>
        <w:jc w:val="both"/>
        <w:rPr>
          <w:rFonts w:ascii="David" w:hAnsi="David" w:cs="David"/>
          <w:color w:val="000000"/>
        </w:rPr>
      </w:pPr>
      <w:r>
        <w:rPr>
          <w:rFonts w:ascii="David" w:hAnsi="David" w:cs="David"/>
          <w:sz w:val="24"/>
          <w:szCs w:val="24"/>
          <w:rtl/>
        </w:rPr>
        <w:t>להשלמת התמונה בהקשר זה אבהיר כי חרף טענת הסנגורית בטיעון לעונש, לא נקבע בהכרעת הדין כי נפל פגם באופן ביצוע החיפוש בביתו של הנאשם– ועניין זה לא בא בין שיקול</w:t>
      </w:r>
      <w:r>
        <w:rPr>
          <w:rFonts w:ascii="David" w:hAnsi="David" w:cs="David" w:hint="cs"/>
          <w:sz w:val="24"/>
          <w:szCs w:val="24"/>
          <w:rtl/>
        </w:rPr>
        <w:t>י</w:t>
      </w:r>
      <w:r>
        <w:rPr>
          <w:rFonts w:ascii="David" w:hAnsi="David" w:cs="David"/>
          <w:sz w:val="24"/>
          <w:szCs w:val="24"/>
          <w:rtl/>
        </w:rPr>
        <w:t xml:space="preserve">י בעת קביעת </w:t>
      </w:r>
      <w:r>
        <w:rPr>
          <w:rFonts w:ascii="David" w:hAnsi="David" w:cs="David" w:hint="cs"/>
          <w:sz w:val="24"/>
          <w:szCs w:val="24"/>
          <w:rtl/>
        </w:rPr>
        <w:t>העונש</w:t>
      </w:r>
      <w:r>
        <w:rPr>
          <w:rFonts w:ascii="David" w:hAnsi="David" w:cs="David"/>
          <w:sz w:val="24"/>
          <w:szCs w:val="24"/>
          <w:rtl/>
        </w:rPr>
        <w:t>.</w:t>
      </w:r>
      <w:r>
        <w:rPr>
          <w:rFonts w:ascii="David" w:hAnsi="David" w:cs="David" w:hint="cs"/>
          <w:color w:val="000000"/>
          <w:rtl/>
        </w:rPr>
        <w:t xml:space="preserve"> </w:t>
      </w:r>
    </w:p>
    <w:p w:rsidR="00447855" w:rsidRPr="004C3CED" w:rsidRDefault="00447855" w:rsidP="00447855">
      <w:pPr>
        <w:pStyle w:val="ListParagraph"/>
        <w:spacing w:after="0" w:line="240" w:lineRule="auto"/>
        <w:ind w:left="0"/>
        <w:jc w:val="both"/>
        <w:rPr>
          <w:rFonts w:ascii="David" w:hAnsi="David" w:cs="David"/>
          <w:color w:val="000000"/>
          <w:sz w:val="20"/>
          <w:szCs w:val="20"/>
        </w:rPr>
      </w:pPr>
    </w:p>
    <w:p w:rsidR="00447855" w:rsidRPr="001D3619" w:rsidRDefault="00447855" w:rsidP="00447855">
      <w:pPr>
        <w:pStyle w:val="ListParagraph"/>
        <w:numPr>
          <w:ilvl w:val="0"/>
          <w:numId w:val="1"/>
        </w:numPr>
        <w:spacing w:after="0" w:line="360" w:lineRule="auto"/>
        <w:ind w:left="-58" w:firstLine="8"/>
        <w:jc w:val="both"/>
        <w:rPr>
          <w:rFonts w:ascii="David" w:hAnsi="David" w:cs="David"/>
          <w:color w:val="000000"/>
        </w:rPr>
      </w:pPr>
      <w:r w:rsidRPr="004C3CED">
        <w:rPr>
          <w:rFonts w:ascii="David" w:hAnsi="David" w:cs="David"/>
          <w:sz w:val="24"/>
          <w:szCs w:val="24"/>
          <w:rtl/>
        </w:rPr>
        <w:t>שקלתי את עתירת ההגנה לחריגה לקולא ממתחמי הענישה שנקבעו משיקולי שיקום</w:t>
      </w:r>
      <w:r w:rsidRPr="004C3CED">
        <w:rPr>
          <w:rFonts w:ascii="David" w:hAnsi="David" w:cs="David" w:hint="cs"/>
          <w:sz w:val="24"/>
          <w:szCs w:val="24"/>
          <w:rtl/>
        </w:rPr>
        <w:t>.</w:t>
      </w:r>
      <w:r w:rsidRPr="004C3CED">
        <w:rPr>
          <w:rFonts w:ascii="David" w:hAnsi="David" w:cs="David"/>
          <w:sz w:val="24"/>
          <w:szCs w:val="24"/>
          <w:rtl/>
        </w:rPr>
        <w:t xml:space="preserve"> במקרה זה, מ</w:t>
      </w:r>
      <w:r w:rsidRPr="004C3CED">
        <w:rPr>
          <w:rFonts w:ascii="David" w:hAnsi="David" w:cs="David"/>
          <w:b/>
          <w:bCs/>
          <w:sz w:val="24"/>
          <w:szCs w:val="24"/>
          <w:rtl/>
        </w:rPr>
        <w:t>ענ/1</w:t>
      </w:r>
      <w:r w:rsidRPr="004C3CED">
        <w:rPr>
          <w:rFonts w:ascii="David" w:hAnsi="David" w:cs="David"/>
          <w:sz w:val="24"/>
          <w:szCs w:val="24"/>
          <w:rtl/>
        </w:rPr>
        <w:t xml:space="preserve"> ממרפאת צור אביב מיום 9.7.2023, עולה כי הנאשם החל דרכו לשיקום ומאז 5.6.2023 מטופל בתחליף סם, מעקב רפואי ושיחות. זאת לאחר שטופל גם בעבר במרפאה (בין 14.11.2021 עד 17.5.2022)</w:t>
      </w:r>
      <w:r>
        <w:rPr>
          <w:rFonts w:ascii="David" w:hAnsi="David" w:cs="David" w:hint="cs"/>
          <w:sz w:val="24"/>
          <w:szCs w:val="24"/>
          <w:rtl/>
        </w:rPr>
        <w:t xml:space="preserve"> אז הפסיק את הטיפול</w:t>
      </w:r>
      <w:r w:rsidRPr="004C3CED">
        <w:rPr>
          <w:rFonts w:ascii="David" w:hAnsi="David" w:cs="David"/>
          <w:sz w:val="24"/>
          <w:szCs w:val="24"/>
          <w:rtl/>
        </w:rPr>
        <w:t>. ב</w:t>
      </w:r>
      <w:r w:rsidRPr="004C3CED">
        <w:rPr>
          <w:rFonts w:ascii="David" w:hAnsi="David" w:cs="David"/>
          <w:b/>
          <w:bCs/>
          <w:sz w:val="24"/>
          <w:szCs w:val="24"/>
          <w:rtl/>
        </w:rPr>
        <w:t xml:space="preserve">ענ/1 </w:t>
      </w:r>
      <w:r w:rsidRPr="004C3CED">
        <w:rPr>
          <w:rFonts w:ascii="David" w:hAnsi="David" w:cs="David"/>
          <w:sz w:val="24"/>
          <w:szCs w:val="24"/>
          <w:rtl/>
        </w:rPr>
        <w:t xml:space="preserve">פורט כי לאחר שהפסיק את הטיפול, בעקבות תחושת ביטחון, כיום מבין שהוא מכור וזקוק למסגרת טיפולית ארוכת טווח. עוד פורט כי להתרשמות גורמי הטיפול הנאשם חזר לטיפול עם מוטיבציה ותובנה. בדיקת שתן מיום 20.6.2023 </w:t>
      </w:r>
      <w:r>
        <w:rPr>
          <w:rFonts w:ascii="David" w:hAnsi="David" w:cs="David" w:hint="cs"/>
          <w:sz w:val="24"/>
          <w:szCs w:val="24"/>
          <w:rtl/>
        </w:rPr>
        <w:t xml:space="preserve">נמצאה </w:t>
      </w:r>
      <w:r w:rsidRPr="004C3CED">
        <w:rPr>
          <w:rFonts w:ascii="David" w:hAnsi="David" w:cs="David"/>
          <w:sz w:val="24"/>
          <w:szCs w:val="24"/>
          <w:rtl/>
        </w:rPr>
        <w:t xml:space="preserve">נקייה מקנבוס. גם מהתסקירים עולה כי הנאשם החל דרכו לשיקום במרפאת צור אביב, לאחר שחרף התרשמות שירות המבחן מנזקקות טיפולית גבוהה בשלב המעצר לא השתלב בטיפול, וההתרשמות הייתה ממוטיבציה חיצונית בלבד מצדו. </w:t>
      </w:r>
    </w:p>
    <w:p w:rsidR="00447855" w:rsidRPr="00D55AB4" w:rsidRDefault="00447855" w:rsidP="00447855">
      <w:pPr>
        <w:pStyle w:val="ListParagraph"/>
        <w:spacing w:line="240" w:lineRule="auto"/>
        <w:rPr>
          <w:rFonts w:ascii="David" w:hAnsi="David" w:cs="David"/>
          <w:sz w:val="20"/>
          <w:szCs w:val="20"/>
          <w:rtl/>
        </w:rPr>
      </w:pPr>
    </w:p>
    <w:p w:rsidR="00447855" w:rsidRPr="001D3619" w:rsidRDefault="00447855" w:rsidP="00447855">
      <w:pPr>
        <w:pStyle w:val="ListParagraph"/>
        <w:numPr>
          <w:ilvl w:val="0"/>
          <w:numId w:val="1"/>
        </w:numPr>
        <w:spacing w:after="0" w:line="360" w:lineRule="auto"/>
        <w:ind w:left="-58" w:firstLine="8"/>
        <w:jc w:val="both"/>
        <w:rPr>
          <w:rFonts w:ascii="David" w:hAnsi="David" w:cs="David"/>
          <w:color w:val="000000"/>
        </w:rPr>
      </w:pPr>
      <w:r w:rsidRPr="004C3CED">
        <w:rPr>
          <w:rFonts w:ascii="David" w:hAnsi="David" w:cs="David"/>
          <w:sz w:val="24"/>
          <w:szCs w:val="24"/>
          <w:rtl/>
        </w:rPr>
        <w:t xml:space="preserve">בתסקיר המשלים צוין כי נראה שהנאשם משקיע בחודשים האחרונים מאמץ לשמירה על אורח חיים נקי מסמי רחוב ומקפיד על הטיפול. </w:t>
      </w:r>
      <w:r w:rsidRPr="001D3619">
        <w:rPr>
          <w:rFonts w:ascii="David" w:hAnsi="David" w:cs="David"/>
          <w:sz w:val="24"/>
          <w:szCs w:val="24"/>
          <w:rtl/>
        </w:rPr>
        <w:t xml:space="preserve">שירות המבחן אינו בטוח לגבי אופי תעסוקתו המלא </w:t>
      </w:r>
      <w:r>
        <w:rPr>
          <w:rFonts w:ascii="David" w:hAnsi="David" w:cs="David" w:hint="cs"/>
          <w:sz w:val="24"/>
          <w:szCs w:val="24"/>
          <w:rtl/>
        </w:rPr>
        <w:t xml:space="preserve">של הנאשם </w:t>
      </w:r>
      <w:r w:rsidRPr="001D3619">
        <w:rPr>
          <w:rFonts w:ascii="David" w:hAnsi="David" w:cs="David"/>
          <w:sz w:val="24"/>
          <w:szCs w:val="24"/>
          <w:rtl/>
        </w:rPr>
        <w:t>והרצף (הגם שמציין את תעסוקתו של הנאשם כיום), וציין את קשיי התאקלמ</w:t>
      </w:r>
      <w:r w:rsidRPr="001D3619">
        <w:rPr>
          <w:rFonts w:ascii="David" w:hAnsi="David" w:cs="David" w:hint="cs"/>
          <w:sz w:val="24"/>
          <w:szCs w:val="24"/>
          <w:rtl/>
        </w:rPr>
        <w:t>ו</w:t>
      </w:r>
      <w:r w:rsidRPr="001D3619">
        <w:rPr>
          <w:rFonts w:ascii="David" w:hAnsi="David" w:cs="David"/>
          <w:sz w:val="24"/>
          <w:szCs w:val="24"/>
          <w:rtl/>
        </w:rPr>
        <w:t>תו בארץ ורצונו לשוב לארה"ב ואת אירוסיו לבת זוג שם. שירות המבחן ציין כי העדרו של עבר פלילי ועבירות נוספות מלמד על הרתעת הנאשם וגבול שהוצב</w:t>
      </w:r>
      <w:r w:rsidRPr="001D3619">
        <w:rPr>
          <w:rFonts w:ascii="David" w:hAnsi="David" w:cs="David" w:hint="cs"/>
          <w:sz w:val="24"/>
          <w:szCs w:val="24"/>
          <w:rtl/>
        </w:rPr>
        <w:t>,</w:t>
      </w:r>
      <w:r w:rsidRPr="001D3619">
        <w:rPr>
          <w:rFonts w:ascii="David" w:hAnsi="David" w:cs="David"/>
          <w:sz w:val="24"/>
          <w:szCs w:val="24"/>
          <w:rtl/>
        </w:rPr>
        <w:t xml:space="preserve"> והמלצתו היא לענישה</w:t>
      </w:r>
      <w:r w:rsidRPr="001D3619">
        <w:rPr>
          <w:rFonts w:ascii="David" w:hAnsi="David" w:cs="David" w:hint="cs"/>
          <w:sz w:val="24"/>
          <w:szCs w:val="24"/>
          <w:rtl/>
        </w:rPr>
        <w:t xml:space="preserve"> שיקומית</w:t>
      </w:r>
      <w:r w:rsidRPr="001D3619">
        <w:rPr>
          <w:rFonts w:ascii="David" w:hAnsi="David" w:cs="David"/>
          <w:sz w:val="24"/>
          <w:szCs w:val="24"/>
          <w:rtl/>
        </w:rPr>
        <w:t xml:space="preserve"> בדמות של"צ</w:t>
      </w:r>
      <w:r w:rsidRPr="001D3619">
        <w:rPr>
          <w:rFonts w:ascii="David" w:hAnsi="David" w:cs="David" w:hint="cs"/>
          <w:sz w:val="24"/>
          <w:szCs w:val="24"/>
          <w:rtl/>
        </w:rPr>
        <w:t xml:space="preserve">. </w:t>
      </w:r>
    </w:p>
    <w:p w:rsidR="00447855" w:rsidRPr="001349B2" w:rsidRDefault="00447855" w:rsidP="00447855">
      <w:pPr>
        <w:pStyle w:val="ListParagraph"/>
        <w:spacing w:line="240" w:lineRule="auto"/>
        <w:rPr>
          <w:rFonts w:ascii="David" w:hAnsi="David" w:cs="David"/>
          <w:sz w:val="20"/>
          <w:szCs w:val="20"/>
          <w:rtl/>
        </w:rPr>
      </w:pPr>
    </w:p>
    <w:p w:rsidR="00447855" w:rsidRPr="001D3619" w:rsidRDefault="00447855" w:rsidP="00447855">
      <w:pPr>
        <w:pStyle w:val="ListParagraph"/>
        <w:numPr>
          <w:ilvl w:val="0"/>
          <w:numId w:val="1"/>
        </w:numPr>
        <w:spacing w:after="0" w:line="360" w:lineRule="auto"/>
        <w:ind w:left="-58" w:firstLine="8"/>
        <w:jc w:val="both"/>
        <w:rPr>
          <w:rFonts w:ascii="David" w:hAnsi="David" w:cs="David"/>
          <w:color w:val="000000"/>
        </w:rPr>
      </w:pPr>
      <w:r w:rsidRPr="001D3619">
        <w:rPr>
          <w:rFonts w:ascii="David" w:hAnsi="David" w:cs="David"/>
          <w:sz w:val="24"/>
          <w:szCs w:val="24"/>
          <w:rtl/>
        </w:rPr>
        <w:t xml:space="preserve">כפי שנקבע </w:t>
      </w:r>
      <w:r w:rsidRPr="001D3619">
        <w:rPr>
          <w:rFonts w:ascii="David" w:hAnsi="David" w:cs="David"/>
          <w:b/>
          <w:bCs/>
          <w:color w:val="000000"/>
          <w:sz w:val="24"/>
          <w:szCs w:val="24"/>
          <w:rtl/>
        </w:rPr>
        <w:t>מדינת ישראל נ' פלוני</w:t>
      </w:r>
      <w:r w:rsidRPr="001D3619">
        <w:rPr>
          <w:rFonts w:ascii="David" w:hAnsi="David" w:cs="David"/>
          <w:color w:val="000000"/>
          <w:sz w:val="24"/>
          <w:szCs w:val="24"/>
          <w:rtl/>
        </w:rPr>
        <w:t xml:space="preserve"> (27.4.2022)</w:t>
      </w:r>
      <w:r w:rsidRPr="001D3619">
        <w:rPr>
          <w:rFonts w:ascii="David" w:hAnsi="David" w:cs="David"/>
          <w:sz w:val="24"/>
          <w:szCs w:val="24"/>
          <w:rtl/>
        </w:rPr>
        <w:t>:</w:t>
      </w:r>
    </w:p>
    <w:p w:rsidR="00447855" w:rsidRDefault="00447855" w:rsidP="00447855">
      <w:pPr>
        <w:pStyle w:val="ListParagraph"/>
        <w:spacing w:after="0" w:line="240" w:lineRule="auto"/>
        <w:ind w:left="454" w:right="454" w:firstLine="770"/>
        <w:jc w:val="both"/>
        <w:rPr>
          <w:rFonts w:ascii="David" w:hAnsi="David" w:cs="David"/>
          <w:b/>
          <w:bCs/>
        </w:rPr>
      </w:pPr>
      <w:r>
        <w:rPr>
          <w:rFonts w:ascii="David" w:hAnsi="David" w:cs="David"/>
          <w:b/>
          <w:bCs/>
          <w:spacing w:val="10"/>
          <w:rtl/>
        </w:rPr>
        <w:t>אכן, סעיף 40ד(א) ל</w:t>
      </w:r>
      <w:hyperlink r:id="rId41" w:history="1">
        <w:r w:rsidR="002B5031" w:rsidRPr="002B5031">
          <w:rPr>
            <w:rFonts w:ascii="David" w:hAnsi="David" w:cs="David"/>
            <w:b/>
            <w:bCs/>
            <w:color w:val="0000FF"/>
            <w:spacing w:val="10"/>
            <w:u w:val="single"/>
            <w:rtl/>
          </w:rPr>
          <w:t>חוק העונשין</w:t>
        </w:r>
      </w:hyperlink>
      <w:r>
        <w:rPr>
          <w:rFonts w:ascii="David" w:hAnsi="David" w:cs="David"/>
          <w:b/>
          <w:bCs/>
          <w:spacing w:val="10"/>
          <w:rtl/>
        </w:rPr>
        <w:t xml:space="preserve"> מאפשר לבית המשפט, במקרים המתאימים, לחרוג ממתחם הענישה אם "מצא כי הנאשם השתקם או כי יש סיכוי של ממש שישתקם". סעיף זה מבטא את עמדת המחוקק שלפיה, במקרים המתאימים לכך, יש ליתן מעמד בכורה לשיקול השיקומי על-פני העיקרון המנחה בענישה, הוא עיקרון ההלימה. ואולם, כפי שעולה בבירור מהוראות החוק, לא בכל מקרה שבו תהליך טיפולי מתקדם בכיוון חיובי, יש להפעיל את הסמכות הקבועה בסעיף 40ד ל</w:t>
      </w:r>
      <w:hyperlink r:id="rId42" w:history="1">
        <w:r w:rsidR="002B5031" w:rsidRPr="002B5031">
          <w:rPr>
            <w:rFonts w:ascii="David" w:hAnsi="David" w:cs="David"/>
            <w:b/>
            <w:bCs/>
            <w:color w:val="0000FF"/>
            <w:spacing w:val="10"/>
            <w:u w:val="single"/>
            <w:rtl/>
          </w:rPr>
          <w:t>חוק העונשין</w:t>
        </w:r>
      </w:hyperlink>
      <w:r>
        <w:rPr>
          <w:rFonts w:ascii="David" w:hAnsi="David" w:cs="David"/>
          <w:b/>
          <w:bCs/>
          <w:spacing w:val="10"/>
          <w:rtl/>
        </w:rPr>
        <w:t xml:space="preserve">. אחרת, נמצא כי החריג מרוקן מתוכן את הכלל, שלפיו יש לגזור את העונש בתוך מתחם הענישה בהלימה לחומרת המעשה ולמידת האשם של העושה (ראו גם: דברי הסבר להצעת </w:t>
      </w:r>
      <w:hyperlink r:id="rId43" w:history="1">
        <w:r w:rsidR="002B5031" w:rsidRPr="002B5031">
          <w:rPr>
            <w:rFonts w:ascii="David" w:hAnsi="David" w:cs="David"/>
            <w:b/>
            <w:bCs/>
            <w:color w:val="0000FF"/>
            <w:spacing w:val="10"/>
            <w:u w:val="single"/>
            <w:rtl/>
          </w:rPr>
          <w:t>חוק העונשין</w:t>
        </w:r>
      </w:hyperlink>
      <w:r>
        <w:rPr>
          <w:rFonts w:ascii="David" w:hAnsi="David" w:cs="David"/>
          <w:b/>
          <w:bCs/>
          <w:spacing w:val="10"/>
          <w:rtl/>
        </w:rPr>
        <w:t xml:space="preserve"> (תיקון מס' 92) (הבניית שיקול הדעת השיפוטי בענישה), התשס"ו-2006, ה"ח 241, 448-447). לא בכדי אפוא, נקבע כי יש לנקוט זהירות רבה בהפעלת סעיף 40ד ל</w:t>
      </w:r>
      <w:hyperlink r:id="rId44" w:history="1">
        <w:r w:rsidR="002B5031" w:rsidRPr="002B5031">
          <w:rPr>
            <w:rFonts w:ascii="David" w:hAnsi="David" w:cs="David"/>
            <w:b/>
            <w:bCs/>
            <w:color w:val="0000FF"/>
            <w:spacing w:val="10"/>
            <w:u w:val="single"/>
            <w:rtl/>
          </w:rPr>
          <w:t>חוק העונשין</w:t>
        </w:r>
      </w:hyperlink>
      <w:r>
        <w:rPr>
          <w:rFonts w:ascii="David" w:hAnsi="David" w:cs="David"/>
          <w:b/>
          <w:bCs/>
          <w:spacing w:val="10"/>
          <w:rtl/>
        </w:rPr>
        <w:t xml:space="preserve">, וכי סטייה ממתחם הענישה תיעשה אך במקרים חריגים, בבחינת יוצא מן הכלל, כאשר סיכויי שיקום </w:t>
      </w:r>
      <w:r>
        <w:rPr>
          <w:rFonts w:ascii="David" w:hAnsi="David" w:cs="David"/>
          <w:b/>
          <w:bCs/>
          <w:rtl/>
        </w:rPr>
        <w:t>מובהקים</w:t>
      </w:r>
      <w:r>
        <w:rPr>
          <w:rFonts w:ascii="David" w:hAnsi="David" w:cs="David"/>
          <w:b/>
          <w:bCs/>
          <w:spacing w:val="10"/>
          <w:rtl/>
        </w:rPr>
        <w:t xml:space="preserve"> מצדיקים זאת (ראו: </w:t>
      </w:r>
      <w:hyperlink r:id="rId45" w:history="1">
        <w:r w:rsidR="002B5031" w:rsidRPr="002B5031">
          <w:rPr>
            <w:rFonts w:ascii="David" w:hAnsi="David" w:cs="David"/>
            <w:b/>
            <w:bCs/>
            <w:color w:val="0000FF"/>
            <w:spacing w:val="10"/>
            <w:u w:val="single"/>
            <w:rtl/>
          </w:rPr>
          <w:t>ע"פ 1229/19</w:t>
        </w:r>
      </w:hyperlink>
      <w:r>
        <w:rPr>
          <w:rFonts w:ascii="David" w:hAnsi="David" w:cs="David"/>
          <w:b/>
          <w:bCs/>
          <w:spacing w:val="10"/>
          <w:rtl/>
        </w:rPr>
        <w:t xml:space="preserve"> </w:t>
      </w:r>
      <w:r>
        <w:rPr>
          <w:rFonts w:ascii="David" w:hAnsi="David" w:cs="David"/>
          <w:b/>
          <w:bCs/>
          <w:rtl/>
        </w:rPr>
        <w:t>סלומינסקי נ' מדינת ישראל</w:t>
      </w:r>
      <w:r>
        <w:rPr>
          <w:rFonts w:ascii="David" w:hAnsi="David" w:cs="David"/>
          <w:b/>
          <w:bCs/>
          <w:spacing w:val="10"/>
          <w:rtl/>
        </w:rPr>
        <w:t xml:space="preserve">, פס' 13 </w:t>
      </w:r>
      <w:r>
        <w:rPr>
          <w:rFonts w:ascii="David" w:hAnsi="David" w:cs="David"/>
          <w:b/>
          <w:bCs/>
          <w:rtl/>
        </w:rPr>
        <w:t xml:space="preserve">[פורסם בנבו] </w:t>
      </w:r>
      <w:r>
        <w:rPr>
          <w:rFonts w:ascii="David" w:hAnsi="David" w:cs="David"/>
          <w:b/>
          <w:bCs/>
          <w:spacing w:val="10"/>
          <w:rtl/>
        </w:rPr>
        <w:t>(1.7.2019)). עוד נקבע בפסיקה, כי על מנת להעריך את סיכויי השיקום יש לשקול, בין היתר, את "המוטיבציה שהפגין האדם שהורשע להשתקם; הליך של גמילה מהתמכרות שהוא עובר; השתלבות מוצלחת בהליכים טיפוליים שונים; אינדיקציות לשינוי עמוק בהתנהגות ובדרך החשיבה; הבעת חרטה כנה על המעשים והפגנת אמפתיה כלפי נפגעי העבירה" (</w:t>
      </w:r>
      <w:hyperlink r:id="rId46" w:history="1">
        <w:r w:rsidR="002B5031" w:rsidRPr="002B5031">
          <w:rPr>
            <w:rFonts w:ascii="David" w:hAnsi="David" w:cs="David"/>
            <w:b/>
            <w:bCs/>
            <w:color w:val="0000FF"/>
            <w:spacing w:val="10"/>
            <w:u w:val="single"/>
            <w:rtl/>
          </w:rPr>
          <w:t>ע"פ 6637/17</w:t>
        </w:r>
      </w:hyperlink>
      <w:r>
        <w:rPr>
          <w:rFonts w:ascii="David" w:hAnsi="David" w:cs="David"/>
          <w:b/>
          <w:bCs/>
          <w:spacing w:val="10"/>
          <w:rtl/>
        </w:rPr>
        <w:t xml:space="preserve"> </w:t>
      </w:r>
      <w:r>
        <w:rPr>
          <w:rFonts w:ascii="David" w:hAnsi="David" w:cs="David"/>
          <w:b/>
          <w:bCs/>
          <w:rtl/>
        </w:rPr>
        <w:t>קרנדל נ' מדינת ישראל</w:t>
      </w:r>
      <w:r>
        <w:rPr>
          <w:rFonts w:ascii="David" w:hAnsi="David" w:cs="David"/>
          <w:b/>
          <w:bCs/>
          <w:spacing w:val="10"/>
          <w:rtl/>
        </w:rPr>
        <w:t xml:space="preserve">, פס' 24 </w:t>
      </w:r>
      <w:r>
        <w:rPr>
          <w:rFonts w:ascii="David" w:hAnsi="David" w:cs="David"/>
          <w:b/>
          <w:bCs/>
          <w:rtl/>
        </w:rPr>
        <w:t xml:space="preserve">[פורסם בנבו] </w:t>
      </w:r>
      <w:r>
        <w:rPr>
          <w:rFonts w:ascii="David" w:hAnsi="David" w:cs="David"/>
          <w:b/>
          <w:bCs/>
          <w:spacing w:val="10"/>
          <w:rtl/>
        </w:rPr>
        <w:t>(18.4.2018)). לצד זאת, הובהר כי "התקיימותו של שיקול זה או אחר אינה מצדיקה בהכרח חריגה ממתחם העונש משיקולי שיקום. טעם עיקרי לכך הוא שחלק מהשיקולים שהוזכרו לעיל מובאים ברגיל בחשבון במסגרת קביעת העונש בתוך המתחם" (</w:t>
      </w:r>
      <w:r>
        <w:rPr>
          <w:rFonts w:ascii="David" w:hAnsi="David" w:cs="David"/>
          <w:b/>
          <w:bCs/>
          <w:rtl/>
        </w:rPr>
        <w:t>שם</w:t>
      </w:r>
      <w:r>
        <w:rPr>
          <w:rFonts w:ascii="David" w:hAnsi="David" w:cs="David"/>
          <w:b/>
          <w:bCs/>
          <w:spacing w:val="10"/>
          <w:rtl/>
        </w:rPr>
        <w:t xml:space="preserve">, פס' 25). ואכן, חרף חשיבותו של אינטרס השיקום – לנאשם עצמו, לסביבתו הקרובה ולחברה כולה – שיקול זה אינו עומד לבדו ויש לראות בעת גזירת העונש את המכלול (ראו עניין </w:t>
      </w:r>
      <w:r>
        <w:rPr>
          <w:rFonts w:ascii="David" w:hAnsi="David" w:cs="David"/>
          <w:b/>
          <w:bCs/>
          <w:rtl/>
        </w:rPr>
        <w:t>סטרוסטה</w:t>
      </w:r>
      <w:r>
        <w:rPr>
          <w:rFonts w:ascii="David" w:hAnsi="David" w:cs="David"/>
          <w:b/>
          <w:bCs/>
          <w:spacing w:val="10"/>
          <w:rtl/>
        </w:rPr>
        <w:t xml:space="preserve">, פס' 7; </w:t>
      </w:r>
      <w:hyperlink r:id="rId47" w:history="1">
        <w:r w:rsidR="002B5031" w:rsidRPr="002B5031">
          <w:rPr>
            <w:rFonts w:ascii="David" w:hAnsi="David" w:cs="David"/>
            <w:b/>
            <w:bCs/>
            <w:color w:val="0000FF"/>
            <w:spacing w:val="10"/>
            <w:u w:val="single"/>
            <w:rtl/>
          </w:rPr>
          <w:t>רע"פ 4218/15</w:t>
        </w:r>
      </w:hyperlink>
      <w:r>
        <w:rPr>
          <w:rFonts w:ascii="David" w:hAnsi="David" w:cs="David"/>
          <w:b/>
          <w:bCs/>
          <w:spacing w:val="10"/>
          <w:rtl/>
        </w:rPr>
        <w:t xml:space="preserve"> </w:t>
      </w:r>
      <w:r>
        <w:rPr>
          <w:rFonts w:ascii="David" w:hAnsi="David" w:cs="David"/>
          <w:b/>
          <w:bCs/>
          <w:rtl/>
        </w:rPr>
        <w:t>אמסלם נ' מדינת ישראל</w:t>
      </w:r>
      <w:r>
        <w:rPr>
          <w:rFonts w:ascii="David" w:hAnsi="David" w:cs="David"/>
          <w:b/>
          <w:bCs/>
          <w:spacing w:val="10"/>
          <w:rtl/>
        </w:rPr>
        <w:t>, פס' 8</w:t>
      </w:r>
      <w:r>
        <w:rPr>
          <w:rFonts w:ascii="David" w:hAnsi="David" w:cs="David"/>
          <w:b/>
          <w:bCs/>
          <w:rtl/>
        </w:rPr>
        <w:t xml:space="preserve"> [פורסם בנבו] </w:t>
      </w:r>
      <w:r>
        <w:rPr>
          <w:rFonts w:ascii="David" w:hAnsi="David" w:cs="David"/>
          <w:b/>
          <w:bCs/>
          <w:spacing w:val="10"/>
          <w:rtl/>
        </w:rPr>
        <w:t xml:space="preserve">(18.6.2015); עניין </w:t>
      </w:r>
      <w:r>
        <w:rPr>
          <w:rFonts w:ascii="David" w:hAnsi="David" w:cs="David"/>
          <w:b/>
          <w:bCs/>
          <w:rtl/>
        </w:rPr>
        <w:t>סלומינסקי</w:t>
      </w:r>
      <w:r>
        <w:rPr>
          <w:rFonts w:ascii="David" w:hAnsi="David" w:cs="David"/>
          <w:b/>
          <w:bCs/>
          <w:spacing w:val="10"/>
          <w:rtl/>
        </w:rPr>
        <w:t>, פס' 15)).</w:t>
      </w:r>
    </w:p>
    <w:p w:rsidR="00447855" w:rsidRPr="001F6496" w:rsidRDefault="00447855" w:rsidP="00447855">
      <w:pPr>
        <w:jc w:val="both"/>
        <w:rPr>
          <w:rFonts w:ascii="David" w:hAnsi="David"/>
          <w:spacing w:val="10"/>
          <w:sz w:val="20"/>
          <w:szCs w:val="20"/>
        </w:rPr>
      </w:pPr>
    </w:p>
    <w:p w:rsidR="00447855" w:rsidRDefault="00447855" w:rsidP="00447855">
      <w:pPr>
        <w:pStyle w:val="ListParagraph"/>
        <w:numPr>
          <w:ilvl w:val="0"/>
          <w:numId w:val="1"/>
        </w:numPr>
        <w:spacing w:after="0" w:line="360" w:lineRule="auto"/>
        <w:ind w:left="-58" w:firstLine="8"/>
        <w:jc w:val="both"/>
        <w:rPr>
          <w:rFonts w:ascii="David" w:hAnsi="David" w:cs="David"/>
          <w:sz w:val="24"/>
          <w:szCs w:val="24"/>
        </w:rPr>
      </w:pPr>
      <w:r>
        <w:rPr>
          <w:rFonts w:ascii="David" w:hAnsi="David" w:cs="David" w:hint="cs"/>
          <w:sz w:val="24"/>
          <w:szCs w:val="24"/>
          <w:rtl/>
        </w:rPr>
        <w:t xml:space="preserve">במקרה זה, מבלי להתעלם מהדרך המבורכת בה החל לפסוע הנאשם כמפורט לעיל, מכך שההליך הטיפולי בעניינו מתקדם באפיק חיובי או מהמלצת שירות המבחן להשתת צו של"צ </w:t>
      </w:r>
      <w:r>
        <w:rPr>
          <w:rFonts w:ascii="David" w:hAnsi="David" w:cs="David"/>
          <w:sz w:val="24"/>
          <w:szCs w:val="24"/>
          <w:rtl/>
        </w:rPr>
        <w:t>–</w:t>
      </w:r>
      <w:r>
        <w:rPr>
          <w:rFonts w:ascii="David" w:hAnsi="David" w:cs="David" w:hint="cs"/>
          <w:sz w:val="24"/>
          <w:szCs w:val="24"/>
          <w:rtl/>
        </w:rPr>
        <w:t xml:space="preserve"> לא מצאתי </w:t>
      </w:r>
      <w:r>
        <w:rPr>
          <w:rFonts w:ascii="David" w:hAnsi="David" w:cs="David"/>
          <w:sz w:val="24"/>
          <w:szCs w:val="24"/>
          <w:rtl/>
        </w:rPr>
        <w:t xml:space="preserve">כי </w:t>
      </w:r>
      <w:r>
        <w:rPr>
          <w:rFonts w:ascii="David" w:hAnsi="David" w:cs="David" w:hint="cs"/>
          <w:sz w:val="24"/>
          <w:szCs w:val="24"/>
          <w:rtl/>
        </w:rPr>
        <w:t xml:space="preserve">בוסס אותו </w:t>
      </w:r>
      <w:r>
        <w:rPr>
          <w:rFonts w:ascii="David" w:hAnsi="David" w:cs="David"/>
          <w:sz w:val="24"/>
          <w:szCs w:val="24"/>
          <w:rtl/>
        </w:rPr>
        <w:t>שינוי עמוק ומובהק המצדיק</w:t>
      </w:r>
      <w:r>
        <w:rPr>
          <w:rFonts w:ascii="David" w:hAnsi="David" w:cs="David" w:hint="cs"/>
          <w:sz w:val="24"/>
          <w:szCs w:val="24"/>
          <w:rtl/>
        </w:rPr>
        <w:t xml:space="preserve"> סטייה לקולא </w:t>
      </w:r>
      <w:r>
        <w:rPr>
          <w:rFonts w:ascii="David" w:hAnsi="David" w:cs="David"/>
          <w:sz w:val="24"/>
          <w:szCs w:val="24"/>
          <w:rtl/>
        </w:rPr>
        <w:t>ממתחמי הענישה</w:t>
      </w:r>
      <w:r>
        <w:rPr>
          <w:rFonts w:ascii="David" w:hAnsi="David" w:cs="David" w:hint="cs"/>
          <w:sz w:val="24"/>
          <w:szCs w:val="24"/>
          <w:rtl/>
        </w:rPr>
        <w:t xml:space="preserve"> משיקולי שיקום</w:t>
      </w:r>
      <w:r>
        <w:rPr>
          <w:rFonts w:ascii="David" w:hAnsi="David" w:cs="David"/>
          <w:sz w:val="24"/>
          <w:szCs w:val="24"/>
          <w:rtl/>
        </w:rPr>
        <w:t>.</w:t>
      </w:r>
      <w:r>
        <w:rPr>
          <w:rFonts w:ascii="David" w:hAnsi="David" w:cs="David" w:hint="cs"/>
          <w:sz w:val="24"/>
          <w:szCs w:val="24"/>
          <w:rtl/>
        </w:rPr>
        <w:t xml:space="preserve"> בכל הנוגע לתסקיר ולהמלצת שירות המבחן, כידוע המלצתו</w:t>
      </w:r>
      <w:r>
        <w:rPr>
          <w:rFonts w:ascii="David" w:hAnsi="David" w:cs="David"/>
          <w:sz w:val="24"/>
          <w:szCs w:val="24"/>
          <w:rtl/>
        </w:rPr>
        <w:t xml:space="preserve"> אינה מחייבת את בית המשפט </w:t>
      </w:r>
      <w:r>
        <w:rPr>
          <w:rFonts w:ascii="David" w:hAnsi="David" w:cs="David" w:hint="cs"/>
          <w:sz w:val="24"/>
          <w:szCs w:val="24"/>
          <w:rtl/>
        </w:rPr>
        <w:t>והתסקיר משמש</w:t>
      </w:r>
      <w:r>
        <w:rPr>
          <w:rFonts w:ascii="David" w:hAnsi="David" w:cs="David"/>
          <w:sz w:val="24"/>
          <w:szCs w:val="24"/>
          <w:rtl/>
        </w:rPr>
        <w:t xml:space="preserve"> ככלי עזר בלבד (</w:t>
      </w:r>
      <w:hyperlink r:id="rId48" w:history="1">
        <w:r w:rsidR="002B5031" w:rsidRPr="002B5031">
          <w:rPr>
            <w:rFonts w:ascii="David" w:hAnsi="David" w:cs="David"/>
            <w:color w:val="0000FF"/>
            <w:sz w:val="24"/>
            <w:szCs w:val="24"/>
            <w:u w:val="single"/>
            <w:rtl/>
          </w:rPr>
          <w:t>רע"פ 5731/21</w:t>
        </w:r>
      </w:hyperlink>
      <w:r>
        <w:rPr>
          <w:rFonts w:ascii="David" w:hAnsi="David" w:cs="David"/>
          <w:sz w:val="24"/>
          <w:szCs w:val="24"/>
          <w:rtl/>
        </w:rPr>
        <w:t xml:space="preserve"> </w:t>
      </w:r>
      <w:r w:rsidRPr="00FD3C0C">
        <w:rPr>
          <w:rFonts w:ascii="David" w:hAnsi="David" w:cs="David"/>
          <w:b/>
          <w:bCs/>
          <w:sz w:val="24"/>
          <w:szCs w:val="24"/>
          <w:rtl/>
        </w:rPr>
        <w:t>אבו</w:t>
      </w:r>
      <w:r>
        <w:rPr>
          <w:rFonts w:ascii="David" w:hAnsi="David" w:cs="David"/>
          <w:sz w:val="24"/>
          <w:szCs w:val="24"/>
          <w:rtl/>
        </w:rPr>
        <w:t xml:space="preserve"> </w:t>
      </w:r>
      <w:r>
        <w:rPr>
          <w:rFonts w:ascii="David" w:hAnsi="David" w:cs="David"/>
          <w:b/>
          <w:bCs/>
          <w:sz w:val="24"/>
          <w:szCs w:val="24"/>
          <w:rtl/>
        </w:rPr>
        <w:t>סרחאן נ' מדינת ישראל</w:t>
      </w:r>
      <w:r>
        <w:rPr>
          <w:rFonts w:ascii="David" w:hAnsi="David" w:cs="David"/>
          <w:sz w:val="24"/>
          <w:szCs w:val="24"/>
          <w:rtl/>
        </w:rPr>
        <w:t xml:space="preserve"> (22.8.2021))</w:t>
      </w:r>
      <w:r>
        <w:rPr>
          <w:rFonts w:ascii="David" w:hAnsi="David" w:cs="David" w:hint="cs"/>
          <w:sz w:val="24"/>
          <w:szCs w:val="24"/>
          <w:rtl/>
        </w:rPr>
        <w:t>, כ</w:t>
      </w:r>
      <w:r>
        <w:rPr>
          <w:rFonts w:ascii="David" w:hAnsi="David" w:cs="David"/>
          <w:sz w:val="24"/>
          <w:szCs w:val="24"/>
          <w:rtl/>
        </w:rPr>
        <w:t>ששיקולי בית המשפט</w:t>
      </w:r>
      <w:r>
        <w:rPr>
          <w:rFonts w:ascii="David" w:hAnsi="David" w:cs="David" w:hint="cs"/>
          <w:sz w:val="24"/>
          <w:szCs w:val="24"/>
          <w:rtl/>
        </w:rPr>
        <w:t xml:space="preserve"> </w:t>
      </w:r>
      <w:r>
        <w:rPr>
          <w:rFonts w:ascii="David" w:hAnsi="David" w:cs="David"/>
          <w:sz w:val="24"/>
          <w:szCs w:val="24"/>
          <w:rtl/>
        </w:rPr>
        <w:t xml:space="preserve">רחבים מאלה הנשקלים </w:t>
      </w:r>
      <w:r>
        <w:rPr>
          <w:rFonts w:ascii="David" w:hAnsi="David" w:cs="David" w:hint="cs"/>
          <w:sz w:val="24"/>
          <w:szCs w:val="24"/>
          <w:rtl/>
        </w:rPr>
        <w:t>על ידו</w:t>
      </w:r>
      <w:r>
        <w:rPr>
          <w:rFonts w:ascii="David" w:hAnsi="David" w:cs="David"/>
          <w:sz w:val="24"/>
          <w:szCs w:val="24"/>
          <w:rtl/>
        </w:rPr>
        <w:t xml:space="preserve">. </w:t>
      </w:r>
      <w:r>
        <w:rPr>
          <w:rFonts w:ascii="David" w:hAnsi="David" w:cs="David" w:hint="cs"/>
          <w:sz w:val="24"/>
          <w:szCs w:val="24"/>
          <w:rtl/>
        </w:rPr>
        <w:t>עם זאת, הדרך אותה עושה הנאשם ת</w:t>
      </w:r>
      <w:r>
        <w:rPr>
          <w:rFonts w:ascii="David" w:hAnsi="David" w:cs="David"/>
          <w:sz w:val="24"/>
          <w:szCs w:val="24"/>
          <w:rtl/>
        </w:rPr>
        <w:t>ילקח בחשבון לקולא בעת קביעת עונשו הקונקרטי</w:t>
      </w:r>
      <w:r>
        <w:rPr>
          <w:rFonts w:ascii="David" w:hAnsi="David" w:cs="David" w:hint="cs"/>
          <w:sz w:val="24"/>
          <w:szCs w:val="24"/>
          <w:rtl/>
        </w:rPr>
        <w:t>.</w:t>
      </w:r>
    </w:p>
    <w:p w:rsidR="00447855" w:rsidRPr="001D3F97" w:rsidRDefault="00447855" w:rsidP="00447855">
      <w:pPr>
        <w:pStyle w:val="ListParagraph"/>
        <w:spacing w:after="0" w:line="240" w:lineRule="auto"/>
        <w:rPr>
          <w:rFonts w:ascii="David" w:hAnsi="David" w:cs="David"/>
          <w:color w:val="000000"/>
          <w:sz w:val="20"/>
          <w:szCs w:val="20"/>
        </w:rPr>
      </w:pPr>
    </w:p>
    <w:p w:rsidR="00447855" w:rsidRPr="00D55AB4" w:rsidRDefault="00447855" w:rsidP="00447855">
      <w:pPr>
        <w:pStyle w:val="ListParagraph"/>
        <w:numPr>
          <w:ilvl w:val="0"/>
          <w:numId w:val="1"/>
        </w:numPr>
        <w:spacing w:after="0" w:line="360" w:lineRule="auto"/>
        <w:ind w:left="-58" w:firstLine="8"/>
        <w:jc w:val="both"/>
        <w:rPr>
          <w:rFonts w:ascii="David" w:hAnsi="David" w:cs="David"/>
          <w:sz w:val="24"/>
          <w:szCs w:val="24"/>
        </w:rPr>
      </w:pPr>
      <w:r>
        <w:rPr>
          <w:rFonts w:ascii="David" w:hAnsi="David" w:cs="David" w:hint="cs"/>
          <w:color w:val="000000"/>
          <w:sz w:val="24"/>
          <w:szCs w:val="24"/>
          <w:rtl/>
        </w:rPr>
        <w:t xml:space="preserve">סוף דבר: </w:t>
      </w:r>
      <w:r>
        <w:rPr>
          <w:rFonts w:ascii="David" w:hAnsi="David" w:cs="David"/>
          <w:color w:val="000000"/>
          <w:sz w:val="24"/>
          <w:szCs w:val="24"/>
          <w:rtl/>
        </w:rPr>
        <w:t>לאחר בחינת כלל המפורט, בשילוב הנסיבות הכוללות במקרה זה, ביניהן המפורט בתסקירים וב</w:t>
      </w:r>
      <w:r>
        <w:rPr>
          <w:rFonts w:ascii="David" w:hAnsi="David" w:cs="David"/>
          <w:b/>
          <w:bCs/>
          <w:color w:val="000000"/>
          <w:sz w:val="24"/>
          <w:szCs w:val="24"/>
          <w:rtl/>
        </w:rPr>
        <w:t>ענ/1</w:t>
      </w:r>
      <w:r>
        <w:rPr>
          <w:rFonts w:ascii="David" w:hAnsi="David" w:cs="David"/>
          <w:color w:val="000000"/>
          <w:sz w:val="24"/>
          <w:szCs w:val="24"/>
          <w:rtl/>
        </w:rPr>
        <w:t xml:space="preserve">, התרשמותי ממאמצי הנאשם לשינוי דרכיו, נטילת האחריות על ידו גם אם בסוף ההליך, </w:t>
      </w:r>
      <w:r>
        <w:rPr>
          <w:rFonts w:ascii="David" w:hAnsi="David" w:cs="David" w:hint="cs"/>
          <w:color w:val="000000"/>
          <w:sz w:val="24"/>
          <w:szCs w:val="24"/>
          <w:rtl/>
        </w:rPr>
        <w:t>ו</w:t>
      </w:r>
      <w:r>
        <w:rPr>
          <w:rFonts w:ascii="David" w:hAnsi="David" w:cs="David"/>
          <w:color w:val="000000"/>
          <w:sz w:val="24"/>
          <w:szCs w:val="24"/>
          <w:rtl/>
        </w:rPr>
        <w:t>המחדלים והפגמים שנפלו בחקירה</w:t>
      </w:r>
      <w:r>
        <w:rPr>
          <w:rFonts w:ascii="David" w:hAnsi="David" w:cs="David" w:hint="cs"/>
          <w:color w:val="000000"/>
          <w:sz w:val="24"/>
          <w:szCs w:val="24"/>
          <w:rtl/>
        </w:rPr>
        <w:t xml:space="preserve"> </w:t>
      </w:r>
      <w:r>
        <w:rPr>
          <w:rFonts w:ascii="David" w:hAnsi="David" w:cs="David"/>
          <w:color w:val="000000"/>
          <w:sz w:val="24"/>
          <w:szCs w:val="24"/>
          <w:rtl/>
        </w:rPr>
        <w:t xml:space="preserve">– מצאתי לגזור על הנאשם 9 חודשי מאסר לריצוי בעבודות שירות תוך מיקום עונשו בתחתית מתחמי הענישה שנקבעו ולאחר חפיפה מסוימת ביניהם. לצד זאת ייגזרו על הנאשם מאסר על תנאי מרתיע, קנס, </w:t>
      </w:r>
      <w:r>
        <w:rPr>
          <w:rFonts w:ascii="David" w:hAnsi="David" w:cs="David"/>
          <w:sz w:val="24"/>
          <w:szCs w:val="24"/>
          <w:rtl/>
        </w:rPr>
        <w:t>התחייבות להימנע מביצוע עבירות, ופסילת רישיון נהיגה</w:t>
      </w:r>
      <w:r>
        <w:rPr>
          <w:rFonts w:ascii="David" w:hAnsi="David" w:cs="David" w:hint="cs"/>
          <w:sz w:val="24"/>
          <w:szCs w:val="24"/>
          <w:rtl/>
        </w:rPr>
        <w:t xml:space="preserve"> </w:t>
      </w:r>
      <w:r>
        <w:rPr>
          <w:rFonts w:ascii="David" w:hAnsi="David" w:cs="David" w:hint="cs"/>
          <w:color w:val="000000"/>
          <w:sz w:val="24"/>
          <w:szCs w:val="24"/>
          <w:rtl/>
        </w:rPr>
        <w:t>על תנאי</w:t>
      </w:r>
      <w:r>
        <w:rPr>
          <w:rFonts w:ascii="David" w:hAnsi="David" w:cs="David"/>
          <w:color w:val="000000"/>
          <w:sz w:val="24"/>
          <w:szCs w:val="24"/>
          <w:rtl/>
        </w:rPr>
        <w:t>. מצבו הכלכלי של הנאשם כפי שעולה מתסקיר שירות המבחן ומטיעוני הסנגורית יילקח בחשבון בעת קביעת סכום הקנס.</w:t>
      </w:r>
    </w:p>
    <w:p w:rsidR="00447855" w:rsidRPr="00D55AB4" w:rsidRDefault="00447855" w:rsidP="00447855">
      <w:pPr>
        <w:pStyle w:val="ListParagraph"/>
        <w:spacing w:line="240" w:lineRule="auto"/>
        <w:rPr>
          <w:rFonts w:ascii="David" w:hAnsi="David" w:cs="David"/>
          <w:color w:val="000000"/>
          <w:sz w:val="20"/>
          <w:szCs w:val="20"/>
          <w:rtl/>
        </w:rPr>
      </w:pPr>
    </w:p>
    <w:p w:rsidR="00447855" w:rsidRPr="00D55AB4" w:rsidRDefault="00447855" w:rsidP="00447855">
      <w:pPr>
        <w:pStyle w:val="ListParagraph"/>
        <w:numPr>
          <w:ilvl w:val="0"/>
          <w:numId w:val="1"/>
        </w:numPr>
        <w:spacing w:after="0" w:line="360" w:lineRule="auto"/>
        <w:ind w:left="-58" w:firstLine="8"/>
        <w:jc w:val="both"/>
        <w:rPr>
          <w:rFonts w:ascii="David" w:hAnsi="David" w:cs="David"/>
          <w:sz w:val="24"/>
          <w:szCs w:val="24"/>
          <w:rtl/>
        </w:rPr>
      </w:pPr>
      <w:r w:rsidRPr="00D55AB4">
        <w:rPr>
          <w:rFonts w:ascii="David" w:hAnsi="David" w:cs="David"/>
          <w:color w:val="000000"/>
          <w:sz w:val="24"/>
          <w:szCs w:val="24"/>
          <w:rtl/>
        </w:rPr>
        <w:t>אשר על כן, אני גוזרת על הנאשם את העונשים הבאים:</w:t>
      </w:r>
    </w:p>
    <w:p w:rsidR="00447855" w:rsidRPr="00D55AB4" w:rsidRDefault="00447855" w:rsidP="00447855">
      <w:pPr>
        <w:pStyle w:val="ListParagraph"/>
        <w:numPr>
          <w:ilvl w:val="0"/>
          <w:numId w:val="3"/>
        </w:numPr>
        <w:spacing w:after="0" w:line="360" w:lineRule="auto"/>
        <w:ind w:left="360"/>
        <w:jc w:val="both"/>
        <w:rPr>
          <w:rFonts w:ascii="David" w:hAnsi="David" w:cs="David"/>
          <w:color w:val="000000"/>
          <w:sz w:val="24"/>
          <w:szCs w:val="24"/>
        </w:rPr>
      </w:pPr>
      <w:r>
        <w:rPr>
          <w:rFonts w:ascii="David" w:eastAsia="Times New Roman" w:hAnsi="David" w:cs="David"/>
          <w:color w:val="000000"/>
          <w:sz w:val="24"/>
          <w:szCs w:val="24"/>
          <w:rtl/>
        </w:rPr>
        <w:t xml:space="preserve">מאסר בפועל לתקופה של </w:t>
      </w:r>
      <w:r>
        <w:rPr>
          <w:rFonts w:ascii="David" w:eastAsia="Times New Roman" w:hAnsi="David" w:cs="David"/>
          <w:color w:val="000000"/>
          <w:sz w:val="24"/>
          <w:szCs w:val="24"/>
        </w:rPr>
        <w:t>9</w:t>
      </w:r>
      <w:r>
        <w:rPr>
          <w:rFonts w:ascii="David" w:eastAsia="Times New Roman" w:hAnsi="David" w:cs="David"/>
          <w:color w:val="000000"/>
          <w:sz w:val="24"/>
          <w:szCs w:val="24"/>
          <w:rtl/>
        </w:rPr>
        <w:t xml:space="preserve"> חודשים, שירוצה בדרך של עבודות שירות, בהתאם לחוות-דעת הממונה על עבודות השירות ב</w:t>
      </w:r>
      <w:r>
        <w:rPr>
          <w:rFonts w:ascii="David" w:eastAsia="Times New Roman" w:hAnsi="David" w:cs="David" w:hint="cs"/>
          <w:color w:val="000000"/>
          <w:sz w:val="24"/>
          <w:szCs w:val="24"/>
          <w:rtl/>
        </w:rPr>
        <w:t>מרכז יום "אניטה הירש" רח' בראזני 15 בתל אביב</w:t>
      </w:r>
      <w:r>
        <w:rPr>
          <w:rFonts w:ascii="David" w:eastAsia="Times New Roman" w:hAnsi="David" w:cs="David"/>
          <w:color w:val="000000"/>
          <w:sz w:val="24"/>
          <w:szCs w:val="24"/>
          <w:rtl/>
        </w:rPr>
        <w:t xml:space="preserve">. הנאשם יתייצב במפקדת מחוז מרכז ביום </w:t>
      </w:r>
      <w:r>
        <w:rPr>
          <w:rFonts w:ascii="David" w:eastAsia="Times New Roman" w:hAnsi="David" w:cs="David" w:hint="cs"/>
          <w:color w:val="000000"/>
          <w:sz w:val="24"/>
          <w:szCs w:val="24"/>
          <w:rtl/>
        </w:rPr>
        <w:t>7.4.2024</w:t>
      </w:r>
      <w:r>
        <w:rPr>
          <w:rFonts w:ascii="David" w:eastAsia="Times New Roman" w:hAnsi="David" w:cs="David"/>
          <w:color w:val="000000"/>
          <w:sz w:val="24"/>
          <w:szCs w:val="24"/>
          <w:rtl/>
        </w:rPr>
        <w:t xml:space="preserve"> בשעה 08:00 לתחילת ריצוי עונשו, בשים לב להמלצת הממונה על עבודות השירות. הובהרה לנאשם המשמעות של אי עמידה בתנאי עבודות השירות</w:t>
      </w:r>
      <w:r w:rsidRPr="0063708E">
        <w:rPr>
          <w:rFonts w:ascii="David" w:eastAsia="Times New Roman" w:hAnsi="David" w:cs="David"/>
          <w:color w:val="000000"/>
          <w:sz w:val="24"/>
          <w:szCs w:val="24"/>
        </w:rPr>
        <w:t>.</w:t>
      </w:r>
    </w:p>
    <w:p w:rsidR="00447855" w:rsidRDefault="00447855" w:rsidP="00447855">
      <w:pPr>
        <w:pStyle w:val="ListParagraph"/>
        <w:numPr>
          <w:ilvl w:val="0"/>
          <w:numId w:val="3"/>
        </w:numPr>
        <w:spacing w:after="0" w:line="360" w:lineRule="auto"/>
        <w:ind w:left="360"/>
        <w:jc w:val="both"/>
        <w:rPr>
          <w:rFonts w:ascii="David" w:hAnsi="David" w:cs="David"/>
          <w:color w:val="000000"/>
          <w:sz w:val="24"/>
          <w:szCs w:val="24"/>
        </w:rPr>
      </w:pPr>
      <w:r w:rsidRPr="00D55AB4">
        <w:rPr>
          <w:rFonts w:ascii="David" w:eastAsia="Times New Roman" w:hAnsi="David" w:cs="David"/>
          <w:color w:val="000000"/>
          <w:sz w:val="24"/>
          <w:szCs w:val="24"/>
          <w:rtl/>
        </w:rPr>
        <w:t>מאסר על תנאי למשך 7 חודשים לתקופה של 3 שנים, והתנאי שהנאשם לא יעבור עבירת סמים מסוג פשע</w:t>
      </w:r>
      <w:r w:rsidRPr="00D55AB4">
        <w:rPr>
          <w:rFonts w:ascii="David" w:hAnsi="David" w:cs="David"/>
          <w:color w:val="000000"/>
          <w:sz w:val="24"/>
          <w:szCs w:val="24"/>
          <w:rtl/>
        </w:rPr>
        <w:t>.</w:t>
      </w:r>
    </w:p>
    <w:p w:rsidR="00447855" w:rsidRDefault="00447855" w:rsidP="00447855">
      <w:pPr>
        <w:pStyle w:val="ListParagraph"/>
        <w:numPr>
          <w:ilvl w:val="0"/>
          <w:numId w:val="3"/>
        </w:numPr>
        <w:spacing w:after="0" w:line="360" w:lineRule="auto"/>
        <w:ind w:left="360"/>
        <w:jc w:val="both"/>
        <w:rPr>
          <w:rFonts w:ascii="David" w:hAnsi="David" w:cs="David"/>
          <w:color w:val="000000"/>
          <w:sz w:val="24"/>
          <w:szCs w:val="24"/>
        </w:rPr>
      </w:pPr>
      <w:r w:rsidRPr="00D55AB4">
        <w:rPr>
          <w:rFonts w:ascii="David" w:eastAsia="Times New Roman" w:hAnsi="David" w:cs="David"/>
          <w:color w:val="000000"/>
          <w:sz w:val="24"/>
          <w:szCs w:val="24"/>
          <w:rtl/>
        </w:rPr>
        <w:t>מאסר על תנאי למשך 3 חודשים לתקופה של 3 שנים, והתנאי שהנאשם לא יעבור עבירת סמים מסוג עוון</w:t>
      </w:r>
      <w:r>
        <w:rPr>
          <w:rFonts w:ascii="David" w:hAnsi="David" w:cs="David" w:hint="cs"/>
          <w:color w:val="000000"/>
          <w:sz w:val="24"/>
          <w:szCs w:val="24"/>
          <w:rtl/>
        </w:rPr>
        <w:t>.</w:t>
      </w:r>
    </w:p>
    <w:p w:rsidR="00447855" w:rsidRDefault="00447855" w:rsidP="00447855">
      <w:pPr>
        <w:pStyle w:val="ListParagraph"/>
        <w:numPr>
          <w:ilvl w:val="0"/>
          <w:numId w:val="3"/>
        </w:numPr>
        <w:spacing w:after="0" w:line="360" w:lineRule="auto"/>
        <w:ind w:left="360"/>
        <w:jc w:val="both"/>
        <w:rPr>
          <w:rFonts w:ascii="David" w:hAnsi="David" w:cs="David"/>
          <w:color w:val="000000"/>
          <w:sz w:val="24"/>
          <w:szCs w:val="24"/>
        </w:rPr>
      </w:pPr>
      <w:r w:rsidRPr="00D55AB4">
        <w:rPr>
          <w:rFonts w:ascii="David" w:eastAsia="Times New Roman" w:hAnsi="David" w:cs="David"/>
          <w:color w:val="000000"/>
          <w:sz w:val="24"/>
          <w:szCs w:val="24"/>
          <w:rtl/>
        </w:rPr>
        <w:t>אני פוסלת את הנאשם מלקבל או להחזיק רישיון נהיגה למשך חודשיים, וזאת על תנאי, והתנאי הוא שמשך שנתיים מהיום לא יעבור עבירה על פקודת הסמים</w:t>
      </w:r>
      <w:r>
        <w:rPr>
          <w:rFonts w:ascii="David" w:hAnsi="David" w:cs="David" w:hint="cs"/>
          <w:color w:val="000000"/>
          <w:sz w:val="24"/>
          <w:szCs w:val="24"/>
          <w:rtl/>
        </w:rPr>
        <w:t>.</w:t>
      </w:r>
    </w:p>
    <w:p w:rsidR="00447855" w:rsidRPr="00D55AB4" w:rsidRDefault="00447855" w:rsidP="00447855">
      <w:pPr>
        <w:pStyle w:val="ListParagraph"/>
        <w:numPr>
          <w:ilvl w:val="0"/>
          <w:numId w:val="3"/>
        </w:numPr>
        <w:spacing w:after="0" w:line="360" w:lineRule="auto"/>
        <w:ind w:left="360"/>
        <w:jc w:val="both"/>
        <w:rPr>
          <w:rFonts w:ascii="David" w:hAnsi="David" w:cs="David"/>
          <w:color w:val="000000"/>
          <w:sz w:val="24"/>
          <w:szCs w:val="24"/>
        </w:rPr>
      </w:pPr>
      <w:r w:rsidRPr="00D55AB4">
        <w:rPr>
          <w:rFonts w:ascii="David" w:eastAsia="Times New Roman" w:hAnsi="David" w:cs="David"/>
          <w:color w:val="000000"/>
          <w:sz w:val="24"/>
          <w:szCs w:val="24"/>
          <w:rtl/>
        </w:rPr>
        <w:t>התחייבות להימנע מביצוע איזה מהעבירות בהן</w:t>
      </w:r>
      <w:r>
        <w:rPr>
          <w:rFonts w:ascii="David" w:eastAsia="Times New Roman" w:hAnsi="David" w:cs="David"/>
          <w:color w:val="000000"/>
          <w:sz w:val="24"/>
          <w:szCs w:val="24"/>
          <w:rtl/>
        </w:rPr>
        <w:t xml:space="preserve"> הורשע, על סך </w:t>
      </w:r>
      <w:r>
        <w:rPr>
          <w:rFonts w:ascii="David" w:eastAsia="Times New Roman" w:hAnsi="David" w:cs="David" w:hint="cs"/>
          <w:color w:val="000000"/>
          <w:sz w:val="24"/>
          <w:szCs w:val="24"/>
          <w:rtl/>
        </w:rPr>
        <w:t>2,000</w:t>
      </w:r>
      <w:r>
        <w:rPr>
          <w:rFonts w:ascii="David" w:eastAsia="Times New Roman" w:hAnsi="David" w:cs="David"/>
          <w:color w:val="000000"/>
          <w:sz w:val="24"/>
          <w:szCs w:val="24"/>
          <w:rtl/>
        </w:rPr>
        <w:t xml:space="preserve"> ₪ למשך שנתיים</w:t>
      </w:r>
      <w:r>
        <w:rPr>
          <w:rFonts w:ascii="David" w:eastAsia="Times New Roman" w:hAnsi="David" w:cs="David" w:hint="cs"/>
          <w:color w:val="000000"/>
          <w:sz w:val="24"/>
          <w:szCs w:val="24"/>
          <w:rtl/>
        </w:rPr>
        <w:t>.</w:t>
      </w:r>
    </w:p>
    <w:p w:rsidR="00447855" w:rsidRPr="00D55AB4" w:rsidRDefault="00447855" w:rsidP="00447855">
      <w:pPr>
        <w:pStyle w:val="ListParagraph"/>
        <w:numPr>
          <w:ilvl w:val="0"/>
          <w:numId w:val="3"/>
        </w:numPr>
        <w:spacing w:after="0" w:line="360" w:lineRule="auto"/>
        <w:ind w:left="360"/>
        <w:jc w:val="both"/>
        <w:rPr>
          <w:rFonts w:ascii="David" w:hAnsi="David" w:cs="David"/>
          <w:color w:val="000000"/>
          <w:sz w:val="24"/>
          <w:szCs w:val="24"/>
        </w:rPr>
      </w:pPr>
      <w:r w:rsidRPr="00D55AB4">
        <w:rPr>
          <w:rFonts w:ascii="David" w:eastAsia="Times New Roman" w:hAnsi="David" w:cs="David"/>
          <w:color w:val="000000"/>
          <w:sz w:val="24"/>
          <w:szCs w:val="24"/>
          <w:rtl/>
        </w:rPr>
        <w:t>קנס בסך ₪</w:t>
      </w:r>
      <w:r>
        <w:rPr>
          <w:rFonts w:ascii="David" w:eastAsia="Times New Roman" w:hAnsi="David" w:cs="David" w:hint="cs"/>
          <w:color w:val="000000"/>
          <w:sz w:val="24"/>
          <w:szCs w:val="24"/>
          <w:rtl/>
        </w:rPr>
        <w:t xml:space="preserve">2,000 </w:t>
      </w:r>
      <w:r w:rsidRPr="00D55AB4">
        <w:rPr>
          <w:rFonts w:ascii="David" w:eastAsia="Times New Roman" w:hAnsi="David" w:cs="David"/>
          <w:color w:val="000000"/>
          <w:sz w:val="24"/>
          <w:szCs w:val="24"/>
          <w:rtl/>
        </w:rPr>
        <w:t xml:space="preserve">או </w:t>
      </w:r>
      <w:r>
        <w:rPr>
          <w:rFonts w:ascii="David" w:eastAsia="Times New Roman" w:hAnsi="David" w:cs="David" w:hint="cs"/>
          <w:color w:val="000000"/>
          <w:sz w:val="24"/>
          <w:szCs w:val="24"/>
          <w:rtl/>
        </w:rPr>
        <w:t>30</w:t>
      </w:r>
      <w:r w:rsidRPr="00D55AB4">
        <w:rPr>
          <w:rFonts w:ascii="David" w:eastAsia="Times New Roman" w:hAnsi="David" w:cs="David"/>
          <w:color w:val="000000"/>
          <w:sz w:val="24"/>
          <w:szCs w:val="24"/>
          <w:rtl/>
        </w:rPr>
        <w:t xml:space="preserve"> ימי מאסר תמורתו. הקנס ישולם ב-</w:t>
      </w:r>
      <w:r>
        <w:rPr>
          <w:rFonts w:ascii="David" w:eastAsia="Times New Roman" w:hAnsi="David" w:cs="David" w:hint="cs"/>
          <w:color w:val="000000"/>
          <w:sz w:val="24"/>
          <w:szCs w:val="24"/>
          <w:rtl/>
        </w:rPr>
        <w:t xml:space="preserve"> 4</w:t>
      </w:r>
      <w:r w:rsidRPr="00D55AB4">
        <w:rPr>
          <w:rFonts w:ascii="David" w:eastAsia="Times New Roman" w:hAnsi="David" w:cs="David"/>
          <w:color w:val="000000"/>
          <w:sz w:val="24"/>
          <w:szCs w:val="24"/>
          <w:rtl/>
        </w:rPr>
        <w:t xml:space="preserve"> תשלומים חודשיים, שווים ורציפים, כשהראשון בהם ביום </w:t>
      </w:r>
      <w:r>
        <w:rPr>
          <w:rFonts w:ascii="David" w:eastAsia="Times New Roman" w:hAnsi="David" w:cs="David" w:hint="cs"/>
          <w:color w:val="000000"/>
          <w:sz w:val="24"/>
          <w:szCs w:val="24"/>
          <w:rtl/>
        </w:rPr>
        <w:t>25.3.2024</w:t>
      </w:r>
      <w:r w:rsidRPr="00D55AB4">
        <w:rPr>
          <w:rFonts w:ascii="David" w:eastAsia="Times New Roman" w:hAnsi="David" w:cs="David"/>
          <w:color w:val="000000"/>
          <w:sz w:val="24"/>
          <w:szCs w:val="24"/>
          <w:rtl/>
        </w:rPr>
        <w:t>. לא ישולם תשלום במועדו – יעמוד הקנס לפירעון מ</w:t>
      </w:r>
      <w:r w:rsidRPr="00D55AB4">
        <w:rPr>
          <w:rFonts w:ascii="David" w:eastAsia="Times New Roman" w:hAnsi="David" w:cs="David" w:hint="cs"/>
          <w:color w:val="000000"/>
          <w:sz w:val="24"/>
          <w:szCs w:val="24"/>
          <w:rtl/>
        </w:rPr>
        <w:t>י</w:t>
      </w:r>
      <w:r w:rsidRPr="00D55AB4">
        <w:rPr>
          <w:rFonts w:ascii="David" w:eastAsia="Times New Roman" w:hAnsi="David" w:cs="David"/>
          <w:color w:val="000000"/>
          <w:sz w:val="24"/>
          <w:szCs w:val="24"/>
          <w:rtl/>
        </w:rPr>
        <w:t>ידי</w:t>
      </w:r>
      <w:r w:rsidRPr="00D55AB4">
        <w:rPr>
          <w:rFonts w:ascii="David" w:hAnsi="David" w:cs="David"/>
          <w:color w:val="000000"/>
          <w:sz w:val="24"/>
          <w:szCs w:val="24"/>
          <w:rtl/>
        </w:rPr>
        <w:t>.</w:t>
      </w:r>
      <w:r>
        <w:rPr>
          <w:rFonts w:ascii="David" w:hAnsi="David" w:cs="David" w:hint="cs"/>
          <w:color w:val="000000"/>
          <w:sz w:val="24"/>
          <w:szCs w:val="24"/>
          <w:rtl/>
        </w:rPr>
        <w:t xml:space="preserve"> ככל שקיימים כספים בפקדון, לבקשת הנאשם, ישמשו הכספים לתשלום הקנס, בכפוף לכל מניעה על פי דין.</w:t>
      </w:r>
    </w:p>
    <w:p w:rsidR="00447855" w:rsidRPr="001F6496" w:rsidRDefault="00447855" w:rsidP="00447855">
      <w:pPr>
        <w:jc w:val="both"/>
        <w:rPr>
          <w:rFonts w:ascii="David" w:hAnsi="David"/>
          <w:color w:val="000000"/>
          <w:sz w:val="20"/>
          <w:szCs w:val="20"/>
        </w:rPr>
      </w:pPr>
    </w:p>
    <w:p w:rsidR="00447855" w:rsidRPr="00ED4AD9" w:rsidRDefault="00447855" w:rsidP="00447855">
      <w:pPr>
        <w:spacing w:line="360" w:lineRule="auto"/>
        <w:jc w:val="both"/>
        <w:rPr>
          <w:rFonts w:ascii="David" w:hAnsi="David"/>
          <w:b/>
          <w:bCs/>
          <w:color w:val="000000"/>
          <w:rtl/>
        </w:rPr>
      </w:pPr>
      <w:r>
        <w:rPr>
          <w:rFonts w:ascii="David" w:hAnsi="David"/>
          <w:color w:val="000000"/>
          <w:rtl/>
        </w:rPr>
        <w:t>ניתן צו כללי למוצגים, לשיקול דעת קצין משטרה. אני מורה על השמדת הסמים שנתפסו</w:t>
      </w:r>
      <w:r>
        <w:rPr>
          <w:rFonts w:ascii="David" w:hAnsi="David" w:hint="cs"/>
          <w:color w:val="000000"/>
          <w:rtl/>
        </w:rPr>
        <w:t xml:space="preserve">. </w:t>
      </w:r>
    </w:p>
    <w:p w:rsidR="00447855" w:rsidRPr="00ED4AD9" w:rsidRDefault="00447855" w:rsidP="00447855">
      <w:pPr>
        <w:jc w:val="both"/>
        <w:rPr>
          <w:rFonts w:ascii="David" w:hAnsi="David"/>
          <w:color w:val="000000"/>
          <w:sz w:val="20"/>
          <w:szCs w:val="20"/>
        </w:rPr>
      </w:pPr>
    </w:p>
    <w:p w:rsidR="00447855" w:rsidRDefault="00447855" w:rsidP="00447855">
      <w:pPr>
        <w:spacing w:line="360" w:lineRule="auto"/>
        <w:jc w:val="both"/>
        <w:rPr>
          <w:rFonts w:ascii="David" w:hAnsi="David"/>
          <w:color w:val="000000"/>
          <w:rtl/>
        </w:rPr>
      </w:pPr>
      <w:r w:rsidRPr="00ED4AD9">
        <w:rPr>
          <w:rFonts w:ascii="David" w:hAnsi="David"/>
          <w:color w:val="000000"/>
          <w:u w:val="single"/>
          <w:rtl/>
        </w:rPr>
        <w:t>זכות ערעור לבית-המשפט המחוזי בתוך 45 יום מהיום</w:t>
      </w:r>
      <w:r>
        <w:rPr>
          <w:rFonts w:ascii="David" w:hAnsi="David"/>
          <w:color w:val="000000"/>
          <w:rtl/>
        </w:rPr>
        <w:t>.</w:t>
      </w:r>
    </w:p>
    <w:p w:rsidR="00447855" w:rsidRPr="001F6496" w:rsidRDefault="00447855" w:rsidP="00447855">
      <w:pPr>
        <w:jc w:val="both"/>
        <w:rPr>
          <w:rFonts w:ascii="David" w:hAnsi="David"/>
          <w:color w:val="000000"/>
          <w:sz w:val="20"/>
          <w:szCs w:val="20"/>
          <w:rtl/>
        </w:rPr>
      </w:pPr>
    </w:p>
    <w:p w:rsidR="00447855" w:rsidRDefault="00447855" w:rsidP="00447855">
      <w:pPr>
        <w:spacing w:line="360" w:lineRule="auto"/>
        <w:jc w:val="both"/>
        <w:rPr>
          <w:rFonts w:ascii="David" w:hAnsi="David"/>
          <w:color w:val="000000"/>
          <w:rtl/>
        </w:rPr>
      </w:pPr>
      <w:r>
        <w:rPr>
          <w:rFonts w:ascii="David" w:hAnsi="David"/>
          <w:color w:val="000000"/>
          <w:rtl/>
        </w:rPr>
        <w:t xml:space="preserve">על פי הוראות </w:t>
      </w:r>
      <w:hyperlink r:id="rId49" w:history="1">
        <w:r w:rsidR="000C2E36" w:rsidRPr="000C2E36">
          <w:rPr>
            <w:rStyle w:val="Hyperlink"/>
            <w:rFonts w:ascii="David" w:hAnsi="David"/>
            <w:rtl/>
          </w:rPr>
          <w:t>סעיף 36א(א)</w:t>
        </w:r>
      </w:hyperlink>
      <w:r>
        <w:rPr>
          <w:rFonts w:ascii="David" w:hAnsi="David"/>
          <w:color w:val="000000"/>
          <w:rtl/>
        </w:rPr>
        <w:t xml:space="preserve"> ו- </w:t>
      </w:r>
      <w:hyperlink r:id="rId50" w:history="1">
        <w:r w:rsidR="000C2E36" w:rsidRPr="000C2E36">
          <w:rPr>
            <w:rStyle w:val="Hyperlink"/>
            <w:rFonts w:ascii="David" w:hAnsi="David"/>
            <w:rtl/>
          </w:rPr>
          <w:t>36 א(ב)</w:t>
        </w:r>
      </w:hyperlink>
      <w:r>
        <w:rPr>
          <w:rFonts w:ascii="David" w:hAnsi="David"/>
          <w:color w:val="000000"/>
          <w:rtl/>
        </w:rPr>
        <w:t xml:space="preserve"> ל</w:t>
      </w:r>
      <w:hyperlink r:id="rId51" w:history="1">
        <w:r w:rsidR="002B5031" w:rsidRPr="002B5031">
          <w:rPr>
            <w:rFonts w:ascii="David" w:hAnsi="David"/>
            <w:color w:val="0000FF"/>
            <w:u w:val="single"/>
            <w:rtl/>
          </w:rPr>
          <w:t>פקודת הסמים המסוכנים</w:t>
        </w:r>
      </w:hyperlink>
      <w:r>
        <w:rPr>
          <w:rFonts w:ascii="David" w:hAnsi="David"/>
          <w:color w:val="000000"/>
          <w:rtl/>
        </w:rPr>
        <w:t xml:space="preserve"> </w:t>
      </w:r>
      <w:r>
        <w:rPr>
          <w:rFonts w:ascii="David" w:hAnsi="David" w:hint="cs"/>
          <w:color w:val="000000"/>
          <w:rtl/>
        </w:rPr>
        <w:t>לאור הכרזת</w:t>
      </w:r>
      <w:r>
        <w:rPr>
          <w:rFonts w:ascii="David" w:hAnsi="David"/>
          <w:color w:val="000000"/>
          <w:rtl/>
        </w:rPr>
        <w:t xml:space="preserve"> הנאשם כסוחר </w:t>
      </w:r>
    </w:p>
    <w:p w:rsidR="00447855" w:rsidRDefault="00447855" w:rsidP="00447855">
      <w:pPr>
        <w:spacing w:line="360" w:lineRule="auto"/>
        <w:jc w:val="both"/>
        <w:rPr>
          <w:rFonts w:ascii="David" w:hAnsi="David"/>
          <w:color w:val="000000"/>
          <w:rtl/>
        </w:rPr>
      </w:pPr>
      <w:r>
        <w:rPr>
          <w:rFonts w:ascii="David" w:hAnsi="David"/>
          <w:color w:val="000000"/>
          <w:rtl/>
        </w:rPr>
        <w:t xml:space="preserve">סמים </w:t>
      </w:r>
      <w:r>
        <w:rPr>
          <w:rFonts w:ascii="David" w:hAnsi="David" w:hint="cs"/>
          <w:color w:val="000000"/>
          <w:rtl/>
        </w:rPr>
        <w:t xml:space="preserve">אני </w:t>
      </w:r>
      <w:r>
        <w:rPr>
          <w:rFonts w:ascii="David" w:hAnsi="David"/>
          <w:color w:val="000000"/>
          <w:rtl/>
        </w:rPr>
        <w:t>מורה על חילוט 400 ₪ ומכשיר טלפון נייד מסוג אייפון שנתפסו אצל הנאשם.</w:t>
      </w:r>
    </w:p>
    <w:p w:rsidR="00447855" w:rsidRPr="002B5031" w:rsidRDefault="002B5031" w:rsidP="00447855">
      <w:pPr>
        <w:spacing w:line="360" w:lineRule="auto"/>
        <w:jc w:val="both"/>
        <w:rPr>
          <w:rFonts w:ascii="David" w:hAnsi="David"/>
          <w:b/>
          <w:bCs/>
          <w:color w:val="FFFFFF"/>
          <w:sz w:val="2"/>
          <w:szCs w:val="2"/>
          <w:u w:val="single"/>
          <w:rtl/>
        </w:rPr>
      </w:pPr>
      <w:r w:rsidRPr="002B5031">
        <w:rPr>
          <w:rFonts w:ascii="David" w:hAnsi="David"/>
          <w:b/>
          <w:bCs/>
          <w:color w:val="FFFFFF"/>
          <w:sz w:val="2"/>
          <w:szCs w:val="2"/>
          <w:u w:val="single"/>
          <w:rtl/>
        </w:rPr>
        <w:t>5129371</w:t>
      </w:r>
    </w:p>
    <w:p w:rsidR="00447855" w:rsidRPr="00447855" w:rsidRDefault="002B5031" w:rsidP="00447855">
      <w:pPr>
        <w:spacing w:line="360" w:lineRule="auto"/>
        <w:jc w:val="both"/>
        <w:rPr>
          <w:rFonts w:ascii="David" w:eastAsia="Calibri" w:hAnsi="David"/>
          <w:b/>
          <w:bCs/>
          <w:color w:val="000000"/>
          <w:u w:val="single"/>
          <w:rtl/>
        </w:rPr>
      </w:pPr>
      <w:r w:rsidRPr="002B5031">
        <w:rPr>
          <w:rFonts w:ascii="David" w:hAnsi="David"/>
          <w:b/>
          <w:bCs/>
          <w:color w:val="FFFFFF"/>
          <w:sz w:val="2"/>
          <w:szCs w:val="2"/>
          <w:u w:val="single"/>
          <w:rtl/>
        </w:rPr>
        <w:t>54678313</w:t>
      </w:r>
      <w:r w:rsidR="00447855" w:rsidRPr="00D55AB4">
        <w:rPr>
          <w:rFonts w:ascii="David" w:hAnsi="David"/>
          <w:b/>
          <w:bCs/>
          <w:color w:val="000000"/>
          <w:u w:val="single"/>
          <w:rtl/>
        </w:rPr>
        <w:t>זכות ערעור לבית-המשפט המחוזי בתוך 45 יום מהיום.</w:t>
      </w:r>
    </w:p>
    <w:p w:rsidR="00447855" w:rsidRPr="00D55AB4" w:rsidRDefault="00447855" w:rsidP="00447855">
      <w:pPr>
        <w:rPr>
          <w:rFonts w:ascii="Arial" w:hAnsi="Arial"/>
          <w:b/>
          <w:bCs/>
          <w:sz w:val="20"/>
          <w:szCs w:val="20"/>
          <w:rtl/>
        </w:rPr>
      </w:pPr>
    </w:p>
    <w:p w:rsidR="00447855" w:rsidRPr="000F2247" w:rsidRDefault="002B5031" w:rsidP="00447855">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ט"ז אדר א' תשפ"ד, 25 פברואר 2024, במעמד הצדדים. </w:t>
      </w:r>
      <w:bookmarkEnd w:id="8"/>
      <w:r w:rsidR="00447855">
        <w:rPr>
          <w:rFonts w:ascii="Arial" w:hAnsi="Arial"/>
          <w:b/>
          <w:bCs/>
          <w:sz w:val="26"/>
          <w:szCs w:val="26"/>
          <w:rtl/>
        </w:rPr>
        <w:tab/>
      </w:r>
      <w:r w:rsidR="00447855">
        <w:rPr>
          <w:rFonts w:ascii="Arial" w:hAnsi="Arial"/>
          <w:b/>
          <w:bCs/>
          <w:sz w:val="26"/>
          <w:szCs w:val="26"/>
          <w:rtl/>
        </w:rPr>
        <w:tab/>
      </w:r>
      <w:r w:rsidR="00447855">
        <w:rPr>
          <w:rFonts w:ascii="Arial" w:hAnsi="Arial"/>
          <w:b/>
          <w:bCs/>
          <w:sz w:val="26"/>
          <w:szCs w:val="26"/>
          <w:rtl/>
        </w:rPr>
        <w:tab/>
      </w:r>
      <w:r w:rsidR="00447855">
        <w:rPr>
          <w:rFonts w:ascii="Arial" w:hAnsi="Arial"/>
          <w:b/>
          <w:bCs/>
          <w:sz w:val="26"/>
          <w:szCs w:val="26"/>
          <w:rtl/>
        </w:rPr>
        <w:tab/>
      </w:r>
      <w:r w:rsidR="00447855">
        <w:rPr>
          <w:rFonts w:ascii="Arial" w:hAnsi="Arial"/>
          <w:b/>
          <w:bCs/>
          <w:sz w:val="26"/>
          <w:szCs w:val="26"/>
          <w:rtl/>
        </w:rPr>
        <w:tab/>
      </w:r>
      <w:r w:rsidR="00447855">
        <w:rPr>
          <w:rFonts w:ascii="Arial" w:hAnsi="Arial"/>
          <w:b/>
          <w:bCs/>
          <w:sz w:val="26"/>
          <w:szCs w:val="26"/>
          <w:rtl/>
        </w:rPr>
        <w:tab/>
      </w:r>
      <w:r w:rsidR="00447855">
        <w:rPr>
          <w:rFonts w:ascii="Arial" w:hAnsi="Arial"/>
          <w:b/>
          <w:bCs/>
          <w:sz w:val="26"/>
          <w:szCs w:val="26"/>
          <w:rtl/>
        </w:rPr>
        <w:tab/>
      </w:r>
      <w:r w:rsidR="00447855">
        <w:rPr>
          <w:rFonts w:ascii="Arial" w:hAnsi="Arial" w:hint="cs"/>
          <w:b/>
          <w:bCs/>
          <w:sz w:val="26"/>
          <w:szCs w:val="26"/>
          <w:rtl/>
        </w:rPr>
        <w:t xml:space="preserve">         </w:t>
      </w:r>
    </w:p>
    <w:p w:rsidR="002B5031" w:rsidRDefault="002B5031" w:rsidP="002B5031">
      <w:pPr>
        <w:rPr>
          <w:rtl/>
        </w:rPr>
      </w:pPr>
    </w:p>
    <w:p w:rsidR="002B5031" w:rsidRDefault="002B5031" w:rsidP="002B5031">
      <w:pPr>
        <w:jc w:val="center"/>
        <w:rPr>
          <w:color w:val="0000FF"/>
          <w:u w:val="single"/>
        </w:rPr>
      </w:pPr>
      <w:hyperlink r:id="rId52" w:history="1">
        <w:r>
          <w:rPr>
            <w:color w:val="0000FF"/>
            <w:u w:val="single"/>
            <w:rtl/>
          </w:rPr>
          <w:t>בעניין עריכה ושינויים במסמכי פסיקה, חקיקה ועוד באתר נבו – הקש כאן</w:t>
        </w:r>
      </w:hyperlink>
    </w:p>
    <w:p w:rsidR="000C2E36" w:rsidRPr="000C2E36" w:rsidRDefault="000C2E36" w:rsidP="000C2E36">
      <w:pPr>
        <w:keepNext/>
        <w:rPr>
          <w:rFonts w:ascii="David" w:hAnsi="David"/>
          <w:color w:val="000000"/>
          <w:sz w:val="22"/>
          <w:szCs w:val="22"/>
          <w:rtl/>
        </w:rPr>
      </w:pPr>
    </w:p>
    <w:p w:rsidR="000C2E36" w:rsidRPr="000C2E36" w:rsidRDefault="000C2E36" w:rsidP="000C2E36">
      <w:pPr>
        <w:keepNext/>
        <w:rPr>
          <w:rFonts w:ascii="David" w:hAnsi="David"/>
          <w:color w:val="000000"/>
          <w:sz w:val="22"/>
          <w:szCs w:val="22"/>
          <w:rtl/>
        </w:rPr>
      </w:pPr>
      <w:r w:rsidRPr="000C2E36">
        <w:rPr>
          <w:rFonts w:ascii="David" w:hAnsi="David"/>
          <w:color w:val="000000"/>
          <w:sz w:val="22"/>
          <w:szCs w:val="22"/>
          <w:rtl/>
        </w:rPr>
        <w:t>דנה אמיר 54678313-/</w:t>
      </w:r>
    </w:p>
    <w:p w:rsidR="002B5031" w:rsidRPr="002B5031" w:rsidRDefault="000C2E36" w:rsidP="000C2E36">
      <w:pPr>
        <w:rPr>
          <w:color w:val="0000FF"/>
          <w:u w:val="single"/>
        </w:rPr>
      </w:pPr>
      <w:r w:rsidRPr="000C2E36">
        <w:rPr>
          <w:color w:val="000000"/>
          <w:u w:val="single"/>
          <w:rtl/>
        </w:rPr>
        <w:t>נוסח מסמך זה כפוף לשינויי ניסוח ועריכה</w:t>
      </w:r>
    </w:p>
    <w:sectPr w:rsidR="002B5031" w:rsidRPr="002B5031" w:rsidSect="000C2E36">
      <w:headerReference w:type="even" r:id="rId53"/>
      <w:headerReference w:type="default" r:id="rId54"/>
      <w:footerReference w:type="even" r:id="rId55"/>
      <w:footerReference w:type="default" r:id="rId5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42A93" w:rsidRDefault="00D42A93" w:rsidP="008F1551">
      <w:r>
        <w:separator/>
      </w:r>
    </w:p>
  </w:endnote>
  <w:endnote w:type="continuationSeparator" w:id="0">
    <w:p w:rsidR="00D42A93" w:rsidRDefault="00D42A93" w:rsidP="008F1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C2E36" w:rsidRDefault="000C2E36" w:rsidP="000C2E36">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rsidR="00704A13" w:rsidRPr="000C2E36" w:rsidRDefault="000C2E36" w:rsidP="000C2E36">
    <w:pPr>
      <w:pStyle w:val="Footer"/>
      <w:pBdr>
        <w:top w:val="single" w:sz="4" w:space="1" w:color="auto"/>
        <w:between w:val="single" w:sz="4" w:space="0" w:color="auto"/>
      </w:pBdr>
      <w:spacing w:after="60"/>
      <w:jc w:val="center"/>
      <w:rPr>
        <w:rFonts w:ascii="FrankRuehl" w:hAnsi="FrankRuehl" w:cs="FrankRuehl"/>
        <w:color w:val="000000"/>
      </w:rPr>
    </w:pPr>
    <w:r w:rsidRPr="000C2E3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C2E36" w:rsidRDefault="000C2E36" w:rsidP="000C2E36">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D345A">
      <w:rPr>
        <w:rFonts w:ascii="FrankRuehl" w:hAnsi="FrankRuehl" w:cs="FrankRuehl"/>
        <w:noProof/>
        <w:rtl/>
      </w:rPr>
      <w:t>1</w:t>
    </w:r>
    <w:r>
      <w:rPr>
        <w:rFonts w:ascii="FrankRuehl" w:hAnsi="FrankRuehl" w:cs="FrankRuehl"/>
        <w:rtl/>
      </w:rPr>
      <w:fldChar w:fldCharType="end"/>
    </w:r>
  </w:p>
  <w:p w:rsidR="00704A13" w:rsidRPr="000C2E36" w:rsidRDefault="000C2E36" w:rsidP="000C2E36">
    <w:pPr>
      <w:pStyle w:val="Footer"/>
      <w:pBdr>
        <w:top w:val="single" w:sz="4" w:space="1" w:color="auto"/>
        <w:between w:val="single" w:sz="4" w:space="0" w:color="auto"/>
      </w:pBdr>
      <w:spacing w:after="60"/>
      <w:jc w:val="center"/>
      <w:rPr>
        <w:rFonts w:ascii="FrankRuehl" w:hAnsi="FrankRuehl" w:cs="FrankRuehl"/>
        <w:color w:val="000000"/>
      </w:rPr>
    </w:pPr>
    <w:r w:rsidRPr="000C2E3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42A93" w:rsidRDefault="00D42A93" w:rsidP="008F1551">
      <w:r>
        <w:separator/>
      </w:r>
    </w:p>
  </w:footnote>
  <w:footnote w:type="continuationSeparator" w:id="0">
    <w:p w:rsidR="00D42A93" w:rsidRDefault="00D42A93" w:rsidP="008F15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B5031" w:rsidRPr="000C2E36" w:rsidRDefault="000C2E36" w:rsidP="000C2E36">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57459-06-20</w:t>
    </w:r>
    <w:r>
      <w:rPr>
        <w:rFonts w:ascii="David" w:hAnsi="David"/>
        <w:color w:val="000000"/>
        <w:sz w:val="22"/>
        <w:szCs w:val="22"/>
        <w:rtl/>
      </w:rPr>
      <w:tab/>
      <w:t xml:space="preserve"> מדינת ישראל נ' ארי וקנין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B5031" w:rsidRPr="000C2E36" w:rsidRDefault="000C2E36" w:rsidP="000C2E36">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57459-06-20</w:t>
    </w:r>
    <w:r>
      <w:rPr>
        <w:rFonts w:ascii="David" w:hAnsi="David"/>
        <w:color w:val="000000"/>
        <w:sz w:val="22"/>
        <w:szCs w:val="22"/>
        <w:rtl/>
      </w:rPr>
      <w:tab/>
      <w:t xml:space="preserve"> מדינת ישראל נ' ארי וקנין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9586A"/>
    <w:multiLevelType w:val="hybridMultilevel"/>
    <w:tmpl w:val="0CB00266"/>
    <w:lvl w:ilvl="0" w:tplc="B1CE9D9C">
      <w:start w:val="1"/>
      <w:numFmt w:val="hebrew1"/>
      <w:lvlText w:val="%1."/>
      <w:lvlJc w:val="left"/>
      <w:pPr>
        <w:ind w:left="1080" w:hanging="360"/>
      </w:pPr>
      <w:rPr>
        <w:rFonts w:ascii="David" w:eastAsia="Calibri" w:hAnsi="David" w:cs="David"/>
        <w:lang w:val="en-US"/>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57F473D0"/>
    <w:multiLevelType w:val="hybridMultilevel"/>
    <w:tmpl w:val="823A7096"/>
    <w:lvl w:ilvl="0" w:tplc="E490F994">
      <w:start w:val="1"/>
      <w:numFmt w:val="decimal"/>
      <w:lvlText w:val="%1."/>
      <w:lvlJc w:val="left"/>
      <w:pPr>
        <w:ind w:left="502" w:hanging="360"/>
      </w:pPr>
      <w:rPr>
        <w:rFonts w:ascii="David" w:hAnsi="David" w:cs="David" w:hint="default"/>
        <w:b w:val="0"/>
        <w:bCs w:val="0"/>
        <w:sz w:val="24"/>
        <w:szCs w:val="24"/>
        <w:lang w:bidi="he-IL"/>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5C600BAB"/>
    <w:multiLevelType w:val="hybridMultilevel"/>
    <w:tmpl w:val="09323AA6"/>
    <w:lvl w:ilvl="0" w:tplc="6DA8590E">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676078395">
    <w:abstractNumId w:val="1"/>
  </w:num>
  <w:num w:numId="2" w16cid:durableId="11333268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311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47855"/>
    <w:rsid w:val="000C2E36"/>
    <w:rsid w:val="001B5A3B"/>
    <w:rsid w:val="002B5031"/>
    <w:rsid w:val="003D345A"/>
    <w:rsid w:val="00447855"/>
    <w:rsid w:val="00704A13"/>
    <w:rsid w:val="00755623"/>
    <w:rsid w:val="008F1551"/>
    <w:rsid w:val="00A72674"/>
    <w:rsid w:val="00D42A9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6B44707C-8447-444D-A5F9-37A6AA93C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7855"/>
    <w:pPr>
      <w:bidi/>
    </w:pPr>
    <w:rPr>
      <w:rFonts w:ascii="Times New Roman" w:eastAsia="Times New Roman" w:hAnsi="Times New Roman" w:cs="David"/>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47855"/>
    <w:pPr>
      <w:tabs>
        <w:tab w:val="center" w:pos="4153"/>
        <w:tab w:val="right" w:pos="8306"/>
      </w:tabs>
    </w:pPr>
  </w:style>
  <w:style w:type="character" w:customStyle="1" w:styleId="HeaderChar">
    <w:name w:val="Header Char"/>
    <w:link w:val="Header"/>
    <w:rsid w:val="00447855"/>
    <w:rPr>
      <w:rFonts w:ascii="Times New Roman" w:eastAsia="Times New Roman" w:hAnsi="Times New Roman" w:cs="David"/>
      <w:sz w:val="24"/>
      <w:szCs w:val="24"/>
    </w:rPr>
  </w:style>
  <w:style w:type="paragraph" w:styleId="Footer">
    <w:name w:val="footer"/>
    <w:basedOn w:val="Normal"/>
    <w:link w:val="FooterChar"/>
    <w:rsid w:val="00447855"/>
    <w:pPr>
      <w:tabs>
        <w:tab w:val="center" w:pos="4153"/>
        <w:tab w:val="right" w:pos="8306"/>
      </w:tabs>
    </w:pPr>
  </w:style>
  <w:style w:type="character" w:customStyle="1" w:styleId="FooterChar">
    <w:name w:val="Footer Char"/>
    <w:link w:val="Footer"/>
    <w:rsid w:val="00447855"/>
    <w:rPr>
      <w:rFonts w:ascii="Times New Roman" w:eastAsia="Times New Roman" w:hAnsi="Times New Roman" w:cs="David"/>
      <w:sz w:val="24"/>
      <w:szCs w:val="24"/>
    </w:rPr>
  </w:style>
  <w:style w:type="table" w:styleId="TableGrid">
    <w:name w:val="Table Grid"/>
    <w:basedOn w:val="TableNormal"/>
    <w:rsid w:val="0044785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447855"/>
  </w:style>
  <w:style w:type="character" w:styleId="Hyperlink">
    <w:name w:val="Hyperlink"/>
    <w:rsid w:val="00447855"/>
    <w:rPr>
      <w:color w:val="0000FF"/>
      <w:u w:val="single"/>
    </w:rPr>
  </w:style>
  <w:style w:type="paragraph" w:styleId="ListParagraph">
    <w:name w:val="List Paragraph"/>
    <w:basedOn w:val="Normal"/>
    <w:qFormat/>
    <w:rsid w:val="00447855"/>
    <w:pPr>
      <w:spacing w:after="160" w:line="256"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4216/13" TargetMode="External"/><Relationship Id="rId26" Type="http://schemas.openxmlformats.org/officeDocument/2006/relationships/hyperlink" Target="http://www.nevo.co.il/case/26991436" TargetMode="External"/><Relationship Id="rId39" Type="http://schemas.openxmlformats.org/officeDocument/2006/relationships/hyperlink" Target="http://www.nevo.co.il/law/70301" TargetMode="External"/><Relationship Id="rId21" Type="http://schemas.openxmlformats.org/officeDocument/2006/relationships/hyperlink" Target="http://www.nevo.co.il/law/4216/19a" TargetMode="External"/><Relationship Id="rId34" Type="http://schemas.openxmlformats.org/officeDocument/2006/relationships/hyperlink" Target="http://www.nevo.co.il/case/17015235" TargetMode="External"/><Relationship Id="rId42" Type="http://schemas.openxmlformats.org/officeDocument/2006/relationships/hyperlink" Target="http://www.nevo.co.il/law/70301" TargetMode="External"/><Relationship Id="rId47" Type="http://schemas.openxmlformats.org/officeDocument/2006/relationships/hyperlink" Target="http://www.nevo.co.il/case/20363472" TargetMode="External"/><Relationship Id="rId50" Type="http://schemas.openxmlformats.org/officeDocument/2006/relationships/hyperlink" Target="http://www.nevo.co.il/law/4216/36a.b" TargetMode="External"/><Relationship Id="rId55" Type="http://schemas.openxmlformats.org/officeDocument/2006/relationships/footer" Target="foot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9a" TargetMode="External"/><Relationship Id="rId29" Type="http://schemas.openxmlformats.org/officeDocument/2006/relationships/hyperlink" Target="http://www.nevo.co.il/case/28303615" TargetMode="External"/><Relationship Id="rId11" Type="http://schemas.openxmlformats.org/officeDocument/2006/relationships/hyperlink" Target="http://www.nevo.co.il/law/4216/36a.a" TargetMode="External"/><Relationship Id="rId24" Type="http://schemas.openxmlformats.org/officeDocument/2006/relationships/hyperlink" Target="http://www.nevo.co.il/case/25983406" TargetMode="External"/><Relationship Id="rId32" Type="http://schemas.openxmlformats.org/officeDocument/2006/relationships/hyperlink" Target="http://www.nevo.co.il/case/21477472" TargetMode="External"/><Relationship Id="rId37" Type="http://schemas.openxmlformats.org/officeDocument/2006/relationships/hyperlink" Target="http://www.nevo.co.il/law/70301" TargetMode="External"/><Relationship Id="rId40" Type="http://schemas.openxmlformats.org/officeDocument/2006/relationships/hyperlink" Target="http://www.nevo.co.il/case/21021181" TargetMode="External"/><Relationship Id="rId45" Type="http://schemas.openxmlformats.org/officeDocument/2006/relationships/hyperlink" Target="http://www.nevo.co.il/case/25459244"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www.nevo.co.il/law/4216/19a" TargetMode="External"/><Relationship Id="rId4" Type="http://schemas.openxmlformats.org/officeDocument/2006/relationships/webSettings" Target="webSettings.xml"/><Relationship Id="rId9" Type="http://schemas.openxmlformats.org/officeDocument/2006/relationships/hyperlink" Target="http://www.nevo.co.il/law/4216/13" TargetMode="External"/><Relationship Id="rId14" Type="http://schemas.openxmlformats.org/officeDocument/2006/relationships/hyperlink" Target="http://www.nevo.co.il/law/70301/40ja.9" TargetMode="External"/><Relationship Id="rId22" Type="http://schemas.openxmlformats.org/officeDocument/2006/relationships/hyperlink" Target="http://www.nevo.co.il/law/4216/19a" TargetMode="External"/><Relationship Id="rId27" Type="http://schemas.openxmlformats.org/officeDocument/2006/relationships/hyperlink" Target="http://www.nevo.co.il/case/13093721" TargetMode="External"/><Relationship Id="rId30" Type="http://schemas.openxmlformats.org/officeDocument/2006/relationships/hyperlink" Target="http://www.nevo.co.il/case/27592536" TargetMode="External"/><Relationship Id="rId35" Type="http://schemas.openxmlformats.org/officeDocument/2006/relationships/hyperlink" Target="http://www.nevo.co.il/case/17954217" TargetMode="External"/><Relationship Id="rId43" Type="http://schemas.openxmlformats.org/officeDocument/2006/relationships/hyperlink" Target="http://www.nevo.co.il/law/70301" TargetMode="External"/><Relationship Id="rId48" Type="http://schemas.openxmlformats.org/officeDocument/2006/relationships/hyperlink" Target="http://www.nevo.co.il/case/27881040" TargetMode="External"/><Relationship Id="rId56" Type="http://schemas.openxmlformats.org/officeDocument/2006/relationships/footer" Target="footer2.xml"/><Relationship Id="rId8" Type="http://schemas.openxmlformats.org/officeDocument/2006/relationships/hyperlink" Target="http://www.nevo.co.il/law/4216/7.c" TargetMode="External"/><Relationship Id="rId51" Type="http://schemas.openxmlformats.org/officeDocument/2006/relationships/hyperlink" Target="http://www.nevo.co.il/law/4216" TargetMode="External"/><Relationship Id="rId3" Type="http://schemas.openxmlformats.org/officeDocument/2006/relationships/settings" Target="settings.xml"/><Relationship Id="rId12" Type="http://schemas.openxmlformats.org/officeDocument/2006/relationships/hyperlink" Target="http://www.nevo.co.il/law/4216/36a.b" TargetMode="External"/><Relationship Id="rId17" Type="http://schemas.openxmlformats.org/officeDocument/2006/relationships/hyperlink" Target="http://www.nevo.co.il/law/4216" TargetMode="External"/><Relationship Id="rId25" Type="http://schemas.openxmlformats.org/officeDocument/2006/relationships/hyperlink" Target="http://www.nevo.co.il/case/21732263" TargetMode="External"/><Relationship Id="rId33" Type="http://schemas.openxmlformats.org/officeDocument/2006/relationships/hyperlink" Target="http://www.nevo.co.il/case/25207995" TargetMode="External"/><Relationship Id="rId38" Type="http://schemas.openxmlformats.org/officeDocument/2006/relationships/hyperlink" Target="http://www.nevo.co.il/case/18653868" TargetMode="External"/><Relationship Id="rId46" Type="http://schemas.openxmlformats.org/officeDocument/2006/relationships/hyperlink" Target="http://www.nevo.co.il/case/22938500" TargetMode="External"/><Relationship Id="rId20" Type="http://schemas.openxmlformats.org/officeDocument/2006/relationships/hyperlink" Target="http://www.nevo.co.il/law/4216/13" TargetMode="External"/><Relationship Id="rId41" Type="http://schemas.openxmlformats.org/officeDocument/2006/relationships/hyperlink" Target="http://www.nevo.co.il/law/70301" TargetMode="External"/><Relationship Id="rId54"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13" TargetMode="External"/><Relationship Id="rId23" Type="http://schemas.openxmlformats.org/officeDocument/2006/relationships/hyperlink" Target="http://www.nevo.co.il/law/4216/7.c" TargetMode="External"/><Relationship Id="rId28" Type="http://schemas.openxmlformats.org/officeDocument/2006/relationships/hyperlink" Target="http://www.nevo.co.il/case/20420496" TargetMode="External"/><Relationship Id="rId36" Type="http://schemas.openxmlformats.org/officeDocument/2006/relationships/hyperlink" Target="http://www.nevo.co.il/law/70301/40ja.9" TargetMode="External"/><Relationship Id="rId49" Type="http://schemas.openxmlformats.org/officeDocument/2006/relationships/hyperlink" Target="http://www.nevo.co.il/law/4216/36a.a" TargetMode="External"/><Relationship Id="rId57" Type="http://schemas.openxmlformats.org/officeDocument/2006/relationships/fontTable" Target="fontTable.xml"/><Relationship Id="rId10" Type="http://schemas.openxmlformats.org/officeDocument/2006/relationships/hyperlink" Target="http://www.nevo.co.il/law/4216/19a" TargetMode="External"/><Relationship Id="rId31" Type="http://schemas.openxmlformats.org/officeDocument/2006/relationships/hyperlink" Target="http://www.nevo.co.il/case/26222649" TargetMode="External"/><Relationship Id="rId44" Type="http://schemas.openxmlformats.org/officeDocument/2006/relationships/hyperlink" Target="http://www.nevo.co.il/law/70301" TargetMode="External"/><Relationship Id="rId52"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4137</Words>
  <Characters>23581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27663</CharactersWithSpaces>
  <SharedDoc>false</SharedDoc>
  <HLinks>
    <vt:vector size="276" baseType="variant">
      <vt:variant>
        <vt:i4>393283</vt:i4>
      </vt:variant>
      <vt:variant>
        <vt:i4>135</vt:i4>
      </vt:variant>
      <vt:variant>
        <vt:i4>0</vt:i4>
      </vt:variant>
      <vt:variant>
        <vt:i4>5</vt:i4>
      </vt:variant>
      <vt:variant>
        <vt:lpwstr>http://www.nevo.co.il/advertisements/nevo-100.doc</vt:lpwstr>
      </vt:variant>
      <vt:variant>
        <vt:lpwstr/>
      </vt:variant>
      <vt:variant>
        <vt:i4>8257637</vt:i4>
      </vt:variant>
      <vt:variant>
        <vt:i4>132</vt:i4>
      </vt:variant>
      <vt:variant>
        <vt:i4>0</vt:i4>
      </vt:variant>
      <vt:variant>
        <vt:i4>5</vt:i4>
      </vt:variant>
      <vt:variant>
        <vt:lpwstr>http://www.nevo.co.il/law/4216</vt:lpwstr>
      </vt:variant>
      <vt:variant>
        <vt:lpwstr/>
      </vt:variant>
      <vt:variant>
        <vt:i4>5111890</vt:i4>
      </vt:variant>
      <vt:variant>
        <vt:i4>129</vt:i4>
      </vt:variant>
      <vt:variant>
        <vt:i4>0</vt:i4>
      </vt:variant>
      <vt:variant>
        <vt:i4>5</vt:i4>
      </vt:variant>
      <vt:variant>
        <vt:lpwstr>http://www.nevo.co.il/law/4216/36a.b</vt:lpwstr>
      </vt:variant>
      <vt:variant>
        <vt:lpwstr/>
      </vt:variant>
      <vt:variant>
        <vt:i4>5046354</vt:i4>
      </vt:variant>
      <vt:variant>
        <vt:i4>126</vt:i4>
      </vt:variant>
      <vt:variant>
        <vt:i4>0</vt:i4>
      </vt:variant>
      <vt:variant>
        <vt:i4>5</vt:i4>
      </vt:variant>
      <vt:variant>
        <vt:lpwstr>http://www.nevo.co.il/law/4216/36a.a</vt:lpwstr>
      </vt:variant>
      <vt:variant>
        <vt:lpwstr/>
      </vt:variant>
      <vt:variant>
        <vt:i4>4128891</vt:i4>
      </vt:variant>
      <vt:variant>
        <vt:i4>123</vt:i4>
      </vt:variant>
      <vt:variant>
        <vt:i4>0</vt:i4>
      </vt:variant>
      <vt:variant>
        <vt:i4>5</vt:i4>
      </vt:variant>
      <vt:variant>
        <vt:lpwstr>http://www.nevo.co.il/case/27881040</vt:lpwstr>
      </vt:variant>
      <vt:variant>
        <vt:lpwstr/>
      </vt:variant>
      <vt:variant>
        <vt:i4>3473526</vt:i4>
      </vt:variant>
      <vt:variant>
        <vt:i4>120</vt:i4>
      </vt:variant>
      <vt:variant>
        <vt:i4>0</vt:i4>
      </vt:variant>
      <vt:variant>
        <vt:i4>5</vt:i4>
      </vt:variant>
      <vt:variant>
        <vt:lpwstr>http://www.nevo.co.il/case/20363472</vt:lpwstr>
      </vt:variant>
      <vt:variant>
        <vt:lpwstr/>
      </vt:variant>
      <vt:variant>
        <vt:i4>3342448</vt:i4>
      </vt:variant>
      <vt:variant>
        <vt:i4>117</vt:i4>
      </vt:variant>
      <vt:variant>
        <vt:i4>0</vt:i4>
      </vt:variant>
      <vt:variant>
        <vt:i4>5</vt:i4>
      </vt:variant>
      <vt:variant>
        <vt:lpwstr>http://www.nevo.co.il/case/22938500</vt:lpwstr>
      </vt:variant>
      <vt:variant>
        <vt:lpwstr/>
      </vt:variant>
      <vt:variant>
        <vt:i4>3866742</vt:i4>
      </vt:variant>
      <vt:variant>
        <vt:i4>114</vt:i4>
      </vt:variant>
      <vt:variant>
        <vt:i4>0</vt:i4>
      </vt:variant>
      <vt:variant>
        <vt:i4>5</vt:i4>
      </vt:variant>
      <vt:variant>
        <vt:lpwstr>http://www.nevo.co.il/case/25459244</vt:lpwstr>
      </vt:variant>
      <vt:variant>
        <vt:lpwstr/>
      </vt:variant>
      <vt:variant>
        <vt:i4>7995492</vt:i4>
      </vt:variant>
      <vt:variant>
        <vt:i4>111</vt:i4>
      </vt:variant>
      <vt:variant>
        <vt:i4>0</vt:i4>
      </vt:variant>
      <vt:variant>
        <vt:i4>5</vt:i4>
      </vt:variant>
      <vt:variant>
        <vt:lpwstr>http://www.nevo.co.il/law/70301</vt:lpwstr>
      </vt:variant>
      <vt:variant>
        <vt:lpwstr/>
      </vt:variant>
      <vt:variant>
        <vt:i4>7995492</vt:i4>
      </vt:variant>
      <vt:variant>
        <vt:i4>108</vt:i4>
      </vt:variant>
      <vt:variant>
        <vt:i4>0</vt:i4>
      </vt:variant>
      <vt:variant>
        <vt:i4>5</vt:i4>
      </vt:variant>
      <vt:variant>
        <vt:lpwstr>http://www.nevo.co.il/law/70301</vt:lpwstr>
      </vt:variant>
      <vt:variant>
        <vt:lpwstr/>
      </vt:variant>
      <vt:variant>
        <vt:i4>7995492</vt:i4>
      </vt:variant>
      <vt:variant>
        <vt:i4>105</vt:i4>
      </vt:variant>
      <vt:variant>
        <vt:i4>0</vt:i4>
      </vt:variant>
      <vt:variant>
        <vt:i4>5</vt:i4>
      </vt:variant>
      <vt:variant>
        <vt:lpwstr>http://www.nevo.co.il/law/70301</vt:lpwstr>
      </vt:variant>
      <vt:variant>
        <vt:lpwstr/>
      </vt:variant>
      <vt:variant>
        <vt:i4>7995492</vt:i4>
      </vt:variant>
      <vt:variant>
        <vt:i4>102</vt:i4>
      </vt:variant>
      <vt:variant>
        <vt:i4>0</vt:i4>
      </vt:variant>
      <vt:variant>
        <vt:i4>5</vt:i4>
      </vt:variant>
      <vt:variant>
        <vt:lpwstr>http://www.nevo.co.il/law/70301</vt:lpwstr>
      </vt:variant>
      <vt:variant>
        <vt:lpwstr/>
      </vt:variant>
      <vt:variant>
        <vt:i4>3866742</vt:i4>
      </vt:variant>
      <vt:variant>
        <vt:i4>99</vt:i4>
      </vt:variant>
      <vt:variant>
        <vt:i4>0</vt:i4>
      </vt:variant>
      <vt:variant>
        <vt:i4>5</vt:i4>
      </vt:variant>
      <vt:variant>
        <vt:lpwstr>http://www.nevo.co.il/case/21021181</vt:lpwstr>
      </vt:variant>
      <vt:variant>
        <vt:lpwstr/>
      </vt:variant>
      <vt:variant>
        <vt:i4>7995492</vt:i4>
      </vt:variant>
      <vt:variant>
        <vt:i4>96</vt:i4>
      </vt:variant>
      <vt:variant>
        <vt:i4>0</vt:i4>
      </vt:variant>
      <vt:variant>
        <vt:i4>5</vt:i4>
      </vt:variant>
      <vt:variant>
        <vt:lpwstr>http://www.nevo.co.il/law/70301</vt:lpwstr>
      </vt:variant>
      <vt:variant>
        <vt:lpwstr/>
      </vt:variant>
      <vt:variant>
        <vt:i4>3276913</vt:i4>
      </vt:variant>
      <vt:variant>
        <vt:i4>93</vt:i4>
      </vt:variant>
      <vt:variant>
        <vt:i4>0</vt:i4>
      </vt:variant>
      <vt:variant>
        <vt:i4>5</vt:i4>
      </vt:variant>
      <vt:variant>
        <vt:lpwstr>http://www.nevo.co.il/case/18653868</vt:lpwstr>
      </vt:variant>
      <vt:variant>
        <vt:lpwstr/>
      </vt:variant>
      <vt:variant>
        <vt:i4>7995492</vt:i4>
      </vt:variant>
      <vt:variant>
        <vt:i4>90</vt:i4>
      </vt:variant>
      <vt:variant>
        <vt:i4>0</vt:i4>
      </vt:variant>
      <vt:variant>
        <vt:i4>5</vt:i4>
      </vt:variant>
      <vt:variant>
        <vt:lpwstr>http://www.nevo.co.il/law/70301</vt:lpwstr>
      </vt:variant>
      <vt:variant>
        <vt:lpwstr/>
      </vt:variant>
      <vt:variant>
        <vt:i4>3997733</vt:i4>
      </vt:variant>
      <vt:variant>
        <vt:i4>87</vt:i4>
      </vt:variant>
      <vt:variant>
        <vt:i4>0</vt:i4>
      </vt:variant>
      <vt:variant>
        <vt:i4>5</vt:i4>
      </vt:variant>
      <vt:variant>
        <vt:lpwstr>http://www.nevo.co.il/law/70301/40ja.9</vt:lpwstr>
      </vt:variant>
      <vt:variant>
        <vt:lpwstr/>
      </vt:variant>
      <vt:variant>
        <vt:i4>3997812</vt:i4>
      </vt:variant>
      <vt:variant>
        <vt:i4>84</vt:i4>
      </vt:variant>
      <vt:variant>
        <vt:i4>0</vt:i4>
      </vt:variant>
      <vt:variant>
        <vt:i4>5</vt:i4>
      </vt:variant>
      <vt:variant>
        <vt:lpwstr>http://www.nevo.co.il/case/17954217</vt:lpwstr>
      </vt:variant>
      <vt:variant>
        <vt:lpwstr/>
      </vt:variant>
      <vt:variant>
        <vt:i4>3604592</vt:i4>
      </vt:variant>
      <vt:variant>
        <vt:i4>81</vt:i4>
      </vt:variant>
      <vt:variant>
        <vt:i4>0</vt:i4>
      </vt:variant>
      <vt:variant>
        <vt:i4>5</vt:i4>
      </vt:variant>
      <vt:variant>
        <vt:lpwstr>http://www.nevo.co.il/case/17015235</vt:lpwstr>
      </vt:variant>
      <vt:variant>
        <vt:lpwstr/>
      </vt:variant>
      <vt:variant>
        <vt:i4>4063352</vt:i4>
      </vt:variant>
      <vt:variant>
        <vt:i4>78</vt:i4>
      </vt:variant>
      <vt:variant>
        <vt:i4>0</vt:i4>
      </vt:variant>
      <vt:variant>
        <vt:i4>5</vt:i4>
      </vt:variant>
      <vt:variant>
        <vt:lpwstr>http://www.nevo.co.il/case/25207995</vt:lpwstr>
      </vt:variant>
      <vt:variant>
        <vt:lpwstr/>
      </vt:variant>
      <vt:variant>
        <vt:i4>3539062</vt:i4>
      </vt:variant>
      <vt:variant>
        <vt:i4>75</vt:i4>
      </vt:variant>
      <vt:variant>
        <vt:i4>0</vt:i4>
      </vt:variant>
      <vt:variant>
        <vt:i4>5</vt:i4>
      </vt:variant>
      <vt:variant>
        <vt:lpwstr>http://www.nevo.co.il/case/21477472</vt:lpwstr>
      </vt:variant>
      <vt:variant>
        <vt:lpwstr/>
      </vt:variant>
      <vt:variant>
        <vt:i4>3539062</vt:i4>
      </vt:variant>
      <vt:variant>
        <vt:i4>72</vt:i4>
      </vt:variant>
      <vt:variant>
        <vt:i4>0</vt:i4>
      </vt:variant>
      <vt:variant>
        <vt:i4>5</vt:i4>
      </vt:variant>
      <vt:variant>
        <vt:lpwstr>http://www.nevo.co.il/case/26222649</vt:lpwstr>
      </vt:variant>
      <vt:variant>
        <vt:lpwstr/>
      </vt:variant>
      <vt:variant>
        <vt:i4>3539071</vt:i4>
      </vt:variant>
      <vt:variant>
        <vt:i4>69</vt:i4>
      </vt:variant>
      <vt:variant>
        <vt:i4>0</vt:i4>
      </vt:variant>
      <vt:variant>
        <vt:i4>5</vt:i4>
      </vt:variant>
      <vt:variant>
        <vt:lpwstr>http://www.nevo.co.il/case/27592536</vt:lpwstr>
      </vt:variant>
      <vt:variant>
        <vt:lpwstr/>
      </vt:variant>
      <vt:variant>
        <vt:i4>3342458</vt:i4>
      </vt:variant>
      <vt:variant>
        <vt:i4>66</vt:i4>
      </vt:variant>
      <vt:variant>
        <vt:i4>0</vt:i4>
      </vt:variant>
      <vt:variant>
        <vt:i4>5</vt:i4>
      </vt:variant>
      <vt:variant>
        <vt:lpwstr>http://www.nevo.co.il/case/28303615</vt:lpwstr>
      </vt:variant>
      <vt:variant>
        <vt:lpwstr/>
      </vt:variant>
      <vt:variant>
        <vt:i4>4128882</vt:i4>
      </vt:variant>
      <vt:variant>
        <vt:i4>63</vt:i4>
      </vt:variant>
      <vt:variant>
        <vt:i4>0</vt:i4>
      </vt:variant>
      <vt:variant>
        <vt:i4>5</vt:i4>
      </vt:variant>
      <vt:variant>
        <vt:lpwstr>http://www.nevo.co.il/case/20420496</vt:lpwstr>
      </vt:variant>
      <vt:variant>
        <vt:lpwstr/>
      </vt:variant>
      <vt:variant>
        <vt:i4>3145849</vt:i4>
      </vt:variant>
      <vt:variant>
        <vt:i4>60</vt:i4>
      </vt:variant>
      <vt:variant>
        <vt:i4>0</vt:i4>
      </vt:variant>
      <vt:variant>
        <vt:i4>5</vt:i4>
      </vt:variant>
      <vt:variant>
        <vt:lpwstr>http://www.nevo.co.il/case/13093721</vt:lpwstr>
      </vt:variant>
      <vt:variant>
        <vt:lpwstr/>
      </vt:variant>
      <vt:variant>
        <vt:i4>3735679</vt:i4>
      </vt:variant>
      <vt:variant>
        <vt:i4>57</vt:i4>
      </vt:variant>
      <vt:variant>
        <vt:i4>0</vt:i4>
      </vt:variant>
      <vt:variant>
        <vt:i4>5</vt:i4>
      </vt:variant>
      <vt:variant>
        <vt:lpwstr>http://www.nevo.co.il/case/26991436</vt:lpwstr>
      </vt:variant>
      <vt:variant>
        <vt:lpwstr/>
      </vt:variant>
      <vt:variant>
        <vt:i4>3211380</vt:i4>
      </vt:variant>
      <vt:variant>
        <vt:i4>54</vt:i4>
      </vt:variant>
      <vt:variant>
        <vt:i4>0</vt:i4>
      </vt:variant>
      <vt:variant>
        <vt:i4>5</vt:i4>
      </vt:variant>
      <vt:variant>
        <vt:lpwstr>http://www.nevo.co.il/case/21732263</vt:lpwstr>
      </vt:variant>
      <vt:variant>
        <vt:lpwstr/>
      </vt:variant>
      <vt:variant>
        <vt:i4>3670141</vt:i4>
      </vt:variant>
      <vt:variant>
        <vt:i4>51</vt:i4>
      </vt:variant>
      <vt:variant>
        <vt:i4>0</vt:i4>
      </vt:variant>
      <vt:variant>
        <vt:i4>5</vt:i4>
      </vt:variant>
      <vt:variant>
        <vt:lpwstr>http://www.nevo.co.il/case/25983406</vt:lpwstr>
      </vt:variant>
      <vt:variant>
        <vt:lpwstr/>
      </vt:variant>
      <vt:variant>
        <vt:i4>2752612</vt:i4>
      </vt:variant>
      <vt:variant>
        <vt:i4>48</vt:i4>
      </vt:variant>
      <vt:variant>
        <vt:i4>0</vt:i4>
      </vt:variant>
      <vt:variant>
        <vt:i4>5</vt:i4>
      </vt:variant>
      <vt:variant>
        <vt:lpwstr>http://www.nevo.co.il/law/4216/7.c</vt:lpwstr>
      </vt:variant>
      <vt:variant>
        <vt:lpwstr/>
      </vt:variant>
      <vt:variant>
        <vt:i4>3014771</vt:i4>
      </vt:variant>
      <vt:variant>
        <vt:i4>45</vt:i4>
      </vt:variant>
      <vt:variant>
        <vt:i4>0</vt:i4>
      </vt:variant>
      <vt:variant>
        <vt:i4>5</vt:i4>
      </vt:variant>
      <vt:variant>
        <vt:lpwstr>http://www.nevo.co.il/law/4216/19a</vt:lpwstr>
      </vt:variant>
      <vt:variant>
        <vt:lpwstr/>
      </vt:variant>
      <vt:variant>
        <vt:i4>3014771</vt:i4>
      </vt:variant>
      <vt:variant>
        <vt:i4>42</vt:i4>
      </vt:variant>
      <vt:variant>
        <vt:i4>0</vt:i4>
      </vt:variant>
      <vt:variant>
        <vt:i4>5</vt:i4>
      </vt:variant>
      <vt:variant>
        <vt:lpwstr>http://www.nevo.co.il/law/4216/19a</vt:lpwstr>
      </vt:variant>
      <vt:variant>
        <vt:lpwstr/>
      </vt:variant>
      <vt:variant>
        <vt:i4>5177418</vt:i4>
      </vt:variant>
      <vt:variant>
        <vt:i4>39</vt:i4>
      </vt:variant>
      <vt:variant>
        <vt:i4>0</vt:i4>
      </vt:variant>
      <vt:variant>
        <vt:i4>5</vt:i4>
      </vt:variant>
      <vt:variant>
        <vt:lpwstr>http://www.nevo.co.il/law/4216/13</vt:lpwstr>
      </vt:variant>
      <vt:variant>
        <vt:lpwstr/>
      </vt:variant>
      <vt:variant>
        <vt:i4>3014771</vt:i4>
      </vt:variant>
      <vt:variant>
        <vt:i4>36</vt:i4>
      </vt:variant>
      <vt:variant>
        <vt:i4>0</vt:i4>
      </vt:variant>
      <vt:variant>
        <vt:i4>5</vt:i4>
      </vt:variant>
      <vt:variant>
        <vt:lpwstr>http://www.nevo.co.il/law/4216/19a</vt:lpwstr>
      </vt:variant>
      <vt:variant>
        <vt:lpwstr/>
      </vt:variant>
      <vt:variant>
        <vt:i4>5177418</vt:i4>
      </vt:variant>
      <vt:variant>
        <vt:i4>33</vt:i4>
      </vt:variant>
      <vt:variant>
        <vt:i4>0</vt:i4>
      </vt:variant>
      <vt:variant>
        <vt:i4>5</vt:i4>
      </vt:variant>
      <vt:variant>
        <vt:lpwstr>http://www.nevo.co.il/law/4216/13</vt:lpwstr>
      </vt:variant>
      <vt:variant>
        <vt:lpwstr/>
      </vt:variant>
      <vt:variant>
        <vt:i4>8257637</vt:i4>
      </vt:variant>
      <vt:variant>
        <vt:i4>30</vt:i4>
      </vt:variant>
      <vt:variant>
        <vt:i4>0</vt:i4>
      </vt:variant>
      <vt:variant>
        <vt:i4>5</vt:i4>
      </vt:variant>
      <vt:variant>
        <vt:lpwstr>http://www.nevo.co.il/law/4216</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3997733</vt:i4>
      </vt:variant>
      <vt:variant>
        <vt:i4>21</vt:i4>
      </vt:variant>
      <vt:variant>
        <vt:i4>0</vt:i4>
      </vt:variant>
      <vt:variant>
        <vt:i4>5</vt:i4>
      </vt:variant>
      <vt:variant>
        <vt:lpwstr>http://www.nevo.co.il/law/70301/40ja.9</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5111890</vt:i4>
      </vt:variant>
      <vt:variant>
        <vt:i4>15</vt:i4>
      </vt:variant>
      <vt:variant>
        <vt:i4>0</vt:i4>
      </vt:variant>
      <vt:variant>
        <vt:i4>5</vt:i4>
      </vt:variant>
      <vt:variant>
        <vt:lpwstr>http://www.nevo.co.il/law/4216/36a.b</vt:lpwstr>
      </vt:variant>
      <vt:variant>
        <vt:lpwstr/>
      </vt:variant>
      <vt:variant>
        <vt:i4>5046354</vt:i4>
      </vt:variant>
      <vt:variant>
        <vt:i4>12</vt:i4>
      </vt:variant>
      <vt:variant>
        <vt:i4>0</vt:i4>
      </vt:variant>
      <vt:variant>
        <vt:i4>5</vt:i4>
      </vt:variant>
      <vt:variant>
        <vt:lpwstr>http://www.nevo.co.il/law/4216/36a.a</vt:lpwstr>
      </vt:variant>
      <vt:variant>
        <vt:lpwstr/>
      </vt:variant>
      <vt:variant>
        <vt:i4>3014771</vt:i4>
      </vt:variant>
      <vt:variant>
        <vt:i4>9</vt:i4>
      </vt:variant>
      <vt:variant>
        <vt:i4>0</vt:i4>
      </vt:variant>
      <vt:variant>
        <vt:i4>5</vt:i4>
      </vt:variant>
      <vt:variant>
        <vt:lpwstr>http://www.nevo.co.il/law/4216/19a</vt:lpwstr>
      </vt:variant>
      <vt:variant>
        <vt:lpwstr/>
      </vt:variant>
      <vt:variant>
        <vt:i4>5177418</vt:i4>
      </vt:variant>
      <vt:variant>
        <vt:i4>6</vt:i4>
      </vt:variant>
      <vt:variant>
        <vt:i4>0</vt:i4>
      </vt:variant>
      <vt:variant>
        <vt:i4>5</vt:i4>
      </vt:variant>
      <vt:variant>
        <vt:lpwstr>http://www.nevo.co.il/law/4216/13</vt:lpwstr>
      </vt:variant>
      <vt:variant>
        <vt:lpwstr/>
      </vt:variant>
      <vt:variant>
        <vt:i4>2752612</vt:i4>
      </vt:variant>
      <vt:variant>
        <vt:i4>3</vt:i4>
      </vt:variant>
      <vt:variant>
        <vt:i4>0</vt:i4>
      </vt:variant>
      <vt:variant>
        <vt:i4>5</vt:i4>
      </vt:variant>
      <vt:variant>
        <vt:lpwstr>http://www.nevo.co.il/law/4216/7.c</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2024-12-03T08:36:00Z</dcterms:created>
  <dcterms:modified xsi:type="dcterms:W3CDTF">2024-12-03T08:36:00Z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57459</vt:lpwstr>
  </property>
  <property fmtid="{D5CDD505-2E9C-101B-9397-08002B2CF9AE}" pid="6" name="NEWPARTB">
    <vt:lpwstr>06</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ארי וקנין</vt:lpwstr>
  </property>
  <property fmtid="{D5CDD505-2E9C-101B-9397-08002B2CF9AE}" pid="10" name="LAWYER">
    <vt:lpwstr>מיכל הלבני</vt:lpwstr>
  </property>
  <property fmtid="{D5CDD505-2E9C-101B-9397-08002B2CF9AE}" pid="11" name="JUDGE">
    <vt:lpwstr>דנה אמיר</vt:lpwstr>
  </property>
  <property fmtid="{D5CDD505-2E9C-101B-9397-08002B2CF9AE}" pid="12" name="CITY">
    <vt:lpwstr>ת"א</vt:lpwstr>
  </property>
  <property fmtid="{D5CDD505-2E9C-101B-9397-08002B2CF9AE}" pid="13" name="DATE">
    <vt:lpwstr>20240225</vt:lpwstr>
  </property>
  <property fmtid="{D5CDD505-2E9C-101B-9397-08002B2CF9AE}" pid="14" name="TYPE_N_DATE">
    <vt:lpwstr>38020240225</vt:lpwstr>
  </property>
  <property fmtid="{D5CDD505-2E9C-101B-9397-08002B2CF9AE}" pid="15" name="CASESLISTTMP1">
    <vt:lpwstr>25983406;21732263;26991436;13093721;20420496;28303615;27592536;26222649;21477472;25207995;17015235;17954217;18653868;21021181;25459244;22938500;20363472;27881040</vt:lpwstr>
  </property>
  <property fmtid="{D5CDD505-2E9C-101B-9397-08002B2CF9AE}" pid="16" name="CASENOTES1">
    <vt:lpwstr>ProcID=133;209&amp;PartA=2569&amp;PartC=18</vt:lpwstr>
  </property>
  <property fmtid="{D5CDD505-2E9C-101B-9397-08002B2CF9AE}" pid="17" name="WORDNUMPAGES">
    <vt:lpwstr>11</vt:lpwstr>
  </property>
  <property fmtid="{D5CDD505-2E9C-101B-9397-08002B2CF9AE}" pid="18" name="TYPE_ABS_DATE">
    <vt:lpwstr>380020240225</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4216/013:3;019a:4;007.c;036a.a;036a.b</vt:lpwstr>
  </property>
  <property fmtid="{D5CDD505-2E9C-101B-9397-08002B2CF9AE}" pid="38" name="LAWLISTTMP2">
    <vt:lpwstr>70301/40ja.9</vt:lpwstr>
  </property>
</Properties>
</file>