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5"/>
        <w:gridCol w:w="3666"/>
      </w:tblGrid>
      <w:tr w:rsidR="00241ADF" w:rsidRPr="00EC2436" w14:paraId="1B5A731F" w14:textId="77777777" w:rsidTr="003367CC">
        <w:trPr>
          <w:trHeight w:hRule="exact" w:val="418"/>
          <w:jc w:val="center"/>
        </w:trPr>
        <w:tc>
          <w:tcPr>
            <w:tcW w:w="8721" w:type="dxa"/>
            <w:gridSpan w:val="2"/>
          </w:tcPr>
          <w:p w14:paraId="256E8113" w14:textId="77777777" w:rsidR="00241ADF" w:rsidRPr="00EC2436" w:rsidRDefault="00241ADF" w:rsidP="00E21C2C">
            <w:pPr>
              <w:pStyle w:val="Header"/>
              <w:jc w:val="center"/>
              <w:rPr>
                <w:rFonts w:ascii="David" w:hAnsi="David"/>
                <w:b/>
                <w:bCs/>
                <w:color w:val="000080"/>
                <w:sz w:val="28"/>
                <w:szCs w:val="28"/>
                <w:rtl/>
              </w:rPr>
            </w:pPr>
            <w:bookmarkStart w:id="0" w:name="LastJudge"/>
            <w:r w:rsidRPr="00EC2436">
              <w:rPr>
                <w:rFonts w:ascii="David" w:hAnsi="David"/>
                <w:b/>
                <w:bCs/>
                <w:color w:val="000080"/>
                <w:sz w:val="28"/>
                <w:szCs w:val="28"/>
                <w:rtl/>
              </w:rPr>
              <w:t>בית משפט השלום בירושלים</w:t>
            </w:r>
          </w:p>
        </w:tc>
      </w:tr>
      <w:tr w:rsidR="00241ADF" w:rsidRPr="00EC2436" w14:paraId="27DA9BBB" w14:textId="77777777" w:rsidTr="003367CC">
        <w:trPr>
          <w:trHeight w:val="337"/>
          <w:jc w:val="center"/>
        </w:trPr>
        <w:tc>
          <w:tcPr>
            <w:tcW w:w="5055" w:type="dxa"/>
          </w:tcPr>
          <w:p w14:paraId="77FF2F18" w14:textId="77777777" w:rsidR="00241ADF" w:rsidRPr="00EC2436" w:rsidRDefault="00241ADF" w:rsidP="00E21C2C">
            <w:pPr>
              <w:rPr>
                <w:rFonts w:ascii="David" w:hAnsi="David"/>
                <w:b/>
                <w:bCs/>
                <w:sz w:val="28"/>
                <w:szCs w:val="28"/>
                <w:rtl/>
              </w:rPr>
            </w:pPr>
            <w:r w:rsidRPr="00EC2436">
              <w:rPr>
                <w:rFonts w:ascii="David" w:hAnsi="David"/>
                <w:b/>
                <w:bCs/>
                <w:sz w:val="28"/>
                <w:szCs w:val="28"/>
                <w:rtl/>
              </w:rPr>
              <w:t>ת"פ 39690-02-21 מדינת ישראל נ' מסלם</w:t>
            </w:r>
          </w:p>
          <w:p w14:paraId="13BEACD3" w14:textId="77777777" w:rsidR="00241ADF" w:rsidRPr="00EC2436" w:rsidRDefault="00241ADF" w:rsidP="00E21C2C">
            <w:pPr>
              <w:pStyle w:val="Header"/>
              <w:rPr>
                <w:rFonts w:ascii="David" w:hAnsi="David"/>
                <w:b/>
                <w:bCs/>
                <w:sz w:val="28"/>
                <w:szCs w:val="28"/>
                <w:rtl/>
              </w:rPr>
            </w:pPr>
          </w:p>
        </w:tc>
        <w:tc>
          <w:tcPr>
            <w:tcW w:w="3666" w:type="dxa"/>
          </w:tcPr>
          <w:p w14:paraId="14F8CCEF" w14:textId="77777777" w:rsidR="00241ADF" w:rsidRPr="00EC2436" w:rsidRDefault="00241ADF" w:rsidP="00E21C2C">
            <w:pPr>
              <w:pStyle w:val="Header"/>
              <w:jc w:val="right"/>
              <w:rPr>
                <w:rFonts w:ascii="David" w:hAnsi="David"/>
                <w:b/>
                <w:bCs/>
                <w:sz w:val="28"/>
                <w:szCs w:val="28"/>
                <w:rtl/>
              </w:rPr>
            </w:pPr>
          </w:p>
        </w:tc>
      </w:tr>
    </w:tbl>
    <w:p w14:paraId="08952389" w14:textId="77777777" w:rsidR="00241ADF" w:rsidRPr="00EC2436" w:rsidRDefault="00241ADF" w:rsidP="00241ADF">
      <w:pPr>
        <w:pStyle w:val="Header"/>
        <w:rPr>
          <w:rFonts w:ascii="David" w:hAnsi="David"/>
          <w:b/>
          <w:bCs/>
          <w:sz w:val="28"/>
          <w:szCs w:val="28"/>
          <w:rtl/>
        </w:rPr>
      </w:pPr>
      <w:r w:rsidRPr="00EC2436">
        <w:rPr>
          <w:rFonts w:ascii="David" w:hAnsi="David"/>
          <w:b/>
          <w:bCs/>
          <w:sz w:val="28"/>
          <w:szCs w:val="28"/>
          <w:rtl/>
        </w:rPr>
        <w:t xml:space="preserve"> </w:t>
      </w:r>
    </w:p>
    <w:p w14:paraId="5C810700" w14:textId="77777777" w:rsidR="00241ADF" w:rsidRPr="00EC2436" w:rsidRDefault="00241ADF" w:rsidP="00241ADF">
      <w:pPr>
        <w:rPr>
          <w:rtl/>
        </w:rPr>
      </w:pPr>
    </w:p>
    <w:p w14:paraId="5CF668BC" w14:textId="77777777" w:rsidR="00241ADF" w:rsidRPr="00EC2436" w:rsidRDefault="00241ADF" w:rsidP="00241A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41ADF" w:rsidRPr="00EC2436" w14:paraId="23B33514" w14:textId="77777777" w:rsidTr="00241ADF">
        <w:trPr>
          <w:trHeight w:val="295"/>
          <w:jc w:val="center"/>
        </w:trPr>
        <w:tc>
          <w:tcPr>
            <w:tcW w:w="923" w:type="dxa"/>
            <w:tcBorders>
              <w:top w:val="nil"/>
              <w:left w:val="nil"/>
              <w:bottom w:val="nil"/>
              <w:right w:val="nil"/>
            </w:tcBorders>
            <w:shd w:val="clear" w:color="auto" w:fill="auto"/>
          </w:tcPr>
          <w:p w14:paraId="741CD70D" w14:textId="77777777" w:rsidR="00241ADF" w:rsidRPr="00EC2436" w:rsidRDefault="00241ADF" w:rsidP="00241ADF">
            <w:pPr>
              <w:jc w:val="both"/>
              <w:rPr>
                <w:rFonts w:ascii="David" w:hAnsi="David"/>
                <w:sz w:val="26"/>
                <w:szCs w:val="26"/>
              </w:rPr>
            </w:pPr>
            <w:r w:rsidRPr="00EC2436">
              <w:rPr>
                <w:rFonts w:ascii="David" w:hAnsi="David" w:hint="cs"/>
                <w:sz w:val="26"/>
                <w:szCs w:val="26"/>
                <w:rtl/>
              </w:rPr>
              <w:t>ל</w:t>
            </w:r>
            <w:r w:rsidRPr="00EC243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172F700" w14:textId="77777777" w:rsidR="00241ADF" w:rsidRPr="00EC2436" w:rsidRDefault="00241ADF" w:rsidP="00E21C2C">
            <w:pPr>
              <w:rPr>
                <w:rFonts w:ascii="David" w:hAnsi="David"/>
                <w:b/>
                <w:bCs/>
                <w:sz w:val="26"/>
                <w:szCs w:val="26"/>
                <w:rtl/>
              </w:rPr>
            </w:pPr>
            <w:r w:rsidRPr="00EC2436">
              <w:rPr>
                <w:rFonts w:ascii="David" w:hAnsi="David"/>
                <w:b/>
                <w:bCs/>
                <w:sz w:val="26"/>
                <w:szCs w:val="26"/>
                <w:rtl/>
              </w:rPr>
              <w:t>כבוד השופט  דוד שאול גבאי ריכטר</w:t>
            </w:r>
          </w:p>
          <w:p w14:paraId="027A766C" w14:textId="77777777" w:rsidR="00241ADF" w:rsidRPr="00EC2436" w:rsidRDefault="00241ADF" w:rsidP="00E21C2C">
            <w:pPr>
              <w:rPr>
                <w:rFonts w:ascii="David" w:hAnsi="David"/>
                <w:sz w:val="26"/>
                <w:szCs w:val="26"/>
                <w:rtl/>
              </w:rPr>
            </w:pPr>
          </w:p>
          <w:p w14:paraId="2F1DC249" w14:textId="77777777" w:rsidR="00241ADF" w:rsidRPr="00EC2436" w:rsidRDefault="00241ADF" w:rsidP="00241ADF">
            <w:pPr>
              <w:jc w:val="both"/>
              <w:rPr>
                <w:rFonts w:ascii="David" w:hAnsi="David"/>
                <w:sz w:val="26"/>
                <w:szCs w:val="26"/>
              </w:rPr>
            </w:pPr>
          </w:p>
        </w:tc>
      </w:tr>
      <w:tr w:rsidR="00241ADF" w:rsidRPr="00EC2436" w14:paraId="61C49212" w14:textId="77777777" w:rsidTr="00241ADF">
        <w:trPr>
          <w:trHeight w:val="355"/>
          <w:jc w:val="center"/>
        </w:trPr>
        <w:tc>
          <w:tcPr>
            <w:tcW w:w="923" w:type="dxa"/>
            <w:tcBorders>
              <w:top w:val="nil"/>
              <w:left w:val="nil"/>
              <w:bottom w:val="nil"/>
              <w:right w:val="nil"/>
            </w:tcBorders>
            <w:shd w:val="clear" w:color="auto" w:fill="auto"/>
          </w:tcPr>
          <w:p w14:paraId="2D08007B" w14:textId="77777777" w:rsidR="00241ADF" w:rsidRPr="00EC2436" w:rsidRDefault="00241ADF" w:rsidP="00241ADF">
            <w:pPr>
              <w:jc w:val="both"/>
              <w:rPr>
                <w:rFonts w:ascii="David" w:hAnsi="David"/>
                <w:sz w:val="26"/>
                <w:szCs w:val="26"/>
              </w:rPr>
            </w:pPr>
            <w:bookmarkStart w:id="1" w:name="FirstAppellant"/>
            <w:r w:rsidRPr="00EC2436">
              <w:rPr>
                <w:rFonts w:ascii="David" w:hAnsi="David"/>
                <w:sz w:val="26"/>
                <w:szCs w:val="26"/>
                <w:rtl/>
              </w:rPr>
              <w:t>בעניין:</w:t>
            </w:r>
          </w:p>
        </w:tc>
        <w:tc>
          <w:tcPr>
            <w:tcW w:w="3219" w:type="dxa"/>
            <w:tcBorders>
              <w:top w:val="nil"/>
              <w:left w:val="nil"/>
              <w:bottom w:val="nil"/>
              <w:right w:val="nil"/>
            </w:tcBorders>
            <w:shd w:val="clear" w:color="auto" w:fill="auto"/>
          </w:tcPr>
          <w:p w14:paraId="27073BB6" w14:textId="77777777" w:rsidR="00241ADF" w:rsidRPr="00EC2436" w:rsidRDefault="00241ADF" w:rsidP="00241ADF">
            <w:pPr>
              <w:suppressLineNumbers/>
            </w:pPr>
            <w:r w:rsidRPr="00EC2436">
              <w:rPr>
                <w:rFonts w:ascii="Arial" w:hAnsi="Arial" w:hint="cs"/>
                <w:b/>
                <w:bCs/>
                <w:sz w:val="26"/>
                <w:szCs w:val="26"/>
                <w:rtl/>
              </w:rPr>
              <w:t>ה</w:t>
            </w:r>
            <w:r w:rsidRPr="00EC2436">
              <w:rPr>
                <w:rFonts w:ascii="Arial" w:hAnsi="Arial"/>
                <w:b/>
                <w:bCs/>
                <w:sz w:val="26"/>
                <w:szCs w:val="26"/>
                <w:rtl/>
              </w:rPr>
              <w:t>מאשימה</w:t>
            </w:r>
          </w:p>
          <w:p w14:paraId="5B8A8477" w14:textId="77777777" w:rsidR="00241ADF" w:rsidRPr="00EC2436" w:rsidRDefault="00241ADF" w:rsidP="00E21C2C">
            <w:pPr>
              <w:rPr>
                <w:rFonts w:ascii="David" w:hAnsi="David"/>
                <w:sz w:val="26"/>
                <w:szCs w:val="26"/>
              </w:rPr>
            </w:pPr>
          </w:p>
        </w:tc>
        <w:tc>
          <w:tcPr>
            <w:tcW w:w="4678" w:type="dxa"/>
            <w:tcBorders>
              <w:top w:val="nil"/>
              <w:left w:val="nil"/>
              <w:bottom w:val="nil"/>
              <w:right w:val="nil"/>
            </w:tcBorders>
            <w:shd w:val="clear" w:color="auto" w:fill="auto"/>
            <w:vAlign w:val="center"/>
          </w:tcPr>
          <w:p w14:paraId="6C08B0C7" w14:textId="77777777" w:rsidR="00241ADF" w:rsidRPr="00EC2436" w:rsidRDefault="00241ADF" w:rsidP="00241ADF">
            <w:pPr>
              <w:suppressLineNumbers/>
            </w:pPr>
            <w:r w:rsidRPr="00EC2436">
              <w:rPr>
                <w:rFonts w:ascii="Arial" w:hAnsi="Arial"/>
                <w:b/>
                <w:bCs/>
                <w:sz w:val="26"/>
                <w:szCs w:val="26"/>
                <w:rtl/>
              </w:rPr>
              <w:t>מדינת ישראל</w:t>
            </w:r>
            <w:r w:rsidRPr="00EC2436">
              <w:rPr>
                <w:rFonts w:ascii="Arial" w:hAnsi="Arial"/>
                <w:b/>
                <w:bCs/>
                <w:sz w:val="26"/>
                <w:szCs w:val="26"/>
                <w:rtl/>
              </w:rPr>
              <w:br/>
            </w:r>
            <w:r w:rsidRPr="00EC2436">
              <w:rPr>
                <w:rFonts w:ascii="Arial" w:hAnsi="Arial" w:hint="cs"/>
                <w:b/>
                <w:bCs/>
                <w:sz w:val="26"/>
                <w:szCs w:val="26"/>
                <w:rtl/>
              </w:rPr>
              <w:t>ע"י עו"ד אביה בניסטי, תביעות ירושלים</w:t>
            </w:r>
          </w:p>
          <w:p w14:paraId="2472C38C" w14:textId="77777777" w:rsidR="00241ADF" w:rsidRPr="00EC2436" w:rsidRDefault="00241ADF" w:rsidP="00E21C2C">
            <w:pPr>
              <w:rPr>
                <w:rFonts w:ascii="David" w:hAnsi="David"/>
                <w:sz w:val="26"/>
                <w:szCs w:val="26"/>
              </w:rPr>
            </w:pPr>
          </w:p>
        </w:tc>
      </w:tr>
      <w:bookmarkEnd w:id="1"/>
      <w:tr w:rsidR="00241ADF" w:rsidRPr="00EC2436" w14:paraId="3C92FBB8" w14:textId="77777777" w:rsidTr="00241ADF">
        <w:trPr>
          <w:trHeight w:val="355"/>
          <w:jc w:val="center"/>
        </w:trPr>
        <w:tc>
          <w:tcPr>
            <w:tcW w:w="923" w:type="dxa"/>
            <w:tcBorders>
              <w:top w:val="nil"/>
              <w:left w:val="nil"/>
              <w:bottom w:val="nil"/>
              <w:right w:val="nil"/>
            </w:tcBorders>
            <w:shd w:val="clear" w:color="auto" w:fill="auto"/>
          </w:tcPr>
          <w:p w14:paraId="4D24AFEE" w14:textId="77777777" w:rsidR="00241ADF" w:rsidRPr="00EC2436" w:rsidRDefault="00241ADF" w:rsidP="00241AD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37E0CD0" w14:textId="77777777" w:rsidR="00241ADF" w:rsidRPr="00EC2436" w:rsidRDefault="00241ADF" w:rsidP="00241ADF">
            <w:pPr>
              <w:jc w:val="center"/>
              <w:rPr>
                <w:rFonts w:ascii="David" w:hAnsi="David"/>
                <w:b/>
                <w:bCs/>
                <w:sz w:val="26"/>
                <w:szCs w:val="26"/>
                <w:rtl/>
              </w:rPr>
            </w:pPr>
          </w:p>
          <w:p w14:paraId="65BE48C0" w14:textId="77777777" w:rsidR="00241ADF" w:rsidRPr="00EC2436" w:rsidRDefault="00241ADF" w:rsidP="00241ADF">
            <w:pPr>
              <w:jc w:val="center"/>
              <w:rPr>
                <w:rFonts w:ascii="David" w:hAnsi="David"/>
                <w:b/>
                <w:bCs/>
                <w:sz w:val="26"/>
                <w:szCs w:val="26"/>
                <w:rtl/>
              </w:rPr>
            </w:pPr>
            <w:r w:rsidRPr="00EC2436">
              <w:rPr>
                <w:rFonts w:ascii="David" w:hAnsi="David"/>
                <w:b/>
                <w:bCs/>
                <w:sz w:val="26"/>
                <w:szCs w:val="26"/>
                <w:rtl/>
              </w:rPr>
              <w:t>נגד</w:t>
            </w:r>
          </w:p>
          <w:p w14:paraId="4FF9C8A3" w14:textId="77777777" w:rsidR="00241ADF" w:rsidRPr="00EC2436" w:rsidRDefault="00241ADF" w:rsidP="00241ADF">
            <w:pPr>
              <w:jc w:val="both"/>
              <w:rPr>
                <w:rFonts w:ascii="David" w:hAnsi="David"/>
                <w:sz w:val="26"/>
                <w:szCs w:val="26"/>
              </w:rPr>
            </w:pPr>
          </w:p>
        </w:tc>
      </w:tr>
      <w:tr w:rsidR="00241ADF" w:rsidRPr="00EC2436" w14:paraId="0A848BF0" w14:textId="77777777" w:rsidTr="00241ADF">
        <w:trPr>
          <w:trHeight w:val="355"/>
          <w:jc w:val="center"/>
        </w:trPr>
        <w:tc>
          <w:tcPr>
            <w:tcW w:w="923" w:type="dxa"/>
            <w:tcBorders>
              <w:top w:val="nil"/>
              <w:left w:val="nil"/>
              <w:bottom w:val="nil"/>
              <w:right w:val="nil"/>
            </w:tcBorders>
            <w:shd w:val="clear" w:color="auto" w:fill="auto"/>
          </w:tcPr>
          <w:p w14:paraId="6DCF87E6" w14:textId="77777777" w:rsidR="00241ADF" w:rsidRPr="00EC2436" w:rsidRDefault="00241ADF" w:rsidP="00E21C2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D9D7C63" w14:textId="77777777" w:rsidR="00241ADF" w:rsidRPr="00EC2436" w:rsidRDefault="00241ADF" w:rsidP="00E21C2C">
            <w:pPr>
              <w:rPr>
                <w:rFonts w:ascii="Arial" w:hAnsi="Arial"/>
                <w:b/>
                <w:bCs/>
                <w:sz w:val="26"/>
                <w:szCs w:val="26"/>
                <w:rtl/>
              </w:rPr>
            </w:pPr>
            <w:r w:rsidRPr="00EC243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DB9C94B" w14:textId="77777777" w:rsidR="00241ADF" w:rsidRPr="00EC2436" w:rsidRDefault="00241ADF" w:rsidP="00241ADF">
            <w:pPr>
              <w:suppressLineNumbers/>
            </w:pPr>
            <w:r w:rsidRPr="00EC2436">
              <w:rPr>
                <w:rFonts w:ascii="Arial" w:hAnsi="Arial"/>
                <w:b/>
                <w:bCs/>
                <w:sz w:val="26"/>
                <w:szCs w:val="26"/>
                <w:rtl/>
              </w:rPr>
              <w:t>אמיר מסלם</w:t>
            </w:r>
          </w:p>
          <w:p w14:paraId="4B6C083B" w14:textId="77777777" w:rsidR="00241ADF" w:rsidRPr="00EC2436" w:rsidRDefault="00241ADF" w:rsidP="00E21C2C">
            <w:pPr>
              <w:rPr>
                <w:rFonts w:ascii="David" w:hAnsi="David"/>
                <w:b/>
                <w:bCs/>
                <w:sz w:val="26"/>
                <w:szCs w:val="26"/>
              </w:rPr>
            </w:pPr>
            <w:r w:rsidRPr="00EC2436">
              <w:rPr>
                <w:rFonts w:ascii="David" w:hAnsi="David" w:hint="cs"/>
                <w:b/>
                <w:bCs/>
                <w:sz w:val="26"/>
                <w:szCs w:val="26"/>
                <w:rtl/>
              </w:rPr>
              <w:t>ע"י ב"כ עו"ד מיכאל עירוני</w:t>
            </w:r>
          </w:p>
        </w:tc>
      </w:tr>
      <w:bookmarkEnd w:id="2"/>
    </w:tbl>
    <w:p w14:paraId="19F93B20" w14:textId="77777777" w:rsidR="00241ADF" w:rsidRPr="00EC2436" w:rsidRDefault="00241ADF" w:rsidP="00241ADF">
      <w:pPr>
        <w:rPr>
          <w:sz w:val="26"/>
          <w:szCs w:val="26"/>
        </w:rPr>
      </w:pPr>
    </w:p>
    <w:p w14:paraId="095DF24D" w14:textId="77777777" w:rsidR="003367CC" w:rsidRPr="003367CC" w:rsidRDefault="003367CC" w:rsidP="003367CC">
      <w:pPr>
        <w:spacing w:before="120" w:after="120" w:line="240" w:lineRule="exact"/>
        <w:ind w:left="283" w:hanging="283"/>
        <w:jc w:val="both"/>
        <w:rPr>
          <w:rFonts w:ascii="FrankRuehl" w:hAnsi="FrankRuehl" w:cs="FrankRuehl"/>
          <w:rtl/>
        </w:rPr>
      </w:pPr>
      <w:bookmarkStart w:id="3" w:name="LawTable"/>
      <w:bookmarkEnd w:id="3"/>
      <w:r w:rsidRPr="003367CC">
        <w:rPr>
          <w:rFonts w:ascii="FrankRuehl" w:hAnsi="FrankRuehl" w:cs="FrankRuehl"/>
          <w:rtl/>
        </w:rPr>
        <w:t xml:space="preserve">חקיקה שאוזכרה: </w:t>
      </w:r>
    </w:p>
    <w:p w14:paraId="742525DF" w14:textId="77777777" w:rsidR="003367CC" w:rsidRPr="003367CC" w:rsidRDefault="003367CC" w:rsidP="003367CC">
      <w:pPr>
        <w:spacing w:before="120" w:after="120" w:line="240" w:lineRule="exact"/>
        <w:ind w:left="283" w:hanging="283"/>
        <w:jc w:val="both"/>
        <w:rPr>
          <w:rFonts w:ascii="FrankRuehl" w:hAnsi="FrankRuehl" w:cs="FrankRuehl"/>
          <w:rtl/>
        </w:rPr>
      </w:pPr>
      <w:hyperlink r:id="rId7" w:history="1">
        <w:r w:rsidRPr="003367CC">
          <w:rPr>
            <w:rStyle w:val="Hyperlink"/>
            <w:rFonts w:ascii="FrankRuehl" w:hAnsi="FrankRuehl" w:cs="FrankRuehl"/>
            <w:u w:val="none"/>
            <w:rtl/>
          </w:rPr>
          <w:t>פקודת הסמים המסוכנים [נוסח חדש], תשל"ג-</w:t>
        </w:r>
        <w:r w:rsidRPr="003367CC">
          <w:rPr>
            <w:rStyle w:val="Hyperlink"/>
            <w:rFonts w:ascii="FrankRuehl" w:hAnsi="FrankRuehl" w:cs="FrankRuehl"/>
            <w:color w:val="auto"/>
            <w:u w:val="none"/>
            <w:rtl/>
          </w:rPr>
          <w:t>1973</w:t>
        </w:r>
      </w:hyperlink>
      <w:r w:rsidRPr="003367CC">
        <w:rPr>
          <w:rFonts w:ascii="FrankRuehl" w:hAnsi="FrankRuehl" w:cs="FrankRuehl"/>
          <w:rtl/>
        </w:rPr>
        <w:t xml:space="preserve">: סע'  </w:t>
      </w:r>
      <w:hyperlink r:id="rId8" w:history="1">
        <w:r w:rsidRPr="003367CC">
          <w:rPr>
            <w:rStyle w:val="Hyperlink"/>
            <w:rFonts w:ascii="FrankRuehl" w:hAnsi="FrankRuehl" w:cs="FrankRuehl"/>
            <w:u w:val="none"/>
          </w:rPr>
          <w:t>7</w:t>
        </w:r>
      </w:hyperlink>
      <w:r w:rsidRPr="003367CC">
        <w:rPr>
          <w:rFonts w:ascii="FrankRuehl" w:hAnsi="FrankRuehl" w:cs="FrankRuehl"/>
          <w:color w:val="0000FF"/>
          <w:rtl/>
        </w:rPr>
        <w:t xml:space="preserve">(א)(ג), </w:t>
      </w:r>
      <w:hyperlink r:id="rId9" w:history="1">
        <w:r w:rsidRPr="003367CC">
          <w:rPr>
            <w:rStyle w:val="Hyperlink"/>
            <w:rFonts w:ascii="FrankRuehl" w:hAnsi="FrankRuehl" w:cs="FrankRuehl"/>
            <w:color w:val="0000FF"/>
            <w:u w:val="none"/>
          </w:rPr>
          <w:t>13</w:t>
        </w:r>
      </w:hyperlink>
      <w:r w:rsidRPr="003367CC">
        <w:rPr>
          <w:rFonts w:ascii="FrankRuehl" w:hAnsi="FrankRuehl" w:cs="FrankRuehl"/>
          <w:color w:val="0000FF"/>
          <w:rtl/>
        </w:rPr>
        <w:t xml:space="preserve">, </w:t>
      </w:r>
      <w:hyperlink r:id="rId10" w:history="1">
        <w:r w:rsidRPr="003367CC">
          <w:rPr>
            <w:rStyle w:val="Hyperlink"/>
            <w:rFonts w:ascii="FrankRuehl" w:hAnsi="FrankRuehl" w:cs="FrankRuehl"/>
            <w:color w:val="auto"/>
            <w:u w:val="none"/>
          </w:rPr>
          <w:t>19</w:t>
        </w:r>
        <w:r w:rsidRPr="003367CC">
          <w:rPr>
            <w:rStyle w:val="Hyperlink"/>
            <w:rFonts w:ascii="FrankRuehl" w:hAnsi="FrankRuehl" w:cs="FrankRuehl"/>
            <w:color w:val="auto"/>
            <w:u w:val="none"/>
            <w:rtl/>
          </w:rPr>
          <w:t>א</w:t>
        </w:r>
      </w:hyperlink>
    </w:p>
    <w:p w14:paraId="502ADB2A" w14:textId="77777777" w:rsidR="003367CC" w:rsidRPr="003367CC" w:rsidRDefault="003367CC" w:rsidP="003367CC">
      <w:pPr>
        <w:spacing w:before="120" w:after="120" w:line="240" w:lineRule="exact"/>
        <w:ind w:left="283" w:hanging="283"/>
        <w:jc w:val="both"/>
        <w:rPr>
          <w:rFonts w:ascii="FrankRuehl" w:hAnsi="FrankRuehl" w:cs="FrankRuehl"/>
          <w:rtl/>
        </w:rPr>
      </w:pPr>
      <w:hyperlink r:id="rId11" w:history="1">
        <w:r w:rsidRPr="003367CC">
          <w:rPr>
            <w:rStyle w:val="Hyperlink"/>
            <w:rFonts w:ascii="FrankRuehl" w:hAnsi="FrankRuehl" w:cs="FrankRuehl"/>
            <w:u w:val="none"/>
            <w:rtl/>
          </w:rPr>
          <w:t>פקודת התעבורה [נוסח חדש</w:t>
        </w:r>
        <w:r w:rsidRPr="003367CC">
          <w:rPr>
            <w:rStyle w:val="Hyperlink"/>
            <w:rFonts w:ascii="FrankRuehl" w:hAnsi="FrankRuehl" w:cs="FrankRuehl"/>
            <w:u w:val="none"/>
          </w:rPr>
          <w:t>]</w:t>
        </w:r>
      </w:hyperlink>
      <w:r w:rsidRPr="003367CC">
        <w:rPr>
          <w:rFonts w:ascii="FrankRuehl" w:hAnsi="FrankRuehl" w:cs="FrankRuehl"/>
          <w:rtl/>
        </w:rPr>
        <w:t xml:space="preserve">: סע'  </w:t>
      </w:r>
      <w:hyperlink r:id="rId12" w:history="1">
        <w:r w:rsidRPr="003367CC">
          <w:rPr>
            <w:rStyle w:val="Hyperlink"/>
            <w:rFonts w:ascii="FrankRuehl" w:hAnsi="FrankRuehl" w:cs="FrankRuehl"/>
            <w:color w:val="auto"/>
            <w:u w:val="none"/>
          </w:rPr>
          <w:t>39</w:t>
        </w:r>
        <w:r w:rsidRPr="003367CC">
          <w:rPr>
            <w:rStyle w:val="Hyperlink"/>
            <w:rFonts w:ascii="FrankRuehl" w:hAnsi="FrankRuehl" w:cs="FrankRuehl"/>
            <w:color w:val="auto"/>
            <w:u w:val="none"/>
            <w:rtl/>
          </w:rPr>
          <w:t>א</w:t>
        </w:r>
      </w:hyperlink>
    </w:p>
    <w:p w14:paraId="1726BD8A" w14:textId="77777777" w:rsidR="003367CC" w:rsidRPr="003367CC" w:rsidRDefault="003367CC" w:rsidP="003367CC">
      <w:pPr>
        <w:jc w:val="center"/>
        <w:rPr>
          <w:rFonts w:ascii="David" w:hAnsi="David"/>
          <w:b/>
          <w:bCs/>
          <w:sz w:val="32"/>
          <w:szCs w:val="32"/>
          <w:u w:val="single"/>
          <w:rtl/>
        </w:rPr>
      </w:pPr>
      <w:bookmarkStart w:id="4" w:name="LawTable_End"/>
      <w:bookmarkStart w:id="5" w:name="PsakDin"/>
      <w:bookmarkEnd w:id="4"/>
      <w:r w:rsidRPr="003367CC">
        <w:rPr>
          <w:rFonts w:ascii="David" w:hAnsi="David"/>
          <w:b/>
          <w:bCs/>
          <w:sz w:val="32"/>
          <w:szCs w:val="32"/>
          <w:u w:val="single"/>
          <w:rtl/>
        </w:rPr>
        <w:t>גזר דין</w:t>
      </w:r>
    </w:p>
    <w:bookmarkEnd w:id="5"/>
    <w:p w14:paraId="44422475" w14:textId="77777777" w:rsidR="003367CC" w:rsidRPr="00241ADF" w:rsidRDefault="003367CC" w:rsidP="00241ADF">
      <w:pPr>
        <w:jc w:val="center"/>
        <w:rPr>
          <w:rFonts w:ascii="David" w:hAnsi="David"/>
          <w:sz w:val="32"/>
          <w:szCs w:val="32"/>
          <w:u w:val="single"/>
          <w:rtl/>
        </w:rPr>
      </w:pPr>
      <w:r w:rsidRPr="00241ADF">
        <w:rPr>
          <w:rFonts w:ascii="David" w:hAnsi="David" w:hint="cs"/>
          <w:sz w:val="32"/>
          <w:szCs w:val="32"/>
          <w:u w:val="single"/>
          <w:rtl/>
        </w:rPr>
        <w:t xml:space="preserve"> </w:t>
      </w:r>
    </w:p>
    <w:bookmarkEnd w:id="0"/>
    <w:p w14:paraId="387D87BA" w14:textId="77777777" w:rsidR="00241ADF" w:rsidRPr="000F2247" w:rsidRDefault="00241ADF" w:rsidP="00241ADF">
      <w:pPr>
        <w:rPr>
          <w:rFonts w:ascii="Arial" w:hAnsi="Arial"/>
          <w:b/>
          <w:bCs/>
          <w:sz w:val="26"/>
          <w:szCs w:val="26"/>
          <w:rtl/>
        </w:rPr>
      </w:pPr>
    </w:p>
    <w:p w14:paraId="42CCC1A3" w14:textId="77777777" w:rsidR="00241ADF" w:rsidRPr="00066CB7" w:rsidRDefault="00241ADF" w:rsidP="00241ADF">
      <w:pPr>
        <w:spacing w:line="360" w:lineRule="auto"/>
        <w:jc w:val="both"/>
        <w:rPr>
          <w:rFonts w:ascii="Arial" w:hAnsi="Arial"/>
          <w:b/>
          <w:bCs/>
          <w:sz w:val="26"/>
          <w:szCs w:val="26"/>
          <w:u w:val="single"/>
          <w:rtl/>
        </w:rPr>
      </w:pPr>
      <w:r w:rsidRPr="00066CB7">
        <w:rPr>
          <w:rFonts w:ascii="Arial" w:hAnsi="Arial" w:hint="cs"/>
          <w:b/>
          <w:bCs/>
          <w:sz w:val="26"/>
          <w:szCs w:val="26"/>
          <w:u w:val="single"/>
          <w:rtl/>
        </w:rPr>
        <w:t>כתב האישום</w:t>
      </w:r>
      <w:r>
        <w:rPr>
          <w:rFonts w:ascii="Arial" w:hAnsi="Arial" w:hint="cs"/>
          <w:b/>
          <w:bCs/>
          <w:sz w:val="26"/>
          <w:szCs w:val="26"/>
          <w:u w:val="single"/>
          <w:rtl/>
        </w:rPr>
        <w:t xml:space="preserve"> המתוקן</w:t>
      </w:r>
    </w:p>
    <w:p w14:paraId="442D669A" w14:textId="77777777" w:rsidR="00241ADF" w:rsidRPr="0020365A" w:rsidRDefault="00241ADF" w:rsidP="00241ADF">
      <w:pPr>
        <w:pStyle w:val="ListParagraph"/>
        <w:numPr>
          <w:ilvl w:val="0"/>
          <w:numId w:val="2"/>
        </w:numPr>
        <w:spacing w:line="360" w:lineRule="auto"/>
        <w:jc w:val="both"/>
        <w:rPr>
          <w:rFonts w:ascii="Arial" w:hAnsi="Arial"/>
          <w:sz w:val="26"/>
          <w:szCs w:val="26"/>
          <w:rtl/>
        </w:rPr>
      </w:pPr>
      <w:bookmarkStart w:id="6" w:name="ABSTRACT_START"/>
      <w:bookmarkEnd w:id="6"/>
      <w:r w:rsidRPr="0020365A">
        <w:rPr>
          <w:rFonts w:ascii="Arial" w:hAnsi="Arial" w:hint="cs"/>
          <w:sz w:val="26"/>
          <w:szCs w:val="26"/>
          <w:rtl/>
        </w:rPr>
        <w:t xml:space="preserve">הנאשם הודה בכתב האישום </w:t>
      </w:r>
      <w:r>
        <w:rPr>
          <w:rFonts w:ascii="Arial" w:hAnsi="Arial" w:hint="cs"/>
          <w:sz w:val="26"/>
          <w:szCs w:val="26"/>
          <w:rtl/>
        </w:rPr>
        <w:t xml:space="preserve">המתוקן (שתוקן בטרם מענה וללא </w:t>
      </w:r>
      <w:r w:rsidRPr="0020365A">
        <w:rPr>
          <w:rFonts w:ascii="Arial" w:hAnsi="Arial" w:hint="cs"/>
          <w:sz w:val="26"/>
          <w:szCs w:val="26"/>
          <w:rtl/>
        </w:rPr>
        <w:t xml:space="preserve">במסגרת הסדר) בביצוע </w:t>
      </w:r>
      <w:r w:rsidRPr="0020365A">
        <w:rPr>
          <w:rFonts w:ascii="Arial" w:hAnsi="Arial" w:hint="cs"/>
          <w:b/>
          <w:bCs/>
          <w:sz w:val="26"/>
          <w:szCs w:val="26"/>
          <w:rtl/>
        </w:rPr>
        <w:t>תשע עבירות סחר בסמים</w:t>
      </w:r>
      <w:r w:rsidRPr="0020365A">
        <w:rPr>
          <w:rFonts w:ascii="Arial" w:hAnsi="Arial" w:hint="cs"/>
          <w:sz w:val="26"/>
          <w:szCs w:val="26"/>
          <w:rtl/>
        </w:rPr>
        <w:t xml:space="preserve">, לפי </w:t>
      </w:r>
      <w:hyperlink r:id="rId13" w:history="1">
        <w:r w:rsidR="003367CC" w:rsidRPr="003367CC">
          <w:rPr>
            <w:rStyle w:val="Hyperlink"/>
            <w:rFonts w:ascii="Arial" w:hAnsi="Arial" w:hint="eastAsia"/>
            <w:color w:val="0000FF"/>
            <w:sz w:val="26"/>
            <w:szCs w:val="26"/>
            <w:rtl/>
          </w:rPr>
          <w:t>סעיפים</w:t>
        </w:r>
        <w:r w:rsidR="003367CC" w:rsidRPr="003367CC">
          <w:rPr>
            <w:rStyle w:val="Hyperlink"/>
            <w:rFonts w:ascii="Arial" w:hAnsi="Arial"/>
            <w:color w:val="0000FF"/>
            <w:sz w:val="26"/>
            <w:szCs w:val="26"/>
            <w:rtl/>
          </w:rPr>
          <w:t xml:space="preserve"> 13</w:t>
        </w:r>
      </w:hyperlink>
      <w:r w:rsidRPr="0020365A">
        <w:rPr>
          <w:rFonts w:ascii="Arial" w:hAnsi="Arial" w:hint="cs"/>
          <w:sz w:val="26"/>
          <w:szCs w:val="26"/>
          <w:rtl/>
        </w:rPr>
        <w:t xml:space="preserve"> ו-</w:t>
      </w:r>
      <w:hyperlink r:id="rId14" w:history="1">
        <w:r w:rsidR="003367CC" w:rsidRPr="003367CC">
          <w:rPr>
            <w:rStyle w:val="Hyperlink"/>
            <w:rFonts w:ascii="Arial" w:hAnsi="Arial"/>
            <w:color w:val="0000FF"/>
            <w:sz w:val="26"/>
            <w:szCs w:val="26"/>
            <w:rtl/>
          </w:rPr>
          <w:t>19א</w:t>
        </w:r>
      </w:hyperlink>
      <w:r w:rsidRPr="0020365A">
        <w:rPr>
          <w:rFonts w:ascii="Arial" w:hAnsi="Arial" w:hint="cs"/>
          <w:sz w:val="26"/>
          <w:szCs w:val="26"/>
          <w:rtl/>
        </w:rPr>
        <w:t xml:space="preserve"> ל</w:t>
      </w:r>
      <w:hyperlink r:id="rId15" w:history="1">
        <w:r w:rsidR="00EC2436" w:rsidRPr="00EC2436">
          <w:rPr>
            <w:rFonts w:ascii="Arial" w:hAnsi="Arial"/>
            <w:color w:val="0000FF"/>
            <w:sz w:val="26"/>
            <w:szCs w:val="26"/>
            <w:u w:val="single"/>
            <w:rtl/>
          </w:rPr>
          <w:t>פקודת הסמים המסוכנים</w:t>
        </w:r>
      </w:hyperlink>
      <w:r w:rsidRPr="0020365A">
        <w:rPr>
          <w:rFonts w:ascii="Arial" w:hAnsi="Arial" w:hint="cs"/>
          <w:sz w:val="26"/>
          <w:szCs w:val="26"/>
          <w:rtl/>
        </w:rPr>
        <w:t xml:space="preserve">; </w:t>
      </w:r>
      <w:r w:rsidRPr="0020365A">
        <w:rPr>
          <w:rFonts w:ascii="Arial" w:hAnsi="Arial" w:hint="cs"/>
          <w:b/>
          <w:bCs/>
          <w:sz w:val="26"/>
          <w:szCs w:val="26"/>
          <w:rtl/>
        </w:rPr>
        <w:t>החזקת סם שלא לצריכה עצמית</w:t>
      </w:r>
      <w:r w:rsidRPr="0020365A">
        <w:rPr>
          <w:rFonts w:ascii="Arial" w:hAnsi="Arial" w:hint="cs"/>
          <w:sz w:val="26"/>
          <w:szCs w:val="26"/>
          <w:rtl/>
        </w:rPr>
        <w:t xml:space="preserve"> לפי </w:t>
      </w:r>
      <w:hyperlink r:id="rId16" w:history="1">
        <w:r w:rsidR="003367CC" w:rsidRPr="003367CC">
          <w:rPr>
            <w:rStyle w:val="Hyperlink"/>
            <w:rFonts w:ascii="Arial" w:hAnsi="Arial" w:hint="eastAsia"/>
            <w:color w:val="0000FF"/>
            <w:sz w:val="26"/>
            <w:szCs w:val="26"/>
            <w:rtl/>
          </w:rPr>
          <w:t>סעיפים</w:t>
        </w:r>
        <w:r w:rsidR="003367CC" w:rsidRPr="003367CC">
          <w:rPr>
            <w:rStyle w:val="Hyperlink"/>
            <w:rFonts w:ascii="Arial" w:hAnsi="Arial"/>
            <w:color w:val="0000FF"/>
            <w:sz w:val="26"/>
            <w:szCs w:val="26"/>
            <w:rtl/>
          </w:rPr>
          <w:t xml:space="preserve"> 7(א)(ג)</w:t>
        </w:r>
      </w:hyperlink>
      <w:r w:rsidRPr="0020365A">
        <w:rPr>
          <w:rFonts w:ascii="Arial" w:hAnsi="Arial" w:hint="cs"/>
          <w:sz w:val="26"/>
          <w:szCs w:val="26"/>
          <w:rtl/>
        </w:rPr>
        <w:t xml:space="preserve"> רישא לפקודה, </w:t>
      </w:r>
      <w:r w:rsidRPr="0020365A">
        <w:rPr>
          <w:rFonts w:ascii="Arial" w:hAnsi="Arial" w:hint="cs"/>
          <w:b/>
          <w:bCs/>
          <w:sz w:val="26"/>
          <w:szCs w:val="26"/>
          <w:rtl/>
        </w:rPr>
        <w:t>ונהיגה בשכרות</w:t>
      </w:r>
      <w:r w:rsidRPr="0020365A">
        <w:rPr>
          <w:rFonts w:ascii="Arial" w:hAnsi="Arial" w:hint="cs"/>
          <w:sz w:val="26"/>
          <w:szCs w:val="26"/>
          <w:rtl/>
        </w:rPr>
        <w:t xml:space="preserve">, לפי </w:t>
      </w:r>
      <w:hyperlink r:id="rId17" w:history="1">
        <w:r w:rsidR="003367CC" w:rsidRPr="003367CC">
          <w:rPr>
            <w:rStyle w:val="Hyperlink"/>
            <w:rFonts w:ascii="Arial" w:hAnsi="Arial" w:hint="eastAsia"/>
            <w:color w:val="0000FF"/>
            <w:sz w:val="26"/>
            <w:szCs w:val="26"/>
            <w:rtl/>
          </w:rPr>
          <w:t>סעיף</w:t>
        </w:r>
        <w:r w:rsidR="003367CC" w:rsidRPr="003367CC">
          <w:rPr>
            <w:rStyle w:val="Hyperlink"/>
            <w:rFonts w:ascii="Arial" w:hAnsi="Arial"/>
            <w:color w:val="0000FF"/>
            <w:sz w:val="26"/>
            <w:szCs w:val="26"/>
            <w:rtl/>
          </w:rPr>
          <w:t xml:space="preserve"> 39א</w:t>
        </w:r>
      </w:hyperlink>
      <w:r w:rsidRPr="0020365A">
        <w:rPr>
          <w:rFonts w:ascii="Arial" w:hAnsi="Arial" w:hint="cs"/>
          <w:sz w:val="26"/>
          <w:szCs w:val="26"/>
          <w:rtl/>
        </w:rPr>
        <w:t xml:space="preserve"> ל</w:t>
      </w:r>
      <w:hyperlink r:id="rId18" w:history="1">
        <w:r w:rsidR="00EC2436" w:rsidRPr="00EC2436">
          <w:rPr>
            <w:rFonts w:ascii="Arial" w:hAnsi="Arial"/>
            <w:color w:val="0000FF"/>
            <w:sz w:val="26"/>
            <w:szCs w:val="26"/>
            <w:u w:val="single"/>
            <w:rtl/>
          </w:rPr>
          <w:t>פקודת התעבורה</w:t>
        </w:r>
      </w:hyperlink>
      <w:r w:rsidRPr="0020365A">
        <w:rPr>
          <w:rFonts w:ascii="Arial" w:hAnsi="Arial" w:hint="cs"/>
          <w:sz w:val="26"/>
          <w:szCs w:val="26"/>
          <w:rtl/>
        </w:rPr>
        <w:t>.</w:t>
      </w:r>
    </w:p>
    <w:p w14:paraId="1CC5FA5D"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bookmarkStart w:id="7" w:name="ABSTRACT_END"/>
      <w:bookmarkEnd w:id="7"/>
      <w:r w:rsidRPr="00826D99">
        <w:rPr>
          <w:rFonts w:ascii="Arial" w:hAnsi="Arial" w:hint="cs"/>
          <w:sz w:val="26"/>
          <w:szCs w:val="26"/>
          <w:rtl/>
        </w:rPr>
        <w:t>מהחלק הכללי של כתב האישום עולה, כי סוכנת משטרתית יצרה קשר עם הנאשם לצורך רכישת סמים, וזאת באמצעות יישומון "טלגראם" במהלך החודשים ינואר ופברואר 2021. בתווך היה איש קשר שדרכו בוצעה ההתקשרות בתחילה.</w:t>
      </w:r>
    </w:p>
    <w:p w14:paraId="72228225"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הראשון עולה, כי ביום 19.1.2021 תיאמה הסוכנת עם הנאשם עסקת סמים מסוג קנביס במשקל 10.19 גרם תמורת 450 ₪. בין היתר יצר הנאשם קשר טלפוני עם הסוכנת בסמוך למועד פגישתם, לאחר שחסם את מספרו כשהתקשר אליה.</w:t>
      </w:r>
    </w:p>
    <w:p w14:paraId="30E7C6C5"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lastRenderedPageBreak/>
        <w:t>מהאישום השני עולה</w:t>
      </w:r>
      <w:r>
        <w:rPr>
          <w:rFonts w:ascii="Arial" w:hAnsi="Arial" w:hint="cs"/>
          <w:sz w:val="26"/>
          <w:szCs w:val="26"/>
          <w:rtl/>
        </w:rPr>
        <w:t>,</w:t>
      </w:r>
      <w:r w:rsidRPr="00826D99">
        <w:rPr>
          <w:rFonts w:ascii="Arial" w:hAnsi="Arial" w:hint="cs"/>
          <w:sz w:val="26"/>
          <w:szCs w:val="26"/>
          <w:rtl/>
        </w:rPr>
        <w:t xml:space="preserve"> כי </w:t>
      </w:r>
      <w:r>
        <w:rPr>
          <w:rFonts w:ascii="Arial" w:hAnsi="Arial" w:hint="cs"/>
          <w:sz w:val="26"/>
          <w:szCs w:val="26"/>
          <w:rtl/>
        </w:rPr>
        <w:t xml:space="preserve">ביום 25.1.2021 מכר </w:t>
      </w:r>
      <w:r w:rsidRPr="00826D99">
        <w:rPr>
          <w:rFonts w:ascii="Arial" w:hAnsi="Arial" w:hint="cs"/>
          <w:sz w:val="26"/>
          <w:szCs w:val="26"/>
          <w:rtl/>
        </w:rPr>
        <w:t>הנאשם מכר לסוכנת 10 גרם קנביס תמורת 450 ₪. במועד הפגישה ביקש ממנה הנאשם כי תיצור עמו קשר ישיר בטלפון שמסר לה, ולא עם איש הקשר.</w:t>
      </w:r>
    </w:p>
    <w:p w14:paraId="46C13AD3"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השלישי עולה, כי ביום 4.2.2021 יצרה עמו קשר הסוכנת והזמינה 70 גרם קנביס. ביום 7.2.2021 נפגשו השניים במרכז העיר, כשהנאשם הגיע למקום רכוב על אופנוע. לאחר שירד מהאופנוע נפגשו השניים בסמטה, שם הוציא הנאשם מאזור חלציו שקית שהיו בה 7 שקיות ובהן 117.52 גרם קנביס. הנאשם מסר את הסמים לסוכנת והכניסם לתיק הגב שלה. תמורתם קיבל הנאשם 2,100 ₪. אז נעצר הנאשם בכף ע"י המשטרה ובחיפוש על גופו נמצאו 19.1 גרם קנביס וכן נתפס עליו סכום מזומן של כ-900 ₪. בבדיקת דם שבוצעה לנאשם נמצאו שרידים של קנביס וקוקאין.</w:t>
      </w:r>
    </w:p>
    <w:p w14:paraId="7DFA8086"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הרביעי עולה, כי ביום 28.1.2021 יצר </w:t>
      </w:r>
      <w:r>
        <w:rPr>
          <w:rFonts w:ascii="Arial" w:hAnsi="Arial" w:hint="cs"/>
          <w:sz w:val="26"/>
          <w:szCs w:val="26"/>
          <w:rtl/>
        </w:rPr>
        <w:t xml:space="preserve">ד' </w:t>
      </w:r>
      <w:r w:rsidRPr="00826D99">
        <w:rPr>
          <w:rFonts w:ascii="Arial" w:hAnsi="Arial" w:hint="cs"/>
          <w:sz w:val="26"/>
          <w:szCs w:val="26"/>
          <w:rtl/>
        </w:rPr>
        <w:t>קשר עם אחר במטרה לרכוש סמים. האחר אמר לד</w:t>
      </w:r>
      <w:r>
        <w:rPr>
          <w:rFonts w:ascii="Arial" w:hAnsi="Arial" w:hint="cs"/>
          <w:sz w:val="26"/>
          <w:szCs w:val="26"/>
          <w:rtl/>
        </w:rPr>
        <w:t>'</w:t>
      </w:r>
      <w:r w:rsidRPr="00826D99">
        <w:rPr>
          <w:rFonts w:ascii="Arial" w:hAnsi="Arial" w:hint="cs"/>
          <w:sz w:val="26"/>
          <w:szCs w:val="26"/>
          <w:rtl/>
        </w:rPr>
        <w:t xml:space="preserve"> כי אלמוני ייצור עמו קשר לצורך כך, מעשה שעשה הנאשם. לאחר תיאום בין השניים הם נפגשו והנאשם מכר לד</w:t>
      </w:r>
      <w:r>
        <w:rPr>
          <w:rFonts w:ascii="Arial" w:hAnsi="Arial" w:hint="cs"/>
          <w:sz w:val="26"/>
          <w:szCs w:val="26"/>
          <w:rtl/>
        </w:rPr>
        <w:t>'</w:t>
      </w:r>
      <w:r w:rsidRPr="00826D99">
        <w:rPr>
          <w:rFonts w:ascii="Arial" w:hAnsi="Arial" w:hint="cs"/>
          <w:sz w:val="26"/>
          <w:szCs w:val="26"/>
          <w:rtl/>
        </w:rPr>
        <w:t xml:space="preserve"> 5 גרם קנביס תמורת 300 ₪.</w:t>
      </w:r>
    </w:p>
    <w:p w14:paraId="0E2186A6"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החמישי עולה, כי ביום 2.2.2021 </w:t>
      </w:r>
      <w:r>
        <w:rPr>
          <w:rFonts w:ascii="Arial" w:hAnsi="Arial" w:hint="cs"/>
          <w:sz w:val="26"/>
          <w:szCs w:val="26"/>
          <w:rtl/>
        </w:rPr>
        <w:t xml:space="preserve">ביקש א' </w:t>
      </w:r>
      <w:r w:rsidRPr="00826D99">
        <w:rPr>
          <w:rFonts w:ascii="Arial" w:hAnsi="Arial" w:hint="cs"/>
          <w:sz w:val="26"/>
          <w:szCs w:val="26"/>
          <w:rtl/>
        </w:rPr>
        <w:t>לרכוש סמים ביישומון הטלגרם. הנאשם יצר עימו קשר ולאחר תיאום בין השניים, הנאשם מכר לו 15 גרם קנביס תמורת 500 ₪.</w:t>
      </w:r>
    </w:p>
    <w:p w14:paraId="37374C6C"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השישי עולה, כי ביום 28.1.2021 מכר הנאשם לא</w:t>
      </w:r>
      <w:r>
        <w:rPr>
          <w:rFonts w:ascii="Arial" w:hAnsi="Arial" w:hint="cs"/>
          <w:sz w:val="26"/>
          <w:szCs w:val="26"/>
          <w:rtl/>
        </w:rPr>
        <w:t>' כ-</w:t>
      </w:r>
      <w:r w:rsidRPr="00826D99">
        <w:rPr>
          <w:rFonts w:ascii="Arial" w:hAnsi="Arial" w:hint="cs"/>
          <w:sz w:val="26"/>
          <w:szCs w:val="26"/>
          <w:rtl/>
        </w:rPr>
        <w:t>7 גרם קנביס תמורת 450 ₪.</w:t>
      </w:r>
    </w:p>
    <w:p w14:paraId="5F7B94F6"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השביעי עולה, כי ביום 2.2.2021, </w:t>
      </w:r>
      <w:r>
        <w:rPr>
          <w:rFonts w:ascii="Arial" w:hAnsi="Arial" w:hint="cs"/>
          <w:sz w:val="26"/>
          <w:szCs w:val="26"/>
          <w:rtl/>
        </w:rPr>
        <w:t xml:space="preserve">א' מהאישום הקודם </w:t>
      </w:r>
      <w:r w:rsidRPr="00826D99">
        <w:rPr>
          <w:rFonts w:ascii="Arial" w:hAnsi="Arial" w:hint="cs"/>
          <w:sz w:val="26"/>
          <w:szCs w:val="26"/>
          <w:rtl/>
        </w:rPr>
        <w:t xml:space="preserve">יצר קשר עם הנאשם והביע כעס על כך שבפעם הקודמת </w:t>
      </w:r>
      <w:r>
        <w:rPr>
          <w:rFonts w:ascii="Arial" w:hAnsi="Arial" w:hint="cs"/>
          <w:sz w:val="26"/>
          <w:szCs w:val="26"/>
          <w:rtl/>
        </w:rPr>
        <w:t xml:space="preserve">מכר לו </w:t>
      </w:r>
      <w:r w:rsidRPr="00826D99">
        <w:rPr>
          <w:rFonts w:ascii="Arial" w:hAnsi="Arial" w:hint="cs"/>
          <w:sz w:val="26"/>
          <w:szCs w:val="26"/>
          <w:rtl/>
        </w:rPr>
        <w:t>הנאשם כמות קטנה ממה שסוכם, לכן השניים נפגשו פעם נוספת והנאשם מכר לו 13 גרם קנביס תמורת 450 ₪.</w:t>
      </w:r>
    </w:p>
    <w:p w14:paraId="230E9762"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 xml:space="preserve">מהאישום השמיני עולה, כי ביום 2.2.2021, </w:t>
      </w:r>
      <w:r>
        <w:rPr>
          <w:rFonts w:ascii="Arial" w:hAnsi="Arial" w:hint="cs"/>
          <w:sz w:val="26"/>
          <w:szCs w:val="26"/>
          <w:rtl/>
        </w:rPr>
        <w:t xml:space="preserve">ביקש ר' </w:t>
      </w:r>
      <w:r w:rsidRPr="00826D99">
        <w:rPr>
          <w:rFonts w:ascii="Arial" w:hAnsi="Arial" w:hint="cs"/>
          <w:sz w:val="26"/>
          <w:szCs w:val="26"/>
          <w:rtl/>
        </w:rPr>
        <w:t>לרכוש סמים ביישומון הטלגרם. הנאשם יצר עימו קשר ולאחר תיאום בין השניים, הנאשם מכר לו כ - 50 גרם קנביס תמורת 500 ₪.</w:t>
      </w:r>
    </w:p>
    <w:p w14:paraId="01D2414E" w14:textId="77777777" w:rsidR="00241ADF" w:rsidRPr="00826D99" w:rsidRDefault="00241ADF" w:rsidP="00241ADF">
      <w:pPr>
        <w:pStyle w:val="ListParagraph"/>
        <w:numPr>
          <w:ilvl w:val="0"/>
          <w:numId w:val="3"/>
        </w:numPr>
        <w:spacing w:line="360" w:lineRule="auto"/>
        <w:jc w:val="both"/>
        <w:rPr>
          <w:rFonts w:ascii="Arial" w:hAnsi="Arial"/>
          <w:sz w:val="26"/>
          <w:szCs w:val="26"/>
          <w:rtl/>
        </w:rPr>
      </w:pPr>
      <w:r w:rsidRPr="00826D99">
        <w:rPr>
          <w:rFonts w:ascii="Arial" w:hAnsi="Arial" w:hint="cs"/>
          <w:sz w:val="26"/>
          <w:szCs w:val="26"/>
          <w:rtl/>
        </w:rPr>
        <w:t>מהאישום התשיעי עולה, כי ביום 31.12.2021, מכר הנאשם ל</w:t>
      </w:r>
      <w:r>
        <w:rPr>
          <w:rFonts w:ascii="Arial" w:hAnsi="Arial" w:hint="cs"/>
          <w:sz w:val="26"/>
          <w:szCs w:val="26"/>
          <w:rtl/>
        </w:rPr>
        <w:t>ע' כ-</w:t>
      </w:r>
      <w:r w:rsidRPr="00826D99">
        <w:rPr>
          <w:rFonts w:ascii="Arial" w:hAnsi="Arial" w:hint="cs"/>
          <w:sz w:val="26"/>
          <w:szCs w:val="26"/>
          <w:rtl/>
        </w:rPr>
        <w:t>30 גרם קנביס תמורת 500 ₪.</w:t>
      </w:r>
    </w:p>
    <w:p w14:paraId="7A1FF160" w14:textId="77777777" w:rsidR="00241ADF" w:rsidRDefault="00241ADF" w:rsidP="00241ADF">
      <w:pPr>
        <w:spacing w:line="360" w:lineRule="auto"/>
        <w:jc w:val="both"/>
        <w:rPr>
          <w:rFonts w:ascii="Arial" w:hAnsi="Arial"/>
          <w:sz w:val="26"/>
          <w:szCs w:val="26"/>
          <w:rtl/>
        </w:rPr>
      </w:pPr>
    </w:p>
    <w:p w14:paraId="367BD7E1" w14:textId="77777777" w:rsidR="00241ADF" w:rsidRPr="00DC6BA3" w:rsidRDefault="00241ADF" w:rsidP="00241ADF">
      <w:pPr>
        <w:spacing w:line="360" w:lineRule="auto"/>
        <w:jc w:val="both"/>
        <w:rPr>
          <w:rFonts w:ascii="Arial" w:hAnsi="Arial"/>
          <w:b/>
          <w:bCs/>
          <w:sz w:val="26"/>
          <w:szCs w:val="26"/>
          <w:u w:val="single"/>
        </w:rPr>
      </w:pPr>
      <w:r w:rsidRPr="00DC6BA3">
        <w:rPr>
          <w:rFonts w:ascii="Arial" w:hAnsi="Arial"/>
          <w:b/>
          <w:bCs/>
          <w:sz w:val="26"/>
          <w:szCs w:val="26"/>
          <w:u w:val="single"/>
          <w:rtl/>
        </w:rPr>
        <w:t>מהלך הדיון</w:t>
      </w:r>
    </w:p>
    <w:p w14:paraId="4815A1CA" w14:textId="77777777" w:rsidR="00241ADF" w:rsidRPr="00826D99" w:rsidRDefault="00241ADF" w:rsidP="00241ADF">
      <w:pPr>
        <w:pStyle w:val="ListParagraph"/>
        <w:numPr>
          <w:ilvl w:val="0"/>
          <w:numId w:val="2"/>
        </w:numPr>
        <w:spacing w:line="360" w:lineRule="auto"/>
        <w:jc w:val="both"/>
        <w:rPr>
          <w:rFonts w:ascii="Arial" w:hAnsi="Arial"/>
          <w:sz w:val="26"/>
          <w:szCs w:val="26"/>
          <w:rtl/>
        </w:rPr>
      </w:pPr>
      <w:r>
        <w:rPr>
          <w:rFonts w:ascii="Arial" w:hAnsi="Arial" w:hint="cs"/>
          <w:sz w:val="26"/>
          <w:szCs w:val="26"/>
          <w:rtl/>
        </w:rPr>
        <w:t xml:space="preserve">ביום 7.2.2021 נעצר הנאשם במסגרת החקירה, ומעצרו הוארך מעת לעת גם לאחר הגשת כתב האישום ועמו בקשה למעצר עד לתום ההליכים. הנאשם שוחרר לבסוף ביום </w:t>
      </w:r>
      <w:r>
        <w:rPr>
          <w:rFonts w:ascii="Arial" w:hAnsi="Arial" w:hint="cs"/>
          <w:sz w:val="26"/>
          <w:szCs w:val="26"/>
          <w:rtl/>
        </w:rPr>
        <w:lastRenderedPageBreak/>
        <w:t xml:space="preserve">22.3.2021 למעצר בית מלא. ביום 4.10.2021 הודה בכתב האישום כפי שהוא ללא הסדר, ובאותו יום צמצמתי את תנאי מעצר הבית למעצר בית לילי. </w:t>
      </w:r>
    </w:p>
    <w:p w14:paraId="00EC8E11" w14:textId="77777777" w:rsidR="00241ADF" w:rsidRPr="00DC6BA3" w:rsidRDefault="00241ADF" w:rsidP="00241ADF">
      <w:pPr>
        <w:spacing w:line="360" w:lineRule="auto"/>
        <w:jc w:val="both"/>
        <w:rPr>
          <w:rFonts w:ascii="Arial" w:hAnsi="Arial"/>
          <w:b/>
          <w:bCs/>
          <w:sz w:val="26"/>
          <w:szCs w:val="26"/>
          <w:u w:val="single"/>
          <w:rtl/>
        </w:rPr>
      </w:pPr>
    </w:p>
    <w:p w14:paraId="0E12C0D3" w14:textId="77777777" w:rsidR="00241ADF"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תסקירי שירות המבחן</w:t>
      </w:r>
    </w:p>
    <w:p w14:paraId="007C1D4C" w14:textId="77777777" w:rsidR="00241ADF" w:rsidRDefault="00241ADF" w:rsidP="00241ADF">
      <w:pPr>
        <w:pStyle w:val="ListParagraph"/>
        <w:numPr>
          <w:ilvl w:val="0"/>
          <w:numId w:val="2"/>
        </w:numPr>
        <w:spacing w:line="360" w:lineRule="auto"/>
        <w:jc w:val="both"/>
        <w:rPr>
          <w:rFonts w:ascii="Arial" w:hAnsi="Arial"/>
          <w:sz w:val="26"/>
          <w:szCs w:val="26"/>
        </w:rPr>
      </w:pPr>
      <w:r>
        <w:rPr>
          <w:rFonts w:ascii="Arial" w:hAnsi="Arial" w:hint="cs"/>
          <w:sz w:val="26"/>
          <w:szCs w:val="26"/>
          <w:rtl/>
        </w:rPr>
        <w:t xml:space="preserve">בעניינו של הנאשם הוגשו ארבעה תסקירים. </w:t>
      </w:r>
      <w:r w:rsidRPr="00205FD4">
        <w:rPr>
          <w:rFonts w:ascii="Arial" w:hAnsi="Arial" w:hint="cs"/>
          <w:sz w:val="26"/>
          <w:szCs w:val="26"/>
          <w:rtl/>
        </w:rPr>
        <w:t>מהתסקיר</w:t>
      </w:r>
      <w:r>
        <w:rPr>
          <w:rFonts w:ascii="Arial" w:hAnsi="Arial" w:hint="cs"/>
          <w:sz w:val="26"/>
          <w:szCs w:val="26"/>
          <w:rtl/>
        </w:rPr>
        <w:t>ים</w:t>
      </w:r>
      <w:r w:rsidRPr="00205FD4">
        <w:rPr>
          <w:rFonts w:ascii="Arial" w:hAnsi="Arial" w:hint="cs"/>
          <w:sz w:val="26"/>
          <w:szCs w:val="26"/>
          <w:rtl/>
        </w:rPr>
        <w:t xml:space="preserve"> שהוגש</w:t>
      </w:r>
      <w:r>
        <w:rPr>
          <w:rFonts w:ascii="Arial" w:hAnsi="Arial" w:hint="cs"/>
          <w:sz w:val="26"/>
          <w:szCs w:val="26"/>
          <w:rtl/>
        </w:rPr>
        <w:t>ו</w:t>
      </w:r>
      <w:r w:rsidRPr="00205FD4">
        <w:rPr>
          <w:rFonts w:ascii="Arial" w:hAnsi="Arial" w:hint="cs"/>
          <w:sz w:val="26"/>
          <w:szCs w:val="26"/>
          <w:rtl/>
        </w:rPr>
        <w:t xml:space="preserve"> עולה </w:t>
      </w:r>
      <w:r>
        <w:rPr>
          <w:rFonts w:ascii="Arial" w:hAnsi="Arial" w:hint="cs"/>
          <w:sz w:val="26"/>
          <w:szCs w:val="26"/>
          <w:rtl/>
        </w:rPr>
        <w:t xml:space="preserve">כי הנאשם בתחילת שנות העשרים לחייו, רווק ומתגורר בבית הוריו. הוא עובד מזה כחמש שנים בחנות מזון מהיר. הוא סיים 12 שנות לימוד עם בגרות חלקית ורכש מקצוע טכני, כאשר למד הן במסגרות דוברות ערבית והן במסגרות דוברות עברית, על רקע התעניינותו בהצטרפות ליהדות. הוא שירת כשנתיים בשירות הלאומי ומצא בכך סיפוק רב. בעת היותו נער צעיר איבד את אחיו בנסיבות טרגיות. תוארה משפחה נורמטיבית ותומכת. הנאשם כאמור התעניין ביהדות ואף החל בתהליך גיור, אותו לא סיים. הנאשם הביע חרטה על מעשיו, כששירות המבחן התרשם מניסיון להמעיט מחומרתם בתחילה, דבר המעיד על היעדר בשלותו של הנאשם. הנאשם נרתם לתהליך טיפולי קבוצתי עמו שיתף פעולה לאורך תקופה ארוכה, וכן מסר בדיקות שתן שהעידו על שימוש בקנביס בלבד, אותו צורך הנאשם על-פי רישיון לשימוש רפואי (למעט הפסקה קצרה בתוקף הרישיון). שירות המבחן התרשם מהשפעה חיובית של הטיפול על הנאשם, והמליץ על הטלת 250 שעות של"ץ וכן צו מבחן להבטחת המשך הפיקוח והטיפול. יצוין, כי במהלך המשפט היה הנאשם מעורב בתאונה בה נפצע קשה ונזקק לשיקום ארוך ומורכב. שירות המבחן שב וחזר על המלצתו בתסקיר עדכני, שבו ציין כי הנאשם הפיק תועלת מרובה מן הטיפול הקבוצתי, כיום הוא עובד כשכיר על-פי יכולתו, התארס ומתכוון להתחתן בקיץ הקרוב. שירות המבחן עמד על מצבו הרפואי והנפשי של הנאשם כיום לאחר התאונה הקשה שעבר ולכן חזר על המלצתו. </w:t>
      </w:r>
    </w:p>
    <w:p w14:paraId="347CA5E5" w14:textId="77777777" w:rsidR="00241ADF" w:rsidRPr="00DC6BA3" w:rsidRDefault="00241ADF" w:rsidP="00241ADF">
      <w:pPr>
        <w:spacing w:line="360" w:lineRule="auto"/>
        <w:jc w:val="both"/>
        <w:rPr>
          <w:rFonts w:ascii="Arial" w:hAnsi="Arial"/>
          <w:b/>
          <w:bCs/>
          <w:sz w:val="26"/>
          <w:szCs w:val="26"/>
          <w:u w:val="single"/>
          <w:rtl/>
        </w:rPr>
      </w:pPr>
    </w:p>
    <w:p w14:paraId="2CF503A5" w14:textId="77777777" w:rsidR="00241ADF" w:rsidRPr="00FF750D" w:rsidRDefault="00241ADF" w:rsidP="00241ADF">
      <w:pPr>
        <w:spacing w:line="360" w:lineRule="auto"/>
        <w:jc w:val="both"/>
        <w:rPr>
          <w:rFonts w:ascii="Arial" w:hAnsi="Arial"/>
          <w:b/>
          <w:bCs/>
          <w:sz w:val="26"/>
          <w:szCs w:val="26"/>
          <w:u w:val="single"/>
          <w:rtl/>
        </w:rPr>
      </w:pPr>
      <w:r w:rsidRPr="00FF750D">
        <w:rPr>
          <w:rFonts w:ascii="Arial" w:hAnsi="Arial"/>
          <w:b/>
          <w:bCs/>
          <w:sz w:val="26"/>
          <w:szCs w:val="26"/>
          <w:u w:val="single"/>
          <w:rtl/>
        </w:rPr>
        <w:t>חוות דעת של הממונה על עבודות השירות</w:t>
      </w:r>
    </w:p>
    <w:p w14:paraId="4E99962D" w14:textId="77777777" w:rsidR="00241ADF" w:rsidRPr="00FF750D" w:rsidRDefault="00241ADF" w:rsidP="00241ADF">
      <w:pPr>
        <w:pStyle w:val="ListParagraph"/>
        <w:numPr>
          <w:ilvl w:val="0"/>
          <w:numId w:val="2"/>
        </w:numPr>
        <w:spacing w:line="360" w:lineRule="auto"/>
        <w:jc w:val="both"/>
        <w:rPr>
          <w:rFonts w:ascii="Arial" w:hAnsi="Arial"/>
          <w:sz w:val="26"/>
          <w:szCs w:val="26"/>
          <w:rtl/>
        </w:rPr>
      </w:pPr>
      <w:r>
        <w:rPr>
          <w:rFonts w:ascii="Arial" w:hAnsi="Arial" w:hint="cs"/>
          <w:sz w:val="26"/>
          <w:szCs w:val="26"/>
          <w:rtl/>
        </w:rPr>
        <w:t xml:space="preserve">הנאשם לא נמצא כשיר לבצע עבודות שירות. הנאשם הסביר מדוע הדבר אירע. </w:t>
      </w:r>
    </w:p>
    <w:p w14:paraId="75230FE4" w14:textId="77777777" w:rsidR="00241ADF" w:rsidRDefault="00241ADF" w:rsidP="00241ADF">
      <w:pPr>
        <w:spacing w:line="360" w:lineRule="auto"/>
        <w:jc w:val="both"/>
        <w:rPr>
          <w:rFonts w:ascii="Arial" w:hAnsi="Arial"/>
          <w:b/>
          <w:bCs/>
          <w:sz w:val="26"/>
          <w:szCs w:val="26"/>
          <w:u w:val="single"/>
          <w:rtl/>
        </w:rPr>
      </w:pPr>
    </w:p>
    <w:p w14:paraId="5D258BF9" w14:textId="77777777" w:rsidR="00241ADF" w:rsidRPr="00DC6BA3"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ראיות וטיעונים לעונש</w:t>
      </w:r>
    </w:p>
    <w:p w14:paraId="0477A9E6" w14:textId="77777777" w:rsidR="00241ADF" w:rsidRDefault="00241ADF" w:rsidP="00241ADF">
      <w:pPr>
        <w:pStyle w:val="ListParagraph"/>
        <w:numPr>
          <w:ilvl w:val="0"/>
          <w:numId w:val="2"/>
        </w:numPr>
        <w:spacing w:line="360" w:lineRule="auto"/>
        <w:jc w:val="both"/>
        <w:rPr>
          <w:rFonts w:ascii="Arial" w:hAnsi="Arial"/>
          <w:sz w:val="26"/>
          <w:szCs w:val="26"/>
        </w:rPr>
      </w:pPr>
      <w:r>
        <w:rPr>
          <w:rFonts w:ascii="Arial" w:hAnsi="Arial" w:hint="cs"/>
          <w:sz w:val="26"/>
          <w:szCs w:val="26"/>
          <w:rtl/>
        </w:rPr>
        <w:t xml:space="preserve">לנאשם אין עבר פלילי. </w:t>
      </w:r>
    </w:p>
    <w:p w14:paraId="7DBD993E" w14:textId="77777777" w:rsidR="00241ADF" w:rsidRDefault="00241ADF" w:rsidP="00241ADF">
      <w:pPr>
        <w:pStyle w:val="ListParagraph"/>
        <w:spacing w:line="360" w:lineRule="auto"/>
        <w:ind w:left="360"/>
        <w:jc w:val="both"/>
        <w:rPr>
          <w:rFonts w:ascii="Arial" w:hAnsi="Arial"/>
          <w:sz w:val="26"/>
          <w:szCs w:val="26"/>
        </w:rPr>
      </w:pPr>
    </w:p>
    <w:p w14:paraId="6DACE4AB" w14:textId="77777777" w:rsidR="00241ADF" w:rsidRPr="00DC6BA3" w:rsidRDefault="00241ADF" w:rsidP="00241ADF">
      <w:pPr>
        <w:pStyle w:val="ListParagraph"/>
        <w:numPr>
          <w:ilvl w:val="0"/>
          <w:numId w:val="2"/>
        </w:numPr>
        <w:spacing w:line="360" w:lineRule="auto"/>
        <w:jc w:val="both"/>
        <w:rPr>
          <w:rFonts w:ascii="Arial" w:hAnsi="Arial"/>
          <w:b/>
          <w:bCs/>
          <w:sz w:val="26"/>
          <w:szCs w:val="26"/>
          <w:u w:val="single"/>
        </w:rPr>
      </w:pPr>
      <w:r w:rsidRPr="00933103">
        <w:rPr>
          <w:rFonts w:ascii="Arial" w:hAnsi="Arial"/>
          <w:sz w:val="26"/>
          <w:szCs w:val="26"/>
          <w:rtl/>
        </w:rPr>
        <w:t xml:space="preserve">הצדדים לא הגיעו להסכמה עונשית. </w:t>
      </w:r>
      <w:r>
        <w:rPr>
          <w:rFonts w:ascii="Arial" w:hAnsi="Arial" w:hint="cs"/>
          <w:sz w:val="26"/>
          <w:szCs w:val="26"/>
          <w:rtl/>
        </w:rPr>
        <w:t xml:space="preserve">ב"כ המאשימה עתרה להטיל על הנאשם עונש כולל של 24 חודשי מאסר וענישה נלווית וסברה שאין מקום לחרוג ממתחם העונש. הסניגור ביקש מנגד לאמץ את המלצת שירות המבחן. </w:t>
      </w:r>
    </w:p>
    <w:p w14:paraId="1CCD6BC9" w14:textId="77777777" w:rsidR="00241ADF" w:rsidRPr="00DC6BA3" w:rsidRDefault="00241ADF" w:rsidP="00241ADF">
      <w:pPr>
        <w:spacing w:line="360" w:lineRule="auto"/>
        <w:jc w:val="both"/>
        <w:rPr>
          <w:rFonts w:ascii="Arial" w:hAnsi="Arial"/>
          <w:b/>
          <w:bCs/>
          <w:sz w:val="26"/>
          <w:szCs w:val="26"/>
          <w:u w:val="single"/>
          <w:rtl/>
        </w:rPr>
      </w:pPr>
    </w:p>
    <w:p w14:paraId="0FACB4A5" w14:textId="77777777" w:rsidR="00241ADF"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 xml:space="preserve">קביעת מתחם הענישה </w:t>
      </w:r>
    </w:p>
    <w:p w14:paraId="6F9AE160" w14:textId="77777777" w:rsidR="00241ADF" w:rsidRDefault="00241ADF" w:rsidP="00241ADF">
      <w:pPr>
        <w:pStyle w:val="ListParagraph"/>
        <w:numPr>
          <w:ilvl w:val="0"/>
          <w:numId w:val="2"/>
        </w:numPr>
        <w:spacing w:line="360" w:lineRule="auto"/>
        <w:jc w:val="both"/>
        <w:rPr>
          <w:rFonts w:ascii="Arial" w:hAnsi="Arial"/>
          <w:b/>
          <w:bCs/>
          <w:sz w:val="26"/>
          <w:szCs w:val="26"/>
          <w:u w:val="single"/>
        </w:rPr>
      </w:pPr>
      <w:r w:rsidRPr="00933103">
        <w:rPr>
          <w:rFonts w:ascii="Arial" w:hAnsi="Arial"/>
          <w:sz w:val="26"/>
          <w:szCs w:val="26"/>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23C50C00" w14:textId="77777777" w:rsidR="00241ADF" w:rsidRPr="00933103" w:rsidRDefault="00241ADF" w:rsidP="00241ADF">
      <w:pPr>
        <w:pStyle w:val="ListParagraph"/>
        <w:spacing w:line="360" w:lineRule="auto"/>
        <w:ind w:left="360"/>
        <w:jc w:val="both"/>
        <w:rPr>
          <w:rFonts w:ascii="Arial" w:hAnsi="Arial"/>
          <w:b/>
          <w:bCs/>
          <w:sz w:val="26"/>
          <w:szCs w:val="26"/>
          <w:u w:val="single"/>
          <w:rtl/>
        </w:rPr>
      </w:pPr>
    </w:p>
    <w:p w14:paraId="596A13AC" w14:textId="77777777" w:rsidR="00241ADF" w:rsidRPr="00933103" w:rsidRDefault="00241ADF" w:rsidP="00241ADF">
      <w:pPr>
        <w:pStyle w:val="ListParagraph"/>
        <w:numPr>
          <w:ilvl w:val="0"/>
          <w:numId w:val="2"/>
        </w:numPr>
        <w:spacing w:line="360" w:lineRule="auto"/>
        <w:jc w:val="both"/>
        <w:rPr>
          <w:rFonts w:ascii="Arial" w:hAnsi="Arial"/>
          <w:sz w:val="26"/>
          <w:szCs w:val="26"/>
          <w:rtl/>
        </w:rPr>
      </w:pPr>
      <w:r>
        <w:rPr>
          <w:rFonts w:ascii="Arial" w:hAnsi="Arial" w:hint="cs"/>
          <w:b/>
          <w:bCs/>
          <w:sz w:val="26"/>
          <w:szCs w:val="26"/>
          <w:rtl/>
        </w:rPr>
        <w:t>הערכים המוגנים שנפגעו</w:t>
      </w:r>
      <w:r w:rsidRPr="00933103">
        <w:rPr>
          <w:rFonts w:ascii="Arial" w:hAnsi="Arial"/>
          <w:b/>
          <w:bCs/>
          <w:sz w:val="26"/>
          <w:szCs w:val="26"/>
          <w:rtl/>
        </w:rPr>
        <w:t xml:space="preserve"> – </w:t>
      </w:r>
      <w:r w:rsidRPr="00FF750D">
        <w:rPr>
          <w:rFonts w:ascii="Arial" w:hAnsi="Arial" w:hint="cs"/>
          <w:sz w:val="26"/>
          <w:szCs w:val="26"/>
          <w:rtl/>
        </w:rPr>
        <w:t>הנאשם פגע בערכים המוגנים של שלום הציבור, בריאותו וביטחונו</w:t>
      </w:r>
      <w:r>
        <w:rPr>
          <w:rFonts w:ascii="Arial" w:hAnsi="Arial" w:hint="cs"/>
          <w:sz w:val="26"/>
          <w:szCs w:val="26"/>
          <w:rtl/>
        </w:rPr>
        <w:t xml:space="preserve"> וזאת במידה בינונית בהתחשב במכלול הנסיבות. הפצת סמים ואף אם מדובר בסמים מסוכנים "קלים" היא פסולה ויש לגנותה</w:t>
      </w:r>
      <w:r w:rsidRPr="00FF750D">
        <w:rPr>
          <w:rFonts w:ascii="Arial" w:hAnsi="Arial" w:hint="cs"/>
          <w:sz w:val="26"/>
          <w:szCs w:val="26"/>
          <w:rtl/>
        </w:rPr>
        <w:t>.</w:t>
      </w:r>
      <w:r>
        <w:rPr>
          <w:rFonts w:ascii="Arial" w:hAnsi="Arial" w:hint="cs"/>
          <w:b/>
          <w:bCs/>
          <w:sz w:val="26"/>
          <w:szCs w:val="26"/>
          <w:rtl/>
        </w:rPr>
        <w:t xml:space="preserve"> </w:t>
      </w:r>
      <w:r w:rsidRPr="00933103">
        <w:rPr>
          <w:rFonts w:ascii="Arial" w:hAnsi="Arial"/>
          <w:sz w:val="26"/>
          <w:szCs w:val="26"/>
          <w:rtl/>
        </w:rPr>
        <w:t>אשר לעבירת הנהיגה, מדובר בעבירה מסכנת חיים, של הנוסעים ברכב ושל כלל ציבור המשתמשים בדרך, ויש לראותה בחומרה.</w:t>
      </w:r>
    </w:p>
    <w:p w14:paraId="558185C0" w14:textId="77777777" w:rsidR="00241ADF" w:rsidRPr="00DC6BA3" w:rsidRDefault="00241ADF" w:rsidP="00241ADF">
      <w:pPr>
        <w:spacing w:line="360" w:lineRule="auto"/>
        <w:jc w:val="both"/>
        <w:rPr>
          <w:rFonts w:ascii="Arial" w:hAnsi="Arial"/>
          <w:b/>
          <w:bCs/>
          <w:sz w:val="26"/>
          <w:szCs w:val="26"/>
          <w:u w:val="single"/>
          <w:rtl/>
        </w:rPr>
      </w:pPr>
    </w:p>
    <w:p w14:paraId="64F4EF8A" w14:textId="77777777" w:rsidR="00241ADF" w:rsidRDefault="00241ADF" w:rsidP="00241ADF">
      <w:pPr>
        <w:pStyle w:val="ListParagraph"/>
        <w:numPr>
          <w:ilvl w:val="0"/>
          <w:numId w:val="2"/>
        </w:numPr>
        <w:spacing w:line="360" w:lineRule="auto"/>
        <w:jc w:val="both"/>
        <w:rPr>
          <w:rFonts w:ascii="Arial" w:hAnsi="Arial"/>
          <w:sz w:val="26"/>
          <w:szCs w:val="26"/>
        </w:rPr>
      </w:pPr>
      <w:r w:rsidRPr="00933103">
        <w:rPr>
          <w:rFonts w:ascii="Arial" w:hAnsi="Arial"/>
          <w:b/>
          <w:bCs/>
          <w:sz w:val="26"/>
          <w:szCs w:val="26"/>
          <w:rtl/>
        </w:rPr>
        <w:t>נסיבות הקשורות בביצוע העבירה</w:t>
      </w:r>
      <w:r>
        <w:rPr>
          <w:rFonts w:ascii="Arial" w:hAnsi="Arial" w:hint="cs"/>
          <w:b/>
          <w:bCs/>
          <w:sz w:val="26"/>
          <w:szCs w:val="26"/>
          <w:rtl/>
        </w:rPr>
        <w:t xml:space="preserve"> </w:t>
      </w:r>
      <w:r>
        <w:rPr>
          <w:rFonts w:ascii="Arial" w:hAnsi="Arial"/>
          <w:sz w:val="26"/>
          <w:szCs w:val="26"/>
          <w:rtl/>
        </w:rPr>
        <w:t>–</w:t>
      </w:r>
      <w:r w:rsidRPr="00933103">
        <w:rPr>
          <w:rFonts w:ascii="Arial" w:hAnsi="Arial"/>
          <w:sz w:val="26"/>
          <w:szCs w:val="26"/>
          <w:rtl/>
        </w:rPr>
        <w:t xml:space="preserve"> לגבי</w:t>
      </w:r>
      <w:r>
        <w:rPr>
          <w:rFonts w:ascii="Arial" w:hAnsi="Arial" w:hint="cs"/>
          <w:sz w:val="26"/>
          <w:szCs w:val="26"/>
          <w:rtl/>
        </w:rPr>
        <w:t xml:space="preserve"> </w:t>
      </w:r>
      <w:r w:rsidRPr="00933103">
        <w:rPr>
          <w:rFonts w:ascii="Arial" w:hAnsi="Arial"/>
          <w:sz w:val="26"/>
          <w:szCs w:val="26"/>
          <w:rtl/>
        </w:rPr>
        <w:t xml:space="preserve">עבירות הסמים מדובר בעבירות שבוצעו </w:t>
      </w:r>
      <w:r w:rsidRPr="00933103">
        <w:rPr>
          <w:rFonts w:ascii="Arial" w:hAnsi="Arial" w:hint="cs"/>
          <w:sz w:val="26"/>
          <w:szCs w:val="26"/>
          <w:rtl/>
        </w:rPr>
        <w:t>מתוך תכנון ותחכום, לאחר תיאום מוקדם ולאנשים זרים לנאשם</w:t>
      </w:r>
      <w:r w:rsidRPr="00933103">
        <w:rPr>
          <w:rFonts w:ascii="Arial" w:hAnsi="Arial"/>
          <w:sz w:val="26"/>
          <w:szCs w:val="26"/>
          <w:rtl/>
        </w:rPr>
        <w:t>; סחר בסמים גורם לנזק בהרחיבו את מעגל המשתמשים, ולנוכח היקף העסקאות ושיטתיותן, סביר להניח שאכן נגרם נזק לחברה. עם זאת, יש לזכור שמדובר בסם מסוג "קנביס", שנחשב לסם "קל" יותר בהשוואה לסמים אחרים ובעניינו קיימת מחלוקת ציבורית ואף קיימת רפורמה המתירה שימוש עצמ</w:t>
      </w:r>
      <w:r>
        <w:rPr>
          <w:rFonts w:ascii="Arial" w:hAnsi="Arial"/>
          <w:sz w:val="26"/>
          <w:szCs w:val="26"/>
          <w:rtl/>
        </w:rPr>
        <w:t>י בנסיבות מסוימות</w:t>
      </w:r>
      <w:r>
        <w:rPr>
          <w:rFonts w:ascii="Arial" w:hAnsi="Arial" w:hint="cs"/>
          <w:sz w:val="26"/>
          <w:szCs w:val="26"/>
          <w:rtl/>
        </w:rPr>
        <w:t>.</w:t>
      </w:r>
    </w:p>
    <w:p w14:paraId="23966457" w14:textId="77777777" w:rsidR="00241ADF" w:rsidRPr="008E51B6" w:rsidRDefault="00241ADF" w:rsidP="00241ADF">
      <w:pPr>
        <w:pStyle w:val="ListParagraph"/>
        <w:rPr>
          <w:rFonts w:ascii="Arial" w:hAnsi="Arial"/>
          <w:sz w:val="26"/>
          <w:szCs w:val="26"/>
          <w:rtl/>
        </w:rPr>
      </w:pPr>
    </w:p>
    <w:p w14:paraId="5B9423F6" w14:textId="77777777" w:rsidR="00241ADF" w:rsidRPr="00933103" w:rsidRDefault="00241ADF" w:rsidP="00241ADF">
      <w:pPr>
        <w:pStyle w:val="ListParagraph"/>
        <w:numPr>
          <w:ilvl w:val="0"/>
          <w:numId w:val="2"/>
        </w:numPr>
        <w:spacing w:line="360" w:lineRule="auto"/>
        <w:jc w:val="both"/>
        <w:rPr>
          <w:rFonts w:ascii="Arial" w:hAnsi="Arial"/>
          <w:sz w:val="26"/>
          <w:szCs w:val="26"/>
          <w:rtl/>
        </w:rPr>
      </w:pPr>
      <w:r w:rsidRPr="00933103">
        <w:rPr>
          <w:rFonts w:ascii="Arial" w:hAnsi="Arial"/>
          <w:b/>
          <w:bCs/>
          <w:sz w:val="26"/>
          <w:szCs w:val="26"/>
          <w:rtl/>
        </w:rPr>
        <w:t xml:space="preserve">מדיניות הענישה הנוהגת – כאמור, הכלל בעבירות של סחר בסמים הוא מאסר ממש. יחד עם זאת </w:t>
      </w:r>
      <w:r w:rsidRPr="00933103">
        <w:rPr>
          <w:rFonts w:ascii="Arial" w:hAnsi="Arial"/>
          <w:sz w:val="26"/>
          <w:szCs w:val="26"/>
          <w:rtl/>
        </w:rPr>
        <w:t>הפסיקה מגוונת כתוצאה משוני בנסיבות המעשה ובנסיבותיו של העושה, שכן כידוע, הפסיקה לעולם אינדיבידואלית</w:t>
      </w:r>
      <w:r w:rsidRPr="00933103">
        <w:rPr>
          <w:rFonts w:ascii="Arial" w:hAnsi="Arial" w:hint="cs"/>
          <w:sz w:val="26"/>
          <w:szCs w:val="26"/>
          <w:rtl/>
        </w:rPr>
        <w:t>:</w:t>
      </w:r>
    </w:p>
    <w:p w14:paraId="5D3483B6" w14:textId="77777777" w:rsidR="00241ADF" w:rsidRDefault="00241ADF" w:rsidP="00241ADF">
      <w:pPr>
        <w:pStyle w:val="ListParagraph"/>
        <w:numPr>
          <w:ilvl w:val="0"/>
          <w:numId w:val="1"/>
        </w:numPr>
        <w:spacing w:line="360" w:lineRule="auto"/>
        <w:jc w:val="both"/>
        <w:rPr>
          <w:rFonts w:ascii="Arial" w:hAnsi="Arial"/>
          <w:sz w:val="26"/>
          <w:szCs w:val="26"/>
        </w:rPr>
      </w:pPr>
      <w:r w:rsidRPr="00941DF7">
        <w:rPr>
          <w:rFonts w:ascii="Arial" w:hAnsi="Arial"/>
          <w:sz w:val="26"/>
          <w:szCs w:val="26"/>
          <w:rtl/>
        </w:rPr>
        <w:t>ב</w:t>
      </w:r>
      <w:hyperlink r:id="rId19" w:history="1">
        <w:r w:rsidR="00EC2436" w:rsidRPr="00EC2436">
          <w:rPr>
            <w:rFonts w:ascii="Arial" w:hAnsi="Arial"/>
            <w:color w:val="0000FF"/>
            <w:sz w:val="26"/>
            <w:szCs w:val="26"/>
            <w:u w:val="single"/>
            <w:rtl/>
          </w:rPr>
          <w:t>רע"פ 1370/17</w:t>
        </w:r>
      </w:hyperlink>
      <w:r w:rsidRPr="00941DF7">
        <w:rPr>
          <w:rFonts w:ascii="Arial" w:hAnsi="Arial"/>
          <w:sz w:val="26"/>
          <w:szCs w:val="26"/>
          <w:rtl/>
        </w:rPr>
        <w:t xml:space="preserve"> </w:t>
      </w:r>
      <w:r w:rsidRPr="00941DF7">
        <w:rPr>
          <w:rFonts w:ascii="Arial" w:hAnsi="Arial"/>
          <w:b/>
          <w:bCs/>
          <w:sz w:val="26"/>
          <w:szCs w:val="26"/>
          <w:rtl/>
        </w:rPr>
        <w:t>בן נעים</w:t>
      </w:r>
      <w:r w:rsidRPr="00941DF7">
        <w:rPr>
          <w:rFonts w:ascii="Arial" w:hAnsi="Arial"/>
          <w:sz w:val="26"/>
          <w:szCs w:val="26"/>
          <w:rtl/>
        </w:rPr>
        <w:t xml:space="preserve"> נ' </w:t>
      </w:r>
      <w:r w:rsidRPr="00941DF7">
        <w:rPr>
          <w:rFonts w:ascii="Arial" w:hAnsi="Arial"/>
          <w:b/>
          <w:bCs/>
          <w:sz w:val="26"/>
          <w:szCs w:val="26"/>
          <w:rtl/>
        </w:rPr>
        <w:t>מ"י</w:t>
      </w:r>
      <w:r w:rsidRPr="00941DF7">
        <w:rPr>
          <w:rFonts w:ascii="Arial" w:hAnsi="Arial"/>
          <w:sz w:val="26"/>
          <w:szCs w:val="26"/>
          <w:rtl/>
        </w:rPr>
        <w:t xml:space="preserve"> (מיום 20.4.2017) אושר מתחם שבין 12 ל-24 חודשי מאסר בנסיבות של ריבוי מקרי סחר בחשיש, אם כי בכמויות גדולות לרבות פלטה ושם נגזרו על נאשם שהואשם בעבירות נוספות 12 16 חודשי מאסר; </w:t>
      </w:r>
    </w:p>
    <w:p w14:paraId="42ADB3CF" w14:textId="77777777" w:rsidR="00241ADF" w:rsidRDefault="00241ADF" w:rsidP="00241ADF">
      <w:pPr>
        <w:pStyle w:val="ListParagraph"/>
        <w:numPr>
          <w:ilvl w:val="0"/>
          <w:numId w:val="1"/>
        </w:numPr>
        <w:spacing w:line="360" w:lineRule="auto"/>
        <w:jc w:val="both"/>
        <w:rPr>
          <w:rFonts w:ascii="Arial" w:hAnsi="Arial"/>
          <w:sz w:val="26"/>
          <w:szCs w:val="26"/>
        </w:rPr>
      </w:pPr>
      <w:r w:rsidRPr="00941DF7">
        <w:rPr>
          <w:rFonts w:ascii="Arial" w:hAnsi="Arial"/>
          <w:sz w:val="26"/>
          <w:szCs w:val="26"/>
          <w:rtl/>
        </w:rPr>
        <w:t>ב</w:t>
      </w:r>
      <w:hyperlink r:id="rId20" w:history="1">
        <w:r w:rsidR="00EC2436" w:rsidRPr="00EC2436">
          <w:rPr>
            <w:rFonts w:ascii="Arial" w:hAnsi="Arial"/>
            <w:color w:val="0000FF"/>
            <w:sz w:val="26"/>
            <w:szCs w:val="26"/>
            <w:u w:val="single"/>
            <w:rtl/>
          </w:rPr>
          <w:t>עפ"ג (חיפה) 53901-05-15</w:t>
        </w:r>
      </w:hyperlink>
      <w:r w:rsidRPr="00941DF7">
        <w:rPr>
          <w:rFonts w:ascii="Arial" w:hAnsi="Arial"/>
          <w:sz w:val="26"/>
          <w:szCs w:val="26"/>
          <w:rtl/>
        </w:rPr>
        <w:t xml:space="preserve"> </w:t>
      </w:r>
      <w:r w:rsidRPr="00941DF7">
        <w:rPr>
          <w:rFonts w:ascii="Arial" w:hAnsi="Arial"/>
          <w:b/>
          <w:bCs/>
          <w:sz w:val="26"/>
          <w:szCs w:val="26"/>
          <w:rtl/>
        </w:rPr>
        <w:t>איטח</w:t>
      </w:r>
      <w:r w:rsidRPr="00941DF7">
        <w:rPr>
          <w:rFonts w:ascii="Arial" w:hAnsi="Arial"/>
          <w:sz w:val="26"/>
          <w:szCs w:val="26"/>
          <w:rtl/>
        </w:rPr>
        <w:t xml:space="preserve"> נ' </w:t>
      </w:r>
      <w:r w:rsidRPr="00941DF7">
        <w:rPr>
          <w:rFonts w:ascii="Arial" w:hAnsi="Arial"/>
          <w:b/>
          <w:bCs/>
          <w:sz w:val="26"/>
          <w:szCs w:val="26"/>
          <w:rtl/>
        </w:rPr>
        <w:t>מ"</w:t>
      </w:r>
      <w:r w:rsidRPr="00941DF7">
        <w:rPr>
          <w:rFonts w:ascii="Arial" w:hAnsi="Arial"/>
          <w:sz w:val="26"/>
          <w:szCs w:val="26"/>
          <w:rtl/>
        </w:rPr>
        <w:t xml:space="preserve">י (מיום 20.7.2015) נגזרו על נאשמת 200 שעות של"ץ מאסר על תנאי ומבחן בנסיבות של סיוע ל-3 עבירות סחר במריחואנה, שם נקבע מתחם שבין 6 ל-18 חודשי מאסר; </w:t>
      </w:r>
    </w:p>
    <w:p w14:paraId="1CD7EC1C" w14:textId="77777777" w:rsidR="00241ADF" w:rsidRDefault="00241ADF" w:rsidP="00241ADF">
      <w:pPr>
        <w:pStyle w:val="ListParagraph"/>
        <w:numPr>
          <w:ilvl w:val="0"/>
          <w:numId w:val="1"/>
        </w:numPr>
        <w:spacing w:line="360" w:lineRule="auto"/>
        <w:jc w:val="both"/>
        <w:rPr>
          <w:rFonts w:ascii="Arial" w:hAnsi="Arial"/>
          <w:sz w:val="26"/>
          <w:szCs w:val="26"/>
        </w:rPr>
      </w:pPr>
      <w:r w:rsidRPr="00941DF7">
        <w:rPr>
          <w:rFonts w:ascii="Arial" w:hAnsi="Arial"/>
          <w:sz w:val="26"/>
          <w:szCs w:val="26"/>
          <w:rtl/>
        </w:rPr>
        <w:t>ב</w:t>
      </w:r>
      <w:hyperlink r:id="rId21" w:history="1">
        <w:r w:rsidR="00EC2436" w:rsidRPr="00EC2436">
          <w:rPr>
            <w:rFonts w:ascii="Arial" w:hAnsi="Arial"/>
            <w:color w:val="0000FF"/>
            <w:sz w:val="26"/>
            <w:szCs w:val="26"/>
            <w:u w:val="single"/>
            <w:rtl/>
          </w:rPr>
          <w:t>עפ"ג (י-ם) 10175-02-16</w:t>
        </w:r>
      </w:hyperlink>
      <w:r w:rsidRPr="00941DF7">
        <w:rPr>
          <w:rFonts w:ascii="Arial" w:hAnsi="Arial"/>
          <w:sz w:val="26"/>
          <w:szCs w:val="26"/>
          <w:rtl/>
        </w:rPr>
        <w:t xml:space="preserve"> </w:t>
      </w:r>
      <w:r w:rsidRPr="00941DF7">
        <w:rPr>
          <w:rFonts w:ascii="Arial" w:hAnsi="Arial"/>
          <w:b/>
          <w:bCs/>
          <w:sz w:val="26"/>
          <w:szCs w:val="26"/>
          <w:rtl/>
        </w:rPr>
        <w:t xml:space="preserve">מ"י </w:t>
      </w:r>
      <w:r w:rsidRPr="00941DF7">
        <w:rPr>
          <w:rFonts w:ascii="Arial" w:hAnsi="Arial"/>
          <w:sz w:val="26"/>
          <w:szCs w:val="26"/>
          <w:rtl/>
        </w:rPr>
        <w:t xml:space="preserve">נ' </w:t>
      </w:r>
      <w:r w:rsidRPr="00941DF7">
        <w:rPr>
          <w:rFonts w:ascii="Arial" w:hAnsi="Arial"/>
          <w:b/>
          <w:bCs/>
          <w:sz w:val="26"/>
          <w:szCs w:val="26"/>
          <w:rtl/>
        </w:rPr>
        <w:t>דייני</w:t>
      </w:r>
      <w:r w:rsidRPr="00941DF7">
        <w:rPr>
          <w:rFonts w:ascii="Arial" w:hAnsi="Arial"/>
          <w:sz w:val="26"/>
          <w:szCs w:val="26"/>
          <w:rtl/>
        </w:rPr>
        <w:t xml:space="preserve">  (מיום 14.6.2016) הואשם אדם בהדחת קטין לשימוש בסם, גידול והחזקה וסחר, כאשר דובר במספר מכירות של קנביס בכמויות קטנות, לרבות לקטינים. בעניין הסחר נקבע מתחם שבין 5 ל-15 ח' מאסר והתיק הסתיים במאסר לריצוי בעבודות שירות משיקולי שיקום.  </w:t>
      </w:r>
    </w:p>
    <w:p w14:paraId="2289B4D5" w14:textId="77777777" w:rsidR="00241ADF" w:rsidRPr="00941DF7" w:rsidRDefault="00241ADF" w:rsidP="00241ADF">
      <w:pPr>
        <w:pStyle w:val="ListParagraph"/>
        <w:spacing w:line="360" w:lineRule="auto"/>
        <w:jc w:val="both"/>
        <w:rPr>
          <w:rFonts w:ascii="Arial" w:hAnsi="Arial"/>
          <w:sz w:val="26"/>
          <w:szCs w:val="26"/>
          <w:rtl/>
        </w:rPr>
      </w:pPr>
    </w:p>
    <w:p w14:paraId="17EB0DDF" w14:textId="77777777" w:rsidR="00241ADF" w:rsidRPr="00933103" w:rsidRDefault="00241ADF" w:rsidP="00241ADF">
      <w:pPr>
        <w:pStyle w:val="ListParagraph"/>
        <w:numPr>
          <w:ilvl w:val="0"/>
          <w:numId w:val="2"/>
        </w:numPr>
        <w:spacing w:line="360" w:lineRule="auto"/>
        <w:jc w:val="both"/>
        <w:rPr>
          <w:rFonts w:ascii="Arial" w:hAnsi="Arial"/>
          <w:sz w:val="26"/>
          <w:szCs w:val="26"/>
          <w:rtl/>
        </w:rPr>
      </w:pPr>
      <w:r w:rsidRPr="00933103">
        <w:rPr>
          <w:rFonts w:ascii="Arial" w:hAnsi="Arial"/>
          <w:b/>
          <w:bCs/>
          <w:sz w:val="26"/>
          <w:szCs w:val="26"/>
          <w:rtl/>
        </w:rPr>
        <w:t>מתחם הענישה</w:t>
      </w:r>
      <w:r w:rsidRPr="00933103">
        <w:rPr>
          <w:rFonts w:ascii="Arial" w:hAnsi="Arial"/>
          <w:sz w:val="26"/>
          <w:szCs w:val="26"/>
          <w:rtl/>
        </w:rPr>
        <w:t xml:space="preserve"> </w:t>
      </w:r>
      <w:r>
        <w:rPr>
          <w:rFonts w:ascii="Arial" w:hAnsi="Arial"/>
          <w:sz w:val="26"/>
          <w:szCs w:val="26"/>
          <w:rtl/>
        </w:rPr>
        <w:t>–</w:t>
      </w:r>
      <w:r>
        <w:rPr>
          <w:rFonts w:ascii="Arial" w:hAnsi="Arial" w:hint="cs"/>
          <w:sz w:val="26"/>
          <w:szCs w:val="26"/>
          <w:rtl/>
        </w:rPr>
        <w:t xml:space="preserve"> </w:t>
      </w:r>
      <w:r w:rsidRPr="00933103">
        <w:rPr>
          <w:rFonts w:ascii="Arial" w:hAnsi="Arial"/>
          <w:sz w:val="26"/>
          <w:szCs w:val="26"/>
          <w:rtl/>
        </w:rPr>
        <w:t>בנסיבות</w:t>
      </w:r>
      <w:r>
        <w:rPr>
          <w:rFonts w:ascii="Arial" w:hAnsi="Arial" w:hint="cs"/>
          <w:sz w:val="26"/>
          <w:szCs w:val="26"/>
          <w:rtl/>
        </w:rPr>
        <w:t xml:space="preserve"> </w:t>
      </w:r>
      <w:r w:rsidRPr="00933103">
        <w:rPr>
          <w:rFonts w:ascii="Arial" w:hAnsi="Arial"/>
          <w:sz w:val="26"/>
          <w:szCs w:val="26"/>
          <w:rtl/>
        </w:rPr>
        <w:t xml:space="preserve"> המקרה שלפניי, מתחם הענישה צריך לעמוד על בין 6 ל-18 חודשי מאסר לרבות אפשרות ריצוי המאסר בדרך של עבודות שירות</w:t>
      </w:r>
      <w:r w:rsidRPr="00933103">
        <w:rPr>
          <w:rFonts w:ascii="Arial" w:hAnsi="Arial" w:hint="cs"/>
          <w:sz w:val="26"/>
          <w:szCs w:val="26"/>
          <w:rtl/>
        </w:rPr>
        <w:t>, לאחר שמצאתי כי</w:t>
      </w:r>
      <w:r>
        <w:rPr>
          <w:rFonts w:ascii="Arial" w:hAnsi="Arial" w:hint="cs"/>
          <w:sz w:val="26"/>
          <w:szCs w:val="26"/>
          <w:rtl/>
        </w:rPr>
        <w:t xml:space="preserve"> יש לקבוע מתחם אחד לכל האישומים, שכן נוכח הקרבה בזמן של המעשים ושיטת הפעולה, קיים קשר הדוק ביניהם. </w:t>
      </w:r>
    </w:p>
    <w:p w14:paraId="2F7FEA39" w14:textId="77777777" w:rsidR="00241ADF" w:rsidRPr="00DC6BA3" w:rsidRDefault="00241ADF" w:rsidP="00241ADF">
      <w:pPr>
        <w:spacing w:line="360" w:lineRule="auto"/>
        <w:jc w:val="both"/>
        <w:rPr>
          <w:rFonts w:ascii="Arial" w:hAnsi="Arial"/>
          <w:b/>
          <w:bCs/>
          <w:sz w:val="26"/>
          <w:szCs w:val="26"/>
          <w:rtl/>
        </w:rPr>
      </w:pPr>
    </w:p>
    <w:p w14:paraId="594947C0" w14:textId="77777777" w:rsidR="00241ADF" w:rsidRDefault="00241ADF" w:rsidP="00241ADF">
      <w:pPr>
        <w:spacing w:line="360" w:lineRule="auto"/>
        <w:jc w:val="both"/>
        <w:rPr>
          <w:rFonts w:ascii="Arial" w:hAnsi="Arial"/>
          <w:b/>
          <w:bCs/>
          <w:sz w:val="26"/>
          <w:szCs w:val="26"/>
          <w:u w:val="single"/>
          <w:rtl/>
        </w:rPr>
      </w:pPr>
    </w:p>
    <w:p w14:paraId="6B526FAF" w14:textId="77777777" w:rsidR="00241ADF" w:rsidRDefault="00241ADF" w:rsidP="00241ADF">
      <w:pPr>
        <w:spacing w:line="360" w:lineRule="auto"/>
        <w:jc w:val="both"/>
        <w:rPr>
          <w:rFonts w:ascii="Arial" w:hAnsi="Arial"/>
          <w:b/>
          <w:bCs/>
          <w:sz w:val="26"/>
          <w:szCs w:val="26"/>
          <w:u w:val="single"/>
          <w:rtl/>
        </w:rPr>
      </w:pPr>
    </w:p>
    <w:p w14:paraId="54936BBB" w14:textId="77777777" w:rsidR="00241ADF" w:rsidRDefault="00241ADF" w:rsidP="00241ADF">
      <w:pPr>
        <w:spacing w:line="360" w:lineRule="auto"/>
        <w:jc w:val="both"/>
        <w:rPr>
          <w:rFonts w:ascii="Arial" w:hAnsi="Arial"/>
          <w:b/>
          <w:bCs/>
          <w:sz w:val="26"/>
          <w:szCs w:val="26"/>
          <w:u w:val="single"/>
          <w:rtl/>
        </w:rPr>
      </w:pPr>
      <w:r w:rsidRPr="00DC6BA3">
        <w:rPr>
          <w:rFonts w:ascii="Arial" w:hAnsi="Arial"/>
          <w:b/>
          <w:bCs/>
          <w:sz w:val="26"/>
          <w:szCs w:val="26"/>
          <w:u w:val="single"/>
          <w:rtl/>
        </w:rPr>
        <w:t xml:space="preserve">נסיבות שאינן קשורות בביצוע העבירה </w:t>
      </w:r>
      <w:r>
        <w:rPr>
          <w:rFonts w:ascii="Arial" w:hAnsi="Arial" w:hint="cs"/>
          <w:b/>
          <w:bCs/>
          <w:sz w:val="26"/>
          <w:szCs w:val="26"/>
          <w:u w:val="single"/>
          <w:rtl/>
        </w:rPr>
        <w:t xml:space="preserve"> והחריגה ממנו לקולה</w:t>
      </w:r>
    </w:p>
    <w:p w14:paraId="3698D926" w14:textId="77777777" w:rsidR="00241ADF" w:rsidRPr="00933103" w:rsidRDefault="00241ADF" w:rsidP="00241ADF">
      <w:pPr>
        <w:pStyle w:val="ListParagraph"/>
        <w:numPr>
          <w:ilvl w:val="0"/>
          <w:numId w:val="2"/>
        </w:numPr>
        <w:spacing w:line="360" w:lineRule="auto"/>
        <w:jc w:val="both"/>
        <w:rPr>
          <w:rFonts w:ascii="Arial" w:hAnsi="Arial"/>
          <w:sz w:val="26"/>
          <w:szCs w:val="26"/>
          <w:rtl/>
        </w:rPr>
      </w:pPr>
      <w:r w:rsidRPr="00933103">
        <w:rPr>
          <w:rFonts w:ascii="Arial" w:hAnsi="Arial"/>
          <w:sz w:val="26"/>
          <w:szCs w:val="26"/>
          <w:rtl/>
        </w:rPr>
        <w:t>ניתן  לתת משקל לנסיבות הבאות שאינן קשורות בביצוע העבירה, במסגרת גזירת העונש בתוך המתחם: הנאשם צעיר ללא עבר פלילי, שעד להסתבכותו בתיק הנוכחי ניהל אורח חיים נורמטיבי, התמיד במסגר</w:t>
      </w:r>
      <w:r>
        <w:rPr>
          <w:rFonts w:ascii="Arial" w:hAnsi="Arial" w:hint="cs"/>
          <w:sz w:val="26"/>
          <w:szCs w:val="26"/>
          <w:rtl/>
        </w:rPr>
        <w:t>ו</w:t>
      </w:r>
      <w:r w:rsidRPr="00933103">
        <w:rPr>
          <w:rFonts w:ascii="Arial" w:hAnsi="Arial"/>
          <w:sz w:val="26"/>
          <w:szCs w:val="26"/>
          <w:rtl/>
        </w:rPr>
        <w:t xml:space="preserve">ת חינוך </w:t>
      </w:r>
      <w:r w:rsidRPr="00933103">
        <w:rPr>
          <w:rFonts w:ascii="Arial" w:hAnsi="Arial" w:hint="cs"/>
          <w:sz w:val="26"/>
          <w:szCs w:val="26"/>
          <w:rtl/>
        </w:rPr>
        <w:t>ושומר על יציבות תעסוקתית</w:t>
      </w:r>
      <w:r w:rsidRPr="00933103">
        <w:rPr>
          <w:rFonts w:ascii="Arial" w:hAnsi="Arial"/>
          <w:sz w:val="26"/>
          <w:szCs w:val="26"/>
          <w:rtl/>
        </w:rPr>
        <w:t>; משפחתו נורמטיבית ותומכת; הנאשם מעולם לא ריצה עונש מאסר ואך ברור שעונש שכזה יפגע בו בטווח הקצר והארוך כאחד; הנאשם שהה במעצר ושוחרר לתנאים מגבילים אותם לא הפר, ולכן הוקלו לאורך זמן, כאשר הוא משתף פעולה עם שירות המבחן באופן מלא וראוי לציון</w:t>
      </w:r>
      <w:r w:rsidRPr="00933103">
        <w:rPr>
          <w:rFonts w:ascii="Arial" w:hAnsi="Arial" w:hint="cs"/>
          <w:sz w:val="26"/>
          <w:szCs w:val="26"/>
          <w:rtl/>
        </w:rPr>
        <w:t>.</w:t>
      </w:r>
      <w:r>
        <w:rPr>
          <w:rFonts w:ascii="Arial" w:hAnsi="Arial" w:hint="cs"/>
          <w:sz w:val="26"/>
          <w:szCs w:val="26"/>
          <w:rtl/>
        </w:rPr>
        <w:t xml:space="preserve"> בשנה האחרונה עבר הנאשם תאונת דרכים קשה מאוד לרבות פגיעה ראש ופגיעה אורגנית שיש להן השלכות על מצבו הפיזי והנפשי כעולה אף מחוות דעת הממונה על עבודות השירות.</w:t>
      </w:r>
    </w:p>
    <w:p w14:paraId="20CF5615" w14:textId="77777777" w:rsidR="00241ADF" w:rsidRDefault="00241ADF" w:rsidP="00241ADF">
      <w:pPr>
        <w:spacing w:line="360" w:lineRule="auto"/>
        <w:jc w:val="both"/>
        <w:rPr>
          <w:rFonts w:ascii="Arial" w:hAnsi="Arial"/>
          <w:sz w:val="26"/>
          <w:szCs w:val="26"/>
          <w:rtl/>
        </w:rPr>
      </w:pPr>
    </w:p>
    <w:p w14:paraId="4D261DD9" w14:textId="77777777" w:rsidR="00241ADF" w:rsidRDefault="00241ADF" w:rsidP="00241ADF">
      <w:pPr>
        <w:pStyle w:val="ListParagraph"/>
        <w:numPr>
          <w:ilvl w:val="0"/>
          <w:numId w:val="2"/>
        </w:numPr>
        <w:spacing w:line="360" w:lineRule="auto"/>
        <w:jc w:val="both"/>
        <w:rPr>
          <w:rFonts w:ascii="Arial" w:hAnsi="Arial"/>
          <w:sz w:val="26"/>
          <w:szCs w:val="26"/>
        </w:rPr>
      </w:pPr>
      <w:r>
        <w:rPr>
          <w:rFonts w:ascii="Arial" w:hAnsi="Arial" w:hint="cs"/>
          <w:sz w:val="26"/>
          <w:szCs w:val="26"/>
          <w:rtl/>
        </w:rPr>
        <w:t xml:space="preserve">בעניינו מתקיימים שני טעמים המאפשרים חריגה מן המתחם: </w:t>
      </w:r>
    </w:p>
    <w:p w14:paraId="4A53ECD7" w14:textId="77777777" w:rsidR="00241ADF" w:rsidRPr="008E51B6" w:rsidRDefault="00241ADF" w:rsidP="00241ADF">
      <w:pPr>
        <w:pStyle w:val="ListParagraph"/>
        <w:rPr>
          <w:rFonts w:ascii="Arial" w:hAnsi="Arial"/>
          <w:sz w:val="26"/>
          <w:szCs w:val="26"/>
          <w:rtl/>
        </w:rPr>
      </w:pPr>
    </w:p>
    <w:p w14:paraId="10B1DA3C" w14:textId="77777777" w:rsidR="00241ADF" w:rsidRDefault="00241ADF" w:rsidP="00241ADF">
      <w:pPr>
        <w:pStyle w:val="ListParagraph"/>
        <w:numPr>
          <w:ilvl w:val="0"/>
          <w:numId w:val="6"/>
        </w:numPr>
        <w:spacing w:line="360" w:lineRule="auto"/>
        <w:jc w:val="both"/>
        <w:rPr>
          <w:rFonts w:ascii="Arial" w:hAnsi="Arial"/>
          <w:sz w:val="26"/>
          <w:szCs w:val="26"/>
        </w:rPr>
      </w:pPr>
      <w:r w:rsidRPr="006B43BB">
        <w:rPr>
          <w:rFonts w:ascii="Arial" w:hAnsi="Arial" w:hint="cs"/>
          <w:b/>
          <w:bCs/>
          <w:sz w:val="26"/>
          <w:szCs w:val="26"/>
          <w:rtl/>
        </w:rPr>
        <w:t>הטעם הראשון</w:t>
      </w:r>
      <w:r>
        <w:rPr>
          <w:rFonts w:ascii="Arial" w:hAnsi="Arial" w:hint="cs"/>
          <w:sz w:val="26"/>
          <w:szCs w:val="26"/>
          <w:rtl/>
        </w:rPr>
        <w:t xml:space="preserve"> הוא חריגה מטעמי שיקום. לטעמי מידת שיתוף הפעולה של הנאשם לאורך ההליך הייתה טובה, והיא המשיכה גם לאחר שהנאשם עבר תהליכי שיקום לאחר התאונה הקשה שעבר. בהינתן היעדר עבר פלילי, תקופת מעצר ממש שבה היה נתון הנאשם וכן היעדר הפרות והיעדר פתיחת תיקים חדשים, הדבר מלמד כי התנהגות הנאשם בתיק זה אינה מאפיינת אותו, והוא נמצא במגמה חיובית שיש להאמין כי יתמיד בה, גם נוכח דבריו כי הוא עתיד להתחתן בקיץ הקרוב.</w:t>
      </w:r>
    </w:p>
    <w:p w14:paraId="120DF961" w14:textId="77777777" w:rsidR="00241ADF" w:rsidRPr="008E51B6" w:rsidRDefault="00241ADF" w:rsidP="00241ADF">
      <w:pPr>
        <w:pStyle w:val="ListParagraph"/>
        <w:numPr>
          <w:ilvl w:val="0"/>
          <w:numId w:val="6"/>
        </w:numPr>
        <w:spacing w:line="360" w:lineRule="auto"/>
        <w:jc w:val="both"/>
        <w:rPr>
          <w:rFonts w:ascii="Arial" w:hAnsi="Arial"/>
          <w:sz w:val="26"/>
          <w:szCs w:val="26"/>
          <w:rtl/>
        </w:rPr>
      </w:pPr>
      <w:r w:rsidRPr="006B43BB">
        <w:rPr>
          <w:rFonts w:ascii="Arial" w:hAnsi="Arial" w:hint="cs"/>
          <w:b/>
          <w:bCs/>
          <w:sz w:val="26"/>
          <w:szCs w:val="26"/>
          <w:rtl/>
        </w:rPr>
        <w:t>הטעם השני</w:t>
      </w:r>
      <w:r>
        <w:rPr>
          <w:rFonts w:ascii="Arial" w:hAnsi="Arial" w:hint="cs"/>
          <w:sz w:val="26"/>
          <w:szCs w:val="26"/>
          <w:rtl/>
        </w:rPr>
        <w:t xml:space="preserve"> נובע מטעמים של צדק. הנאשם בנסיבותיו הנוכחיות שאינן תלויות בו, יתקשה עד מאוד לרצות מאסר בעבודות שירות, ואין לומר כי הפועל היוצא מכך הוא בהכרח הטלת מאסר בפועל. הדבר יהיה בלתי מדתי ובלתי צודק בנסיבות העניין נוכח נסיבותיו הרפואיות של הנאשם. לכן במקרה זה יש לאמץ גם את הפתרון שאומץ ב</w:t>
      </w:r>
      <w:hyperlink r:id="rId22" w:history="1">
        <w:r w:rsidR="00EC2436" w:rsidRPr="00EC2436">
          <w:rPr>
            <w:rFonts w:ascii="Arial" w:hAnsi="Arial"/>
            <w:color w:val="0000FF"/>
            <w:sz w:val="26"/>
            <w:szCs w:val="26"/>
            <w:u w:val="single"/>
            <w:rtl/>
          </w:rPr>
          <w:t>ע"פ 4456/14</w:t>
        </w:r>
      </w:hyperlink>
      <w:r>
        <w:rPr>
          <w:rFonts w:ascii="Arial" w:hAnsi="Arial" w:hint="cs"/>
          <w:sz w:val="26"/>
          <w:szCs w:val="26"/>
          <w:rtl/>
        </w:rPr>
        <w:t xml:space="preserve"> </w:t>
      </w:r>
      <w:r w:rsidRPr="00631469">
        <w:rPr>
          <w:rFonts w:ascii="Arial" w:hAnsi="Arial" w:hint="cs"/>
          <w:b/>
          <w:bCs/>
          <w:sz w:val="26"/>
          <w:szCs w:val="26"/>
          <w:rtl/>
        </w:rPr>
        <w:t>קלנר ואח' נ' מ"י</w:t>
      </w:r>
      <w:r>
        <w:rPr>
          <w:rFonts w:ascii="Arial" w:hAnsi="Arial" w:hint="cs"/>
          <w:sz w:val="26"/>
          <w:szCs w:val="26"/>
          <w:rtl/>
        </w:rPr>
        <w:t xml:space="preserve"> (מיום 29.12.2015). </w:t>
      </w:r>
    </w:p>
    <w:p w14:paraId="3D24BFF3" w14:textId="77777777" w:rsidR="00241ADF" w:rsidRDefault="00241ADF" w:rsidP="00241ADF">
      <w:pPr>
        <w:spacing w:line="360" w:lineRule="auto"/>
        <w:jc w:val="both"/>
        <w:rPr>
          <w:rFonts w:ascii="Arial" w:hAnsi="Arial"/>
          <w:b/>
          <w:bCs/>
          <w:sz w:val="26"/>
          <w:szCs w:val="26"/>
          <w:u w:val="single"/>
          <w:rtl/>
        </w:rPr>
      </w:pPr>
    </w:p>
    <w:p w14:paraId="45E4B295" w14:textId="77777777" w:rsidR="00241ADF" w:rsidRPr="00A1477E" w:rsidRDefault="00241ADF" w:rsidP="00241ADF">
      <w:pPr>
        <w:pStyle w:val="ListParagraph"/>
        <w:numPr>
          <w:ilvl w:val="0"/>
          <w:numId w:val="2"/>
        </w:numPr>
        <w:spacing w:line="360" w:lineRule="auto"/>
        <w:jc w:val="both"/>
        <w:rPr>
          <w:rFonts w:ascii="Arial" w:hAnsi="Arial"/>
          <w:sz w:val="26"/>
          <w:szCs w:val="26"/>
          <w:rtl/>
        </w:rPr>
      </w:pPr>
      <w:r w:rsidRPr="00A1477E">
        <w:rPr>
          <w:rFonts w:ascii="Arial" w:hAnsi="Arial" w:hint="cs"/>
          <w:sz w:val="26"/>
          <w:szCs w:val="26"/>
          <w:rtl/>
        </w:rPr>
        <w:t>ויודגש, כי אלמלא כפל הטעמים עליהם עמדתי, היה מקום להטיל על הנאשם מאסר לריצוי בעבודות שירות לתקופה ארוכה, בהתאם לעקרון ההלימה. אלא שצירוף הנסיבות הוביל אותי למסקנה אחרת.</w:t>
      </w:r>
    </w:p>
    <w:p w14:paraId="71A3C7C8" w14:textId="77777777" w:rsidR="00241ADF" w:rsidRDefault="00241ADF" w:rsidP="00241ADF">
      <w:pPr>
        <w:spacing w:line="360" w:lineRule="auto"/>
        <w:jc w:val="both"/>
        <w:rPr>
          <w:rFonts w:ascii="Arial" w:hAnsi="Arial"/>
          <w:b/>
          <w:bCs/>
          <w:sz w:val="26"/>
          <w:szCs w:val="26"/>
          <w:u w:val="single"/>
          <w:rtl/>
        </w:rPr>
      </w:pPr>
    </w:p>
    <w:p w14:paraId="333432B3" w14:textId="77777777" w:rsidR="00241ADF" w:rsidRPr="00933103" w:rsidRDefault="00241ADF" w:rsidP="00241ADF">
      <w:pPr>
        <w:spacing w:line="360" w:lineRule="auto"/>
        <w:jc w:val="both"/>
        <w:rPr>
          <w:rFonts w:ascii="Arial" w:hAnsi="Arial"/>
          <w:b/>
          <w:bCs/>
          <w:sz w:val="26"/>
          <w:szCs w:val="26"/>
          <w:u w:val="single"/>
          <w:rtl/>
        </w:rPr>
      </w:pPr>
      <w:r w:rsidRPr="00933103">
        <w:rPr>
          <w:rFonts w:ascii="Arial" w:hAnsi="Arial" w:hint="cs"/>
          <w:b/>
          <w:bCs/>
          <w:sz w:val="26"/>
          <w:szCs w:val="26"/>
          <w:u w:val="single"/>
          <w:rtl/>
        </w:rPr>
        <w:t>גזירת העונש</w:t>
      </w:r>
    </w:p>
    <w:p w14:paraId="7489DE5B" w14:textId="77777777" w:rsidR="00241ADF" w:rsidRPr="00A1477E" w:rsidRDefault="00241ADF" w:rsidP="00241ADF">
      <w:pPr>
        <w:pStyle w:val="ListParagraph"/>
        <w:numPr>
          <w:ilvl w:val="0"/>
          <w:numId w:val="2"/>
        </w:numPr>
        <w:spacing w:line="360" w:lineRule="auto"/>
        <w:jc w:val="both"/>
        <w:rPr>
          <w:rFonts w:ascii="Arial" w:hAnsi="Arial"/>
          <w:sz w:val="26"/>
          <w:szCs w:val="26"/>
        </w:rPr>
      </w:pPr>
      <w:r w:rsidRPr="00A1477E">
        <w:rPr>
          <w:rFonts w:ascii="Arial" w:hAnsi="Arial"/>
          <w:sz w:val="26"/>
          <w:szCs w:val="26"/>
          <w:rtl/>
        </w:rPr>
        <w:t>נוכח כל האמור, גוזר על הנאשם את העונשים הבאים:</w:t>
      </w:r>
    </w:p>
    <w:p w14:paraId="68244763" w14:textId="77777777" w:rsidR="00241ADF" w:rsidRDefault="00241ADF" w:rsidP="00241ADF">
      <w:pPr>
        <w:pStyle w:val="ListParagraph"/>
        <w:numPr>
          <w:ilvl w:val="0"/>
          <w:numId w:val="4"/>
        </w:numPr>
        <w:spacing w:line="360" w:lineRule="auto"/>
        <w:jc w:val="both"/>
        <w:rPr>
          <w:rFonts w:ascii="Arial" w:hAnsi="Arial"/>
          <w:sz w:val="26"/>
          <w:szCs w:val="26"/>
        </w:rPr>
      </w:pPr>
      <w:r>
        <w:rPr>
          <w:rFonts w:ascii="Arial" w:hAnsi="Arial" w:hint="cs"/>
          <w:sz w:val="26"/>
          <w:szCs w:val="26"/>
          <w:rtl/>
        </w:rPr>
        <w:t>של"ץ בהיקף 350 שעות לפי תוכנית שיגיש שירות המבחן עד ליום 1.4.24. הנאשם הוזהר כי אם לא יבצע כראוי את השל"ץ ניתן יהיה להמירו בכל עונש אחר;</w:t>
      </w:r>
    </w:p>
    <w:p w14:paraId="52D38465" w14:textId="77777777" w:rsidR="00241ADF" w:rsidRDefault="00241ADF" w:rsidP="00241ADF">
      <w:pPr>
        <w:pStyle w:val="ListParagraph"/>
        <w:numPr>
          <w:ilvl w:val="0"/>
          <w:numId w:val="4"/>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6 </w:t>
      </w:r>
      <w:r>
        <w:rPr>
          <w:rFonts w:ascii="Arial" w:hAnsi="Arial"/>
          <w:sz w:val="26"/>
          <w:szCs w:val="26"/>
          <w:rtl/>
        </w:rPr>
        <w:t xml:space="preserve">חודשים, שלא יעבור הנאשם </w:t>
      </w:r>
      <w:r>
        <w:rPr>
          <w:rFonts w:ascii="Arial" w:hAnsi="Arial" w:hint="cs"/>
          <w:sz w:val="26"/>
          <w:szCs w:val="26"/>
          <w:rtl/>
        </w:rPr>
        <w:t xml:space="preserve">כל עבירת פשע לפי פקודת הסמים </w:t>
      </w:r>
      <w:r>
        <w:rPr>
          <w:rFonts w:ascii="Arial" w:hAnsi="Arial"/>
          <w:sz w:val="26"/>
          <w:szCs w:val="26"/>
          <w:rtl/>
        </w:rPr>
        <w:t xml:space="preserve">בתוך </w:t>
      </w:r>
      <w:r>
        <w:rPr>
          <w:rFonts w:ascii="Arial" w:hAnsi="Arial" w:hint="cs"/>
          <w:sz w:val="26"/>
          <w:szCs w:val="26"/>
          <w:rtl/>
        </w:rPr>
        <w:t xml:space="preserve">3 </w:t>
      </w:r>
      <w:r>
        <w:rPr>
          <w:rFonts w:ascii="Arial" w:hAnsi="Arial"/>
          <w:sz w:val="26"/>
          <w:szCs w:val="26"/>
          <w:rtl/>
        </w:rPr>
        <w:t>שנים מהיום;</w:t>
      </w:r>
    </w:p>
    <w:p w14:paraId="178AF1F5" w14:textId="77777777" w:rsidR="00241ADF" w:rsidRDefault="00241ADF" w:rsidP="00241ADF">
      <w:pPr>
        <w:pStyle w:val="ListParagraph"/>
        <w:numPr>
          <w:ilvl w:val="0"/>
          <w:numId w:val="4"/>
        </w:numPr>
        <w:spacing w:line="360" w:lineRule="auto"/>
        <w:jc w:val="both"/>
        <w:rPr>
          <w:rFonts w:ascii="Arial" w:hAnsi="Arial"/>
          <w:sz w:val="26"/>
          <w:szCs w:val="26"/>
        </w:rPr>
      </w:pPr>
      <w:r>
        <w:rPr>
          <w:rFonts w:ascii="Arial" w:hAnsi="Arial" w:hint="cs"/>
          <w:sz w:val="26"/>
          <w:szCs w:val="26"/>
          <w:rtl/>
        </w:rPr>
        <w:t>פסילה על-תנאי מלקבל או מלהחזיק ברישיון נהיגה של 4 חודשים, שלא יעבור הנאשם בתוך שנתיים מהיום כל עבירת פשע לפי פקודת הסמים;</w:t>
      </w:r>
    </w:p>
    <w:p w14:paraId="4871009F" w14:textId="77777777" w:rsidR="00241ADF" w:rsidRDefault="00241ADF" w:rsidP="00241ADF">
      <w:pPr>
        <w:pStyle w:val="ListParagraph"/>
        <w:numPr>
          <w:ilvl w:val="0"/>
          <w:numId w:val="4"/>
        </w:numPr>
        <w:spacing w:line="360" w:lineRule="auto"/>
        <w:jc w:val="both"/>
        <w:rPr>
          <w:rFonts w:ascii="Arial" w:hAnsi="Arial"/>
          <w:sz w:val="26"/>
          <w:szCs w:val="26"/>
        </w:rPr>
      </w:pPr>
      <w:r>
        <w:rPr>
          <w:rFonts w:ascii="Arial" w:hAnsi="Arial" w:hint="cs"/>
          <w:sz w:val="26"/>
          <w:szCs w:val="26"/>
          <w:rtl/>
        </w:rPr>
        <w:t>קנס בסך 7,000 ₪ או חודשיים מאסר תמורתו אם לא ישולם. הקנס ישולם עד ליום 1.5.2024;</w:t>
      </w:r>
    </w:p>
    <w:p w14:paraId="3231AB94" w14:textId="77777777" w:rsidR="00241ADF" w:rsidRDefault="00241ADF" w:rsidP="00241ADF">
      <w:pPr>
        <w:pStyle w:val="ListParagraph"/>
        <w:numPr>
          <w:ilvl w:val="0"/>
          <w:numId w:val="4"/>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כל עבירת סמים מסוג פשע בתוך שנתיים מהיום;</w:t>
      </w:r>
    </w:p>
    <w:p w14:paraId="3690221C" w14:textId="77777777" w:rsidR="00241ADF" w:rsidRDefault="00241ADF" w:rsidP="00241ADF">
      <w:pPr>
        <w:pStyle w:val="ListParagraph"/>
        <w:numPr>
          <w:ilvl w:val="0"/>
          <w:numId w:val="4"/>
        </w:numPr>
        <w:spacing w:line="360" w:lineRule="auto"/>
        <w:jc w:val="both"/>
        <w:rPr>
          <w:rFonts w:ascii="Arial" w:hAnsi="Arial"/>
          <w:sz w:val="26"/>
          <w:szCs w:val="26"/>
        </w:rPr>
      </w:pPr>
      <w:r>
        <w:rPr>
          <w:rFonts w:ascii="Arial" w:hAnsi="Arial" w:hint="cs"/>
          <w:sz w:val="26"/>
          <w:szCs w:val="26"/>
          <w:rtl/>
        </w:rPr>
        <w:t>צו מבחן למשך שנה מהיום;</w:t>
      </w:r>
    </w:p>
    <w:p w14:paraId="527961BD" w14:textId="77777777" w:rsidR="00241ADF" w:rsidRPr="00631469" w:rsidRDefault="00241ADF" w:rsidP="00241ADF">
      <w:pPr>
        <w:pStyle w:val="ListParagraph"/>
        <w:numPr>
          <w:ilvl w:val="0"/>
          <w:numId w:val="4"/>
        </w:numPr>
        <w:spacing w:line="360" w:lineRule="auto"/>
        <w:jc w:val="both"/>
        <w:rPr>
          <w:rFonts w:ascii="Arial" w:hAnsi="Arial"/>
          <w:sz w:val="26"/>
          <w:szCs w:val="26"/>
        </w:rPr>
      </w:pPr>
      <w:r>
        <w:rPr>
          <w:rFonts w:ascii="Arial" w:hAnsi="Arial" w:hint="cs"/>
          <w:sz w:val="26"/>
          <w:szCs w:val="26"/>
          <w:rtl/>
        </w:rPr>
        <w:t>מורה על השמדת הסמים והמוצגים.</w:t>
      </w:r>
    </w:p>
    <w:p w14:paraId="15A77A23" w14:textId="77777777" w:rsidR="00241ADF" w:rsidRPr="00A1477E" w:rsidRDefault="00241ADF" w:rsidP="00241ADF">
      <w:pPr>
        <w:pStyle w:val="ListParagraph"/>
        <w:spacing w:line="360" w:lineRule="auto"/>
        <w:jc w:val="both"/>
        <w:rPr>
          <w:rFonts w:ascii="Arial" w:hAnsi="Arial"/>
          <w:sz w:val="26"/>
          <w:szCs w:val="26"/>
          <w:rtl/>
        </w:rPr>
      </w:pPr>
    </w:p>
    <w:p w14:paraId="55054876" w14:textId="77777777" w:rsidR="00241ADF" w:rsidRDefault="00241ADF" w:rsidP="00241AD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6B9B61A" w14:textId="77777777" w:rsidR="00241ADF" w:rsidRDefault="00241ADF" w:rsidP="00241ADF">
      <w:pPr>
        <w:pStyle w:val="ListParagraph"/>
        <w:numPr>
          <w:ilvl w:val="0"/>
          <w:numId w:val="5"/>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23"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D8BD81D" w14:textId="77777777" w:rsidR="00241ADF" w:rsidRDefault="00241ADF" w:rsidP="00241ADF">
      <w:pPr>
        <w:pStyle w:val="ListParagraph"/>
        <w:numPr>
          <w:ilvl w:val="0"/>
          <w:numId w:val="5"/>
        </w:numPr>
        <w:spacing w:line="360" w:lineRule="auto"/>
        <w:jc w:val="both"/>
        <w:rPr>
          <w:rFonts w:ascii="David" w:hAnsi="David"/>
          <w:b/>
          <w:bCs/>
          <w:sz w:val="26"/>
          <w:szCs w:val="26"/>
          <w:rtl/>
        </w:rPr>
      </w:pPr>
      <w:r>
        <w:rPr>
          <w:rFonts w:ascii="David" w:hAnsi="David"/>
          <w:b/>
          <w:bCs/>
          <w:sz w:val="26"/>
          <w:szCs w:val="26"/>
          <w:rtl/>
        </w:rPr>
        <w:t>בטלפון: 35592* או 073-2055000</w:t>
      </w:r>
    </w:p>
    <w:p w14:paraId="58EEB41D" w14:textId="77777777" w:rsidR="00241ADF" w:rsidRDefault="00241ADF" w:rsidP="00241ADF">
      <w:pPr>
        <w:pStyle w:val="ListParagraph"/>
        <w:numPr>
          <w:ilvl w:val="0"/>
          <w:numId w:val="5"/>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5880A5BC" w14:textId="77777777" w:rsidR="00241ADF" w:rsidRDefault="00241ADF" w:rsidP="00241ADF">
      <w:pPr>
        <w:spacing w:line="360" w:lineRule="auto"/>
        <w:jc w:val="both"/>
        <w:rPr>
          <w:rFonts w:ascii="David" w:hAnsi="David"/>
          <w:b/>
          <w:bCs/>
          <w:sz w:val="26"/>
          <w:szCs w:val="26"/>
          <w:rtl/>
        </w:rPr>
      </w:pPr>
      <w:r>
        <w:rPr>
          <w:rFonts w:ascii="David" w:hAnsi="David"/>
          <w:b/>
          <w:bCs/>
          <w:sz w:val="26"/>
          <w:szCs w:val="26"/>
          <w:rtl/>
        </w:rPr>
        <w:t>לא יונפקו שוברי תשלום.</w:t>
      </w:r>
    </w:p>
    <w:p w14:paraId="5A62F809" w14:textId="77777777" w:rsidR="00241ADF" w:rsidRDefault="00241ADF" w:rsidP="00241ADF">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21D249D6" w14:textId="77777777" w:rsidR="00241ADF" w:rsidRDefault="00241ADF" w:rsidP="00241ADF">
      <w:pPr>
        <w:rPr>
          <w:sz w:val="26"/>
          <w:szCs w:val="26"/>
          <w:rtl/>
        </w:rPr>
      </w:pPr>
    </w:p>
    <w:p w14:paraId="1B67650B" w14:textId="77777777" w:rsidR="00241ADF" w:rsidRDefault="00241ADF" w:rsidP="00241ADF">
      <w:pPr>
        <w:rPr>
          <w:b/>
          <w:bCs/>
          <w:sz w:val="26"/>
          <w:szCs w:val="26"/>
        </w:rPr>
      </w:pPr>
      <w:r>
        <w:rPr>
          <w:b/>
          <w:bCs/>
          <w:sz w:val="26"/>
          <w:szCs w:val="26"/>
          <w:rtl/>
        </w:rPr>
        <w:t>יש לשלוח לשירות המבחן</w:t>
      </w:r>
      <w:r>
        <w:rPr>
          <w:rFonts w:hint="cs"/>
          <w:b/>
          <w:bCs/>
          <w:sz w:val="26"/>
          <w:szCs w:val="26"/>
          <w:rtl/>
        </w:rPr>
        <w:t xml:space="preserve"> ולממונה</w:t>
      </w:r>
      <w:r>
        <w:rPr>
          <w:b/>
          <w:bCs/>
          <w:sz w:val="26"/>
          <w:szCs w:val="26"/>
          <w:rtl/>
        </w:rPr>
        <w:t>.</w:t>
      </w:r>
    </w:p>
    <w:p w14:paraId="689C29B7" w14:textId="77777777" w:rsidR="00241ADF" w:rsidRPr="00EC2436" w:rsidRDefault="00EC2436" w:rsidP="00241ADF">
      <w:pPr>
        <w:rPr>
          <w:b/>
          <w:bCs/>
          <w:color w:val="FFFFFF"/>
          <w:sz w:val="2"/>
          <w:szCs w:val="2"/>
          <w:rtl/>
        </w:rPr>
      </w:pPr>
      <w:r w:rsidRPr="00EC2436">
        <w:rPr>
          <w:b/>
          <w:bCs/>
          <w:color w:val="FFFFFF"/>
          <w:sz w:val="2"/>
          <w:szCs w:val="2"/>
          <w:rtl/>
        </w:rPr>
        <w:t>5129371</w:t>
      </w:r>
    </w:p>
    <w:p w14:paraId="49F93FB3" w14:textId="77777777" w:rsidR="00241ADF" w:rsidRDefault="00EC2436" w:rsidP="00241ADF">
      <w:pPr>
        <w:rPr>
          <w:b/>
          <w:bCs/>
          <w:sz w:val="26"/>
          <w:szCs w:val="26"/>
          <w:rtl/>
        </w:rPr>
      </w:pPr>
      <w:r w:rsidRPr="00EC2436">
        <w:rPr>
          <w:b/>
          <w:bCs/>
          <w:color w:val="FFFFFF"/>
          <w:sz w:val="2"/>
          <w:szCs w:val="2"/>
          <w:rtl/>
        </w:rPr>
        <w:t>54678313</w:t>
      </w:r>
      <w:r w:rsidR="00241ADF">
        <w:rPr>
          <w:b/>
          <w:bCs/>
          <w:sz w:val="26"/>
          <w:szCs w:val="26"/>
          <w:rtl/>
        </w:rPr>
        <w:t>זכות ערעור כחוק.</w:t>
      </w:r>
    </w:p>
    <w:p w14:paraId="7A0D9748" w14:textId="77777777" w:rsidR="00241ADF" w:rsidRPr="00E07B3E" w:rsidRDefault="00241ADF" w:rsidP="00241ADF"/>
    <w:p w14:paraId="76719C84" w14:textId="77777777" w:rsidR="00241ADF" w:rsidRPr="000F2247" w:rsidRDefault="00EC2436" w:rsidP="00241ADF">
      <w:pPr>
        <w:rPr>
          <w:rFonts w:ascii="Arial" w:hAnsi="Arial"/>
          <w:b/>
          <w:bCs/>
          <w:sz w:val="26"/>
          <w:szCs w:val="26"/>
          <w:rtl/>
        </w:rPr>
      </w:pPr>
      <w:bookmarkStart w:id="8" w:name="Nitan"/>
      <w:r>
        <w:rPr>
          <w:rFonts w:ascii="Arial" w:hAnsi="Arial"/>
          <w:b/>
          <w:bCs/>
          <w:sz w:val="26"/>
          <w:szCs w:val="26"/>
          <w:rtl/>
        </w:rPr>
        <w:t xml:space="preserve">ניתן היום,  י"ב אדר א' תשפ"ד, 21 פברואר 2024, במעמד הצדדים. </w:t>
      </w:r>
      <w:bookmarkEnd w:id="8"/>
    </w:p>
    <w:p w14:paraId="7F8E5B6D" w14:textId="77777777" w:rsidR="00241ADF" w:rsidRPr="000F2247" w:rsidRDefault="00241ADF" w:rsidP="00EC243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3565EF5" w14:textId="77777777" w:rsidR="00241ADF" w:rsidRPr="000F2247" w:rsidRDefault="00241ADF" w:rsidP="00241ADF">
      <w:pPr>
        <w:jc w:val="center"/>
        <w:rPr>
          <w:rFonts w:ascii="Arial" w:hAnsi="Arial"/>
          <w:b/>
          <w:bCs/>
          <w:sz w:val="26"/>
          <w:szCs w:val="26"/>
          <w:rtl/>
        </w:rPr>
      </w:pPr>
    </w:p>
    <w:p w14:paraId="7385A84E" w14:textId="77777777" w:rsidR="00102F3C" w:rsidRPr="00EC2436" w:rsidRDefault="00102F3C" w:rsidP="00EC2436">
      <w:pPr>
        <w:keepNext/>
        <w:rPr>
          <w:rFonts w:ascii="David" w:hAnsi="David"/>
          <w:color w:val="000000"/>
          <w:sz w:val="22"/>
          <w:szCs w:val="22"/>
          <w:rtl/>
        </w:rPr>
      </w:pPr>
    </w:p>
    <w:p w14:paraId="6996A73A" w14:textId="77777777" w:rsidR="00EC2436" w:rsidRPr="00EC2436" w:rsidRDefault="00EC2436" w:rsidP="00EC2436">
      <w:pPr>
        <w:keepNext/>
        <w:rPr>
          <w:rFonts w:ascii="David" w:hAnsi="David"/>
          <w:color w:val="000000"/>
          <w:sz w:val="22"/>
          <w:szCs w:val="22"/>
          <w:rtl/>
        </w:rPr>
      </w:pPr>
      <w:r w:rsidRPr="00EC2436">
        <w:rPr>
          <w:rFonts w:ascii="David" w:hAnsi="David"/>
          <w:color w:val="000000"/>
          <w:sz w:val="22"/>
          <w:szCs w:val="22"/>
          <w:rtl/>
        </w:rPr>
        <w:t>דוד שאול גבאי ריכטר 54678313</w:t>
      </w:r>
    </w:p>
    <w:p w14:paraId="539A55AE" w14:textId="77777777" w:rsidR="00EC2436" w:rsidRDefault="00EC2436" w:rsidP="00EC2436">
      <w:r w:rsidRPr="00EC2436">
        <w:rPr>
          <w:color w:val="000000"/>
          <w:rtl/>
        </w:rPr>
        <w:t>נוסח מסמך זה כפוף לשינויי ניסוח ועריכה</w:t>
      </w:r>
    </w:p>
    <w:p w14:paraId="62D5C67B" w14:textId="77777777" w:rsidR="00EC2436" w:rsidRDefault="00EC2436" w:rsidP="00EC2436">
      <w:pPr>
        <w:rPr>
          <w:rtl/>
        </w:rPr>
      </w:pPr>
    </w:p>
    <w:p w14:paraId="3E2C4775" w14:textId="77777777" w:rsidR="00EC2436" w:rsidRDefault="00EC2436" w:rsidP="00EC2436">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43BE2720" w14:textId="77777777" w:rsidR="00EC2436" w:rsidRPr="00EC2436" w:rsidRDefault="00EC2436" w:rsidP="00EC2436">
      <w:pPr>
        <w:jc w:val="center"/>
        <w:rPr>
          <w:color w:val="0000FF"/>
          <w:u w:val="single"/>
        </w:rPr>
      </w:pPr>
    </w:p>
    <w:sectPr w:rsidR="00EC2436" w:rsidRPr="00EC2436" w:rsidSect="00EC2436">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3496D" w14:textId="77777777" w:rsidR="003F1B98" w:rsidRDefault="003F1B98" w:rsidP="00E92E52">
      <w:r>
        <w:separator/>
      </w:r>
    </w:p>
  </w:endnote>
  <w:endnote w:type="continuationSeparator" w:id="0">
    <w:p w14:paraId="152D8D5D" w14:textId="77777777" w:rsidR="003F1B98" w:rsidRDefault="003F1B98" w:rsidP="00E9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72F83" w14:textId="77777777" w:rsidR="00EC2436" w:rsidRDefault="00EC2436" w:rsidP="00EC243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C69E51" w14:textId="77777777" w:rsidR="00E21C2C" w:rsidRPr="00EC2436" w:rsidRDefault="00EC2436" w:rsidP="00EC243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480F" w14:textId="77777777" w:rsidR="00EC2436" w:rsidRDefault="00EC2436" w:rsidP="00EC243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564B">
      <w:rPr>
        <w:rFonts w:ascii="FrankRuehl" w:hAnsi="FrankRuehl" w:cs="FrankRuehl"/>
        <w:noProof/>
        <w:rtl/>
      </w:rPr>
      <w:t>1</w:t>
    </w:r>
    <w:r>
      <w:rPr>
        <w:rFonts w:ascii="FrankRuehl" w:hAnsi="FrankRuehl" w:cs="FrankRuehl"/>
        <w:rtl/>
      </w:rPr>
      <w:fldChar w:fldCharType="end"/>
    </w:r>
  </w:p>
  <w:p w14:paraId="78305EBB" w14:textId="77777777" w:rsidR="00E21C2C" w:rsidRPr="00EC2436" w:rsidRDefault="00EC2436" w:rsidP="00EC2436">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A485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3CA0B" w14:textId="77777777" w:rsidR="003F1B98" w:rsidRDefault="003F1B98" w:rsidP="00E92E52">
      <w:r>
        <w:separator/>
      </w:r>
    </w:p>
  </w:footnote>
  <w:footnote w:type="continuationSeparator" w:id="0">
    <w:p w14:paraId="63B5A7A8" w14:textId="77777777" w:rsidR="003F1B98" w:rsidRDefault="003F1B98" w:rsidP="00E9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EA44" w14:textId="77777777" w:rsidR="00EC2436" w:rsidRPr="00EC2436" w:rsidRDefault="00EC2436" w:rsidP="00EC243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39690-02-21</w:t>
    </w:r>
    <w:r>
      <w:rPr>
        <w:rFonts w:ascii="David" w:hAnsi="David"/>
        <w:color w:val="000000"/>
        <w:sz w:val="22"/>
        <w:szCs w:val="22"/>
        <w:rtl/>
      </w:rPr>
      <w:tab/>
      <w:t xml:space="preserve"> מדינת ישראל נ' אמיר מסלם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EF8C" w14:textId="77777777" w:rsidR="00EC2436" w:rsidRPr="00EC2436" w:rsidRDefault="00EC2436" w:rsidP="00EC2436">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39690-02-21</w:t>
    </w:r>
    <w:r>
      <w:rPr>
        <w:rFonts w:ascii="David" w:hAnsi="David"/>
        <w:color w:val="000000"/>
        <w:sz w:val="22"/>
        <w:szCs w:val="22"/>
        <w:rtl/>
      </w:rPr>
      <w:tab/>
      <w:t xml:space="preserve"> מדינת ישראל נ' אמיר מסלם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8C0B1A"/>
    <w:multiLevelType w:val="hybridMultilevel"/>
    <w:tmpl w:val="50F0913E"/>
    <w:lvl w:ilvl="0" w:tplc="D9C620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3F6B"/>
    <w:multiLevelType w:val="hybridMultilevel"/>
    <w:tmpl w:val="5944E652"/>
    <w:lvl w:ilvl="0" w:tplc="9086124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0C6F89"/>
    <w:multiLevelType w:val="hybridMultilevel"/>
    <w:tmpl w:val="F162F802"/>
    <w:lvl w:ilvl="0" w:tplc="A0C65D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46883"/>
    <w:multiLevelType w:val="hybridMultilevel"/>
    <w:tmpl w:val="1772ECB6"/>
    <w:lvl w:ilvl="0" w:tplc="982699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29456711">
    <w:abstractNumId w:val="3"/>
  </w:num>
  <w:num w:numId="2" w16cid:durableId="447048846">
    <w:abstractNumId w:val="2"/>
  </w:num>
  <w:num w:numId="3" w16cid:durableId="1267424123">
    <w:abstractNumId w:val="4"/>
  </w:num>
  <w:num w:numId="4" w16cid:durableId="10096053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6357831">
    <w:abstractNumId w:val="0"/>
  </w:num>
  <w:num w:numId="6" w16cid:durableId="28338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1ADF"/>
    <w:rsid w:val="00102F3C"/>
    <w:rsid w:val="001B5A3B"/>
    <w:rsid w:val="00241ADF"/>
    <w:rsid w:val="003367CC"/>
    <w:rsid w:val="003F1B98"/>
    <w:rsid w:val="00693DD2"/>
    <w:rsid w:val="00BC564B"/>
    <w:rsid w:val="00CA2CD5"/>
    <w:rsid w:val="00E21C2C"/>
    <w:rsid w:val="00E92E52"/>
    <w:rsid w:val="00EC24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D62ED6"/>
  <w15:chartTrackingRefBased/>
  <w15:docId w15:val="{DD719977-3131-49ED-ABDE-BD43A9C3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ADF"/>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41ADF"/>
    <w:pPr>
      <w:tabs>
        <w:tab w:val="center" w:pos="4153"/>
        <w:tab w:val="right" w:pos="8306"/>
      </w:tabs>
    </w:pPr>
  </w:style>
  <w:style w:type="character" w:customStyle="1" w:styleId="HeaderChar">
    <w:name w:val="Header Char"/>
    <w:link w:val="Header"/>
    <w:rsid w:val="00241ADF"/>
    <w:rPr>
      <w:rFonts w:ascii="Times New Roman" w:eastAsia="Times New Roman" w:hAnsi="Times New Roman" w:cs="David"/>
      <w:sz w:val="24"/>
      <w:szCs w:val="24"/>
    </w:rPr>
  </w:style>
  <w:style w:type="paragraph" w:styleId="Footer">
    <w:name w:val="footer"/>
    <w:basedOn w:val="Normal"/>
    <w:link w:val="FooterChar"/>
    <w:rsid w:val="00241ADF"/>
    <w:pPr>
      <w:tabs>
        <w:tab w:val="center" w:pos="4153"/>
        <w:tab w:val="right" w:pos="8306"/>
      </w:tabs>
    </w:pPr>
  </w:style>
  <w:style w:type="character" w:customStyle="1" w:styleId="FooterChar">
    <w:name w:val="Footer Char"/>
    <w:link w:val="Footer"/>
    <w:rsid w:val="00241ADF"/>
    <w:rPr>
      <w:rFonts w:ascii="Times New Roman" w:eastAsia="Times New Roman" w:hAnsi="Times New Roman" w:cs="David"/>
      <w:sz w:val="24"/>
      <w:szCs w:val="24"/>
    </w:rPr>
  </w:style>
  <w:style w:type="table" w:styleId="TableGrid">
    <w:name w:val="Table Grid"/>
    <w:basedOn w:val="TableNormal"/>
    <w:rsid w:val="00241A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41ADF"/>
  </w:style>
  <w:style w:type="paragraph" w:styleId="ListParagraph">
    <w:name w:val="List Paragraph"/>
    <w:basedOn w:val="Normal"/>
    <w:qFormat/>
    <w:rsid w:val="00241ADF"/>
    <w:pPr>
      <w:ind w:left="720"/>
      <w:contextualSpacing/>
    </w:pPr>
  </w:style>
  <w:style w:type="character" w:styleId="Hyperlink">
    <w:name w:val="Hyperlink"/>
    <w:rsid w:val="00241A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522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0936185"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39a" TargetMode="External"/><Relationship Id="rId17" Type="http://schemas.openxmlformats.org/officeDocument/2006/relationships/hyperlink" Target="http://www.nevo.co.il/law/5227/39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7.a.c" TargetMode="External"/><Relationship Id="rId20" Type="http://schemas.openxmlformats.org/officeDocument/2006/relationships/hyperlink" Target="http://www.nevo.co.il/case/203214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eca.gov.il" TargetMode="External"/><Relationship Id="rId28"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case/22240058"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701523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10202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7864368</vt:i4>
      </vt:variant>
      <vt:variant>
        <vt:i4>48</vt:i4>
      </vt:variant>
      <vt:variant>
        <vt:i4>0</vt:i4>
      </vt:variant>
      <vt:variant>
        <vt:i4>5</vt:i4>
      </vt:variant>
      <vt:variant>
        <vt:lpwstr>http://www.eca.gov.il/</vt:lpwstr>
      </vt:variant>
      <vt:variant>
        <vt:lpwstr/>
      </vt:variant>
      <vt:variant>
        <vt:i4>3604592</vt:i4>
      </vt:variant>
      <vt:variant>
        <vt:i4>45</vt:i4>
      </vt:variant>
      <vt:variant>
        <vt:i4>0</vt:i4>
      </vt:variant>
      <vt:variant>
        <vt:i4>5</vt:i4>
      </vt:variant>
      <vt:variant>
        <vt:lpwstr>http://www.nevo.co.il/case/17015235</vt:lpwstr>
      </vt:variant>
      <vt:variant>
        <vt:lpwstr/>
      </vt:variant>
      <vt:variant>
        <vt:i4>3473526</vt:i4>
      </vt:variant>
      <vt:variant>
        <vt:i4>42</vt:i4>
      </vt:variant>
      <vt:variant>
        <vt:i4>0</vt:i4>
      </vt:variant>
      <vt:variant>
        <vt:i4>5</vt:i4>
      </vt:variant>
      <vt:variant>
        <vt:lpwstr>http://www.nevo.co.il/case/20936185</vt:lpwstr>
      </vt:variant>
      <vt:variant>
        <vt:lpwstr/>
      </vt:variant>
      <vt:variant>
        <vt:i4>3473522</vt:i4>
      </vt:variant>
      <vt:variant>
        <vt:i4>39</vt:i4>
      </vt:variant>
      <vt:variant>
        <vt:i4>0</vt:i4>
      </vt:variant>
      <vt:variant>
        <vt:i4>5</vt:i4>
      </vt:variant>
      <vt:variant>
        <vt:lpwstr>http://www.nevo.co.il/case/20321459</vt:lpwstr>
      </vt:variant>
      <vt:variant>
        <vt:lpwstr/>
      </vt:variant>
      <vt:variant>
        <vt:i4>3473522</vt:i4>
      </vt:variant>
      <vt:variant>
        <vt:i4>36</vt:i4>
      </vt:variant>
      <vt:variant>
        <vt:i4>0</vt:i4>
      </vt:variant>
      <vt:variant>
        <vt:i4>5</vt:i4>
      </vt:variant>
      <vt:variant>
        <vt:lpwstr>http://www.nevo.co.il/case/22240058</vt:lpwstr>
      </vt:variant>
      <vt:variant>
        <vt:lpwstr/>
      </vt:variant>
      <vt:variant>
        <vt:i4>8323175</vt:i4>
      </vt:variant>
      <vt:variant>
        <vt:i4>33</vt:i4>
      </vt:variant>
      <vt:variant>
        <vt:i4>0</vt:i4>
      </vt:variant>
      <vt:variant>
        <vt:i4>5</vt:i4>
      </vt:variant>
      <vt:variant>
        <vt:lpwstr>http://www.nevo.co.il/law/5227</vt:lpwstr>
      </vt:variant>
      <vt:variant>
        <vt:lpwstr/>
      </vt:variant>
      <vt:variant>
        <vt:i4>2949233</vt:i4>
      </vt:variant>
      <vt:variant>
        <vt:i4>30</vt:i4>
      </vt:variant>
      <vt:variant>
        <vt:i4>0</vt:i4>
      </vt:variant>
      <vt:variant>
        <vt:i4>5</vt:i4>
      </vt:variant>
      <vt:variant>
        <vt:lpwstr>http://www.nevo.co.il/law/5227/39a</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2949233</vt:i4>
      </vt:variant>
      <vt:variant>
        <vt:i4>15</vt:i4>
      </vt:variant>
      <vt:variant>
        <vt:i4>0</vt:i4>
      </vt:variant>
      <vt:variant>
        <vt:i4>5</vt:i4>
      </vt:variant>
      <vt:variant>
        <vt:lpwstr>http://www.nevo.co.il/law/5227/39a</vt:lpwstr>
      </vt:variant>
      <vt:variant>
        <vt:lpwstr/>
      </vt:variant>
      <vt:variant>
        <vt:i4>8323175</vt:i4>
      </vt:variant>
      <vt:variant>
        <vt:i4>12</vt:i4>
      </vt:variant>
      <vt:variant>
        <vt:i4>0</vt:i4>
      </vt:variant>
      <vt:variant>
        <vt:i4>5</vt:i4>
      </vt:variant>
      <vt:variant>
        <vt:lpwstr>http://www.nevo.co.il/law/5227</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39690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אמיר מסלם</vt:lpwstr>
  </property>
  <property fmtid="{D5CDD505-2E9C-101B-9397-08002B2CF9AE}" pid="10" name="LAWYER">
    <vt:lpwstr>מיכאל עירוני;אביה בניסטי;תביעות ירושלים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20240221</vt:lpwstr>
  </property>
  <property fmtid="{D5CDD505-2E9C-101B-9397-08002B2CF9AE}" pid="14" name="TYPE_N_DATE">
    <vt:lpwstr>38020240221</vt:lpwstr>
  </property>
  <property fmtid="{D5CDD505-2E9C-101B-9397-08002B2CF9AE}" pid="15" name="CASESLISTTMP1">
    <vt:lpwstr>22240058;20321459;20936185;17015235</vt:lpwstr>
  </property>
  <property fmtid="{D5CDD505-2E9C-101B-9397-08002B2CF9AE}" pid="16" name="WORDNUMPAGES">
    <vt:lpwstr>7</vt:lpwstr>
  </property>
  <property fmtid="{D5CDD505-2E9C-101B-9397-08002B2CF9AE}" pid="17" name="TYPE_ABS_DATE">
    <vt:lpwstr>380020240221</vt:lpwstr>
  </property>
  <property fmtid="{D5CDD505-2E9C-101B-9397-08002B2CF9AE}" pid="18" name="ISABSTRACT">
    <vt:lpwstr>Y</vt:lpwstr>
  </property>
  <property fmtid="{D5CDD505-2E9C-101B-9397-08002B2CF9AE}" pid="19" name="LAWLISTTMP1">
    <vt:lpwstr>4216/013;019a;007.a.c</vt:lpwstr>
  </property>
  <property fmtid="{D5CDD505-2E9C-101B-9397-08002B2CF9AE}" pid="20" name="LAWLISTTMP2">
    <vt:lpwstr>5227/039a</vt:lpwstr>
  </property>
</Properties>
</file>