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2"/>
        <w:gridCol w:w="3667"/>
        <w:gridCol w:w="99"/>
      </w:tblGrid>
      <w:tr w:rsidR="00262E11" w:rsidRPr="00580225" w:rsidTr="0013268F">
        <w:trPr>
          <w:gridAfter w:val="1"/>
          <w:wAfter w:w="99" w:type="dxa"/>
          <w:trHeight w:hRule="exact" w:val="418"/>
          <w:jc w:val="center"/>
        </w:trPr>
        <w:tc>
          <w:tcPr>
            <w:tcW w:w="8721" w:type="dxa"/>
            <w:gridSpan w:val="4"/>
          </w:tcPr>
          <w:p w:rsidR="00262E11" w:rsidRPr="00580225" w:rsidRDefault="00262E11" w:rsidP="00997862">
            <w:pPr>
              <w:pStyle w:val="Header"/>
              <w:jc w:val="center"/>
              <w:rPr>
                <w:rFonts w:ascii="Tahoma" w:hAnsi="Tahoma" w:cs="Tahoma"/>
                <w:color w:val="000080"/>
                <w:rtl/>
              </w:rPr>
            </w:pPr>
            <w:r w:rsidRPr="00580225">
              <w:rPr>
                <w:rFonts w:ascii="Tahoma" w:hAnsi="Tahoma" w:cs="Tahoma"/>
                <w:b/>
                <w:bCs/>
                <w:color w:val="000080"/>
                <w:rtl/>
              </w:rPr>
              <w:t>בית משפט השלום ברמלה</w:t>
            </w:r>
          </w:p>
        </w:tc>
      </w:tr>
      <w:tr w:rsidR="00262E11" w:rsidRPr="00580225" w:rsidTr="0013268F">
        <w:trPr>
          <w:gridAfter w:val="1"/>
          <w:wAfter w:w="99" w:type="dxa"/>
          <w:trHeight w:val="337"/>
          <w:jc w:val="center"/>
        </w:trPr>
        <w:tc>
          <w:tcPr>
            <w:tcW w:w="5054" w:type="dxa"/>
            <w:gridSpan w:val="3"/>
          </w:tcPr>
          <w:p w:rsidR="00262E11" w:rsidRPr="00580225" w:rsidRDefault="00262E11" w:rsidP="00997862">
            <w:pPr>
              <w:rPr>
                <w:rFonts w:cs="FrankRuehl"/>
                <w:sz w:val="28"/>
                <w:szCs w:val="28"/>
                <w:rtl/>
              </w:rPr>
            </w:pPr>
            <w:r w:rsidRPr="00580225">
              <w:rPr>
                <w:rFonts w:cs="FrankRuehl"/>
                <w:sz w:val="28"/>
                <w:szCs w:val="28"/>
                <w:rtl/>
              </w:rPr>
              <w:t>תפ"ק</w:t>
            </w:r>
            <w:r w:rsidRPr="00580225">
              <w:rPr>
                <w:rFonts w:cs="FrankRuehl" w:hint="cs"/>
                <w:sz w:val="28"/>
                <w:szCs w:val="28"/>
                <w:rtl/>
              </w:rPr>
              <w:t xml:space="preserve"> </w:t>
            </w:r>
            <w:r w:rsidRPr="00580225">
              <w:rPr>
                <w:rFonts w:cs="FrankRuehl"/>
                <w:sz w:val="28"/>
                <w:szCs w:val="28"/>
                <w:rtl/>
              </w:rPr>
              <w:t>7171-03-21</w:t>
            </w:r>
            <w:r w:rsidRPr="00580225">
              <w:rPr>
                <w:rFonts w:cs="FrankRuehl" w:hint="cs"/>
                <w:sz w:val="28"/>
                <w:szCs w:val="28"/>
                <w:rtl/>
              </w:rPr>
              <w:t xml:space="preserve"> </w:t>
            </w:r>
            <w:r w:rsidRPr="00580225">
              <w:rPr>
                <w:rFonts w:cs="FrankRuehl"/>
                <w:sz w:val="28"/>
                <w:szCs w:val="28"/>
                <w:rtl/>
              </w:rPr>
              <w:t>מדינת ישראל נ' אבו יחיה</w:t>
            </w:r>
          </w:p>
          <w:p w:rsidR="00262E11" w:rsidRPr="00580225" w:rsidRDefault="00262E11" w:rsidP="00997862">
            <w:pPr>
              <w:rPr>
                <w:rFonts w:cs="FrankRuehl"/>
                <w:sz w:val="28"/>
                <w:szCs w:val="28"/>
                <w:rtl/>
              </w:rPr>
            </w:pPr>
            <w:r w:rsidRPr="00580225">
              <w:rPr>
                <w:rFonts w:cs="FrankRuehl"/>
                <w:sz w:val="28"/>
                <w:szCs w:val="28"/>
                <w:rtl/>
              </w:rPr>
              <w:t>ת"פ</w:t>
            </w:r>
            <w:r w:rsidRPr="00580225">
              <w:rPr>
                <w:rFonts w:cs="FrankRuehl" w:hint="cs"/>
                <w:sz w:val="28"/>
                <w:szCs w:val="28"/>
                <w:rtl/>
              </w:rPr>
              <w:t xml:space="preserve"> </w:t>
            </w:r>
            <w:r w:rsidRPr="00580225">
              <w:rPr>
                <w:rFonts w:cs="FrankRuehl"/>
                <w:sz w:val="28"/>
                <w:szCs w:val="28"/>
                <w:rtl/>
              </w:rPr>
              <w:t>6358-10-21</w:t>
            </w:r>
            <w:r w:rsidRPr="00580225">
              <w:rPr>
                <w:rFonts w:cs="FrankRuehl" w:hint="cs"/>
                <w:sz w:val="28"/>
                <w:szCs w:val="28"/>
                <w:rtl/>
              </w:rPr>
              <w:t xml:space="preserve"> </w:t>
            </w:r>
            <w:r w:rsidRPr="00580225">
              <w:rPr>
                <w:rFonts w:cs="FrankRuehl"/>
                <w:sz w:val="28"/>
                <w:szCs w:val="28"/>
                <w:rtl/>
              </w:rPr>
              <w:t>מדינת ישראל נ' אבו יחיה</w:t>
            </w:r>
          </w:p>
          <w:p w:rsidR="00262E11" w:rsidRPr="00580225" w:rsidRDefault="00262E11" w:rsidP="00997862">
            <w:pPr>
              <w:pStyle w:val="Header"/>
              <w:rPr>
                <w:rFonts w:cs="FrankRuehl"/>
                <w:sz w:val="28"/>
                <w:szCs w:val="28"/>
                <w:rtl/>
              </w:rPr>
            </w:pPr>
          </w:p>
        </w:tc>
        <w:tc>
          <w:tcPr>
            <w:tcW w:w="3667" w:type="dxa"/>
          </w:tcPr>
          <w:p w:rsidR="00262E11" w:rsidRPr="00580225" w:rsidRDefault="00262E11" w:rsidP="00997862">
            <w:pPr>
              <w:pStyle w:val="Header"/>
              <w:jc w:val="right"/>
              <w:rPr>
                <w:rFonts w:cs="FrankRuehl"/>
                <w:sz w:val="28"/>
                <w:szCs w:val="28"/>
                <w:rtl/>
              </w:rPr>
            </w:pPr>
          </w:p>
        </w:tc>
      </w:tr>
      <w:tr w:rsidR="00262E11" w:rsidRPr="00580225" w:rsidTr="001326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262E11" w:rsidRPr="00580225" w:rsidRDefault="00262E11" w:rsidP="00262E11">
            <w:pPr>
              <w:jc w:val="both"/>
              <w:rPr>
                <w:rFonts w:ascii="David" w:hAnsi="David"/>
                <w:sz w:val="26"/>
                <w:szCs w:val="26"/>
              </w:rPr>
            </w:pPr>
            <w:r w:rsidRPr="00580225">
              <w:rPr>
                <w:rFonts w:hint="cs"/>
                <w:rtl/>
              </w:rPr>
              <w:t xml:space="preserve"> </w:t>
            </w:r>
            <w:r w:rsidRPr="00580225">
              <w:rPr>
                <w:rFonts w:ascii="David" w:hAnsi="David"/>
                <w:sz w:val="26"/>
                <w:szCs w:val="26"/>
                <w:rtl/>
              </w:rPr>
              <w:t xml:space="preserve">לפני </w:t>
            </w:r>
          </w:p>
        </w:tc>
        <w:tc>
          <w:tcPr>
            <w:tcW w:w="7897" w:type="dxa"/>
            <w:gridSpan w:val="4"/>
            <w:tcBorders>
              <w:top w:val="nil"/>
              <w:left w:val="nil"/>
              <w:bottom w:val="nil"/>
              <w:right w:val="nil"/>
            </w:tcBorders>
            <w:shd w:val="clear" w:color="auto" w:fill="auto"/>
          </w:tcPr>
          <w:p w:rsidR="00262E11" w:rsidRPr="00580225" w:rsidRDefault="00262E11" w:rsidP="00997862">
            <w:pPr>
              <w:rPr>
                <w:rFonts w:ascii="David" w:hAnsi="David"/>
                <w:b/>
                <w:bCs/>
                <w:sz w:val="26"/>
                <w:szCs w:val="26"/>
                <w:rtl/>
              </w:rPr>
            </w:pPr>
            <w:r w:rsidRPr="00580225">
              <w:rPr>
                <w:rFonts w:ascii="David" w:hAnsi="David"/>
                <w:b/>
                <w:bCs/>
                <w:sz w:val="26"/>
                <w:szCs w:val="26"/>
                <w:rtl/>
              </w:rPr>
              <w:t>כבוד השופט, נשיא  אביטל חן</w:t>
            </w:r>
          </w:p>
          <w:p w:rsidR="00262E11" w:rsidRPr="00580225" w:rsidRDefault="00262E11" w:rsidP="00997862">
            <w:pPr>
              <w:rPr>
                <w:rFonts w:ascii="David" w:hAnsi="David"/>
                <w:sz w:val="26"/>
                <w:szCs w:val="26"/>
              </w:rPr>
            </w:pPr>
          </w:p>
          <w:p w:rsidR="00262E11" w:rsidRPr="00580225" w:rsidRDefault="00262E11" w:rsidP="00262E11">
            <w:pPr>
              <w:jc w:val="both"/>
              <w:rPr>
                <w:rFonts w:ascii="David" w:hAnsi="David"/>
                <w:sz w:val="26"/>
                <w:szCs w:val="26"/>
                <w:rtl/>
              </w:rPr>
            </w:pPr>
          </w:p>
        </w:tc>
      </w:tr>
      <w:tr w:rsidR="00262E11" w:rsidRPr="00580225" w:rsidTr="001326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262E11" w:rsidRPr="00580225" w:rsidRDefault="00262E11" w:rsidP="00262E11">
            <w:pPr>
              <w:jc w:val="both"/>
              <w:rPr>
                <w:rFonts w:ascii="David" w:hAnsi="David"/>
                <w:sz w:val="26"/>
                <w:szCs w:val="26"/>
                <w:rtl/>
              </w:rPr>
            </w:pPr>
            <w:bookmarkStart w:id="0" w:name="FirstAppellant"/>
            <w:bookmarkStart w:id="1" w:name="LastJudge"/>
            <w:bookmarkEnd w:id="1"/>
            <w:r w:rsidRPr="00580225">
              <w:rPr>
                <w:rFonts w:ascii="David" w:hAnsi="David"/>
                <w:sz w:val="26"/>
                <w:szCs w:val="26"/>
                <w:rtl/>
              </w:rPr>
              <w:t>בעניין:</w:t>
            </w:r>
          </w:p>
        </w:tc>
        <w:tc>
          <w:tcPr>
            <w:tcW w:w="3219" w:type="dxa"/>
            <w:tcBorders>
              <w:top w:val="nil"/>
              <w:left w:val="nil"/>
              <w:bottom w:val="nil"/>
              <w:right w:val="nil"/>
            </w:tcBorders>
            <w:shd w:val="clear" w:color="auto" w:fill="auto"/>
          </w:tcPr>
          <w:p w:rsidR="00262E11" w:rsidRPr="00580225" w:rsidRDefault="00262E11" w:rsidP="00262E11">
            <w:pPr>
              <w:suppressLineNumbers/>
            </w:pPr>
            <w:r w:rsidRPr="00580225">
              <w:rPr>
                <w:rFonts w:ascii="Arial" w:hAnsi="Arial"/>
                <w:b/>
                <w:bCs/>
                <w:sz w:val="26"/>
                <w:szCs w:val="26"/>
                <w:rtl/>
              </w:rPr>
              <w:t>המאשימה</w:t>
            </w:r>
          </w:p>
          <w:p w:rsidR="00262E11" w:rsidRPr="00580225" w:rsidRDefault="00262E11" w:rsidP="00997862">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262E11" w:rsidRPr="00580225" w:rsidRDefault="00262E11" w:rsidP="00262E11">
            <w:pPr>
              <w:suppressLineNumbers/>
            </w:pPr>
            <w:r w:rsidRPr="00580225">
              <w:rPr>
                <w:rFonts w:ascii="Arial" w:hAnsi="Arial"/>
                <w:b/>
                <w:bCs/>
                <w:sz w:val="26"/>
                <w:szCs w:val="26"/>
                <w:rtl/>
              </w:rPr>
              <w:t xml:space="preserve">מדינת ישראל </w:t>
            </w:r>
          </w:p>
          <w:p w:rsidR="00262E11" w:rsidRPr="00580225" w:rsidRDefault="00262E11" w:rsidP="00997862">
            <w:pPr>
              <w:rPr>
                <w:rFonts w:ascii="David" w:hAnsi="David"/>
                <w:sz w:val="26"/>
                <w:szCs w:val="26"/>
              </w:rPr>
            </w:pPr>
          </w:p>
        </w:tc>
      </w:tr>
      <w:bookmarkEnd w:id="0"/>
      <w:tr w:rsidR="00262E11" w:rsidRPr="00580225" w:rsidTr="001326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262E11" w:rsidRPr="00580225" w:rsidRDefault="00262E11" w:rsidP="00262E11">
            <w:pPr>
              <w:jc w:val="both"/>
              <w:rPr>
                <w:rFonts w:ascii="David" w:hAnsi="David"/>
                <w:sz w:val="26"/>
                <w:szCs w:val="26"/>
              </w:rPr>
            </w:pPr>
          </w:p>
        </w:tc>
        <w:tc>
          <w:tcPr>
            <w:tcW w:w="7897" w:type="dxa"/>
            <w:gridSpan w:val="4"/>
            <w:tcBorders>
              <w:top w:val="nil"/>
              <w:left w:val="nil"/>
              <w:bottom w:val="nil"/>
              <w:right w:val="nil"/>
            </w:tcBorders>
            <w:shd w:val="clear" w:color="auto" w:fill="auto"/>
          </w:tcPr>
          <w:p w:rsidR="00262E11" w:rsidRPr="00580225" w:rsidRDefault="00262E11" w:rsidP="00262E11">
            <w:pPr>
              <w:jc w:val="center"/>
              <w:rPr>
                <w:rFonts w:ascii="David" w:hAnsi="David"/>
                <w:b/>
                <w:bCs/>
                <w:sz w:val="26"/>
                <w:szCs w:val="26"/>
              </w:rPr>
            </w:pPr>
          </w:p>
          <w:p w:rsidR="00262E11" w:rsidRPr="00580225" w:rsidRDefault="00262E11" w:rsidP="00262E11">
            <w:pPr>
              <w:jc w:val="center"/>
              <w:rPr>
                <w:rFonts w:ascii="David" w:hAnsi="David"/>
                <w:b/>
                <w:bCs/>
                <w:sz w:val="26"/>
                <w:szCs w:val="26"/>
                <w:rtl/>
              </w:rPr>
            </w:pPr>
            <w:r w:rsidRPr="00580225">
              <w:rPr>
                <w:rFonts w:ascii="David" w:hAnsi="David"/>
                <w:b/>
                <w:bCs/>
                <w:sz w:val="26"/>
                <w:szCs w:val="26"/>
                <w:rtl/>
              </w:rPr>
              <w:t>נגד</w:t>
            </w:r>
          </w:p>
          <w:p w:rsidR="00262E11" w:rsidRPr="00580225" w:rsidRDefault="00262E11" w:rsidP="00262E11">
            <w:pPr>
              <w:jc w:val="both"/>
              <w:rPr>
                <w:rFonts w:ascii="David" w:hAnsi="David"/>
                <w:sz w:val="26"/>
                <w:szCs w:val="26"/>
                <w:rtl/>
              </w:rPr>
            </w:pPr>
          </w:p>
        </w:tc>
      </w:tr>
      <w:tr w:rsidR="00262E11" w:rsidRPr="00580225" w:rsidTr="001326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262E11" w:rsidRPr="00580225" w:rsidRDefault="00262E11" w:rsidP="00997862">
            <w:pPr>
              <w:rPr>
                <w:rFonts w:ascii="David" w:hAnsi="David"/>
                <w:sz w:val="26"/>
                <w:szCs w:val="26"/>
                <w:rtl/>
              </w:rPr>
            </w:pPr>
          </w:p>
        </w:tc>
        <w:tc>
          <w:tcPr>
            <w:tcW w:w="3219" w:type="dxa"/>
            <w:tcBorders>
              <w:top w:val="nil"/>
              <w:left w:val="nil"/>
              <w:bottom w:val="nil"/>
              <w:right w:val="nil"/>
            </w:tcBorders>
            <w:shd w:val="clear" w:color="auto" w:fill="auto"/>
          </w:tcPr>
          <w:p w:rsidR="00262E11" w:rsidRPr="00580225" w:rsidRDefault="00262E11" w:rsidP="00997862">
            <w:pPr>
              <w:rPr>
                <w:rFonts w:ascii="Arial" w:hAnsi="Arial"/>
                <w:b/>
                <w:bCs/>
                <w:sz w:val="26"/>
                <w:szCs w:val="26"/>
              </w:rPr>
            </w:pPr>
            <w:r w:rsidRPr="00580225">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rsidR="00262E11" w:rsidRPr="00580225" w:rsidRDefault="00262E11" w:rsidP="00262E11">
            <w:pPr>
              <w:suppressLineNumbers/>
              <w:rPr>
                <w:rtl/>
              </w:rPr>
            </w:pPr>
            <w:r w:rsidRPr="00580225">
              <w:rPr>
                <w:rFonts w:ascii="Arial" w:hAnsi="Arial"/>
                <w:b/>
                <w:bCs/>
                <w:sz w:val="26"/>
                <w:szCs w:val="26"/>
                <w:rtl/>
              </w:rPr>
              <w:t xml:space="preserve">אדם אבו יחיה </w:t>
            </w:r>
          </w:p>
          <w:p w:rsidR="00262E11" w:rsidRPr="00580225" w:rsidRDefault="00262E11" w:rsidP="00997862">
            <w:pPr>
              <w:rPr>
                <w:rFonts w:ascii="David" w:hAnsi="David"/>
                <w:sz w:val="26"/>
                <w:szCs w:val="26"/>
                <w:rtl/>
              </w:rPr>
            </w:pPr>
          </w:p>
        </w:tc>
      </w:tr>
    </w:tbl>
    <w:p w:rsidR="00262E11" w:rsidRPr="00580225" w:rsidRDefault="00262E11" w:rsidP="00262E11">
      <w:pPr>
        <w:rPr>
          <w:sz w:val="26"/>
          <w:szCs w:val="26"/>
          <w:rtl/>
        </w:rPr>
      </w:pPr>
    </w:p>
    <w:p w:rsidR="0013268F" w:rsidRPr="00580225" w:rsidRDefault="0013268F" w:rsidP="00580225">
      <w:pPr>
        <w:spacing w:before="120" w:after="120" w:line="240" w:lineRule="exact"/>
        <w:ind w:left="283" w:hanging="283"/>
        <w:jc w:val="both"/>
        <w:rPr>
          <w:rFonts w:ascii="FrankRuehl" w:hAnsi="FrankRuehl" w:cs="FrankRuehl"/>
          <w:rtl/>
        </w:rPr>
      </w:pPr>
    </w:p>
    <w:p w:rsidR="0013268F" w:rsidRPr="0013268F" w:rsidRDefault="0013268F" w:rsidP="0013268F">
      <w:pPr>
        <w:spacing w:before="120" w:after="120" w:line="240" w:lineRule="exact"/>
        <w:ind w:left="283" w:hanging="283"/>
        <w:jc w:val="both"/>
        <w:rPr>
          <w:rFonts w:ascii="FrankRuehl" w:hAnsi="FrankRuehl" w:cs="FrankRuehl"/>
          <w:rtl/>
        </w:rPr>
      </w:pPr>
      <w:bookmarkStart w:id="2" w:name="LawTable"/>
      <w:bookmarkEnd w:id="2"/>
    </w:p>
    <w:p w:rsidR="0013268F" w:rsidRPr="0013268F" w:rsidRDefault="0013268F" w:rsidP="0013268F">
      <w:pPr>
        <w:spacing w:before="120" w:after="120" w:line="240" w:lineRule="exact"/>
        <w:ind w:left="283" w:hanging="283"/>
        <w:jc w:val="both"/>
        <w:rPr>
          <w:rFonts w:ascii="FrankRuehl" w:hAnsi="FrankRuehl" w:cs="FrankRuehl"/>
          <w:rtl/>
        </w:rPr>
      </w:pPr>
      <w:r w:rsidRPr="0013268F">
        <w:rPr>
          <w:rFonts w:ascii="FrankRuehl" w:hAnsi="FrankRuehl" w:cs="FrankRuehl"/>
          <w:rtl/>
        </w:rPr>
        <w:t xml:space="preserve">חקיקה שאוזכרה: </w:t>
      </w:r>
    </w:p>
    <w:p w:rsidR="0013268F" w:rsidRPr="0013268F" w:rsidRDefault="0013268F" w:rsidP="0013268F">
      <w:pPr>
        <w:spacing w:before="120" w:after="120" w:line="240" w:lineRule="exact"/>
        <w:ind w:left="283" w:hanging="283"/>
        <w:jc w:val="both"/>
        <w:rPr>
          <w:rFonts w:ascii="FrankRuehl" w:hAnsi="FrankRuehl" w:cs="FrankRuehl"/>
          <w:color w:val="0000FF"/>
          <w:rtl/>
        </w:rPr>
      </w:pPr>
      <w:hyperlink r:id="rId7" w:history="1">
        <w:r w:rsidRPr="0013268F">
          <w:rPr>
            <w:rStyle w:val="Hyperlink"/>
            <w:rFonts w:ascii="FrankRuehl" w:hAnsi="FrankRuehl" w:cs="FrankRuehl"/>
            <w:u w:val="none"/>
            <w:rtl/>
          </w:rPr>
          <w:t>פקודת הסמים המסוכנים [נוסח חדש], תשל"ג-1973</w:t>
        </w:r>
      </w:hyperlink>
      <w:r w:rsidRPr="0013268F">
        <w:rPr>
          <w:rFonts w:ascii="FrankRuehl" w:hAnsi="FrankRuehl" w:cs="FrankRuehl"/>
          <w:color w:val="0000FF"/>
          <w:rtl/>
        </w:rPr>
        <w:t xml:space="preserve">: סע'  </w:t>
      </w:r>
      <w:hyperlink r:id="rId8" w:history="1">
        <w:r w:rsidRPr="0013268F">
          <w:rPr>
            <w:rStyle w:val="Hyperlink"/>
            <w:rFonts w:ascii="FrankRuehl" w:hAnsi="FrankRuehl" w:cs="FrankRuehl"/>
            <w:u w:val="none"/>
          </w:rPr>
          <w:t>13</w:t>
        </w:r>
      </w:hyperlink>
      <w:r w:rsidRPr="0013268F">
        <w:rPr>
          <w:rFonts w:ascii="FrankRuehl" w:hAnsi="FrankRuehl" w:cs="FrankRuehl"/>
          <w:color w:val="0000FF"/>
          <w:rtl/>
        </w:rPr>
        <w:t xml:space="preserve">, </w:t>
      </w:r>
      <w:hyperlink r:id="rId9" w:history="1">
        <w:r w:rsidRPr="0013268F">
          <w:rPr>
            <w:rStyle w:val="Hyperlink"/>
            <w:rFonts w:ascii="FrankRuehl" w:hAnsi="FrankRuehl" w:cs="FrankRuehl"/>
            <w:u w:val="none"/>
          </w:rPr>
          <w:t>19</w:t>
        </w:r>
        <w:r w:rsidRPr="0013268F">
          <w:rPr>
            <w:rStyle w:val="Hyperlink"/>
            <w:rFonts w:ascii="FrankRuehl" w:hAnsi="FrankRuehl" w:cs="FrankRuehl"/>
            <w:u w:val="none"/>
            <w:rtl/>
          </w:rPr>
          <w:t>א</w:t>
        </w:r>
      </w:hyperlink>
    </w:p>
    <w:p w:rsidR="0013268F" w:rsidRPr="0013268F" w:rsidRDefault="0013268F" w:rsidP="0013268F">
      <w:pPr>
        <w:spacing w:before="120" w:after="120" w:line="240" w:lineRule="exact"/>
        <w:ind w:left="283" w:hanging="283"/>
        <w:jc w:val="both"/>
        <w:rPr>
          <w:rFonts w:ascii="FrankRuehl" w:hAnsi="FrankRuehl" w:cs="FrankRuehl"/>
          <w:color w:val="0000FF"/>
          <w:rtl/>
        </w:rPr>
      </w:pPr>
      <w:hyperlink r:id="rId10" w:history="1">
        <w:r w:rsidRPr="0013268F">
          <w:rPr>
            <w:rStyle w:val="Hyperlink"/>
            <w:rFonts w:ascii="FrankRuehl" w:hAnsi="FrankRuehl" w:cs="FrankRuehl"/>
            <w:u w:val="none"/>
            <w:rtl/>
          </w:rPr>
          <w:t>חוק העונשין, תשל"ז-1977</w:t>
        </w:r>
      </w:hyperlink>
      <w:r w:rsidRPr="0013268F">
        <w:rPr>
          <w:rFonts w:ascii="FrankRuehl" w:hAnsi="FrankRuehl" w:cs="FrankRuehl"/>
          <w:color w:val="0000FF"/>
          <w:rtl/>
        </w:rPr>
        <w:t xml:space="preserve">: סע'  </w:t>
      </w:r>
      <w:hyperlink r:id="rId11" w:history="1">
        <w:r w:rsidRPr="0013268F">
          <w:rPr>
            <w:rStyle w:val="Hyperlink"/>
            <w:rFonts w:ascii="FrankRuehl" w:hAnsi="FrankRuehl" w:cs="FrankRuehl"/>
            <w:u w:val="none"/>
          </w:rPr>
          <w:t>413</w:t>
        </w:r>
      </w:hyperlink>
    </w:p>
    <w:p w:rsidR="0013268F" w:rsidRPr="0013268F" w:rsidRDefault="0013268F" w:rsidP="0013268F">
      <w:pPr>
        <w:jc w:val="center"/>
        <w:rPr>
          <w:rFonts w:ascii="David" w:hAnsi="David"/>
          <w:sz w:val="40"/>
          <w:szCs w:val="40"/>
          <w:rtl/>
        </w:rPr>
      </w:pPr>
      <w:bookmarkStart w:id="3" w:name="LawTable_End"/>
      <w:bookmarkEnd w:id="3"/>
    </w:p>
    <w:p w:rsidR="0013268F" w:rsidRPr="00580225" w:rsidRDefault="0013268F" w:rsidP="00580225">
      <w:pPr>
        <w:jc w:val="center"/>
        <w:rPr>
          <w:rFonts w:ascii="David" w:hAnsi="David"/>
          <w:b/>
          <w:bCs/>
          <w:sz w:val="40"/>
          <w:szCs w:val="40"/>
          <w:u w:val="single"/>
          <w:rtl/>
        </w:rPr>
      </w:pPr>
      <w:bookmarkStart w:id="4" w:name="PsakDin"/>
      <w:r w:rsidRPr="00580225">
        <w:rPr>
          <w:rFonts w:ascii="David" w:hAnsi="David"/>
          <w:b/>
          <w:bCs/>
          <w:sz w:val="40"/>
          <w:szCs w:val="40"/>
          <w:u w:val="single"/>
          <w:rtl/>
        </w:rPr>
        <w:t>גזר דין</w:t>
      </w:r>
    </w:p>
    <w:bookmarkEnd w:id="4"/>
    <w:p w:rsidR="0013268F" w:rsidRPr="00262E11" w:rsidRDefault="0013268F" w:rsidP="00262E11">
      <w:pPr>
        <w:jc w:val="center"/>
        <w:rPr>
          <w:rFonts w:ascii="David" w:hAnsi="David"/>
          <w:sz w:val="32"/>
          <w:szCs w:val="32"/>
          <w:u w:val="single"/>
        </w:rPr>
      </w:pPr>
    </w:p>
    <w:p w:rsidR="00262E11" w:rsidRDefault="00262E11" w:rsidP="00262E11">
      <w:pPr>
        <w:spacing w:before="240" w:after="240" w:line="360" w:lineRule="auto"/>
        <w:jc w:val="both"/>
        <w:rPr>
          <w:rFonts w:ascii="David" w:hAnsi="David"/>
          <w:rtl/>
        </w:rPr>
      </w:pPr>
      <w:bookmarkStart w:id="5" w:name="ABSTRACT_START"/>
      <w:bookmarkEnd w:id="5"/>
      <w:r>
        <w:rPr>
          <w:rFonts w:ascii="David" w:hAnsi="David"/>
          <w:rtl/>
        </w:rPr>
        <w:t>הנאשם הורשע על פי הודאתו בשני כתבי אישום.</w:t>
      </w:r>
    </w:p>
    <w:p w:rsidR="00262E11" w:rsidRDefault="00262E11" w:rsidP="00262E11">
      <w:pPr>
        <w:spacing w:before="240" w:after="240" w:line="360" w:lineRule="auto"/>
        <w:jc w:val="both"/>
        <w:rPr>
          <w:rFonts w:ascii="David" w:hAnsi="David"/>
          <w:rtl/>
        </w:rPr>
      </w:pPr>
      <w:r>
        <w:rPr>
          <w:rFonts w:ascii="David" w:hAnsi="David"/>
          <w:rtl/>
        </w:rPr>
        <w:t>ב</w:t>
      </w:r>
      <w:hyperlink r:id="rId12" w:history="1">
        <w:r w:rsidR="00580225" w:rsidRPr="00580225">
          <w:rPr>
            <w:rFonts w:ascii="David" w:hAnsi="David"/>
            <w:color w:val="0000FF"/>
            <w:u w:val="single"/>
            <w:rtl/>
          </w:rPr>
          <w:t>תפ"ק 7171-03-21</w:t>
        </w:r>
      </w:hyperlink>
      <w:r>
        <w:rPr>
          <w:rFonts w:ascii="David" w:hAnsi="David"/>
          <w:rtl/>
        </w:rPr>
        <w:t xml:space="preserve"> בביצוע עבירה של סחר בסם מסוכן, לפי </w:t>
      </w:r>
      <w:hyperlink r:id="rId13" w:history="1">
        <w:r w:rsidR="0013268F" w:rsidRPr="0013268F">
          <w:rPr>
            <w:rStyle w:val="Hyperlink"/>
            <w:rFonts w:ascii="David" w:hAnsi="David"/>
            <w:rtl/>
          </w:rPr>
          <w:t>סעיף 13</w:t>
        </w:r>
      </w:hyperlink>
      <w:r>
        <w:rPr>
          <w:rFonts w:ascii="David" w:hAnsi="David"/>
          <w:rtl/>
        </w:rPr>
        <w:t xml:space="preserve"> +</w:t>
      </w:r>
      <w:hyperlink r:id="rId14" w:history="1">
        <w:r w:rsidR="0013268F" w:rsidRPr="0013268F">
          <w:rPr>
            <w:rStyle w:val="Hyperlink"/>
            <w:rFonts w:ascii="David" w:hAnsi="David"/>
            <w:rtl/>
          </w:rPr>
          <w:t>19א</w:t>
        </w:r>
      </w:hyperlink>
      <w:r>
        <w:rPr>
          <w:rFonts w:ascii="David" w:hAnsi="David"/>
          <w:rtl/>
        </w:rPr>
        <w:t xml:space="preserve"> ל</w:t>
      </w:r>
      <w:hyperlink r:id="rId15" w:history="1">
        <w:r w:rsidR="00580225" w:rsidRPr="00580225">
          <w:rPr>
            <w:rFonts w:ascii="David" w:hAnsi="David"/>
            <w:color w:val="0000FF"/>
            <w:u w:val="single"/>
            <w:rtl/>
          </w:rPr>
          <w:t>פקודת הסמים המסוכנים</w:t>
        </w:r>
      </w:hyperlink>
      <w:r>
        <w:rPr>
          <w:rFonts w:ascii="David" w:hAnsi="David"/>
          <w:rtl/>
        </w:rPr>
        <w:t xml:space="preserve"> (נוסח חדש), תשל"ג- 1973 (להלן: "פקודת הסמים המסוכנים").</w:t>
      </w:r>
    </w:p>
    <w:p w:rsidR="00262E11" w:rsidRDefault="00262E11" w:rsidP="00262E11">
      <w:pPr>
        <w:spacing w:before="240" w:after="240" w:line="360" w:lineRule="auto"/>
        <w:jc w:val="both"/>
        <w:rPr>
          <w:rFonts w:ascii="David" w:hAnsi="David"/>
        </w:rPr>
      </w:pPr>
      <w:r>
        <w:rPr>
          <w:rFonts w:ascii="David" w:hAnsi="David"/>
          <w:rtl/>
        </w:rPr>
        <w:t>על פי כתב האישום, ביום 16.2.21 בשעת ערב פנה שוטר בלבוש אזרחי לנאשם, בעודו עומד בפינת רחוב, וביקש ממנו להביא לו סם בתמורה ל- 100 ₪. הנאשם לקח את שטר הכסף ומסר לשוטר סם מסוכן מסוג קוקאין במשקל 0.0882 גרם נטו.</w:t>
      </w:r>
    </w:p>
    <w:p w:rsidR="00262E11" w:rsidRDefault="00262E11" w:rsidP="00262E11">
      <w:pPr>
        <w:spacing w:before="240" w:after="240" w:line="360" w:lineRule="auto"/>
        <w:jc w:val="both"/>
        <w:rPr>
          <w:rFonts w:ascii="David" w:hAnsi="David"/>
          <w:rtl/>
        </w:rPr>
      </w:pPr>
      <w:bookmarkStart w:id="6" w:name="ABSTRACT_END"/>
      <w:bookmarkEnd w:id="6"/>
      <w:r>
        <w:rPr>
          <w:rFonts w:ascii="David" w:hAnsi="David"/>
          <w:rtl/>
        </w:rPr>
        <w:t>ב</w:t>
      </w:r>
      <w:hyperlink r:id="rId16" w:history="1">
        <w:r w:rsidR="00580225" w:rsidRPr="00580225">
          <w:rPr>
            <w:rFonts w:ascii="David" w:hAnsi="David"/>
            <w:color w:val="0000FF"/>
            <w:u w:val="single"/>
            <w:rtl/>
          </w:rPr>
          <w:t>ת"פ 6358-10-21</w:t>
        </w:r>
      </w:hyperlink>
      <w:r>
        <w:rPr>
          <w:rFonts w:ascii="David" w:hAnsi="David"/>
          <w:rtl/>
        </w:rPr>
        <w:t xml:space="preserve"> בביצוע עבירה של החזקת נכס חשוד כגנוב, לפי </w:t>
      </w:r>
      <w:hyperlink r:id="rId17" w:history="1">
        <w:r w:rsidR="0013268F" w:rsidRPr="0013268F">
          <w:rPr>
            <w:rStyle w:val="Hyperlink"/>
            <w:rFonts w:ascii="David" w:hAnsi="David"/>
            <w:rtl/>
          </w:rPr>
          <w:t>סעיף 413</w:t>
        </w:r>
      </w:hyperlink>
      <w:r>
        <w:rPr>
          <w:rFonts w:ascii="David" w:hAnsi="David"/>
          <w:rtl/>
        </w:rPr>
        <w:t xml:space="preserve"> ל</w:t>
      </w:r>
      <w:hyperlink r:id="rId18" w:history="1">
        <w:r w:rsidR="00580225" w:rsidRPr="00580225">
          <w:rPr>
            <w:rFonts w:ascii="David" w:hAnsi="David"/>
            <w:color w:val="0000FF"/>
            <w:u w:val="single"/>
            <w:rtl/>
          </w:rPr>
          <w:t>חוק העונשין</w:t>
        </w:r>
      </w:hyperlink>
      <w:r>
        <w:rPr>
          <w:rFonts w:ascii="David" w:hAnsi="David"/>
          <w:rtl/>
        </w:rPr>
        <w:t>, התשל"ז- 1977 (להלן: "חוק העונשין").  על פי כתב האישום, ביום 1.6.21 התפרץ אחר לקופת חולים כללית וגנב מחשב, מקלדת, מסך מחשב ועכבר. בהמשך הנאשם שאל את האחר אם ברצונו למכור את הרכוש הגנוב, ולאחר מכן רכשו בתמורה ל-150 ₪.</w:t>
      </w:r>
    </w:p>
    <w:p w:rsidR="00262E11" w:rsidRDefault="00262E11" w:rsidP="00262E11">
      <w:pPr>
        <w:spacing w:before="240" w:after="240" w:line="360" w:lineRule="auto"/>
        <w:jc w:val="both"/>
        <w:rPr>
          <w:rFonts w:ascii="David" w:hAnsi="David"/>
          <w:b/>
          <w:bCs/>
          <w:rtl/>
        </w:rPr>
      </w:pPr>
      <w:r>
        <w:rPr>
          <w:rFonts w:ascii="David" w:hAnsi="David"/>
          <w:b/>
          <w:bCs/>
          <w:rtl/>
        </w:rPr>
        <w:t>תסקירי שירות מבחן וחוות דעת הממונה</w:t>
      </w:r>
    </w:p>
    <w:p w:rsidR="00262E11" w:rsidRDefault="00262E11" w:rsidP="00262E11">
      <w:pPr>
        <w:spacing w:before="240" w:after="240" w:line="360" w:lineRule="auto"/>
        <w:jc w:val="both"/>
        <w:rPr>
          <w:rFonts w:ascii="David" w:hAnsi="David"/>
          <w:rtl/>
        </w:rPr>
      </w:pPr>
      <w:r>
        <w:rPr>
          <w:rFonts w:ascii="David" w:hAnsi="David"/>
          <w:rtl/>
        </w:rPr>
        <w:lastRenderedPageBreak/>
        <w:t xml:space="preserve">נסיבות חייו האישיות המשפחתיות של הנאשם אינן קלות. </w:t>
      </w:r>
    </w:p>
    <w:p w:rsidR="00262E11" w:rsidRDefault="00262E11" w:rsidP="00262E11">
      <w:pPr>
        <w:spacing w:before="240" w:after="240" w:line="360" w:lineRule="auto"/>
        <w:jc w:val="both"/>
        <w:rPr>
          <w:rFonts w:ascii="David" w:hAnsi="David"/>
          <w:rtl/>
        </w:rPr>
      </w:pPr>
      <w:r>
        <w:rPr>
          <w:rFonts w:ascii="David" w:hAnsi="David"/>
          <w:rtl/>
        </w:rPr>
        <w:t>הנאשם גדל בעזובה רגשית וחינוכית, והיה קרבן מילדות לאלימות אביו. הוא נפלט ממערכת החינוך כעבור 8 שנות לימוד, לאחריהם הדרדר תפקודו, והוא החל להסתבך בפלילים. בגיל 13 הושם הנאשם במעון נעול כחלופת מאסר, ובגיל 15 עם החזרה לבית אמו הוחמר מצבו, הוא פיתח דפוסי התמכרות לסמים ואלכוהול, והעמיק מעורבותו בפלילים. מאז התקשה הנאשם לשמר אורח חיים יציב ונורמטיבי, והתנהל על פי דפוסים עברייניים מושרשים.</w:t>
      </w:r>
    </w:p>
    <w:p w:rsidR="00262E11" w:rsidRDefault="00262E11" w:rsidP="00262E11">
      <w:pPr>
        <w:spacing w:before="240" w:after="240" w:line="360" w:lineRule="auto"/>
        <w:jc w:val="both"/>
        <w:rPr>
          <w:rFonts w:ascii="David" w:hAnsi="David"/>
          <w:rtl/>
        </w:rPr>
      </w:pPr>
      <w:r>
        <w:rPr>
          <w:rFonts w:ascii="David" w:hAnsi="David"/>
          <w:rtl/>
        </w:rPr>
        <w:t>הנאשם כבן 29, ריצה עד כה מספר עונשי מאסר ממושכים. בשנת 2018, במהלך ריצוי עונש המאסר האחרון בכלא חרמון, גילה הנאשם מוטיבציה שיקומית והשתלב בטיפול גמילה ממושך. עם שחרורו הוצע לנאשם להשתלב בהוסטל המשכי, אך הנאשם סירב לכך, והטיפול נקטע. לתקופה ניסה הנאשם לשמר תפקוד נורמטיבי, הוא נמנע משימוש בסמים והשתלב בעבודה. ואולם כעבור חודשים ספורים ביצע את העבירות שבפני.</w:t>
      </w:r>
    </w:p>
    <w:p w:rsidR="00262E11" w:rsidRDefault="00262E11" w:rsidP="00262E11">
      <w:pPr>
        <w:spacing w:before="240" w:after="240" w:line="360" w:lineRule="auto"/>
        <w:jc w:val="both"/>
        <w:rPr>
          <w:rFonts w:ascii="David" w:hAnsi="David"/>
          <w:rtl/>
        </w:rPr>
      </w:pPr>
      <w:r>
        <w:rPr>
          <w:rFonts w:ascii="David" w:hAnsi="David"/>
          <w:rtl/>
        </w:rPr>
        <w:t xml:space="preserve">עוד בשלב המעצר הביע הנאשם עייפות ומצוקה מאורחות חייו, והכיר בנזקקותו לעזרה. הנאשם הופנה ליחידה להתמכרויות, שולב בטיפול קבוצתי, ומסר בדיקות שתן לאיתור שרידי סם. </w:t>
      </w:r>
    </w:p>
    <w:p w:rsidR="00262E11" w:rsidRDefault="00262E11" w:rsidP="00262E11">
      <w:pPr>
        <w:spacing w:before="240" w:after="240" w:line="360" w:lineRule="auto"/>
        <w:jc w:val="both"/>
        <w:rPr>
          <w:rFonts w:ascii="David" w:hAnsi="David"/>
          <w:rtl/>
        </w:rPr>
      </w:pPr>
      <w:r>
        <w:rPr>
          <w:rFonts w:ascii="David" w:hAnsi="David"/>
          <w:rtl/>
        </w:rPr>
        <w:t>ביולי 2022 נקלט הנאשם בבית המשפט הקהילתי.</w:t>
      </w:r>
    </w:p>
    <w:p w:rsidR="00262E11" w:rsidRDefault="00262E11" w:rsidP="00262E11">
      <w:pPr>
        <w:spacing w:before="240" w:after="240" w:line="360" w:lineRule="auto"/>
        <w:jc w:val="both"/>
        <w:rPr>
          <w:rFonts w:ascii="David" w:hAnsi="David"/>
          <w:rtl/>
        </w:rPr>
      </w:pPr>
      <w:r>
        <w:rPr>
          <w:rFonts w:ascii="David" w:hAnsi="David"/>
          <w:rtl/>
        </w:rPr>
        <w:t>במסגרת התסקיר הקהילתי, עמד שירות מבחן על חיוניות שילוב הנאשם בטיפול בהתמכרות כמוקד התערבות מרכזי. לצדו, הומלץ על שילוב הנאשם בטיפול ייעודי לעוברי חוק, וסיועו במיצוי זכויות, באיתור מענה תעסוקתי, וחיזוק קשרי קהילה.</w:t>
      </w:r>
    </w:p>
    <w:p w:rsidR="00262E11" w:rsidRDefault="00262E11" w:rsidP="00262E11">
      <w:pPr>
        <w:spacing w:before="240" w:after="240" w:line="360" w:lineRule="auto"/>
        <w:jc w:val="both"/>
        <w:rPr>
          <w:rFonts w:ascii="David" w:hAnsi="David"/>
          <w:rtl/>
        </w:rPr>
      </w:pPr>
      <w:r>
        <w:rPr>
          <w:rFonts w:ascii="David" w:hAnsi="David"/>
          <w:rtl/>
        </w:rPr>
        <w:t xml:space="preserve">במשך שמונה חודשים שיתף הנאשם פעולה עם גורמי הטיפול. הוא שימר קשר עם שירות מבחן, השתלב בעבודה, מסר בדיקות שתן נקיות, וערך מאמצים להגיע ליחידה להתמכרויות. בשל קושי במוגנות אישית אליה נקלעו הנאשם ומשפחתו, נבצר ממנו להגיע בהתמדה ליחידה להתמכרויות, ובנוסף ניכר היה כי ייארך זמן עד לביסוס אמון ופתיחות מצדו במרחב הטיפולי. </w:t>
      </w:r>
    </w:p>
    <w:p w:rsidR="00262E11" w:rsidRDefault="00262E11" w:rsidP="00262E11">
      <w:pPr>
        <w:spacing w:before="240" w:after="240" w:line="360" w:lineRule="auto"/>
        <w:jc w:val="both"/>
        <w:rPr>
          <w:rFonts w:ascii="David" w:hAnsi="David"/>
          <w:rtl/>
        </w:rPr>
      </w:pPr>
      <w:r>
        <w:rPr>
          <w:rFonts w:ascii="David" w:hAnsi="David"/>
          <w:rtl/>
        </w:rPr>
        <w:t>במרץ 2023 התנהלה חקירה משטרתית נגד הנאשם, בעקבותיה חווה הנאשם משבר אמון ואכזבה מהמערכות, עזב את עבודתו, וניתק קשר עם גורמי הטיפול. חרף האמור, הוחלט ליתן לנאשם הזדמנות נוספת, והוצע לו להשתלב בטיפול כוללני בקהילה טיפולית הרחק מסביבת חייו. הנאשם סירב להשתלב בקהילה טיפולית, אך הסכים להשתלב במרכז יום. שירות מבחן מצא להגמיש את תכנית הטיפול המוצעת על מנת לגייס את הנאשם לשיקום, אך למעשה ובניגוד להצהרתו, הנאשם חדל להגיע ליחידה להתמכרויות, ניתק קשר עם שירות מבחן, והביע רצון לסיים את ההליך.</w:t>
      </w:r>
    </w:p>
    <w:p w:rsidR="00262E11" w:rsidRDefault="00262E11" w:rsidP="00262E11">
      <w:pPr>
        <w:spacing w:before="240" w:after="240" w:line="360" w:lineRule="auto"/>
        <w:jc w:val="both"/>
        <w:rPr>
          <w:rFonts w:ascii="David" w:hAnsi="David"/>
          <w:rtl/>
        </w:rPr>
      </w:pPr>
      <w:r>
        <w:rPr>
          <w:rFonts w:ascii="David" w:hAnsi="David"/>
          <w:rtl/>
        </w:rPr>
        <w:t xml:space="preserve">באוגוסט 2023 הוצא הנאשם מההליך הקהילתי, בהיותו בשלב 2 מתוך חמשת שלבי תכנית השלבים. </w:t>
      </w:r>
    </w:p>
    <w:p w:rsidR="00262E11" w:rsidRDefault="00262E11" w:rsidP="00262E11">
      <w:pPr>
        <w:spacing w:before="240" w:after="240" w:line="360" w:lineRule="auto"/>
        <w:jc w:val="both"/>
        <w:rPr>
          <w:rFonts w:ascii="David" w:hAnsi="David"/>
          <w:rtl/>
        </w:rPr>
      </w:pPr>
      <w:r>
        <w:rPr>
          <w:rFonts w:ascii="David" w:hAnsi="David"/>
          <w:rtl/>
        </w:rPr>
        <w:lastRenderedPageBreak/>
        <w:t>לקראת הגשת התסקיר לעונש ניסה שירות מבחן ליצור קשר עם הנאשם, אך ללא הצלחה. מדברי הסנגור עולה כי הנאשם אינו עומד בקשר גם איתו. בנסיבות, מאז יוני 2023 אין מידע עדכני אודות הנאשם.</w:t>
      </w:r>
    </w:p>
    <w:p w:rsidR="00262E11" w:rsidRDefault="00262E11" w:rsidP="00262E11">
      <w:pPr>
        <w:spacing w:before="240" w:after="240" w:line="360" w:lineRule="auto"/>
        <w:jc w:val="both"/>
        <w:rPr>
          <w:rFonts w:ascii="David" w:hAnsi="David"/>
          <w:rtl/>
        </w:rPr>
      </w:pPr>
      <w:r>
        <w:rPr>
          <w:rFonts w:ascii="David" w:hAnsi="David"/>
          <w:rtl/>
        </w:rPr>
        <w:t xml:space="preserve">בסיכומו של הליך, שירות מבחן התרשם כי הנאשם אינו מכיר בחיוניות הטיפול האינטנסיבי לחייו,  הוא בעל מוטיבציה נמוכה לשינוי, ולא ניתן להצביע על הפחתה כלשהי בסיכון בעניינו. שירות מבחן המליץ להטיל על הנאשם ענישה מוחשית וקונקרטית, אף שלזכותו צוינה העובדה כי לא נפתחו נגדו תיקים נוספים. </w:t>
      </w:r>
    </w:p>
    <w:p w:rsidR="00262E11" w:rsidRDefault="00262E11" w:rsidP="00262E11">
      <w:pPr>
        <w:spacing w:before="240" w:after="240" w:line="360" w:lineRule="auto"/>
        <w:jc w:val="both"/>
        <w:rPr>
          <w:rFonts w:ascii="David" w:hAnsi="David"/>
          <w:b/>
          <w:bCs/>
          <w:rtl/>
        </w:rPr>
      </w:pPr>
      <w:r>
        <w:rPr>
          <w:rFonts w:ascii="David" w:hAnsi="David"/>
          <w:b/>
          <w:bCs/>
          <w:rtl/>
        </w:rPr>
        <w:t>ראיות לעונש</w:t>
      </w:r>
    </w:p>
    <w:p w:rsidR="00262E11" w:rsidRDefault="00262E11" w:rsidP="00262E11">
      <w:pPr>
        <w:spacing w:before="240" w:after="240" w:line="360" w:lineRule="auto"/>
        <w:jc w:val="both"/>
        <w:rPr>
          <w:rFonts w:ascii="David" w:hAnsi="David"/>
          <w:rtl/>
        </w:rPr>
      </w:pPr>
      <w:r>
        <w:rPr>
          <w:rFonts w:ascii="David" w:hAnsi="David"/>
          <w:rtl/>
        </w:rPr>
        <w:t xml:space="preserve">מטעם המאשימה הוגש תדפיס מידע פלילי ותעבורתי. </w:t>
      </w:r>
    </w:p>
    <w:p w:rsidR="00262E11" w:rsidRDefault="00262E11" w:rsidP="00262E11">
      <w:pPr>
        <w:spacing w:before="240" w:after="240" w:line="360" w:lineRule="auto"/>
        <w:jc w:val="both"/>
        <w:rPr>
          <w:rFonts w:ascii="David" w:hAnsi="David"/>
          <w:rtl/>
        </w:rPr>
      </w:pPr>
      <w:r>
        <w:rPr>
          <w:rFonts w:ascii="David" w:hAnsi="David"/>
          <w:rtl/>
        </w:rPr>
        <w:t xml:space="preserve">לחובת הנאשם ששה רישומים פליליים, מרביתם בעבירות סחר בסמים. בגינם שהה הנאשם שנתיים במעון נעול, וריצה חמישה עונשי מאסר שמשכם הכולל הינו כחמש וחצי שנים. </w:t>
      </w:r>
    </w:p>
    <w:p w:rsidR="00262E11" w:rsidRDefault="00262E11" w:rsidP="00262E11">
      <w:pPr>
        <w:spacing w:before="240" w:after="240" w:line="360" w:lineRule="auto"/>
        <w:jc w:val="both"/>
        <w:rPr>
          <w:rFonts w:ascii="David" w:hAnsi="David"/>
          <w:rtl/>
        </w:rPr>
      </w:pPr>
      <w:r>
        <w:rPr>
          <w:rFonts w:ascii="David" w:hAnsi="David"/>
          <w:rtl/>
        </w:rPr>
        <w:t xml:space="preserve">במסגרת ההליך הפלילי האחרון, </w:t>
      </w:r>
      <w:hyperlink r:id="rId19" w:history="1">
        <w:r w:rsidR="00580225" w:rsidRPr="00580225">
          <w:rPr>
            <w:rFonts w:ascii="David" w:hAnsi="David"/>
            <w:color w:val="0000FF"/>
            <w:u w:val="single"/>
            <w:rtl/>
          </w:rPr>
          <w:t>ת"פ 58073-02-18</w:t>
        </w:r>
      </w:hyperlink>
      <w:r>
        <w:rPr>
          <w:rFonts w:ascii="David" w:hAnsi="David"/>
          <w:rtl/>
        </w:rPr>
        <w:t xml:space="preserve">, הוטלו על הנאשם בין היתר עונשים מותנים, הכוליים מאסר בן 10 חודשים באם יבצע הנאשם עבירת סמים מסוג פשע, ופסילת רישיון הנהיגה למשך 9 חודשים, באם יבצע עבירה לפי </w:t>
      </w:r>
      <w:hyperlink r:id="rId20" w:history="1">
        <w:r w:rsidR="00580225" w:rsidRPr="00580225">
          <w:rPr>
            <w:rFonts w:ascii="David" w:hAnsi="David"/>
            <w:color w:val="0000FF"/>
            <w:u w:val="single"/>
            <w:rtl/>
          </w:rPr>
          <w:t>פקודת הסמים המסוכנים</w:t>
        </w:r>
      </w:hyperlink>
      <w:r>
        <w:rPr>
          <w:rFonts w:ascii="David" w:hAnsi="David"/>
          <w:rtl/>
        </w:rPr>
        <w:t>. עונשים אלה ברי הפעלה.</w:t>
      </w:r>
    </w:p>
    <w:p w:rsidR="00262E11" w:rsidRDefault="00262E11" w:rsidP="00262E11">
      <w:pPr>
        <w:spacing w:before="240" w:after="240" w:line="360" w:lineRule="auto"/>
        <w:jc w:val="both"/>
        <w:rPr>
          <w:rFonts w:ascii="David" w:hAnsi="David"/>
          <w:rtl/>
        </w:rPr>
      </w:pPr>
      <w:r>
        <w:rPr>
          <w:rFonts w:ascii="David" w:hAnsi="David"/>
          <w:rtl/>
        </w:rPr>
        <w:t xml:space="preserve">בנוסף לחובת הנאשם שש הרשעות תעבורתיות, מהן חמש מסוג עבירת קנס. </w:t>
      </w:r>
    </w:p>
    <w:p w:rsidR="00262E11" w:rsidRDefault="00262E11" w:rsidP="00262E11">
      <w:pPr>
        <w:spacing w:before="240" w:after="240" w:line="360" w:lineRule="auto"/>
        <w:jc w:val="both"/>
        <w:rPr>
          <w:rFonts w:ascii="David" w:hAnsi="David"/>
          <w:b/>
          <w:bCs/>
          <w:rtl/>
        </w:rPr>
      </w:pPr>
      <w:r>
        <w:rPr>
          <w:rFonts w:ascii="David" w:hAnsi="David"/>
          <w:b/>
          <w:bCs/>
          <w:rtl/>
        </w:rPr>
        <w:t>טיעונים לעונש</w:t>
      </w:r>
    </w:p>
    <w:p w:rsidR="00262E11" w:rsidRDefault="00262E11" w:rsidP="00262E11">
      <w:pPr>
        <w:spacing w:before="240" w:after="240" w:line="360" w:lineRule="auto"/>
        <w:jc w:val="both"/>
        <w:rPr>
          <w:rFonts w:ascii="David" w:hAnsi="David"/>
          <w:rtl/>
        </w:rPr>
      </w:pPr>
      <w:r>
        <w:rPr>
          <w:rFonts w:ascii="David" w:hAnsi="David"/>
          <w:u w:val="single"/>
          <w:rtl/>
        </w:rPr>
        <w:t>ב"כ המאשימה</w:t>
      </w:r>
      <w:r>
        <w:rPr>
          <w:rFonts w:ascii="David" w:hAnsi="David"/>
          <w:rtl/>
        </w:rPr>
        <w:t xml:space="preserve"> עמדה בטיעוניה על חומרת העבירות שביצע הנאשם, הערכים המוגנים בחובן, מעורבותו העמוקה של הנאשם בפלילים, ועברו המכביד הרלוונטי.</w:t>
      </w:r>
    </w:p>
    <w:p w:rsidR="00262E11" w:rsidRDefault="00262E11" w:rsidP="00262E11">
      <w:pPr>
        <w:spacing w:before="240" w:after="240" w:line="360" w:lineRule="auto"/>
        <w:jc w:val="both"/>
        <w:rPr>
          <w:rFonts w:ascii="David" w:hAnsi="David"/>
          <w:rtl/>
        </w:rPr>
      </w:pPr>
      <w:r>
        <w:rPr>
          <w:rFonts w:ascii="David" w:hAnsi="David"/>
          <w:rtl/>
        </w:rPr>
        <w:t>בהתייחס לנסיבות ביצוע העבירות טענה ב"כ המאשימה כי זמינות הסם ללא תכנון מוקדם מעידה על עומק מעורבות הנאשם בעולם הסם, ועבירת הרכוש, אף שנסיבותיה קלות, מלמדת על המשך מעורבות הנאשם בפלילים, על סוגיו השונים. התובעת עתרה לקבוע מתחם ענישה הנע בין 8 ל- 18 חודשי מאסר בפועל בגין עבירת הסם, ומתחם שבין מאסר מותנה ועד מספר חודשי מאסר בפועל בגין עבירת הרכוש.</w:t>
      </w:r>
    </w:p>
    <w:p w:rsidR="00262E11" w:rsidRDefault="00262E11" w:rsidP="00262E11">
      <w:pPr>
        <w:spacing w:before="240" w:after="240" w:line="360" w:lineRule="auto"/>
        <w:jc w:val="both"/>
        <w:rPr>
          <w:rFonts w:ascii="David" w:hAnsi="David"/>
          <w:rtl/>
        </w:rPr>
      </w:pPr>
      <w:r>
        <w:rPr>
          <w:rFonts w:ascii="David" w:hAnsi="David"/>
          <w:rtl/>
        </w:rPr>
        <w:t xml:space="preserve">בהתייחס לעונש המתאים לנאשם, המאשימה עמדה על הודאת הנאשם במיוחס לו, והאחריות שנטל למעשיו. לשיטת המאשימה, אין לראות בכניסת הנאשם להליך הקהילתי נסיבה מקלה, נוכח הקשיים המשמעותיים שעלו בקשר עם שירות מבחן, המוטיבציה הנמוכה שגילה הנאשם לשיקום, והרושם כי מסוכנותו לא פחתה. </w:t>
      </w:r>
    </w:p>
    <w:p w:rsidR="00262E11" w:rsidRDefault="00262E11" w:rsidP="00262E11">
      <w:pPr>
        <w:spacing w:before="240" w:after="240" w:line="360" w:lineRule="auto"/>
        <w:jc w:val="both"/>
        <w:rPr>
          <w:rFonts w:ascii="David" w:hAnsi="David"/>
          <w:rtl/>
        </w:rPr>
      </w:pPr>
      <w:r>
        <w:rPr>
          <w:rFonts w:ascii="David" w:hAnsi="David"/>
          <w:rtl/>
        </w:rPr>
        <w:t>במכלול עתרה המאשימה להכריז על הנאשם "סוחר סמים", ולהטיל עליו עונש שלא יפחת מ-14 חודשי מאסר בגין שני התיקים, מאסר מותנה, קנס בסך 3,000 ₪, חילוט סך של 1,802 ₪ שנתפסו, ופסילת רישיון נהיגה בפועל ועל תנאי. המאשימה עתרה בנוסף להפעיל את העונשים ברי ההפעלה, היינו מאסר בן 10 חודשים ופסילת רישיון הנהיגה למשך 9 חודשים, חלקם במצטבר לכל עונש אחר שיוטל.</w:t>
      </w:r>
    </w:p>
    <w:p w:rsidR="00262E11" w:rsidRDefault="00262E11" w:rsidP="00262E11">
      <w:pPr>
        <w:spacing w:line="360" w:lineRule="auto"/>
        <w:jc w:val="both"/>
        <w:rPr>
          <w:rFonts w:ascii="David" w:hAnsi="David"/>
          <w:rtl/>
        </w:rPr>
      </w:pPr>
      <w:r>
        <w:rPr>
          <w:rFonts w:ascii="David" w:hAnsi="David"/>
          <w:u w:val="single"/>
          <w:rtl/>
        </w:rPr>
        <w:t>ב"כ הנאשם</w:t>
      </w:r>
      <w:r>
        <w:rPr>
          <w:rFonts w:ascii="David" w:hAnsi="David"/>
          <w:rtl/>
        </w:rPr>
        <w:t xml:space="preserve"> עמד בטיעוניו על הודאת הנאשם במיוחס לו, המפנה התודעתי שעבר, השתלבותו בהליך הקהילתי, והעובדה שלא נפתחו נגדו תיקים חדשים בחלוף הזמן. הסנגור סקר בטיעוניו את ההליך השיקומי, השתלבות הנאשם ביחידה להתמכרויות, ובדיקות השתן הנקיות משרידי סם שמסר. עוד ציין הסנגור את נסיבות חיי הנאשם שמנעו לתקופה את השתלבותו בטיפול, ואת הרקע המשפחתי והתרבותי שהיוו חסם משמעותי להשלמת השיקום.</w:t>
      </w:r>
    </w:p>
    <w:p w:rsidR="00262E11" w:rsidRDefault="00262E11" w:rsidP="00262E11">
      <w:pPr>
        <w:spacing w:before="240" w:after="240" w:line="360" w:lineRule="auto"/>
        <w:jc w:val="both"/>
        <w:rPr>
          <w:rFonts w:ascii="David" w:hAnsi="David"/>
          <w:rtl/>
        </w:rPr>
      </w:pPr>
      <w:r>
        <w:rPr>
          <w:rFonts w:ascii="David" w:hAnsi="David"/>
          <w:rtl/>
        </w:rPr>
        <w:t xml:space="preserve">בהתייחס לעבירות הנידונות, ב"כ הנאשם עמד על נסיבותיהן הקלות, וטען כי מתחם העונש שנתבקש על ידי המאשימה חורג בחומרתו. אשר לעונש המתאים לנאשם, ובשים לב למאמציו השיקומיים ומצבו האישי והכלכלי, עתר הסנגור להטלת עונש המצוי בתחתית המתחם, הימנעות מחילוט, וריצוי בחופף להפעלת העונשים המותנים. ב"כ הנאשם עתר בנוסף שלא להכריז על הנאשם כסוחר סמים, ואף הביע הסכמה לחילוט מלוא הכספים שנתפסו, היה ובית המשפט יימנע מההכרזה. </w:t>
      </w:r>
    </w:p>
    <w:p w:rsidR="00262E11" w:rsidRDefault="00262E11" w:rsidP="00262E11">
      <w:pPr>
        <w:spacing w:before="240" w:after="240" w:line="360" w:lineRule="auto"/>
        <w:jc w:val="both"/>
        <w:rPr>
          <w:rFonts w:ascii="David" w:hAnsi="David"/>
          <w:rtl/>
        </w:rPr>
      </w:pPr>
      <w:r>
        <w:rPr>
          <w:rFonts w:ascii="David" w:hAnsi="David"/>
          <w:u w:val="single"/>
          <w:rtl/>
        </w:rPr>
        <w:t>הנאשם</w:t>
      </w:r>
      <w:r>
        <w:rPr>
          <w:rFonts w:ascii="David" w:hAnsi="David"/>
          <w:rtl/>
        </w:rPr>
        <w:t xml:space="preserve"> בדבריו שיתף כי קיווה להשתקם, אך סביבת מגוריו לא אפשרה את השלמת הטיפול. עוד שיתף כי הוא עתיד להינשא במאי 2024, וביקש לדחות את ריצוי עונשו לאחר מועד החתונה. </w:t>
      </w:r>
    </w:p>
    <w:p w:rsidR="00262E11" w:rsidRDefault="00262E11" w:rsidP="00262E11">
      <w:pPr>
        <w:spacing w:before="240" w:after="240" w:line="360" w:lineRule="auto"/>
        <w:jc w:val="both"/>
        <w:rPr>
          <w:rFonts w:ascii="David" w:hAnsi="David"/>
          <w:b/>
          <w:bCs/>
          <w:color w:val="FF0000"/>
          <w:u w:val="single"/>
          <w:rtl/>
        </w:rPr>
      </w:pPr>
      <w:r>
        <w:rPr>
          <w:rFonts w:ascii="David" w:hAnsi="David"/>
          <w:b/>
          <w:bCs/>
          <w:u w:val="single"/>
          <w:rtl/>
        </w:rPr>
        <w:t>דיון</w:t>
      </w:r>
    </w:p>
    <w:p w:rsidR="00262E11" w:rsidRDefault="00262E11" w:rsidP="00262E11">
      <w:pPr>
        <w:spacing w:before="240" w:after="240" w:line="360" w:lineRule="auto"/>
        <w:jc w:val="both"/>
        <w:rPr>
          <w:rFonts w:ascii="David" w:hAnsi="David"/>
          <w:rtl/>
        </w:rPr>
      </w:pPr>
      <w:r>
        <w:rPr>
          <w:rFonts w:ascii="David" w:hAnsi="David"/>
          <w:rtl/>
        </w:rPr>
        <w:t>בתי המשפט שבו ועמדו על החומרה הגלומה בעבירות</w:t>
      </w:r>
      <w:r w:rsidR="00580225">
        <w:rPr>
          <w:rFonts w:ascii="David" w:hAnsi="David"/>
          <w:rtl/>
        </w:rPr>
        <w:t xml:space="preserve"> </w:t>
      </w:r>
      <w:r>
        <w:rPr>
          <w:rFonts w:ascii="David" w:hAnsi="David"/>
          <w:rtl/>
        </w:rPr>
        <w:t>הסמים, ומדיניות הענישה הצריכה להינקט כלפי כלל המעורבים בשרשרת הפצת הסם. הערכים</w:t>
      </w:r>
      <w:r w:rsidR="00580225">
        <w:rPr>
          <w:rFonts w:ascii="David" w:hAnsi="David"/>
          <w:rtl/>
        </w:rPr>
        <w:t xml:space="preserve"> </w:t>
      </w:r>
      <w:r>
        <w:rPr>
          <w:rFonts w:ascii="David" w:hAnsi="David"/>
          <w:rtl/>
        </w:rPr>
        <w:t>החברתיים</w:t>
      </w:r>
      <w:r w:rsidR="00580225">
        <w:rPr>
          <w:rFonts w:ascii="David" w:hAnsi="David"/>
          <w:rtl/>
        </w:rPr>
        <w:t xml:space="preserve"> </w:t>
      </w:r>
      <w:r>
        <w:rPr>
          <w:rFonts w:ascii="David" w:hAnsi="David"/>
          <w:rtl/>
        </w:rPr>
        <w:t>המוגנים</w:t>
      </w:r>
      <w:r w:rsidR="00580225">
        <w:rPr>
          <w:rFonts w:ascii="David" w:hAnsi="David"/>
          <w:rtl/>
        </w:rPr>
        <w:t xml:space="preserve"> </w:t>
      </w:r>
      <w:r>
        <w:rPr>
          <w:rFonts w:ascii="David" w:hAnsi="David"/>
          <w:rtl/>
        </w:rPr>
        <w:t xml:space="preserve">העומדים ביסוד עבירת הסחר הינם הסדר הציבורי, שלום הציבור ובריאותו. אין צורך להכביר במילים אודות שיעור הנזק, הישיר והעקיף, הנגרם למשתמשי הסם, בני משפחותיהם והציבור בכללותו, וזאת בפרט שעה שמדובר בסמים קשים. </w:t>
      </w:r>
    </w:p>
    <w:p w:rsidR="00262E11" w:rsidRDefault="00262E11" w:rsidP="00262E11">
      <w:pPr>
        <w:spacing w:before="240" w:after="240" w:line="360" w:lineRule="auto"/>
        <w:jc w:val="both"/>
        <w:rPr>
          <w:rFonts w:ascii="David" w:hAnsi="David"/>
          <w:rtl/>
        </w:rPr>
      </w:pPr>
      <w:r>
        <w:rPr>
          <w:rFonts w:ascii="David" w:hAnsi="David"/>
          <w:rtl/>
        </w:rPr>
        <w:t>לצד האמור בפסיקה נקבע מנעד ענישה רחב, הנקבע בין היתר מסוג הסם, כמותו, ומידת מרכזיותו של הנאשם בשרשרת הפצת הסם (</w:t>
      </w:r>
      <w:hyperlink r:id="rId21" w:history="1">
        <w:r w:rsidR="00580225" w:rsidRPr="00580225">
          <w:rPr>
            <w:rFonts w:ascii="David" w:hAnsi="David"/>
            <w:color w:val="0000FF"/>
            <w:u w:val="single"/>
            <w:rtl/>
          </w:rPr>
          <w:t>ע"פ 6548/17</w:t>
        </w:r>
      </w:hyperlink>
      <w:r w:rsidR="00580225">
        <w:rPr>
          <w:rFonts w:ascii="David" w:hAnsi="David"/>
          <w:rtl/>
        </w:rPr>
        <w:t xml:space="preserve">  </w:t>
      </w:r>
      <w:r>
        <w:rPr>
          <w:rFonts w:ascii="David" w:hAnsi="David"/>
          <w:b/>
          <w:bCs/>
          <w:rtl/>
        </w:rPr>
        <w:t>לבדב נ' מדינת ישראל</w:t>
      </w:r>
      <w:r>
        <w:rPr>
          <w:rFonts w:ascii="David" w:hAnsi="David"/>
          <w:rtl/>
        </w:rPr>
        <w:t xml:space="preserve"> (נבו 30/1/2018)).</w:t>
      </w:r>
    </w:p>
    <w:p w:rsidR="00262E11" w:rsidRDefault="00262E11" w:rsidP="00262E11">
      <w:pPr>
        <w:spacing w:before="240" w:after="240" w:line="360" w:lineRule="auto"/>
        <w:jc w:val="both"/>
        <w:rPr>
          <w:rFonts w:ascii="David" w:hAnsi="David"/>
          <w:b/>
          <w:bCs/>
          <w:rtl/>
        </w:rPr>
      </w:pPr>
      <w:r>
        <w:rPr>
          <w:rFonts w:ascii="David" w:hAnsi="David"/>
          <w:b/>
          <w:bCs/>
          <w:rtl/>
        </w:rPr>
        <w:t>במקרה שלפני, מדובר בעבירת סחר אחת בסם מסוכן מסוג קוקאין, שלא קדם לה תכנון מוקדם, ובהיקף עסקה זעיר. אמנם נסיבות המכירה עלולות להעיד על זמינות הנאשם לסם, אך מנגד מדובר בעסקה בודדת בשווי 100 ₪ בלבד, ובכמות סם קטנה, אף ביחס לשיעורי ההחזקה העצמית הקבועים בתוספת השניה ל</w:t>
      </w:r>
      <w:hyperlink r:id="rId22" w:history="1">
        <w:r w:rsidR="00580225" w:rsidRPr="00580225">
          <w:rPr>
            <w:rFonts w:ascii="David" w:hAnsi="David"/>
            <w:b/>
            <w:bCs/>
            <w:color w:val="0000FF"/>
            <w:u w:val="single"/>
            <w:rtl/>
          </w:rPr>
          <w:t>פקודת הסמים המסוכנים</w:t>
        </w:r>
      </w:hyperlink>
      <w:r>
        <w:rPr>
          <w:rFonts w:ascii="David" w:hAnsi="David"/>
          <w:b/>
          <w:bCs/>
          <w:rtl/>
        </w:rPr>
        <w:t xml:space="preserve"> (בענייננו 0.0882 גרם אל מול רף ההחזקה לצריכה עצמית של קוקאין העומד על 0.3 גרם). בנסיבות אלו, לא שוכנעתי כי האישום כשלעצמו מלמד על מרכזיות הנאשם בשרשרת הפצת הסם או על היותו סוחר סמים, וזאת מבלי להתעלם מעברו המכביד בעבירות סחר. </w:t>
      </w:r>
    </w:p>
    <w:p w:rsidR="00262E11" w:rsidRDefault="00262E11" w:rsidP="00262E11">
      <w:pPr>
        <w:spacing w:before="240" w:after="240" w:line="360" w:lineRule="auto"/>
        <w:jc w:val="both"/>
        <w:rPr>
          <w:rFonts w:ascii="David" w:hAnsi="David"/>
          <w:rtl/>
        </w:rPr>
      </w:pPr>
      <w:r>
        <w:rPr>
          <w:rFonts w:ascii="David" w:hAnsi="David"/>
          <w:rtl/>
        </w:rPr>
        <w:t>אשר על כן צודק ב"כ הנאשם כי המקרים בפסיקה אליהם הפנתה המאשימה אינם תואמים את חומרת המקרה שבפני. אפרט:</w:t>
      </w:r>
    </w:p>
    <w:p w:rsidR="00262E11" w:rsidRDefault="00580225" w:rsidP="00262E11">
      <w:pPr>
        <w:spacing w:before="240" w:after="240" w:line="360" w:lineRule="auto"/>
        <w:jc w:val="both"/>
        <w:rPr>
          <w:rFonts w:ascii="David" w:hAnsi="David"/>
          <w:rtl/>
        </w:rPr>
      </w:pPr>
      <w:r>
        <w:rPr>
          <w:rFonts w:ascii="David" w:hAnsi="David"/>
        </w:rPr>
        <w:t xml:space="preserve"> </w:t>
      </w:r>
      <w:r w:rsidR="00262E11">
        <w:rPr>
          <w:rFonts w:ascii="David" w:hAnsi="David"/>
          <w:rtl/>
        </w:rPr>
        <w:t>ב</w:t>
      </w:r>
      <w:hyperlink r:id="rId23" w:history="1">
        <w:r w:rsidRPr="00580225">
          <w:rPr>
            <w:rFonts w:ascii="David" w:hAnsi="David"/>
            <w:color w:val="0000FF"/>
            <w:u w:val="single"/>
            <w:rtl/>
          </w:rPr>
          <w:t>רע"פ 126/15</w:t>
        </w:r>
      </w:hyperlink>
      <w:r>
        <w:rPr>
          <w:rFonts w:ascii="David" w:hAnsi="David"/>
          <w:rtl/>
        </w:rPr>
        <w:t xml:space="preserve"> </w:t>
      </w:r>
      <w:r w:rsidR="00262E11">
        <w:rPr>
          <w:rFonts w:ascii="David" w:hAnsi="David"/>
          <w:b/>
          <w:bCs/>
          <w:rtl/>
        </w:rPr>
        <w:t>חביף נ' מדינת ישראל</w:t>
      </w:r>
      <w:r>
        <w:rPr>
          <w:rFonts w:ascii="David" w:hAnsi="David"/>
          <w:rtl/>
        </w:rPr>
        <w:t xml:space="preserve"> </w:t>
      </w:r>
      <w:r w:rsidR="00262E11">
        <w:rPr>
          <w:rFonts w:ascii="David" w:hAnsi="David"/>
          <w:rtl/>
        </w:rPr>
        <w:t>(נבו 15.01.15) נדון עניינו של נאשם</w:t>
      </w:r>
      <w:r>
        <w:rPr>
          <w:rFonts w:ascii="David" w:hAnsi="David"/>
          <w:rtl/>
        </w:rPr>
        <w:t xml:space="preserve"> </w:t>
      </w:r>
      <w:r w:rsidR="00262E11">
        <w:rPr>
          <w:rFonts w:ascii="David" w:hAnsi="David"/>
          <w:rtl/>
        </w:rPr>
        <w:t>שמכר סם מסוכן מסוג קוקאין</w:t>
      </w:r>
      <w:r>
        <w:rPr>
          <w:rFonts w:ascii="David" w:hAnsi="David"/>
          <w:rtl/>
        </w:rPr>
        <w:t xml:space="preserve"> </w:t>
      </w:r>
      <w:r w:rsidR="00262E11">
        <w:rPr>
          <w:rFonts w:ascii="David" w:hAnsi="David"/>
          <w:rtl/>
        </w:rPr>
        <w:t>לסוכן משטרתי בשלושה אירועים שונים. משקלי המכירה בכל אחת מהעסקאות עלו על רף ההחזקה העצמית המינימלית (0.39 גרם, 0.81 גרם ו-2.5 גרם). באותו מקרה אושר</w:t>
      </w:r>
      <w:r>
        <w:rPr>
          <w:rFonts w:ascii="David" w:hAnsi="David"/>
          <w:rtl/>
        </w:rPr>
        <w:t xml:space="preserve"> </w:t>
      </w:r>
      <w:r w:rsidR="00262E11">
        <w:rPr>
          <w:rFonts w:ascii="David" w:hAnsi="David"/>
          <w:rtl/>
        </w:rPr>
        <w:t xml:space="preserve">מתחם עונש לכל מכירה הנע בין 8 ל-18 חודשי מאסר, תוך שצוין כי המתחם הולם ואף מקל. </w:t>
      </w:r>
    </w:p>
    <w:p w:rsidR="00262E11" w:rsidRDefault="00262E11" w:rsidP="00262E11">
      <w:pPr>
        <w:spacing w:before="240" w:after="240" w:line="360" w:lineRule="auto"/>
        <w:jc w:val="both"/>
        <w:rPr>
          <w:rFonts w:ascii="David" w:hAnsi="David"/>
          <w:rtl/>
        </w:rPr>
      </w:pPr>
      <w:r>
        <w:rPr>
          <w:rFonts w:ascii="David" w:hAnsi="David"/>
          <w:rtl/>
        </w:rPr>
        <w:t>ב</w:t>
      </w:r>
      <w:hyperlink r:id="rId24" w:history="1">
        <w:r w:rsidR="00580225" w:rsidRPr="00580225">
          <w:rPr>
            <w:rFonts w:ascii="David" w:hAnsi="David"/>
            <w:color w:val="0000FF"/>
            <w:u w:val="single"/>
            <w:rtl/>
          </w:rPr>
          <w:t>רע"פ 8408/15</w:t>
        </w:r>
      </w:hyperlink>
      <w:r>
        <w:rPr>
          <w:rFonts w:ascii="David" w:hAnsi="David"/>
          <w:rtl/>
        </w:rPr>
        <w:t xml:space="preserve"> </w:t>
      </w:r>
      <w:r>
        <w:rPr>
          <w:rFonts w:ascii="David" w:hAnsi="David"/>
          <w:b/>
          <w:bCs/>
          <w:rtl/>
        </w:rPr>
        <w:t>חביב נ' מדינת ישראל</w:t>
      </w:r>
      <w:r>
        <w:rPr>
          <w:rFonts w:ascii="David" w:hAnsi="David"/>
          <w:rtl/>
        </w:rPr>
        <w:t xml:space="preserve"> (נבו 9.12.15), נדון עניינו של נאשם שהורשע בעבירות סחר והחזקת סמים שלא לצריכה עצמית, בשלושה אירועים שונים. במקרה זה העסקאות כללו תכנון ותיאום מוקדם, ונסיבות המכירות עלו באופן ניכר על רף ההחזקה המינימלית (1.1 גרם, 10 אריזות במשקל העולה על 5 גרם, ואריזות במשקל העולה על 15 גרם). גם שם אושר מתחם עונש לכל מכירה הנע בין 8 ל-18 חודשי מאסר בפועל.</w:t>
      </w:r>
    </w:p>
    <w:p w:rsidR="00262E11" w:rsidRDefault="00262E11" w:rsidP="00262E11">
      <w:pPr>
        <w:spacing w:before="240" w:after="240" w:line="360" w:lineRule="auto"/>
        <w:jc w:val="both"/>
        <w:rPr>
          <w:rFonts w:ascii="David" w:hAnsi="David"/>
          <w:rtl/>
        </w:rPr>
      </w:pPr>
      <w:r>
        <w:rPr>
          <w:rFonts w:ascii="David" w:hAnsi="David"/>
          <w:rtl/>
        </w:rPr>
        <w:t>וכן ב</w:t>
      </w:r>
      <w:hyperlink r:id="rId25" w:history="1">
        <w:r w:rsidR="00580225" w:rsidRPr="00580225">
          <w:rPr>
            <w:rFonts w:ascii="David" w:hAnsi="David"/>
            <w:color w:val="0000FF"/>
            <w:u w:val="single"/>
            <w:rtl/>
          </w:rPr>
          <w:t>רע"פ 5494/19</w:t>
        </w:r>
      </w:hyperlink>
      <w:r>
        <w:rPr>
          <w:rFonts w:ascii="David" w:hAnsi="David"/>
          <w:rtl/>
        </w:rPr>
        <w:t xml:space="preserve"> </w:t>
      </w:r>
      <w:r>
        <w:rPr>
          <w:rFonts w:ascii="David" w:hAnsi="David"/>
          <w:b/>
          <w:bCs/>
          <w:rtl/>
        </w:rPr>
        <w:t>רנד נ' מדינת ישראל</w:t>
      </w:r>
      <w:r>
        <w:rPr>
          <w:rFonts w:ascii="David" w:hAnsi="David"/>
          <w:rtl/>
        </w:rPr>
        <w:t xml:space="preserve"> (נבו 22.8.19) נדון עניינו של נאשם שהורשע בעבירת סחר והחזקת סם שלא לצריכה עצמית. באותו מקרה העסקה בוצעה מול שני לקוחות, ונמכרו במסגרתה שלוש יחידות קריסטל, כשבמקביל החזיק הנאשם ברכבו 11 יחידות של הרואין ו-8 יחידות של קוקאין. בנסיבות אלה נקבע מתחם ענישה הנע בין 6 ל- 18 חודשי מאסר בפועל. </w:t>
      </w:r>
    </w:p>
    <w:p w:rsidR="00262E11" w:rsidRDefault="00262E11" w:rsidP="00262E11">
      <w:pPr>
        <w:spacing w:before="240" w:after="240" w:line="360" w:lineRule="auto"/>
        <w:jc w:val="both"/>
        <w:rPr>
          <w:rFonts w:ascii="David" w:hAnsi="David"/>
          <w:rtl/>
        </w:rPr>
      </w:pPr>
      <w:r>
        <w:rPr>
          <w:rFonts w:ascii="David" w:hAnsi="David"/>
          <w:rtl/>
        </w:rPr>
        <w:t>אציין כי לא מצאתי בפסיקה מתחם התואם את הנסיבות שבפנינו, ואולם לשם ההשוואה מצאתי להביא בנוסף את פסקי הדין הבאים, תוך שימת לב לנסיבותיהם החמורות יחסית:</w:t>
      </w:r>
    </w:p>
    <w:p w:rsidR="00262E11" w:rsidRDefault="00262E11" w:rsidP="00262E11">
      <w:pPr>
        <w:spacing w:before="240" w:after="240" w:line="360" w:lineRule="auto"/>
        <w:jc w:val="both"/>
        <w:rPr>
          <w:rFonts w:ascii="David" w:hAnsi="David"/>
          <w:rtl/>
        </w:rPr>
      </w:pPr>
      <w:r>
        <w:rPr>
          <w:rtl/>
        </w:rPr>
        <w:t>ב</w:t>
      </w:r>
      <w:hyperlink r:id="rId26" w:history="1">
        <w:r w:rsidR="00580225" w:rsidRPr="00580225">
          <w:rPr>
            <w:rFonts w:ascii="David" w:hAnsi="David"/>
            <w:color w:val="0000FF"/>
            <w:u w:val="single"/>
            <w:rtl/>
          </w:rPr>
          <w:t>רע"פ 65/15</w:t>
        </w:r>
      </w:hyperlink>
      <w:r w:rsidR="00580225">
        <w:rPr>
          <w:rFonts w:ascii="David" w:hAnsi="David"/>
          <w:rtl/>
        </w:rPr>
        <w:t xml:space="preserve"> </w:t>
      </w:r>
      <w:r>
        <w:rPr>
          <w:rFonts w:ascii="David" w:hAnsi="David"/>
          <w:b/>
          <w:bCs/>
          <w:rtl/>
        </w:rPr>
        <w:t>מסראווה נ' מדינת ישראל</w:t>
      </w:r>
      <w:r w:rsidR="00580225">
        <w:rPr>
          <w:rFonts w:ascii="David" w:hAnsi="David"/>
          <w:rtl/>
        </w:rPr>
        <w:t xml:space="preserve"> </w:t>
      </w:r>
      <w:r>
        <w:rPr>
          <w:rFonts w:ascii="David" w:hAnsi="David"/>
          <w:b/>
          <w:bCs/>
          <w:rtl/>
        </w:rPr>
        <w:t xml:space="preserve"> </w:t>
      </w:r>
      <w:r>
        <w:rPr>
          <w:rFonts w:ascii="David" w:hAnsi="David"/>
          <w:rtl/>
        </w:rPr>
        <w:t>(נבו 13.1.2015) נדחתה בקשת רשות ערעור של מי שהורשע בשתי עבירות של סחר</w:t>
      </w:r>
      <w:r w:rsidR="00580225">
        <w:rPr>
          <w:rFonts w:ascii="David" w:hAnsi="David"/>
          <w:rtl/>
        </w:rPr>
        <w:t xml:space="preserve"> </w:t>
      </w:r>
      <w:r>
        <w:rPr>
          <w:rFonts w:ascii="David" w:hAnsi="David"/>
          <w:rtl/>
        </w:rPr>
        <w:t>בקוקאין</w:t>
      </w:r>
      <w:r w:rsidR="00580225">
        <w:rPr>
          <w:rFonts w:ascii="David" w:hAnsi="David"/>
          <w:rtl/>
        </w:rPr>
        <w:t xml:space="preserve"> </w:t>
      </w:r>
      <w:r>
        <w:rPr>
          <w:rFonts w:ascii="David" w:hAnsi="David"/>
          <w:rtl/>
        </w:rPr>
        <w:t>תמורת 200 ש"ח. באותו מקרה נקבע מתחם ענישה של</w:t>
      </w:r>
      <w:r w:rsidR="00580225">
        <w:rPr>
          <w:rFonts w:ascii="David" w:hAnsi="David"/>
          <w:rtl/>
        </w:rPr>
        <w:t xml:space="preserve"> </w:t>
      </w:r>
      <w:r>
        <w:rPr>
          <w:rFonts w:ascii="David" w:hAnsi="David"/>
          <w:rtl/>
        </w:rPr>
        <w:t>18-6 חודשי מאסר בגין שני אירועי הסחר.</w:t>
      </w:r>
    </w:p>
    <w:p w:rsidR="00262E11" w:rsidRDefault="00262E11" w:rsidP="00262E11">
      <w:pPr>
        <w:spacing w:before="240" w:after="240" w:line="360" w:lineRule="auto"/>
        <w:jc w:val="both"/>
        <w:rPr>
          <w:rFonts w:ascii="David" w:hAnsi="David"/>
          <w:rtl/>
        </w:rPr>
      </w:pPr>
      <w:r>
        <w:rPr>
          <w:rFonts w:ascii="David" w:hAnsi="David"/>
          <w:rtl/>
        </w:rPr>
        <w:t>ב</w:t>
      </w:r>
      <w:hyperlink r:id="rId27" w:history="1">
        <w:r w:rsidR="00580225" w:rsidRPr="00580225">
          <w:rPr>
            <w:rFonts w:ascii="David" w:hAnsi="David"/>
            <w:color w:val="0000FF"/>
            <w:u w:val="single"/>
            <w:rtl/>
          </w:rPr>
          <w:t>רע"פ 7681/13</w:t>
        </w:r>
      </w:hyperlink>
      <w:r w:rsidR="00580225">
        <w:rPr>
          <w:rFonts w:ascii="David" w:hAnsi="David"/>
          <w:rtl/>
        </w:rPr>
        <w:t xml:space="preserve"> </w:t>
      </w:r>
      <w:r>
        <w:rPr>
          <w:rFonts w:ascii="David" w:hAnsi="David"/>
          <w:b/>
          <w:bCs/>
          <w:rtl/>
        </w:rPr>
        <w:t>דקה נ' מדינת ישראל</w:t>
      </w:r>
      <w:r w:rsidR="00580225">
        <w:rPr>
          <w:rFonts w:ascii="David" w:hAnsi="David"/>
          <w:rtl/>
        </w:rPr>
        <w:t xml:space="preserve"> </w:t>
      </w:r>
      <w:r>
        <w:rPr>
          <w:rFonts w:ascii="David" w:hAnsi="David"/>
          <w:rtl/>
        </w:rPr>
        <w:t xml:space="preserve"> (נבו 21.1.2014) נדחתה בקשת רשות ערעור של נאשם שנדון ל-10 חודשי מאסר בגין שתי עבירות של</w:t>
      </w:r>
      <w:r w:rsidR="00580225">
        <w:rPr>
          <w:rFonts w:ascii="David" w:hAnsi="David"/>
          <w:rtl/>
        </w:rPr>
        <w:t xml:space="preserve"> </w:t>
      </w:r>
      <w:r>
        <w:rPr>
          <w:rFonts w:ascii="David" w:hAnsi="David"/>
          <w:rtl/>
        </w:rPr>
        <w:t>סחר</w:t>
      </w:r>
      <w:r w:rsidR="00580225">
        <w:rPr>
          <w:rFonts w:ascii="David" w:hAnsi="David"/>
          <w:rtl/>
        </w:rPr>
        <w:t xml:space="preserve"> </w:t>
      </w:r>
      <w:r>
        <w:rPr>
          <w:rFonts w:ascii="David" w:hAnsi="David"/>
          <w:rtl/>
        </w:rPr>
        <w:t>בסם</w:t>
      </w:r>
      <w:r w:rsidR="00580225">
        <w:rPr>
          <w:rFonts w:ascii="David" w:hAnsi="David"/>
          <w:rtl/>
        </w:rPr>
        <w:t xml:space="preserve"> </w:t>
      </w:r>
      <w:r>
        <w:rPr>
          <w:rFonts w:ascii="David" w:hAnsi="David"/>
          <w:rtl/>
        </w:rPr>
        <w:t>מסוכן</w:t>
      </w:r>
      <w:r w:rsidR="00580225">
        <w:rPr>
          <w:rFonts w:ascii="David" w:hAnsi="David"/>
          <w:rtl/>
        </w:rPr>
        <w:t xml:space="preserve"> </w:t>
      </w:r>
      <w:r>
        <w:rPr>
          <w:rFonts w:ascii="David" w:hAnsi="David"/>
          <w:rtl/>
        </w:rPr>
        <w:t>מסוג הרואין במשקל מצטבר של כשלושה גרם. מתחם הענישה שנקבע באותו מקרה היה</w:t>
      </w:r>
      <w:r w:rsidR="00580225">
        <w:rPr>
          <w:rFonts w:ascii="David" w:hAnsi="David"/>
          <w:rtl/>
        </w:rPr>
        <w:t xml:space="preserve"> </w:t>
      </w:r>
      <w:r>
        <w:rPr>
          <w:rFonts w:ascii="David" w:hAnsi="David"/>
          <w:rtl/>
        </w:rPr>
        <w:t>12-6 חודשי מאסר לכל אחת ממכירות הסם.</w:t>
      </w:r>
    </w:p>
    <w:p w:rsidR="00262E11" w:rsidRDefault="00262E11" w:rsidP="00262E11">
      <w:pPr>
        <w:spacing w:before="240" w:after="240" w:line="360" w:lineRule="auto"/>
        <w:jc w:val="both"/>
        <w:rPr>
          <w:rFonts w:ascii="David" w:hAnsi="David"/>
          <w:rtl/>
        </w:rPr>
      </w:pPr>
      <w:r>
        <w:rPr>
          <w:rFonts w:ascii="David" w:hAnsi="David"/>
          <w:shd w:val="clear" w:color="auto" w:fill="FFFFFF"/>
          <w:rtl/>
        </w:rPr>
        <w:t>ב</w:t>
      </w:r>
      <w:hyperlink r:id="rId28" w:history="1">
        <w:r w:rsidR="00580225" w:rsidRPr="00580225">
          <w:rPr>
            <w:rFonts w:ascii="David" w:hAnsi="David"/>
            <w:color w:val="0000FF"/>
            <w:u w:val="single"/>
            <w:shd w:val="clear" w:color="auto" w:fill="FFFFFF"/>
            <w:rtl/>
          </w:rPr>
          <w:t>עפ"ג (מרכז-לוד) 9680-01-22</w:t>
        </w:r>
      </w:hyperlink>
      <w:r w:rsidR="00580225">
        <w:rPr>
          <w:rFonts w:ascii="David" w:hAnsi="David"/>
          <w:color w:val="000000"/>
          <w:shd w:val="clear" w:color="auto" w:fill="FFFFFF"/>
          <w:rtl/>
        </w:rPr>
        <w:t xml:space="preserve"> </w:t>
      </w:r>
      <w:r>
        <w:rPr>
          <w:rFonts w:ascii="David" w:hAnsi="David"/>
          <w:b/>
          <w:bCs/>
          <w:color w:val="000000"/>
          <w:shd w:val="clear" w:color="auto" w:fill="FFFFFF"/>
          <w:rtl/>
        </w:rPr>
        <w:t>טוגנטמן נ' מדינת ישראל</w:t>
      </w:r>
      <w:r w:rsidR="00580225">
        <w:rPr>
          <w:rFonts w:ascii="David" w:hAnsi="David"/>
          <w:b/>
          <w:bCs/>
          <w:color w:val="000000"/>
          <w:shd w:val="clear" w:color="auto" w:fill="FFFFFF"/>
          <w:rtl/>
        </w:rPr>
        <w:t xml:space="preserve"> </w:t>
      </w:r>
      <w:r>
        <w:rPr>
          <w:rFonts w:ascii="David" w:hAnsi="David"/>
          <w:color w:val="000000"/>
          <w:shd w:val="clear" w:color="auto" w:fill="FFFFFF"/>
        </w:rPr>
        <w:t>)</w:t>
      </w:r>
      <w:r>
        <w:rPr>
          <w:rFonts w:ascii="David" w:hAnsi="David"/>
          <w:color w:val="000000"/>
          <w:shd w:val="clear" w:color="auto" w:fill="FFFFFF"/>
          <w:rtl/>
        </w:rPr>
        <w:t>נבו 3.7.23) נדון עניינו של נאשם שהורשע בתיווך לסחר בסם</w:t>
      </w:r>
      <w:r w:rsidR="00580225">
        <w:rPr>
          <w:rFonts w:ascii="David" w:hAnsi="David"/>
          <w:color w:val="000000"/>
          <w:shd w:val="clear" w:color="auto" w:fill="FFFFFF"/>
          <w:rtl/>
        </w:rPr>
        <w:t xml:space="preserve"> </w:t>
      </w:r>
      <w:r>
        <w:rPr>
          <w:rFonts w:ascii="David" w:hAnsi="David"/>
          <w:color w:val="000000"/>
          <w:shd w:val="clear" w:color="auto" w:fill="FFFFFF"/>
        </w:rPr>
        <w:t>LSD</w:t>
      </w:r>
      <w:r w:rsidR="00580225">
        <w:rPr>
          <w:rFonts w:ascii="David" w:hAnsi="David"/>
          <w:color w:val="000000"/>
          <w:shd w:val="clear" w:color="auto" w:fill="FFFFFF"/>
        </w:rPr>
        <w:t xml:space="preserve"> </w:t>
      </w:r>
      <w:r>
        <w:rPr>
          <w:rFonts w:ascii="David" w:hAnsi="David"/>
          <w:color w:val="000000"/>
          <w:shd w:val="clear" w:color="auto" w:fill="FFFFFF"/>
          <w:rtl/>
        </w:rPr>
        <w:t xml:space="preserve"> בבקבוקן שהכיל 0.1 מ"מ, אותו מסר לסוכן משטרתי. באותו מקרה נקבע מתחם עונש הנע בין מספר חודשי מאסר ועד 12 חודשים, ובהסכמת הצדדים בערעור הועמד עונשו של הנאשם על 9 חודשי מאסר בעבודות שירות.</w:t>
      </w:r>
    </w:p>
    <w:p w:rsidR="00262E11" w:rsidRDefault="00262E11" w:rsidP="00262E11">
      <w:pPr>
        <w:spacing w:before="240" w:after="240" w:line="360" w:lineRule="auto"/>
        <w:jc w:val="both"/>
        <w:rPr>
          <w:rFonts w:ascii="David" w:hAnsi="David"/>
          <w:rtl/>
        </w:rPr>
      </w:pPr>
      <w:r>
        <w:rPr>
          <w:rFonts w:ascii="David" w:hAnsi="David"/>
          <w:b/>
          <w:bCs/>
          <w:rtl/>
        </w:rPr>
        <w:t>לאור האמור, בהינתן עסקה בודדת וכמות סם מסוג קוקאין המצויה בטווח ההחזקה לצריכה עצמית, מצאתי לקבוע מתחם ענישה הנע בין 4 ל-12 חודשי מאסר בפועל</w:t>
      </w:r>
      <w:r>
        <w:rPr>
          <w:rFonts w:ascii="David" w:hAnsi="David"/>
          <w:rtl/>
        </w:rPr>
        <w:t xml:space="preserve">. </w:t>
      </w:r>
    </w:p>
    <w:p w:rsidR="00262E11" w:rsidRDefault="00262E11" w:rsidP="00262E11">
      <w:pPr>
        <w:spacing w:before="240" w:after="240" w:line="360" w:lineRule="auto"/>
        <w:jc w:val="both"/>
        <w:rPr>
          <w:rFonts w:ascii="David" w:hAnsi="David"/>
          <w:color w:val="000000"/>
          <w:rtl/>
        </w:rPr>
      </w:pPr>
      <w:r>
        <w:rPr>
          <w:rFonts w:ascii="David" w:hAnsi="David"/>
          <w:rtl/>
        </w:rPr>
        <w:t xml:space="preserve">באשר לעבירת החזקת רכוש החשוד כגנוב, הערך החברתי המוגן בעבירה זו הינו </w:t>
      </w:r>
      <w:r>
        <w:rPr>
          <w:rFonts w:ascii="David" w:hAnsi="David"/>
          <w:color w:val="000000"/>
          <w:rtl/>
        </w:rPr>
        <w:t>הגנה על קניינו שלומו ובטחונו של הפרט. במקרה שבפני, הנאשם רכש מיטלטלין במחיר נמוך משמעותית משווים, ובכך הקים את יסודות העבירה. מעשיו לא לוו בביצוע עבירות נוספות מתחום הרכוש, הוא עצמו לא נחשד כמעורב בגניבה, וממילא הפגיעה בערך המוגן מצויה ברף הנמוך ביותר.</w:t>
      </w:r>
    </w:p>
    <w:p w:rsidR="00262E11" w:rsidRDefault="00262E11" w:rsidP="00262E11">
      <w:pPr>
        <w:shd w:val="clear" w:color="auto" w:fill="FFFFFF"/>
        <w:spacing w:before="240" w:after="240" w:line="360" w:lineRule="atLeast"/>
        <w:jc w:val="both"/>
        <w:rPr>
          <w:rFonts w:ascii="David" w:hAnsi="David"/>
          <w:rtl/>
        </w:rPr>
      </w:pPr>
      <w:r>
        <w:rPr>
          <w:rFonts w:ascii="David" w:hAnsi="David"/>
          <w:b/>
          <w:bCs/>
          <w:rtl/>
        </w:rPr>
        <w:t>בחינת הפסיקה מעלה כי מתחם הענישה בגין עבירה זו, אף בנסיבות חמורות מאלו שבפנינו, נע משל"צ והתחייבות ועד מאסר מותנה</w:t>
      </w:r>
      <w:r>
        <w:rPr>
          <w:rFonts w:ascii="David" w:hAnsi="David"/>
          <w:rtl/>
        </w:rPr>
        <w:t xml:space="preserve">. ראו </w:t>
      </w:r>
      <w:hyperlink r:id="rId29" w:history="1">
        <w:r w:rsidR="00580225" w:rsidRPr="00580225">
          <w:rPr>
            <w:rFonts w:ascii="David" w:hAnsi="David"/>
            <w:color w:val="0000FF"/>
            <w:u w:val="single"/>
            <w:rtl/>
          </w:rPr>
          <w:t>ת"פ (שלום רח') 47605-05-12</w:t>
        </w:r>
      </w:hyperlink>
      <w:r>
        <w:rPr>
          <w:rFonts w:ascii="David" w:hAnsi="David"/>
          <w:rtl/>
        </w:rPr>
        <w:t xml:space="preserve"> </w:t>
      </w:r>
      <w:r>
        <w:rPr>
          <w:rFonts w:ascii="David" w:hAnsi="David"/>
          <w:b/>
          <w:bCs/>
          <w:rtl/>
        </w:rPr>
        <w:t>מדינת ישראל נ' מוסיס</w:t>
      </w:r>
      <w:r>
        <w:rPr>
          <w:rFonts w:ascii="David" w:hAnsi="David"/>
          <w:rtl/>
        </w:rPr>
        <w:t xml:space="preserve"> (נבו 03.03.2014), </w:t>
      </w:r>
      <w:hyperlink r:id="rId30" w:history="1">
        <w:r w:rsidR="00580225" w:rsidRPr="00580225">
          <w:rPr>
            <w:rFonts w:ascii="David" w:hAnsi="David"/>
            <w:color w:val="0000FF"/>
            <w:u w:val="single"/>
            <w:rtl/>
          </w:rPr>
          <w:t>ת"פ 5861/09</w:t>
        </w:r>
      </w:hyperlink>
      <w:r w:rsidR="00580225">
        <w:rPr>
          <w:rFonts w:ascii="David" w:hAnsi="David"/>
          <w:rtl/>
        </w:rPr>
        <w:t xml:space="preserve"> </w:t>
      </w:r>
      <w:r>
        <w:rPr>
          <w:rFonts w:ascii="David" w:hAnsi="David"/>
          <w:b/>
          <w:bCs/>
          <w:rtl/>
        </w:rPr>
        <w:t>מדינת ישראל נ' כלבוני</w:t>
      </w:r>
      <w:r>
        <w:rPr>
          <w:rFonts w:ascii="David" w:hAnsi="David"/>
          <w:rtl/>
        </w:rPr>
        <w:t xml:space="preserve"> (נבו 14.2.10);</w:t>
      </w:r>
      <w:r w:rsidR="00580225">
        <w:rPr>
          <w:rFonts w:ascii="David" w:hAnsi="David"/>
          <w:rtl/>
        </w:rPr>
        <w:t xml:space="preserve"> </w:t>
      </w:r>
      <w:r w:rsidRPr="00580225">
        <w:rPr>
          <w:rFonts w:ascii="David" w:hAnsi="David"/>
          <w:color w:val="000000"/>
          <w:rtl/>
        </w:rPr>
        <w:t>ת"פ 1994/08</w:t>
      </w:r>
      <w:r w:rsidR="00580225">
        <w:rPr>
          <w:rFonts w:ascii="David" w:hAnsi="David"/>
          <w:rtl/>
        </w:rPr>
        <w:t xml:space="preserve"> </w:t>
      </w:r>
      <w:r>
        <w:rPr>
          <w:rFonts w:ascii="David" w:hAnsi="David"/>
          <w:b/>
          <w:bCs/>
          <w:rtl/>
        </w:rPr>
        <w:t>מדינת ישראל נ' קרינאוי</w:t>
      </w:r>
      <w:r>
        <w:rPr>
          <w:rFonts w:ascii="David" w:hAnsi="David"/>
          <w:rtl/>
        </w:rPr>
        <w:t xml:space="preserve"> (8.2.10);</w:t>
      </w:r>
      <w:r w:rsidR="00580225">
        <w:rPr>
          <w:rFonts w:ascii="David" w:hAnsi="David"/>
          <w:rtl/>
        </w:rPr>
        <w:t xml:space="preserve"> </w:t>
      </w:r>
      <w:r w:rsidRPr="00580225">
        <w:rPr>
          <w:rFonts w:ascii="David" w:hAnsi="David"/>
          <w:color w:val="000000"/>
          <w:rtl/>
        </w:rPr>
        <w:t>ת"פ 1515/06</w:t>
      </w:r>
      <w:r w:rsidR="00580225" w:rsidRPr="00580225">
        <w:rPr>
          <w:rFonts w:ascii="David" w:hAnsi="David"/>
          <w:color w:val="000000"/>
          <w:rtl/>
        </w:rPr>
        <w:t xml:space="preserve"> </w:t>
      </w:r>
      <w:r>
        <w:rPr>
          <w:rFonts w:ascii="David" w:hAnsi="David"/>
          <w:b/>
          <w:bCs/>
          <w:rtl/>
        </w:rPr>
        <w:t>מדינת ישראל נ' אמיל חסן</w:t>
      </w:r>
      <w:r>
        <w:rPr>
          <w:rFonts w:ascii="David" w:hAnsi="David"/>
          <w:rtl/>
        </w:rPr>
        <w:t xml:space="preserve"> (נבו 9.12.12).</w:t>
      </w:r>
    </w:p>
    <w:p w:rsidR="00262E11" w:rsidRDefault="00580225" w:rsidP="00262E11">
      <w:pPr>
        <w:shd w:val="clear" w:color="auto" w:fill="FFFFFF"/>
        <w:spacing w:before="240" w:after="240" w:line="360" w:lineRule="atLeast"/>
        <w:jc w:val="both"/>
        <w:rPr>
          <w:rFonts w:ascii="David" w:hAnsi="David"/>
          <w:b/>
          <w:bCs/>
          <w:rtl/>
        </w:rPr>
      </w:pPr>
      <w:r>
        <w:rPr>
          <w:rFonts w:ascii="David" w:hAnsi="David"/>
          <w:b/>
          <w:bCs/>
        </w:rPr>
        <w:t xml:space="preserve"> </w:t>
      </w:r>
      <w:r w:rsidR="00262E11">
        <w:rPr>
          <w:rFonts w:ascii="David" w:hAnsi="David"/>
          <w:b/>
          <w:bCs/>
          <w:rtl/>
        </w:rPr>
        <w:t>מכאן לנאשם:</w:t>
      </w:r>
    </w:p>
    <w:p w:rsidR="00262E11" w:rsidRDefault="00262E11" w:rsidP="00262E11">
      <w:pPr>
        <w:spacing w:before="240" w:after="240" w:line="360" w:lineRule="auto"/>
        <w:jc w:val="both"/>
        <w:rPr>
          <w:rFonts w:ascii="David" w:hAnsi="David"/>
        </w:rPr>
      </w:pPr>
      <w:r>
        <w:rPr>
          <w:rFonts w:ascii="David" w:hAnsi="David"/>
          <w:rtl/>
        </w:rPr>
        <w:t>הנאשם, כבן 29, נסיבות חייו האישיות והמשפחתיות אינן קלות, ולקשייו מילדות זיקה מלאה למעורבותו בעבריינות.</w:t>
      </w:r>
    </w:p>
    <w:p w:rsidR="00262E11" w:rsidRDefault="00262E11" w:rsidP="00262E11">
      <w:pPr>
        <w:spacing w:before="240" w:after="240" w:line="360" w:lineRule="auto"/>
        <w:jc w:val="both"/>
        <w:rPr>
          <w:rFonts w:ascii="David" w:hAnsi="David"/>
          <w:rtl/>
        </w:rPr>
      </w:pPr>
      <w:r>
        <w:rPr>
          <w:rFonts w:ascii="David" w:hAnsi="David"/>
          <w:rtl/>
        </w:rPr>
        <w:t>לחובת הנאשם עבר מכביד משמעותי ורלוונטי בגין עבירות סמים רבות, ונראה כי העונשים הכבדים שהוטלו עליו לאורך השנים לא הועילו ולא היוו גורם מרתיע מספיק עבורו. העבירות שבפני בוצעו שעה שתלויים ועומדים נגד הנאשם עונשי מאסר ופסילה מותנים, וגם בכך יש כדי להוות נסיבה לחומרה.</w:t>
      </w:r>
    </w:p>
    <w:p w:rsidR="00262E11" w:rsidRDefault="00262E11" w:rsidP="00262E11">
      <w:pPr>
        <w:spacing w:before="240" w:after="240" w:line="360" w:lineRule="auto"/>
        <w:jc w:val="both"/>
        <w:rPr>
          <w:rFonts w:ascii="David" w:hAnsi="David"/>
          <w:rtl/>
        </w:rPr>
      </w:pPr>
      <w:r>
        <w:rPr>
          <w:rFonts w:ascii="David" w:hAnsi="David"/>
          <w:rtl/>
        </w:rPr>
        <w:t xml:space="preserve">לזכות הנאשם ייאמר כי הוא מעונין להשתקם, ואף התרשמתי באופן בלתי אמצעי כי הוא עייף מאורח החיים השולי ומעוניין לפתוח דף חדש בחייו. ואולם בכך לא די. על הנאשם לעשות צעדים ממשיים, להשקיע, ולהתמיד בחתירתו לשיקום וגמילה, אך נראה כי לעת הזו אין לו כוחות מספיקים לביצוע משימת חייו. </w:t>
      </w:r>
    </w:p>
    <w:p w:rsidR="00262E11" w:rsidRDefault="00262E11" w:rsidP="00262E11">
      <w:pPr>
        <w:spacing w:before="240" w:after="240" w:line="360" w:lineRule="auto"/>
        <w:jc w:val="both"/>
        <w:rPr>
          <w:rFonts w:ascii="David" w:hAnsi="David"/>
          <w:rtl/>
        </w:rPr>
      </w:pPr>
      <w:r>
        <w:rPr>
          <w:rFonts w:ascii="David" w:hAnsi="David"/>
          <w:rtl/>
        </w:rPr>
        <w:t>השתלבות הנאשם בשיקום במסגרת המאסר האחרון יכלה היתה להוות נקודת מפנה של ממש בחייו, לו היה משלים את הטיפול כפי שהוצע לו. גם לאחר שמעד וביקש להשתלב בהליך הקהילתי ניתן היה לראותו כמי שדבק בהחלטה השיקומית, ופועל להצלחתה. ואולם, ככל שהתקדם ההליך המשפטי ניתן היה להיווכח בדלות כוחותיו לביסוס חיים נורמטיביים, כל עוד הוא כורך את חייו בנוף ילדותו וסביבת מגוריו, שאינם תורמים לשיקומו, וכפי שהוא עצמו ער לדבר (תסקיר התאמה מיום 6.2.22). לעניין זה אין אלא לקוות כי נישואיו בימים אלה לבחירת ליבו ישנו את סביבת חייו ויהוו עבורו עוגן ומקור תמיכה שירחיקו אותו בעתיד מפלילים.</w:t>
      </w:r>
    </w:p>
    <w:p w:rsidR="00262E11" w:rsidRDefault="00262E11" w:rsidP="00262E11">
      <w:pPr>
        <w:spacing w:before="240" w:after="240" w:line="360" w:lineRule="auto"/>
        <w:jc w:val="both"/>
        <w:rPr>
          <w:rFonts w:ascii="David" w:hAnsi="David"/>
          <w:rtl/>
        </w:rPr>
      </w:pPr>
      <w:r>
        <w:rPr>
          <w:rFonts w:ascii="David" w:hAnsi="David"/>
          <w:rtl/>
        </w:rPr>
        <w:t>בנוסף, לזכות הנאשם יש לציין את הודאתו במיוחס לו, ואי פתיחת תיקים חדשים המשטרה ככל הידוע לבית המשפט מזה שנתיים ומחצה, על המשמעות הרבה שיש לייחס לכך נוכח עומק ותדירות הסתבכויותיו בעבר.</w:t>
      </w:r>
    </w:p>
    <w:p w:rsidR="00262E11" w:rsidRDefault="00262E11" w:rsidP="00262E11">
      <w:pPr>
        <w:spacing w:before="240" w:after="240" w:line="360" w:lineRule="auto"/>
        <w:jc w:val="both"/>
        <w:rPr>
          <w:rFonts w:ascii="David" w:hAnsi="David"/>
          <w:rtl/>
        </w:rPr>
      </w:pPr>
      <w:r>
        <w:rPr>
          <w:rFonts w:ascii="David" w:hAnsi="David"/>
          <w:rtl/>
        </w:rPr>
        <w:t>בשים לב למכלול הנסיבות, ומבלי להתעלם מהעבר המכביד והרלוונטי של הנאשם, אני סבור כי יש לגזור את העונש במקרה זה בחלק הנמוך של המתחמים, אך לא בתחתיתם. תוצאה זו מגלמת בעיני את האמון ברצונו של הנאשם לעצור את מעגל הפשע אליו נקלע. עם האמור, איני סבור כי נכון להורות על חפיפה מלאה בין העונש המושת בהליך זה עם המאסר המותנה המופעל, שעה שהנאשם הפר את האמון שניתן לו במסגרת ההליך המשפטי הקודם, ובהעדר המלצה שיקומית בהליך שבפני. ראיתי לחפוף את עונשי המאסר מהנימוקים שפורטו לעיל ובניהם ניסיונות השיקום והחומרה הנמוכה של העבירות שבוצעו.</w:t>
      </w:r>
    </w:p>
    <w:p w:rsidR="00262E11" w:rsidRDefault="00262E11" w:rsidP="00262E11">
      <w:pPr>
        <w:spacing w:before="240" w:after="240" w:line="360" w:lineRule="auto"/>
        <w:jc w:val="both"/>
        <w:rPr>
          <w:rFonts w:ascii="David" w:hAnsi="David"/>
          <w:rtl/>
        </w:rPr>
      </w:pPr>
      <w:r>
        <w:rPr>
          <w:rFonts w:ascii="David" w:hAnsi="David"/>
          <w:rtl/>
        </w:rPr>
        <w:t xml:space="preserve">כפי שציינתי מעלה, לא התרשמתי כי יש בנסיבות עבירת הסחר כדי להכריז על הנאשם כ"סוחר סמים", ועל כן נמנעתי מקביעה זו. בהתאם לא מצאתי להורות על חילוט הכספים שנתפסו, גם משלא הובהרו נסיבות תפיסתם וזיקתם לעבירת הסם שבוצעה. הסכום עצמו יועבר מלואו לטובת הקנס אשר יוטל על הנאשם במסגרת גזר הדין. </w:t>
      </w:r>
    </w:p>
    <w:p w:rsidR="00262E11" w:rsidRDefault="00262E11" w:rsidP="00262E11">
      <w:pPr>
        <w:spacing w:before="240" w:after="240" w:line="360" w:lineRule="auto"/>
        <w:jc w:val="both"/>
        <w:rPr>
          <w:rFonts w:ascii="David" w:hAnsi="David"/>
          <w:b/>
          <w:bCs/>
          <w:u w:val="single"/>
          <w:rtl/>
        </w:rPr>
      </w:pPr>
      <w:r>
        <w:rPr>
          <w:rFonts w:ascii="David" w:hAnsi="David"/>
          <w:b/>
          <w:bCs/>
          <w:u w:val="single"/>
          <w:rtl/>
        </w:rPr>
        <w:t>סוף דבר</w:t>
      </w:r>
    </w:p>
    <w:p w:rsidR="00262E11" w:rsidRDefault="00262E11" w:rsidP="00262E11">
      <w:pPr>
        <w:spacing w:before="240" w:after="240" w:line="360" w:lineRule="auto"/>
        <w:jc w:val="both"/>
        <w:rPr>
          <w:rFonts w:ascii="David" w:hAnsi="David"/>
          <w:rtl/>
        </w:rPr>
      </w:pPr>
      <w:r>
        <w:rPr>
          <w:rFonts w:ascii="David" w:hAnsi="David"/>
          <w:rtl/>
        </w:rPr>
        <w:t>אני משית אפוא על הנאשם את העונשים הבאים:</w:t>
      </w:r>
    </w:p>
    <w:p w:rsidR="00262E11" w:rsidRDefault="00262E11" w:rsidP="00262E11">
      <w:pPr>
        <w:numPr>
          <w:ilvl w:val="0"/>
          <w:numId w:val="1"/>
        </w:numPr>
        <w:spacing w:before="240" w:after="240" w:line="360" w:lineRule="auto"/>
        <w:ind w:left="1077" w:hanging="357"/>
        <w:jc w:val="both"/>
        <w:rPr>
          <w:rFonts w:ascii="David" w:hAnsi="David"/>
          <w:rtl/>
        </w:rPr>
      </w:pPr>
      <w:r>
        <w:rPr>
          <w:rFonts w:ascii="David" w:hAnsi="David"/>
          <w:rtl/>
        </w:rPr>
        <w:t>הפעלת עונש מאסר מותנה בן 10 חודשים שנגזר על הנאשם ב</w:t>
      </w:r>
      <w:hyperlink r:id="rId31" w:history="1">
        <w:r w:rsidR="00580225" w:rsidRPr="00580225">
          <w:rPr>
            <w:rFonts w:ascii="David" w:hAnsi="David"/>
            <w:color w:val="0000FF"/>
            <w:u w:val="single"/>
            <w:rtl/>
          </w:rPr>
          <w:t>ת"פ (רמלה) 58073-02-18</w:t>
        </w:r>
      </w:hyperlink>
      <w:r>
        <w:rPr>
          <w:rFonts w:ascii="David" w:hAnsi="David"/>
          <w:rtl/>
        </w:rPr>
        <w:t xml:space="preserve"> ביום 9.7.18. </w:t>
      </w:r>
    </w:p>
    <w:p w:rsidR="00262E11" w:rsidRDefault="00262E11" w:rsidP="00262E11">
      <w:pPr>
        <w:numPr>
          <w:ilvl w:val="0"/>
          <w:numId w:val="1"/>
        </w:numPr>
        <w:spacing w:before="240" w:after="240" w:line="360" w:lineRule="auto"/>
        <w:ind w:left="1077" w:hanging="357"/>
        <w:jc w:val="both"/>
        <w:rPr>
          <w:rFonts w:ascii="David" w:hAnsi="David"/>
          <w:rtl/>
        </w:rPr>
      </w:pPr>
      <w:r>
        <w:rPr>
          <w:rFonts w:ascii="David" w:hAnsi="David"/>
          <w:rtl/>
        </w:rPr>
        <w:t xml:space="preserve">6 חודשי מאסר לריצוי בפועל. 4 חודשים מתקופה זו ירוצו בחופף לעונש אשר הושת על הנאשם בסעיף </w:t>
      </w:r>
      <w:r>
        <w:rPr>
          <w:rFonts w:ascii="David" w:hAnsi="David" w:hint="cs"/>
          <w:rtl/>
        </w:rPr>
        <w:t>א'</w:t>
      </w:r>
      <w:r>
        <w:rPr>
          <w:rFonts w:ascii="David" w:hAnsi="David"/>
          <w:rtl/>
        </w:rPr>
        <w:t xml:space="preserve"> וחודשיים יצטברו לעונש זה, כך שבסך הכולל ירצה הנאשם 12 חודשי מאסר. </w:t>
      </w:r>
    </w:p>
    <w:p w:rsidR="00262E11" w:rsidRDefault="00262E11" w:rsidP="00262E11">
      <w:pPr>
        <w:numPr>
          <w:ilvl w:val="0"/>
          <w:numId w:val="1"/>
        </w:numPr>
        <w:spacing w:before="240" w:after="240" w:line="360" w:lineRule="auto"/>
        <w:ind w:left="1077" w:hanging="357"/>
        <w:jc w:val="both"/>
        <w:rPr>
          <w:rFonts w:ascii="David" w:hAnsi="David"/>
        </w:rPr>
      </w:pPr>
      <w:r>
        <w:rPr>
          <w:rFonts w:ascii="David" w:hAnsi="David"/>
          <w:rtl/>
        </w:rPr>
        <w:t xml:space="preserve">12 חודשי מאסר אותם לא ירצה אלא אם בתוך שלוש שנים מיום שחרורו ממאסר ישוב ויעבור עבירה מסוג פשע על </w:t>
      </w:r>
      <w:hyperlink r:id="rId32" w:history="1">
        <w:r w:rsidR="00580225" w:rsidRPr="00580225">
          <w:rPr>
            <w:rFonts w:ascii="David" w:hAnsi="David"/>
            <w:color w:val="0000FF"/>
            <w:u w:val="single"/>
            <w:rtl/>
          </w:rPr>
          <w:t>פקודת הסמים המסוכנים</w:t>
        </w:r>
      </w:hyperlink>
      <w:r>
        <w:rPr>
          <w:rFonts w:ascii="David" w:hAnsi="David"/>
          <w:rtl/>
        </w:rPr>
        <w:t>.</w:t>
      </w:r>
    </w:p>
    <w:p w:rsidR="00262E11" w:rsidRDefault="00262E11" w:rsidP="00262E11">
      <w:pPr>
        <w:numPr>
          <w:ilvl w:val="0"/>
          <w:numId w:val="1"/>
        </w:numPr>
        <w:spacing w:before="240" w:after="240" w:line="360" w:lineRule="auto"/>
        <w:ind w:left="1077" w:hanging="357"/>
        <w:jc w:val="both"/>
        <w:rPr>
          <w:rFonts w:ascii="David" w:hAnsi="David"/>
        </w:rPr>
      </w:pPr>
      <w:r>
        <w:rPr>
          <w:rFonts w:ascii="David" w:hAnsi="David"/>
          <w:rtl/>
        </w:rPr>
        <w:t>4 חודשי מאסר אותם לא ירצה אלא אם בתוך שלוש שנים מיום שחרורו ממאסר ישוב ויעבור עבירת רכוש מסוג עוון או פשע.</w:t>
      </w:r>
    </w:p>
    <w:p w:rsidR="00262E11" w:rsidRDefault="00262E11" w:rsidP="00262E11">
      <w:pPr>
        <w:pStyle w:val="ListParagraph"/>
        <w:numPr>
          <w:ilvl w:val="0"/>
          <w:numId w:val="1"/>
        </w:numPr>
        <w:spacing w:before="240" w:after="240" w:line="360" w:lineRule="auto"/>
        <w:jc w:val="both"/>
        <w:rPr>
          <w:rFonts w:ascii="David" w:eastAsia="Times New Roman" w:hAnsi="David" w:cs="David"/>
          <w:sz w:val="24"/>
          <w:szCs w:val="24"/>
          <w:rtl/>
        </w:rPr>
      </w:pPr>
      <w:r>
        <w:rPr>
          <w:rFonts w:ascii="David" w:eastAsia="Times New Roman" w:hAnsi="David" w:cs="David"/>
          <w:sz w:val="24"/>
          <w:szCs w:val="24"/>
          <w:rtl/>
        </w:rPr>
        <w:t xml:space="preserve">קנס בסך 2,000 ₪, הקנס ישולם עד ליום 1.1.25. </w:t>
      </w:r>
    </w:p>
    <w:p w:rsidR="00262E11" w:rsidRDefault="00262E11" w:rsidP="00262E11">
      <w:pPr>
        <w:pStyle w:val="ListParagraph"/>
        <w:spacing w:before="240" w:after="240" w:line="360" w:lineRule="auto"/>
        <w:ind w:left="1068"/>
        <w:jc w:val="both"/>
        <w:rPr>
          <w:rFonts w:ascii="David" w:eastAsia="Times New Roman" w:hAnsi="David" w:cs="David"/>
          <w:sz w:val="24"/>
          <w:szCs w:val="24"/>
          <w:rtl/>
        </w:rPr>
      </w:pPr>
      <w:r>
        <w:rPr>
          <w:rFonts w:ascii="David" w:eastAsia="Times New Roman" w:hAnsi="David" w:cs="David"/>
          <w:sz w:val="24"/>
          <w:szCs w:val="24"/>
          <w:rtl/>
        </w:rPr>
        <w:t xml:space="preserve">מורה על </w:t>
      </w:r>
      <w:r>
        <w:rPr>
          <w:rFonts w:ascii="David" w:eastAsia="Times New Roman" w:hAnsi="David" w:cs="David" w:hint="cs"/>
          <w:sz w:val="24"/>
          <w:szCs w:val="24"/>
          <w:rtl/>
        </w:rPr>
        <w:t>קיזוז הקנס מה</w:t>
      </w:r>
      <w:r>
        <w:rPr>
          <w:rFonts w:ascii="David" w:eastAsia="Times New Roman" w:hAnsi="David" w:cs="David"/>
          <w:sz w:val="24"/>
          <w:szCs w:val="24"/>
          <w:rtl/>
        </w:rPr>
        <w:t>סכום אשר נתפס עם מעצרו של הנאשם.</w:t>
      </w:r>
      <w:r>
        <w:rPr>
          <w:rFonts w:ascii="David" w:eastAsia="Times New Roman" w:hAnsi="David" w:cs="David" w:hint="cs"/>
          <w:sz w:val="24"/>
          <w:szCs w:val="24"/>
          <w:rtl/>
        </w:rPr>
        <w:t xml:space="preserve"> </w:t>
      </w:r>
      <w:r>
        <w:rPr>
          <w:rFonts w:ascii="David" w:eastAsia="Times New Roman" w:hAnsi="David" w:cs="David"/>
          <w:sz w:val="24"/>
          <w:szCs w:val="24"/>
          <w:rtl/>
        </w:rPr>
        <w:t>יתרת הסכום, ככל שתהיה כזו, תשולם לא יאוחר מיום 1.1.25.</w:t>
      </w:r>
    </w:p>
    <w:p w:rsidR="00262E11" w:rsidRDefault="00262E11" w:rsidP="00262E11">
      <w:pPr>
        <w:numPr>
          <w:ilvl w:val="0"/>
          <w:numId w:val="1"/>
        </w:numPr>
        <w:spacing w:before="240" w:after="240" w:line="360" w:lineRule="auto"/>
        <w:ind w:left="1077" w:hanging="357"/>
        <w:jc w:val="both"/>
        <w:rPr>
          <w:rFonts w:ascii="David" w:hAnsi="David"/>
        </w:rPr>
      </w:pPr>
      <w:r>
        <w:rPr>
          <w:rFonts w:ascii="David" w:hAnsi="David"/>
          <w:rtl/>
        </w:rPr>
        <w:t>6 חודשי פסילת הנאשם מלנהוג רכב.</w:t>
      </w:r>
    </w:p>
    <w:p w:rsidR="00262E11" w:rsidRDefault="00262E11" w:rsidP="00262E11">
      <w:pPr>
        <w:spacing w:before="240" w:after="240" w:line="360" w:lineRule="auto"/>
        <w:ind w:left="1077"/>
        <w:jc w:val="both"/>
        <w:rPr>
          <w:rFonts w:ascii="David" w:hAnsi="David"/>
        </w:rPr>
      </w:pPr>
      <w:r>
        <w:rPr>
          <w:rFonts w:ascii="David" w:hAnsi="David"/>
          <w:rtl/>
        </w:rPr>
        <w:t>הנאשם יפקיד רישיונו במזכירות בית משפט בהתאם להחלטה שתינתן עם מתן גזר הדין.</w:t>
      </w:r>
    </w:p>
    <w:p w:rsidR="00262E11" w:rsidRDefault="00262E11" w:rsidP="00262E11">
      <w:pPr>
        <w:numPr>
          <w:ilvl w:val="0"/>
          <w:numId w:val="1"/>
        </w:numPr>
        <w:spacing w:before="240" w:after="240" w:line="360" w:lineRule="auto"/>
        <w:ind w:left="1077" w:hanging="357"/>
        <w:jc w:val="both"/>
        <w:rPr>
          <w:rFonts w:ascii="David" w:hAnsi="David"/>
        </w:rPr>
      </w:pPr>
      <w:r>
        <w:rPr>
          <w:rFonts w:ascii="David" w:hAnsi="David"/>
          <w:rtl/>
        </w:rPr>
        <w:t>הפעלת פסילת רישיון הנהיגה למשך 9 חודשים, כפי שנגזר על הנאשם ב</w:t>
      </w:r>
      <w:hyperlink r:id="rId33" w:history="1">
        <w:r w:rsidR="00580225" w:rsidRPr="00580225">
          <w:rPr>
            <w:rFonts w:ascii="David" w:hAnsi="David"/>
            <w:color w:val="0000FF"/>
            <w:u w:val="single"/>
            <w:rtl/>
          </w:rPr>
          <w:t>ת"פ (רמלה) 58073-02-18</w:t>
        </w:r>
      </w:hyperlink>
      <w:r>
        <w:rPr>
          <w:rFonts w:ascii="David" w:hAnsi="David"/>
          <w:rtl/>
        </w:rPr>
        <w:t xml:space="preserve"> מיום 9.7.18. </w:t>
      </w:r>
      <w:r>
        <w:rPr>
          <w:rFonts w:ascii="David" w:hAnsi="David" w:hint="cs"/>
          <w:rtl/>
        </w:rPr>
        <w:t xml:space="preserve">שבעה </w:t>
      </w:r>
      <w:r>
        <w:rPr>
          <w:rFonts w:ascii="David" w:hAnsi="David"/>
          <w:rtl/>
        </w:rPr>
        <w:t>חודשים מתקופה זו ירוצו בחופף לעונש אשר הושת על הנאשם בסעיף וחודשיים (</w:t>
      </w:r>
      <w:r>
        <w:rPr>
          <w:rFonts w:ascii="David" w:hAnsi="David" w:hint="cs"/>
          <w:rtl/>
        </w:rPr>
        <w:t xml:space="preserve">2) </w:t>
      </w:r>
      <w:r>
        <w:rPr>
          <w:rFonts w:ascii="David" w:hAnsi="David"/>
          <w:rtl/>
        </w:rPr>
        <w:t>יצטברו לעונש זה. בסך הכל ייפסל הנאשם מלנהוג ברכב לתקופה של 11 חודשים. תקופת מאסרו של הנאשם לא תובא במניין הימים.</w:t>
      </w:r>
      <w:r>
        <w:rPr>
          <w:rFonts w:ascii="David" w:hAnsi="David" w:hint="cs"/>
          <w:rtl/>
        </w:rPr>
        <w:t xml:space="preserve"> הנאשם פטור מהפקדת רשיון.</w:t>
      </w:r>
      <w:r>
        <w:rPr>
          <w:rFonts w:ascii="David" w:hAnsi="David"/>
          <w:rtl/>
        </w:rPr>
        <w:t xml:space="preserve">  </w:t>
      </w:r>
    </w:p>
    <w:p w:rsidR="00262E11" w:rsidRDefault="00262E11" w:rsidP="00262E11">
      <w:pPr>
        <w:numPr>
          <w:ilvl w:val="0"/>
          <w:numId w:val="1"/>
        </w:numPr>
        <w:spacing w:before="240" w:after="240" w:line="360" w:lineRule="auto"/>
        <w:ind w:left="1077" w:hanging="357"/>
        <w:jc w:val="both"/>
        <w:rPr>
          <w:rFonts w:ascii="David" w:hAnsi="David"/>
        </w:rPr>
      </w:pPr>
      <w:r>
        <w:rPr>
          <w:rFonts w:ascii="David" w:hAnsi="David"/>
          <w:rtl/>
        </w:rPr>
        <w:t xml:space="preserve">12 חודשי פסילה מלנהוג אותם לא ירצה הנאשם אלא אם בתוך שלוש שנים מיום שחרורו ממאסר ישוב ויעבור על עבירה לפי </w:t>
      </w:r>
      <w:hyperlink r:id="rId34" w:history="1">
        <w:r w:rsidR="00580225" w:rsidRPr="00580225">
          <w:rPr>
            <w:rFonts w:ascii="David" w:hAnsi="David"/>
            <w:color w:val="0000FF"/>
            <w:u w:val="single"/>
            <w:rtl/>
          </w:rPr>
          <w:t>פקודת הסמים המסוכנים</w:t>
        </w:r>
      </w:hyperlink>
      <w:r>
        <w:rPr>
          <w:rFonts w:ascii="David" w:hAnsi="David"/>
          <w:rtl/>
        </w:rPr>
        <w:t>.</w:t>
      </w:r>
    </w:p>
    <w:p w:rsidR="00262E11" w:rsidRDefault="00262E11" w:rsidP="00262E11">
      <w:pPr>
        <w:spacing w:before="240" w:after="240" w:line="360" w:lineRule="auto"/>
        <w:jc w:val="both"/>
        <w:rPr>
          <w:rFonts w:ascii="David" w:hAnsi="David"/>
        </w:rPr>
      </w:pPr>
      <w:r>
        <w:rPr>
          <w:rFonts w:ascii="David" w:hAnsi="David"/>
          <w:rtl/>
        </w:rPr>
        <w:t xml:space="preserve">הנאשם יתייצב ביום </w:t>
      </w:r>
      <w:r>
        <w:rPr>
          <w:rFonts w:ascii="David" w:hAnsi="David" w:hint="cs"/>
          <w:rtl/>
        </w:rPr>
        <w:t>20.8.24 בשעה 08:00 בבית כלא ניצן עם תעודת זהות</w:t>
      </w:r>
      <w:r>
        <w:rPr>
          <w:rFonts w:ascii="David" w:hAnsi="David"/>
          <w:rtl/>
        </w:rPr>
        <w:t xml:space="preserve"> לתחילת ריצוי העונש. </w:t>
      </w:r>
    </w:p>
    <w:p w:rsidR="00262E11" w:rsidRDefault="00262E11" w:rsidP="00262E11">
      <w:pPr>
        <w:spacing w:before="240" w:after="240" w:line="360" w:lineRule="auto"/>
        <w:jc w:val="both"/>
        <w:rPr>
          <w:rFonts w:ascii="David" w:hAnsi="David"/>
          <w:rtl/>
        </w:rPr>
      </w:pPr>
      <w:r>
        <w:rPr>
          <w:rFonts w:ascii="David" w:hAnsi="David"/>
          <w:rtl/>
        </w:rPr>
        <w:t>להבטחת ההתייצבות, מורה על צו עיכוב יציאה מן הארץ עד סיום ריצוי תקופת המאסר.</w:t>
      </w:r>
    </w:p>
    <w:p w:rsidR="00262E11" w:rsidRDefault="00262E11" w:rsidP="00262E11">
      <w:pPr>
        <w:spacing w:before="240" w:after="240" w:line="360" w:lineRule="auto"/>
        <w:ind w:left="360"/>
        <w:jc w:val="both"/>
        <w:rPr>
          <w:rFonts w:ascii="David" w:hAnsi="David"/>
        </w:rPr>
      </w:pPr>
    </w:p>
    <w:p w:rsidR="00262E11" w:rsidRDefault="00262E11" w:rsidP="00262E11">
      <w:pPr>
        <w:spacing w:before="240" w:after="240" w:line="360" w:lineRule="auto"/>
        <w:jc w:val="both"/>
        <w:rPr>
          <w:rFonts w:ascii="David" w:hAnsi="David"/>
          <w:rtl/>
        </w:rPr>
      </w:pPr>
      <w:r>
        <w:rPr>
          <w:rFonts w:ascii="David" w:hAnsi="David"/>
          <w:rtl/>
        </w:rPr>
        <w:t xml:space="preserve">זכות ערעור כחוק בתוך 45 יום מהיום.  </w:t>
      </w:r>
    </w:p>
    <w:p w:rsidR="00262E11" w:rsidRPr="00580225" w:rsidRDefault="00580225" w:rsidP="00262E11">
      <w:pPr>
        <w:rPr>
          <w:rFonts w:ascii="Arial" w:hAnsi="Arial"/>
          <w:b/>
          <w:bCs/>
          <w:color w:val="FFFFFF"/>
          <w:sz w:val="2"/>
          <w:szCs w:val="2"/>
          <w:rtl/>
        </w:rPr>
      </w:pPr>
      <w:r w:rsidRPr="00580225">
        <w:rPr>
          <w:rFonts w:ascii="Arial" w:hAnsi="Arial"/>
          <w:b/>
          <w:bCs/>
          <w:color w:val="FFFFFF"/>
          <w:sz w:val="2"/>
          <w:szCs w:val="2"/>
          <w:rtl/>
        </w:rPr>
        <w:t>5129371</w:t>
      </w:r>
    </w:p>
    <w:p w:rsidR="00262E11" w:rsidRDefault="00580225" w:rsidP="00262E11">
      <w:pPr>
        <w:spacing w:line="360" w:lineRule="auto"/>
        <w:jc w:val="both"/>
        <w:rPr>
          <w:rFonts w:ascii="Arial" w:hAnsi="Arial"/>
          <w:b/>
          <w:bCs/>
          <w:sz w:val="26"/>
          <w:szCs w:val="26"/>
          <w:rtl/>
        </w:rPr>
      </w:pPr>
      <w:bookmarkStart w:id="7" w:name="Nitan"/>
      <w:r w:rsidRPr="00580225">
        <w:rPr>
          <w:rFonts w:ascii="Arial" w:hAnsi="Arial"/>
          <w:b/>
          <w:bCs/>
          <w:color w:val="FFFFFF"/>
          <w:sz w:val="2"/>
          <w:szCs w:val="2"/>
          <w:rtl/>
        </w:rPr>
        <w:t>54678313</w:t>
      </w:r>
      <w:r>
        <w:rPr>
          <w:rFonts w:ascii="Arial" w:hAnsi="Arial"/>
          <w:b/>
          <w:bCs/>
          <w:sz w:val="26"/>
          <w:szCs w:val="26"/>
          <w:rtl/>
        </w:rPr>
        <w:t xml:space="preserve">ניתן היום,  יט' באייר תשפ"ד, 27 במאי 2024 במעמד הצדדים. </w:t>
      </w:r>
      <w:bookmarkEnd w:id="7"/>
      <w:r w:rsidR="00262E11">
        <w:rPr>
          <w:rFonts w:ascii="Arial" w:hAnsi="Arial"/>
          <w:b/>
          <w:bCs/>
          <w:sz w:val="26"/>
          <w:szCs w:val="26"/>
          <w:rtl/>
        </w:rPr>
        <w:tab/>
      </w:r>
      <w:r w:rsidR="00262E11">
        <w:rPr>
          <w:rFonts w:ascii="Arial" w:hAnsi="Arial"/>
          <w:b/>
          <w:bCs/>
          <w:sz w:val="26"/>
          <w:szCs w:val="26"/>
          <w:rtl/>
        </w:rPr>
        <w:tab/>
      </w:r>
      <w:r w:rsidR="00262E11">
        <w:rPr>
          <w:rFonts w:ascii="Arial" w:hAnsi="Arial"/>
          <w:b/>
          <w:bCs/>
          <w:sz w:val="26"/>
          <w:szCs w:val="26"/>
          <w:rtl/>
        </w:rPr>
        <w:tab/>
      </w:r>
      <w:r w:rsidR="00262E11">
        <w:rPr>
          <w:rFonts w:ascii="Arial" w:hAnsi="Arial"/>
          <w:b/>
          <w:bCs/>
          <w:sz w:val="26"/>
          <w:szCs w:val="26"/>
          <w:rtl/>
        </w:rPr>
        <w:tab/>
      </w:r>
      <w:r w:rsidR="00262E11">
        <w:rPr>
          <w:rFonts w:ascii="Arial" w:hAnsi="Arial"/>
          <w:b/>
          <w:bCs/>
          <w:sz w:val="26"/>
          <w:szCs w:val="26"/>
          <w:rtl/>
        </w:rPr>
        <w:tab/>
      </w:r>
      <w:r w:rsidR="00262E11">
        <w:rPr>
          <w:rFonts w:ascii="Arial" w:hAnsi="Arial"/>
          <w:b/>
          <w:bCs/>
          <w:sz w:val="26"/>
          <w:szCs w:val="26"/>
          <w:rtl/>
        </w:rPr>
        <w:tab/>
      </w:r>
      <w:r w:rsidR="00262E11">
        <w:rPr>
          <w:rFonts w:ascii="Arial" w:hAnsi="Arial"/>
          <w:b/>
          <w:bCs/>
          <w:sz w:val="26"/>
          <w:szCs w:val="26"/>
          <w:rtl/>
        </w:rPr>
        <w:tab/>
      </w:r>
      <w:r w:rsidR="00262E11">
        <w:rPr>
          <w:rFonts w:ascii="Arial" w:hAnsi="Arial"/>
          <w:b/>
          <w:bCs/>
          <w:sz w:val="26"/>
          <w:szCs w:val="26"/>
          <w:rtl/>
        </w:rPr>
        <w:tab/>
      </w:r>
      <w:r w:rsidR="00262E11">
        <w:rPr>
          <w:rFonts w:ascii="Arial" w:hAnsi="Arial"/>
          <w:b/>
          <w:bCs/>
          <w:sz w:val="26"/>
          <w:szCs w:val="26"/>
          <w:rtl/>
        </w:rPr>
        <w:tab/>
      </w:r>
      <w:r w:rsidR="00262E11">
        <w:rPr>
          <w:rFonts w:ascii="Arial" w:hAnsi="Arial"/>
          <w:b/>
          <w:bCs/>
          <w:sz w:val="26"/>
          <w:szCs w:val="26"/>
          <w:rtl/>
        </w:rPr>
        <w:tab/>
        <w:t xml:space="preserve">         </w:t>
      </w:r>
    </w:p>
    <w:p w:rsidR="00262E11" w:rsidRDefault="00262E11" w:rsidP="00580225">
      <w:pPr>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rsidR="00262E11" w:rsidRDefault="00262E11" w:rsidP="00262E11">
      <w:pPr>
        <w:jc w:val="center"/>
        <w:rPr>
          <w:rFonts w:ascii="Arial" w:hAnsi="Arial"/>
          <w:b/>
          <w:bCs/>
          <w:sz w:val="26"/>
          <w:szCs w:val="26"/>
          <w:rtl/>
        </w:rPr>
      </w:pPr>
    </w:p>
    <w:p w:rsidR="00262E11" w:rsidRDefault="00262E11" w:rsidP="00262E11">
      <w:pPr>
        <w:rPr>
          <w:rtl/>
        </w:rPr>
      </w:pPr>
    </w:p>
    <w:p w:rsidR="00262E11" w:rsidRPr="003E4E00" w:rsidRDefault="00262E11" w:rsidP="00262E11">
      <w:pPr>
        <w:rPr>
          <w:rtl/>
        </w:rPr>
      </w:pPr>
    </w:p>
    <w:p w:rsidR="00F440BC" w:rsidRPr="00580225" w:rsidRDefault="00F440BC" w:rsidP="00580225">
      <w:pPr>
        <w:keepNext/>
        <w:rPr>
          <w:rFonts w:ascii="David" w:hAnsi="David"/>
          <w:color w:val="000000"/>
          <w:sz w:val="22"/>
          <w:szCs w:val="22"/>
          <w:rtl/>
        </w:rPr>
      </w:pPr>
    </w:p>
    <w:p w:rsidR="00580225" w:rsidRPr="00580225" w:rsidRDefault="00580225" w:rsidP="00580225">
      <w:pPr>
        <w:keepNext/>
        <w:rPr>
          <w:rFonts w:ascii="David" w:hAnsi="David"/>
          <w:color w:val="000000"/>
          <w:sz w:val="22"/>
          <w:szCs w:val="22"/>
          <w:rtl/>
        </w:rPr>
      </w:pPr>
      <w:r w:rsidRPr="00580225">
        <w:rPr>
          <w:rFonts w:ascii="David" w:hAnsi="David"/>
          <w:color w:val="000000"/>
          <w:sz w:val="22"/>
          <w:szCs w:val="22"/>
          <w:rtl/>
        </w:rPr>
        <w:t>אביטל חן 54678313</w:t>
      </w:r>
    </w:p>
    <w:p w:rsidR="00580225" w:rsidRDefault="00580225" w:rsidP="00580225">
      <w:r w:rsidRPr="00580225">
        <w:rPr>
          <w:color w:val="000000"/>
          <w:rtl/>
        </w:rPr>
        <w:t>נוסח מסמך זה כפוף לשינויי ניסוח ועריכה</w:t>
      </w:r>
    </w:p>
    <w:p w:rsidR="00580225" w:rsidRDefault="00580225" w:rsidP="00580225">
      <w:pPr>
        <w:rPr>
          <w:rtl/>
        </w:rPr>
      </w:pPr>
    </w:p>
    <w:p w:rsidR="00580225" w:rsidRDefault="00580225" w:rsidP="00580225">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rsidR="00580225" w:rsidRPr="00580225" w:rsidRDefault="00580225" w:rsidP="00580225">
      <w:pPr>
        <w:jc w:val="center"/>
        <w:rPr>
          <w:color w:val="0000FF"/>
          <w:u w:val="single"/>
        </w:rPr>
      </w:pPr>
    </w:p>
    <w:sectPr w:rsidR="00580225" w:rsidRPr="00580225" w:rsidSect="00580225">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60E86" w:rsidRDefault="00F60E86" w:rsidP="00826800">
      <w:r>
        <w:separator/>
      </w:r>
    </w:p>
  </w:endnote>
  <w:endnote w:type="continuationSeparator" w:id="0">
    <w:p w:rsidR="00F60E86" w:rsidRDefault="00F60E86" w:rsidP="00826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0225" w:rsidRDefault="00580225" w:rsidP="0058022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997862" w:rsidRPr="00580225" w:rsidRDefault="00580225" w:rsidP="00580225">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0225" w:rsidRDefault="00580225" w:rsidP="0058022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360D">
      <w:rPr>
        <w:rFonts w:ascii="FrankRuehl" w:hAnsi="FrankRuehl" w:cs="FrankRuehl"/>
        <w:noProof/>
        <w:rtl/>
      </w:rPr>
      <w:t>1</w:t>
    </w:r>
    <w:r>
      <w:rPr>
        <w:rFonts w:ascii="FrankRuehl" w:hAnsi="FrankRuehl" w:cs="FrankRuehl"/>
        <w:rtl/>
      </w:rPr>
      <w:fldChar w:fldCharType="end"/>
    </w:r>
  </w:p>
  <w:p w:rsidR="00997862" w:rsidRPr="00580225" w:rsidRDefault="00580225" w:rsidP="00580225">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60E86" w:rsidRDefault="00F60E86" w:rsidP="00826800">
      <w:r>
        <w:separator/>
      </w:r>
    </w:p>
  </w:footnote>
  <w:footnote w:type="continuationSeparator" w:id="0">
    <w:p w:rsidR="00F60E86" w:rsidRDefault="00F60E86" w:rsidP="00826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0225" w:rsidRPr="00580225" w:rsidRDefault="00580225" w:rsidP="00580225">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7171-03-21</w:t>
    </w:r>
    <w:r>
      <w:rPr>
        <w:rFonts w:ascii="David" w:hAnsi="David"/>
        <w:color w:val="000000"/>
        <w:sz w:val="22"/>
        <w:szCs w:val="22"/>
        <w:rtl/>
      </w:rPr>
      <w:tab/>
      <w:t xml:space="preserve"> מדינת ישראל נ' אדם אבו יחיה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0225" w:rsidRPr="00580225" w:rsidRDefault="00580225" w:rsidP="00580225">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7171-03-21</w:t>
    </w:r>
    <w:r>
      <w:rPr>
        <w:rFonts w:ascii="David" w:hAnsi="David"/>
        <w:color w:val="000000"/>
        <w:sz w:val="22"/>
        <w:szCs w:val="22"/>
        <w:rtl/>
      </w:rPr>
      <w:tab/>
      <w:t xml:space="preserve"> מדינת ישראל נ' אדם אבו יחיה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54852"/>
    <w:multiLevelType w:val="hybridMultilevel"/>
    <w:tmpl w:val="C2EEC3AA"/>
    <w:lvl w:ilvl="0" w:tplc="CAACD35E">
      <w:start w:val="1"/>
      <w:numFmt w:val="hebrew1"/>
      <w:lvlText w:val="%1."/>
      <w:lvlJc w:val="left"/>
      <w:pPr>
        <w:ind w:left="1068" w:hanging="360"/>
      </w:pPr>
      <w:rPr>
        <w:rFonts w:ascii="FrankRuehl" w:eastAsia="Times New Roman" w:hAnsi="FrankRuehl" w:cs="FrankRuehl"/>
      </w:rPr>
    </w:lvl>
    <w:lvl w:ilvl="1" w:tplc="04090019">
      <w:start w:val="1"/>
      <w:numFmt w:val="lowerLetter"/>
      <w:lvlText w:val="%2."/>
      <w:lvlJc w:val="left"/>
      <w:pPr>
        <w:ind w:left="1788" w:hanging="360"/>
      </w:pPr>
      <w:rPr>
        <w:rFonts w:cs="Times New Roman"/>
      </w:rPr>
    </w:lvl>
    <w:lvl w:ilvl="2" w:tplc="0409001B">
      <w:start w:val="1"/>
      <w:numFmt w:val="lowerRoman"/>
      <w:lvlText w:val="%3."/>
      <w:lvlJc w:val="right"/>
      <w:pPr>
        <w:ind w:left="2508" w:hanging="180"/>
      </w:pPr>
      <w:rPr>
        <w:rFonts w:cs="Times New Roman"/>
      </w:rPr>
    </w:lvl>
    <w:lvl w:ilvl="3" w:tplc="0409000F">
      <w:start w:val="1"/>
      <w:numFmt w:val="decimal"/>
      <w:lvlText w:val="%4."/>
      <w:lvlJc w:val="left"/>
      <w:pPr>
        <w:ind w:left="3228" w:hanging="360"/>
      </w:pPr>
      <w:rPr>
        <w:rFonts w:cs="Times New Roman"/>
      </w:rPr>
    </w:lvl>
    <w:lvl w:ilvl="4" w:tplc="04090019">
      <w:start w:val="1"/>
      <w:numFmt w:val="lowerLetter"/>
      <w:lvlText w:val="%5."/>
      <w:lvlJc w:val="left"/>
      <w:pPr>
        <w:ind w:left="3948" w:hanging="360"/>
      </w:pPr>
      <w:rPr>
        <w:rFonts w:cs="Times New Roman"/>
      </w:rPr>
    </w:lvl>
    <w:lvl w:ilvl="5" w:tplc="0409001B">
      <w:start w:val="1"/>
      <w:numFmt w:val="lowerRoman"/>
      <w:lvlText w:val="%6."/>
      <w:lvlJc w:val="right"/>
      <w:pPr>
        <w:ind w:left="4668" w:hanging="180"/>
      </w:pPr>
      <w:rPr>
        <w:rFonts w:cs="Times New Roman"/>
      </w:rPr>
    </w:lvl>
    <w:lvl w:ilvl="6" w:tplc="0409000F">
      <w:start w:val="1"/>
      <w:numFmt w:val="decimal"/>
      <w:lvlText w:val="%7."/>
      <w:lvlJc w:val="left"/>
      <w:pPr>
        <w:ind w:left="5388" w:hanging="360"/>
      </w:pPr>
      <w:rPr>
        <w:rFonts w:cs="Times New Roman"/>
      </w:rPr>
    </w:lvl>
    <w:lvl w:ilvl="7" w:tplc="04090019">
      <w:start w:val="1"/>
      <w:numFmt w:val="lowerLetter"/>
      <w:lvlText w:val="%8."/>
      <w:lvlJc w:val="left"/>
      <w:pPr>
        <w:ind w:left="6108" w:hanging="360"/>
      </w:pPr>
      <w:rPr>
        <w:rFonts w:cs="Times New Roman"/>
      </w:rPr>
    </w:lvl>
    <w:lvl w:ilvl="8" w:tplc="0409001B">
      <w:start w:val="1"/>
      <w:numFmt w:val="lowerRoman"/>
      <w:lvlText w:val="%9."/>
      <w:lvlJc w:val="right"/>
      <w:pPr>
        <w:ind w:left="6828" w:hanging="180"/>
      </w:pPr>
      <w:rPr>
        <w:rFonts w:cs="Times New Roman"/>
      </w:rPr>
    </w:lvl>
  </w:abstractNum>
  <w:num w:numId="1" w16cid:durableId="14851245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2E11"/>
    <w:rsid w:val="0010360D"/>
    <w:rsid w:val="0013268F"/>
    <w:rsid w:val="00262E11"/>
    <w:rsid w:val="00580225"/>
    <w:rsid w:val="00826800"/>
    <w:rsid w:val="00997862"/>
    <w:rsid w:val="009A4E4C"/>
    <w:rsid w:val="00D92ADE"/>
    <w:rsid w:val="00F440BC"/>
    <w:rsid w:val="00F60E8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B89B504-E706-4E8F-BC1B-1C1EC70B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2E11"/>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62E11"/>
    <w:pPr>
      <w:tabs>
        <w:tab w:val="center" w:pos="4153"/>
        <w:tab w:val="right" w:pos="8306"/>
      </w:tabs>
    </w:pPr>
  </w:style>
  <w:style w:type="character" w:customStyle="1" w:styleId="HeaderChar">
    <w:name w:val="Header Char"/>
    <w:link w:val="Header"/>
    <w:rsid w:val="00262E11"/>
    <w:rPr>
      <w:rFonts w:ascii="Times New Roman" w:eastAsia="Times New Roman" w:hAnsi="Times New Roman" w:cs="David"/>
      <w:sz w:val="24"/>
      <w:szCs w:val="24"/>
    </w:rPr>
  </w:style>
  <w:style w:type="paragraph" w:styleId="Footer">
    <w:name w:val="footer"/>
    <w:basedOn w:val="Normal"/>
    <w:link w:val="FooterChar"/>
    <w:rsid w:val="00262E11"/>
    <w:pPr>
      <w:tabs>
        <w:tab w:val="center" w:pos="4153"/>
        <w:tab w:val="right" w:pos="8306"/>
      </w:tabs>
    </w:pPr>
  </w:style>
  <w:style w:type="character" w:customStyle="1" w:styleId="FooterChar">
    <w:name w:val="Footer Char"/>
    <w:link w:val="Footer"/>
    <w:rsid w:val="00262E11"/>
    <w:rPr>
      <w:rFonts w:ascii="Times New Roman" w:eastAsia="Times New Roman" w:hAnsi="Times New Roman" w:cs="David"/>
      <w:sz w:val="24"/>
      <w:szCs w:val="24"/>
    </w:rPr>
  </w:style>
  <w:style w:type="table" w:styleId="TableGrid">
    <w:name w:val="Table Grid"/>
    <w:basedOn w:val="TableNormal"/>
    <w:rsid w:val="00262E1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262E11"/>
  </w:style>
  <w:style w:type="character" w:styleId="Hyperlink">
    <w:name w:val="Hyperlink"/>
    <w:rsid w:val="00262E11"/>
    <w:rPr>
      <w:color w:val="0000FF"/>
      <w:u w:val="single"/>
    </w:rPr>
  </w:style>
  <w:style w:type="paragraph" w:styleId="ListParagraph">
    <w:name w:val="List Paragraph"/>
    <w:basedOn w:val="Normal"/>
    <w:qFormat/>
    <w:rsid w:val="00262E11"/>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8784698" TargetMode="External"/><Relationship Id="rId39" Type="http://schemas.openxmlformats.org/officeDocument/2006/relationships/footer" Target="footer2.xml"/><Relationship Id="rId21" Type="http://schemas.openxmlformats.org/officeDocument/2006/relationships/hyperlink" Target="http://www.nevo.co.il/case/22931212"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7936362" TargetMode="External"/><Relationship Id="rId20" Type="http://schemas.openxmlformats.org/officeDocument/2006/relationships/hyperlink" Target="http://www.nevo.co.il/law/4216" TargetMode="External"/><Relationship Id="rId29" Type="http://schemas.openxmlformats.org/officeDocument/2006/relationships/hyperlink" Target="http://www.nevo.co.il/case/461713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13" TargetMode="External"/><Relationship Id="rId24" Type="http://schemas.openxmlformats.org/officeDocument/2006/relationships/hyperlink" Target="http://www.nevo.co.il/case/20787902" TargetMode="External"/><Relationship Id="rId32" Type="http://schemas.openxmlformats.org/officeDocument/2006/relationships/hyperlink" Target="http://www.nevo.co.il/law/4216"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8793360" TargetMode="External"/><Relationship Id="rId28" Type="http://schemas.openxmlformats.org/officeDocument/2006/relationships/hyperlink" Target="http://www.nevo.co.il/case/28224526"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23668558" TargetMode="External"/><Relationship Id="rId31" Type="http://schemas.openxmlformats.org/officeDocument/2006/relationships/hyperlink" Target="http://www.nevo.co.il/case/23668558"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4216" TargetMode="External"/><Relationship Id="rId27" Type="http://schemas.openxmlformats.org/officeDocument/2006/relationships/hyperlink" Target="http://www.nevo.co.il/case/10459115" TargetMode="External"/><Relationship Id="rId30" Type="http://schemas.openxmlformats.org/officeDocument/2006/relationships/hyperlink" Target="http://www.nevo.co.il/case/2511993"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case/27445067" TargetMode="External"/><Relationship Id="rId17" Type="http://schemas.openxmlformats.org/officeDocument/2006/relationships/hyperlink" Target="http://www.nevo.co.il/law/70301/413" TargetMode="External"/><Relationship Id="rId25" Type="http://schemas.openxmlformats.org/officeDocument/2006/relationships/hyperlink" Target="http://www.nevo.co.il/case/25977712" TargetMode="External"/><Relationship Id="rId33" Type="http://schemas.openxmlformats.org/officeDocument/2006/relationships/hyperlink" Target="http://www.nevo.co.il/case/23668558"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15324</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3735668</vt:i4>
      </vt:variant>
      <vt:variant>
        <vt:i4>78</vt:i4>
      </vt:variant>
      <vt:variant>
        <vt:i4>0</vt:i4>
      </vt:variant>
      <vt:variant>
        <vt:i4>5</vt:i4>
      </vt:variant>
      <vt:variant>
        <vt:lpwstr>http://www.nevo.co.il/case/23668558</vt:lpwstr>
      </vt:variant>
      <vt:variant>
        <vt:lpwstr/>
      </vt:variant>
      <vt:variant>
        <vt:i4>8257637</vt:i4>
      </vt:variant>
      <vt:variant>
        <vt:i4>75</vt:i4>
      </vt:variant>
      <vt:variant>
        <vt:i4>0</vt:i4>
      </vt:variant>
      <vt:variant>
        <vt:i4>5</vt:i4>
      </vt:variant>
      <vt:variant>
        <vt:lpwstr>http://www.nevo.co.il/law/4216</vt:lpwstr>
      </vt:variant>
      <vt:variant>
        <vt:lpwstr/>
      </vt:variant>
      <vt:variant>
        <vt:i4>3735668</vt:i4>
      </vt:variant>
      <vt:variant>
        <vt:i4>72</vt:i4>
      </vt:variant>
      <vt:variant>
        <vt:i4>0</vt:i4>
      </vt:variant>
      <vt:variant>
        <vt:i4>5</vt:i4>
      </vt:variant>
      <vt:variant>
        <vt:lpwstr>http://www.nevo.co.il/case/23668558</vt:lpwstr>
      </vt:variant>
      <vt:variant>
        <vt:lpwstr/>
      </vt:variant>
      <vt:variant>
        <vt:i4>3735673</vt:i4>
      </vt:variant>
      <vt:variant>
        <vt:i4>69</vt:i4>
      </vt:variant>
      <vt:variant>
        <vt:i4>0</vt:i4>
      </vt:variant>
      <vt:variant>
        <vt:i4>5</vt:i4>
      </vt:variant>
      <vt:variant>
        <vt:lpwstr>http://www.nevo.co.il/case/2511993</vt:lpwstr>
      </vt:variant>
      <vt:variant>
        <vt:lpwstr/>
      </vt:variant>
      <vt:variant>
        <vt:i4>3473526</vt:i4>
      </vt:variant>
      <vt:variant>
        <vt:i4>66</vt:i4>
      </vt:variant>
      <vt:variant>
        <vt:i4>0</vt:i4>
      </vt:variant>
      <vt:variant>
        <vt:i4>5</vt:i4>
      </vt:variant>
      <vt:variant>
        <vt:lpwstr>http://www.nevo.co.il/case/4617131</vt:lpwstr>
      </vt:variant>
      <vt:variant>
        <vt:lpwstr/>
      </vt:variant>
      <vt:variant>
        <vt:i4>3539067</vt:i4>
      </vt:variant>
      <vt:variant>
        <vt:i4>63</vt:i4>
      </vt:variant>
      <vt:variant>
        <vt:i4>0</vt:i4>
      </vt:variant>
      <vt:variant>
        <vt:i4>5</vt:i4>
      </vt:variant>
      <vt:variant>
        <vt:lpwstr>http://www.nevo.co.il/case/28224526</vt:lpwstr>
      </vt:variant>
      <vt:variant>
        <vt:lpwstr/>
      </vt:variant>
      <vt:variant>
        <vt:i4>3997808</vt:i4>
      </vt:variant>
      <vt:variant>
        <vt:i4>60</vt:i4>
      </vt:variant>
      <vt:variant>
        <vt:i4>0</vt:i4>
      </vt:variant>
      <vt:variant>
        <vt:i4>5</vt:i4>
      </vt:variant>
      <vt:variant>
        <vt:lpwstr>http://www.nevo.co.il/case/10459115</vt:lpwstr>
      </vt:variant>
      <vt:variant>
        <vt:lpwstr/>
      </vt:variant>
      <vt:variant>
        <vt:i4>3866738</vt:i4>
      </vt:variant>
      <vt:variant>
        <vt:i4>57</vt:i4>
      </vt:variant>
      <vt:variant>
        <vt:i4>0</vt:i4>
      </vt:variant>
      <vt:variant>
        <vt:i4>5</vt:i4>
      </vt:variant>
      <vt:variant>
        <vt:lpwstr>http://www.nevo.co.il/case/18784698</vt:lpwstr>
      </vt:variant>
      <vt:variant>
        <vt:lpwstr/>
      </vt:variant>
      <vt:variant>
        <vt:i4>3997809</vt:i4>
      </vt:variant>
      <vt:variant>
        <vt:i4>54</vt:i4>
      </vt:variant>
      <vt:variant>
        <vt:i4>0</vt:i4>
      </vt:variant>
      <vt:variant>
        <vt:i4>5</vt:i4>
      </vt:variant>
      <vt:variant>
        <vt:lpwstr>http://www.nevo.co.il/case/25977712</vt:lpwstr>
      </vt:variant>
      <vt:variant>
        <vt:lpwstr/>
      </vt:variant>
      <vt:variant>
        <vt:i4>3276917</vt:i4>
      </vt:variant>
      <vt:variant>
        <vt:i4>51</vt:i4>
      </vt:variant>
      <vt:variant>
        <vt:i4>0</vt:i4>
      </vt:variant>
      <vt:variant>
        <vt:i4>5</vt:i4>
      </vt:variant>
      <vt:variant>
        <vt:lpwstr>http://www.nevo.co.il/case/20787902</vt:lpwstr>
      </vt:variant>
      <vt:variant>
        <vt:lpwstr/>
      </vt:variant>
      <vt:variant>
        <vt:i4>3342454</vt:i4>
      </vt:variant>
      <vt:variant>
        <vt:i4>48</vt:i4>
      </vt:variant>
      <vt:variant>
        <vt:i4>0</vt:i4>
      </vt:variant>
      <vt:variant>
        <vt:i4>5</vt:i4>
      </vt:variant>
      <vt:variant>
        <vt:lpwstr>http://www.nevo.co.il/case/18793360</vt:lpwstr>
      </vt:variant>
      <vt:variant>
        <vt:lpwstr/>
      </vt:variant>
      <vt:variant>
        <vt:i4>8257637</vt:i4>
      </vt:variant>
      <vt:variant>
        <vt:i4>45</vt:i4>
      </vt:variant>
      <vt:variant>
        <vt:i4>0</vt:i4>
      </vt:variant>
      <vt:variant>
        <vt:i4>5</vt:i4>
      </vt:variant>
      <vt:variant>
        <vt:lpwstr>http://www.nevo.co.il/law/4216</vt:lpwstr>
      </vt:variant>
      <vt:variant>
        <vt:lpwstr/>
      </vt:variant>
      <vt:variant>
        <vt:i4>3866743</vt:i4>
      </vt:variant>
      <vt:variant>
        <vt:i4>42</vt:i4>
      </vt:variant>
      <vt:variant>
        <vt:i4>0</vt:i4>
      </vt:variant>
      <vt:variant>
        <vt:i4>5</vt:i4>
      </vt:variant>
      <vt:variant>
        <vt:lpwstr>http://www.nevo.co.il/case/22931212</vt:lpwstr>
      </vt:variant>
      <vt:variant>
        <vt:lpwstr/>
      </vt:variant>
      <vt:variant>
        <vt:i4>8257637</vt:i4>
      </vt:variant>
      <vt:variant>
        <vt:i4>39</vt:i4>
      </vt:variant>
      <vt:variant>
        <vt:i4>0</vt:i4>
      </vt:variant>
      <vt:variant>
        <vt:i4>5</vt:i4>
      </vt:variant>
      <vt:variant>
        <vt:lpwstr>http://www.nevo.co.il/law/4216</vt:lpwstr>
      </vt:variant>
      <vt:variant>
        <vt:lpwstr/>
      </vt:variant>
      <vt:variant>
        <vt:i4>3735668</vt:i4>
      </vt:variant>
      <vt:variant>
        <vt:i4>36</vt:i4>
      </vt:variant>
      <vt:variant>
        <vt:i4>0</vt:i4>
      </vt:variant>
      <vt:variant>
        <vt:i4>5</vt:i4>
      </vt:variant>
      <vt:variant>
        <vt:lpwstr>http://www.nevo.co.il/case/23668558</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6553697</vt:i4>
      </vt:variant>
      <vt:variant>
        <vt:i4>30</vt:i4>
      </vt:variant>
      <vt:variant>
        <vt:i4>0</vt:i4>
      </vt:variant>
      <vt:variant>
        <vt:i4>5</vt:i4>
      </vt:variant>
      <vt:variant>
        <vt:lpwstr>http://www.nevo.co.il/law/70301/413</vt:lpwstr>
      </vt:variant>
      <vt:variant>
        <vt:lpwstr/>
      </vt:variant>
      <vt:variant>
        <vt:i4>3866739</vt:i4>
      </vt:variant>
      <vt:variant>
        <vt:i4>27</vt:i4>
      </vt:variant>
      <vt:variant>
        <vt:i4>0</vt:i4>
      </vt:variant>
      <vt:variant>
        <vt:i4>5</vt:i4>
      </vt:variant>
      <vt:variant>
        <vt:lpwstr>http://www.nevo.co.il/case/27936362</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3473527</vt:i4>
      </vt:variant>
      <vt:variant>
        <vt:i4>15</vt:i4>
      </vt:variant>
      <vt:variant>
        <vt:i4>0</vt:i4>
      </vt:variant>
      <vt:variant>
        <vt:i4>5</vt:i4>
      </vt:variant>
      <vt:variant>
        <vt:lpwstr>http://www.nevo.co.il/case/27445067</vt:lpwstr>
      </vt:variant>
      <vt:variant>
        <vt:lpwstr/>
      </vt:variant>
      <vt:variant>
        <vt:i4>6553697</vt:i4>
      </vt:variant>
      <vt:variant>
        <vt:i4>12</vt:i4>
      </vt:variant>
      <vt:variant>
        <vt:i4>0</vt:i4>
      </vt:variant>
      <vt:variant>
        <vt:i4>5</vt:i4>
      </vt:variant>
      <vt:variant>
        <vt:lpwstr>http://www.nevo.co.il/law/70301/413</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תפק;תפ</vt:lpwstr>
  </property>
  <property fmtid="{D5CDD505-2E9C-101B-9397-08002B2CF9AE}" pid="5" name="NEWPARTA">
    <vt:lpwstr>7171;6358</vt:lpwstr>
  </property>
  <property fmtid="{D5CDD505-2E9C-101B-9397-08002B2CF9AE}" pid="6" name="NEWPARTB">
    <vt:lpwstr>03;10</vt:lpwstr>
  </property>
  <property fmtid="{D5CDD505-2E9C-101B-9397-08002B2CF9AE}" pid="7" name="NEWPARTC">
    <vt:lpwstr>21;21</vt:lpwstr>
  </property>
  <property fmtid="{D5CDD505-2E9C-101B-9397-08002B2CF9AE}" pid="8" name="APPELLANT">
    <vt:lpwstr>מדינת ישראל</vt:lpwstr>
  </property>
  <property fmtid="{D5CDD505-2E9C-101B-9397-08002B2CF9AE}" pid="9" name="APPELLEE">
    <vt:lpwstr>אדם אבו יחיה</vt:lpwstr>
  </property>
  <property fmtid="{D5CDD505-2E9C-101B-9397-08002B2CF9AE}" pid="10" name="JUDGE">
    <vt:lpwstr>אביטל חן</vt:lpwstr>
  </property>
  <property fmtid="{D5CDD505-2E9C-101B-9397-08002B2CF9AE}" pid="11" name="CITY">
    <vt:lpwstr>רמ'</vt:lpwstr>
  </property>
  <property fmtid="{D5CDD505-2E9C-101B-9397-08002B2CF9AE}" pid="12" name="DATE">
    <vt:lpwstr>20240527</vt:lpwstr>
  </property>
  <property fmtid="{D5CDD505-2E9C-101B-9397-08002B2CF9AE}" pid="13" name="TYPE_N_DATE">
    <vt:lpwstr>38020240527</vt:lpwstr>
  </property>
  <property fmtid="{D5CDD505-2E9C-101B-9397-08002B2CF9AE}" pid="14" name="CASESLISTTMP1">
    <vt:lpwstr>27445067;27936362;23668558:3;22931212;18793360;20787902;25977712;18784698;10459115;28224526;4617131;2511993</vt:lpwstr>
  </property>
  <property fmtid="{D5CDD505-2E9C-101B-9397-08002B2CF9AE}" pid="15" name="CASENOTES1">
    <vt:lpwstr>ProcID=209&amp;PartA=1994&amp;PartC=08</vt:lpwstr>
  </property>
  <property fmtid="{D5CDD505-2E9C-101B-9397-08002B2CF9AE}" pid="16" name="CASENOTES2">
    <vt:lpwstr>ProcID=209&amp;PartA=1515&amp;PartC=06</vt:lpwstr>
  </property>
  <property fmtid="{D5CDD505-2E9C-101B-9397-08002B2CF9AE}" pid="17" name="WORDNUMPAGES">
    <vt:lpwstr>8</vt:lpwstr>
  </property>
  <property fmtid="{D5CDD505-2E9C-101B-9397-08002B2CF9AE}" pid="18" name="TYPE_ABS_DATE">
    <vt:lpwstr>380020240527</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4216/013;019a</vt:lpwstr>
  </property>
  <property fmtid="{D5CDD505-2E9C-101B-9397-08002B2CF9AE}" pid="39" name="LAWLISTTMP2">
    <vt:lpwstr>70301/413</vt:lpwstr>
  </property>
</Properties>
</file>