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EC150E" w:rsidRPr="00D305AF" w:rsidTr="00E3540B">
        <w:trPr>
          <w:gridAfter w:val="1"/>
          <w:wAfter w:w="99" w:type="dxa"/>
          <w:trHeight w:hRule="exact" w:val="418"/>
          <w:jc w:val="center"/>
        </w:trPr>
        <w:tc>
          <w:tcPr>
            <w:tcW w:w="8721" w:type="dxa"/>
            <w:gridSpan w:val="4"/>
          </w:tcPr>
          <w:p w:rsidR="00EC150E" w:rsidRPr="00D305AF" w:rsidRDefault="00EC150E" w:rsidP="009D6EF4">
            <w:pPr>
              <w:pStyle w:val="Header"/>
              <w:jc w:val="center"/>
              <w:rPr>
                <w:rFonts w:ascii="Tahoma" w:hAnsi="Tahoma" w:cs="Tahoma"/>
                <w:color w:val="000080"/>
                <w:rtl/>
              </w:rPr>
            </w:pPr>
            <w:bookmarkStart w:id="0" w:name="LastJudge"/>
            <w:r w:rsidRPr="00D305AF">
              <w:rPr>
                <w:rFonts w:ascii="Tahoma" w:hAnsi="Tahoma" w:cs="Tahoma"/>
                <w:b/>
                <w:bCs/>
                <w:color w:val="000080"/>
                <w:rtl/>
              </w:rPr>
              <w:t>בית משפט השלום בחדרה</w:t>
            </w:r>
          </w:p>
        </w:tc>
      </w:tr>
      <w:tr w:rsidR="00EC150E" w:rsidRPr="00D305AF" w:rsidTr="00E3540B">
        <w:trPr>
          <w:gridAfter w:val="1"/>
          <w:wAfter w:w="99" w:type="dxa"/>
          <w:trHeight w:val="337"/>
          <w:jc w:val="center"/>
        </w:trPr>
        <w:tc>
          <w:tcPr>
            <w:tcW w:w="5054" w:type="dxa"/>
            <w:gridSpan w:val="3"/>
          </w:tcPr>
          <w:p w:rsidR="00EC150E" w:rsidRPr="00D305AF" w:rsidRDefault="00EC150E" w:rsidP="009D6EF4">
            <w:pPr>
              <w:rPr>
                <w:rFonts w:cs="FrankRuehl"/>
                <w:sz w:val="28"/>
                <w:szCs w:val="28"/>
                <w:rtl/>
              </w:rPr>
            </w:pPr>
            <w:r w:rsidRPr="00D305AF">
              <w:rPr>
                <w:rFonts w:cs="FrankRuehl"/>
                <w:sz w:val="28"/>
                <w:szCs w:val="28"/>
                <w:rtl/>
              </w:rPr>
              <w:t>ת"פ</w:t>
            </w:r>
            <w:r w:rsidRPr="00D305AF">
              <w:rPr>
                <w:rFonts w:cs="FrankRuehl" w:hint="cs"/>
                <w:sz w:val="28"/>
                <w:szCs w:val="28"/>
                <w:rtl/>
              </w:rPr>
              <w:t xml:space="preserve"> </w:t>
            </w:r>
            <w:r w:rsidRPr="00D305AF">
              <w:rPr>
                <w:rFonts w:cs="FrankRuehl"/>
                <w:sz w:val="28"/>
                <w:szCs w:val="28"/>
                <w:rtl/>
              </w:rPr>
              <w:t>16014-01-22</w:t>
            </w:r>
            <w:r w:rsidRPr="00D305AF">
              <w:rPr>
                <w:rFonts w:cs="FrankRuehl" w:hint="cs"/>
                <w:sz w:val="28"/>
                <w:szCs w:val="28"/>
                <w:rtl/>
              </w:rPr>
              <w:t xml:space="preserve"> </w:t>
            </w:r>
            <w:r w:rsidRPr="00D305AF">
              <w:rPr>
                <w:rFonts w:cs="FrankRuehl"/>
                <w:sz w:val="28"/>
                <w:szCs w:val="28"/>
                <w:rtl/>
              </w:rPr>
              <w:t>מדינת ישראל נ' דעאיף</w:t>
            </w:r>
          </w:p>
          <w:p w:rsidR="00EC150E" w:rsidRPr="00D305AF" w:rsidRDefault="00EC150E" w:rsidP="009D6EF4">
            <w:pPr>
              <w:pStyle w:val="Header"/>
              <w:rPr>
                <w:rFonts w:cs="FrankRuehl"/>
                <w:sz w:val="28"/>
                <w:szCs w:val="28"/>
                <w:rtl/>
              </w:rPr>
            </w:pPr>
          </w:p>
        </w:tc>
        <w:tc>
          <w:tcPr>
            <w:tcW w:w="3667" w:type="dxa"/>
          </w:tcPr>
          <w:p w:rsidR="00EC150E" w:rsidRPr="00D305AF" w:rsidRDefault="00EC150E" w:rsidP="009D6EF4">
            <w:pPr>
              <w:pStyle w:val="Header"/>
              <w:jc w:val="right"/>
              <w:rPr>
                <w:rFonts w:cs="FrankRuehl"/>
                <w:sz w:val="28"/>
                <w:szCs w:val="28"/>
                <w:rtl/>
              </w:rPr>
            </w:pPr>
          </w:p>
        </w:tc>
      </w:tr>
      <w:tr w:rsidR="00EC150E" w:rsidRPr="00D305AF"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EC150E" w:rsidRPr="00D305AF" w:rsidRDefault="00EC150E" w:rsidP="00EC150E">
            <w:pPr>
              <w:jc w:val="both"/>
              <w:rPr>
                <w:rFonts w:ascii="David" w:hAnsi="David"/>
                <w:sz w:val="26"/>
                <w:szCs w:val="26"/>
              </w:rPr>
            </w:pPr>
            <w:r w:rsidRPr="00D305AF">
              <w:rPr>
                <w:rFonts w:hint="cs"/>
                <w:rtl/>
              </w:rPr>
              <w:t xml:space="preserve"> </w:t>
            </w:r>
            <w:r w:rsidRPr="00D305AF">
              <w:rPr>
                <w:rFonts w:ascii="David" w:hAnsi="David" w:hint="cs"/>
                <w:sz w:val="26"/>
                <w:szCs w:val="26"/>
                <w:rtl/>
              </w:rPr>
              <w:t>ל</w:t>
            </w:r>
            <w:r w:rsidRPr="00D305A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EC150E" w:rsidRPr="00D305AF" w:rsidRDefault="00EC150E" w:rsidP="009D6EF4">
            <w:pPr>
              <w:rPr>
                <w:rFonts w:ascii="David" w:hAnsi="David"/>
                <w:b/>
                <w:bCs/>
                <w:sz w:val="26"/>
                <w:szCs w:val="26"/>
                <w:rtl/>
              </w:rPr>
            </w:pPr>
            <w:r w:rsidRPr="00D305AF">
              <w:rPr>
                <w:rFonts w:ascii="David" w:hAnsi="David"/>
                <w:b/>
                <w:bCs/>
                <w:sz w:val="26"/>
                <w:szCs w:val="26"/>
                <w:rtl/>
              </w:rPr>
              <w:t>כבוד השופט  אלכס אחטר</w:t>
            </w:r>
          </w:p>
          <w:p w:rsidR="00EC150E" w:rsidRPr="00D305AF" w:rsidRDefault="00EC150E" w:rsidP="009D6EF4">
            <w:pPr>
              <w:rPr>
                <w:rFonts w:ascii="David" w:hAnsi="David"/>
                <w:sz w:val="26"/>
                <w:szCs w:val="26"/>
                <w:rtl/>
              </w:rPr>
            </w:pPr>
          </w:p>
          <w:p w:rsidR="00EC150E" w:rsidRPr="00D305AF" w:rsidRDefault="00EC150E" w:rsidP="00EC150E">
            <w:pPr>
              <w:jc w:val="both"/>
              <w:rPr>
                <w:rFonts w:ascii="David" w:hAnsi="David"/>
                <w:sz w:val="26"/>
                <w:szCs w:val="26"/>
              </w:rPr>
            </w:pPr>
          </w:p>
        </w:tc>
      </w:tr>
      <w:tr w:rsidR="00EC150E" w:rsidRPr="00D305AF"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C150E" w:rsidRPr="00D305AF" w:rsidRDefault="00EC150E" w:rsidP="00EC150E">
            <w:pPr>
              <w:jc w:val="both"/>
              <w:rPr>
                <w:rFonts w:ascii="David" w:hAnsi="David"/>
                <w:sz w:val="26"/>
                <w:szCs w:val="26"/>
              </w:rPr>
            </w:pPr>
            <w:bookmarkStart w:id="1" w:name="FirstAppellant"/>
            <w:bookmarkStart w:id="2" w:name="FirstLawyer"/>
            <w:r w:rsidRPr="00D305AF">
              <w:rPr>
                <w:rFonts w:ascii="David" w:hAnsi="David"/>
                <w:sz w:val="26"/>
                <w:szCs w:val="26"/>
                <w:rtl/>
              </w:rPr>
              <w:t>בעניין:</w:t>
            </w:r>
          </w:p>
        </w:tc>
        <w:tc>
          <w:tcPr>
            <w:tcW w:w="3219" w:type="dxa"/>
            <w:tcBorders>
              <w:top w:val="nil"/>
              <w:left w:val="nil"/>
              <w:bottom w:val="nil"/>
              <w:right w:val="nil"/>
            </w:tcBorders>
            <w:shd w:val="clear" w:color="auto" w:fill="auto"/>
          </w:tcPr>
          <w:p w:rsidR="00EC150E" w:rsidRPr="00D305AF" w:rsidRDefault="00EC150E" w:rsidP="00EC150E">
            <w:pPr>
              <w:suppressLineNumbers/>
            </w:pPr>
            <w:r w:rsidRPr="00D305AF">
              <w:rPr>
                <w:rFonts w:ascii="Arial" w:hAnsi="Arial" w:hint="cs"/>
                <w:b/>
                <w:bCs/>
                <w:sz w:val="26"/>
                <w:szCs w:val="26"/>
                <w:rtl/>
              </w:rPr>
              <w:t>ה</w:t>
            </w:r>
            <w:r w:rsidRPr="00D305AF">
              <w:rPr>
                <w:rFonts w:ascii="Arial" w:hAnsi="Arial"/>
                <w:b/>
                <w:bCs/>
                <w:sz w:val="26"/>
                <w:szCs w:val="26"/>
                <w:rtl/>
              </w:rPr>
              <w:t>מאשימה</w:t>
            </w:r>
          </w:p>
          <w:p w:rsidR="00EC150E" w:rsidRPr="00D305AF" w:rsidRDefault="00EC150E" w:rsidP="009D6EF4">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EC150E" w:rsidRPr="00D305AF" w:rsidRDefault="00EC150E" w:rsidP="00EC150E">
            <w:pPr>
              <w:suppressLineNumbers/>
              <w:rPr>
                <w:rFonts w:ascii="Arial" w:hAnsi="Arial"/>
                <w:b/>
                <w:bCs/>
                <w:sz w:val="26"/>
                <w:szCs w:val="26"/>
                <w:rtl/>
              </w:rPr>
            </w:pPr>
            <w:r w:rsidRPr="00D305AF">
              <w:rPr>
                <w:rFonts w:ascii="Arial" w:hAnsi="Arial"/>
                <w:b/>
                <w:bCs/>
                <w:sz w:val="26"/>
                <w:szCs w:val="26"/>
                <w:rtl/>
              </w:rPr>
              <w:t>מדינת ישראל</w:t>
            </w:r>
            <w:r w:rsidRPr="00D305AF">
              <w:rPr>
                <w:rFonts w:ascii="Arial" w:hAnsi="Arial" w:hint="cs"/>
                <w:b/>
                <w:bCs/>
                <w:sz w:val="26"/>
                <w:szCs w:val="26"/>
                <w:rtl/>
              </w:rPr>
              <w:t xml:space="preserve"> </w:t>
            </w:r>
          </w:p>
          <w:p w:rsidR="00EC150E" w:rsidRPr="00D305AF" w:rsidRDefault="00EC150E" w:rsidP="00EC150E">
            <w:pPr>
              <w:suppressLineNumbers/>
            </w:pPr>
            <w:r w:rsidRPr="00D305AF">
              <w:rPr>
                <w:rFonts w:ascii="Arial" w:hAnsi="Arial"/>
                <w:b/>
                <w:bCs/>
                <w:sz w:val="26"/>
                <w:szCs w:val="26"/>
                <w:rtl/>
              </w:rPr>
              <w:t>ע"י ב"כ עוה"ד</w:t>
            </w:r>
            <w:r w:rsidRPr="00D305AF">
              <w:rPr>
                <w:rFonts w:hint="cs"/>
                <w:b/>
                <w:bCs/>
                <w:rtl/>
              </w:rPr>
              <w:t xml:space="preserve"> ממיט טללה</w:t>
            </w:r>
          </w:p>
          <w:p w:rsidR="00EC150E" w:rsidRPr="00D305AF" w:rsidRDefault="00EC150E" w:rsidP="009D6EF4">
            <w:pPr>
              <w:rPr>
                <w:rFonts w:ascii="David" w:hAnsi="David"/>
                <w:sz w:val="26"/>
                <w:szCs w:val="26"/>
              </w:rPr>
            </w:pPr>
          </w:p>
        </w:tc>
      </w:tr>
      <w:bookmarkEnd w:id="1"/>
      <w:bookmarkEnd w:id="2"/>
      <w:tr w:rsidR="00EC150E" w:rsidRPr="00D305AF"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C150E" w:rsidRPr="00D305AF" w:rsidRDefault="00EC150E" w:rsidP="00EC150E">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EC150E" w:rsidRPr="00D305AF" w:rsidRDefault="00EC150E" w:rsidP="00EC150E">
            <w:pPr>
              <w:jc w:val="center"/>
              <w:rPr>
                <w:rFonts w:ascii="David" w:hAnsi="David"/>
                <w:b/>
                <w:bCs/>
                <w:sz w:val="26"/>
                <w:szCs w:val="26"/>
                <w:rtl/>
              </w:rPr>
            </w:pPr>
          </w:p>
          <w:p w:rsidR="00EC150E" w:rsidRPr="00D305AF" w:rsidRDefault="00EC150E" w:rsidP="00EC150E">
            <w:pPr>
              <w:jc w:val="center"/>
              <w:rPr>
                <w:rFonts w:ascii="David" w:hAnsi="David"/>
                <w:b/>
                <w:bCs/>
                <w:sz w:val="26"/>
                <w:szCs w:val="26"/>
                <w:rtl/>
              </w:rPr>
            </w:pPr>
            <w:r w:rsidRPr="00D305AF">
              <w:rPr>
                <w:rFonts w:ascii="David" w:hAnsi="David"/>
                <w:b/>
                <w:bCs/>
                <w:sz w:val="26"/>
                <w:szCs w:val="26"/>
                <w:rtl/>
              </w:rPr>
              <w:t>נגד</w:t>
            </w:r>
          </w:p>
          <w:p w:rsidR="00EC150E" w:rsidRPr="00D305AF" w:rsidRDefault="00EC150E" w:rsidP="00EC150E">
            <w:pPr>
              <w:jc w:val="both"/>
              <w:rPr>
                <w:rFonts w:ascii="David" w:hAnsi="David"/>
                <w:sz w:val="26"/>
                <w:szCs w:val="26"/>
              </w:rPr>
            </w:pPr>
          </w:p>
        </w:tc>
      </w:tr>
      <w:tr w:rsidR="00EC150E" w:rsidRPr="00D305AF" w:rsidTr="00E3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C150E" w:rsidRPr="00D305AF" w:rsidRDefault="00EC150E" w:rsidP="009D6EF4">
            <w:pPr>
              <w:rPr>
                <w:rFonts w:ascii="David" w:hAnsi="David"/>
                <w:sz w:val="26"/>
                <w:szCs w:val="26"/>
                <w:rtl/>
              </w:rPr>
            </w:pPr>
          </w:p>
        </w:tc>
        <w:tc>
          <w:tcPr>
            <w:tcW w:w="3219" w:type="dxa"/>
            <w:tcBorders>
              <w:top w:val="nil"/>
              <w:left w:val="nil"/>
              <w:bottom w:val="nil"/>
              <w:right w:val="nil"/>
            </w:tcBorders>
            <w:shd w:val="clear" w:color="auto" w:fill="auto"/>
          </w:tcPr>
          <w:p w:rsidR="00EC150E" w:rsidRPr="00D305AF" w:rsidRDefault="00EC150E" w:rsidP="009D6EF4">
            <w:pPr>
              <w:rPr>
                <w:rFonts w:ascii="Arial" w:hAnsi="Arial"/>
                <w:b/>
                <w:bCs/>
                <w:sz w:val="26"/>
                <w:szCs w:val="26"/>
                <w:rtl/>
              </w:rPr>
            </w:pPr>
            <w:r w:rsidRPr="00D305A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EC150E" w:rsidRPr="00D305AF" w:rsidRDefault="00EC150E" w:rsidP="00EC150E">
            <w:pPr>
              <w:suppressLineNumbers/>
              <w:rPr>
                <w:rFonts w:ascii="Arial" w:hAnsi="Arial"/>
                <w:b/>
                <w:bCs/>
                <w:sz w:val="26"/>
                <w:szCs w:val="26"/>
                <w:rtl/>
              </w:rPr>
            </w:pPr>
            <w:r w:rsidRPr="00D305AF">
              <w:rPr>
                <w:rFonts w:ascii="Arial" w:hAnsi="Arial"/>
                <w:b/>
                <w:bCs/>
                <w:sz w:val="26"/>
                <w:szCs w:val="26"/>
                <w:rtl/>
              </w:rPr>
              <w:t>מחמוד דעאיף</w:t>
            </w:r>
            <w:r w:rsidRPr="00D305AF">
              <w:rPr>
                <w:rFonts w:ascii="Arial" w:hAnsi="Arial" w:hint="cs"/>
                <w:b/>
                <w:bCs/>
                <w:sz w:val="26"/>
                <w:szCs w:val="26"/>
                <w:rtl/>
              </w:rPr>
              <w:t xml:space="preserve"> </w:t>
            </w:r>
          </w:p>
          <w:p w:rsidR="00EC150E" w:rsidRPr="00D305AF" w:rsidRDefault="00EC150E" w:rsidP="00EC150E">
            <w:pPr>
              <w:suppressLineNumbers/>
              <w:rPr>
                <w:b/>
                <w:bCs/>
              </w:rPr>
            </w:pPr>
            <w:r w:rsidRPr="00D305AF">
              <w:rPr>
                <w:rFonts w:ascii="Arial" w:hAnsi="Arial"/>
                <w:b/>
                <w:bCs/>
                <w:sz w:val="26"/>
                <w:szCs w:val="26"/>
                <w:rtl/>
              </w:rPr>
              <w:t>ע"י ב"כ עוה"ד</w:t>
            </w:r>
            <w:r w:rsidRPr="00D305AF">
              <w:rPr>
                <w:rFonts w:hint="cs"/>
                <w:rtl/>
              </w:rPr>
              <w:t xml:space="preserve"> </w:t>
            </w:r>
            <w:r w:rsidRPr="00D305AF">
              <w:rPr>
                <w:rFonts w:hint="cs"/>
                <w:b/>
                <w:bCs/>
                <w:rtl/>
              </w:rPr>
              <w:t>מוחמד מואסי ממשרדו של עו"ד עאדל בויארת</w:t>
            </w:r>
          </w:p>
          <w:p w:rsidR="00EC150E" w:rsidRPr="00D305AF" w:rsidRDefault="00EC150E" w:rsidP="009D6EF4">
            <w:pPr>
              <w:rPr>
                <w:rFonts w:ascii="David" w:hAnsi="David"/>
                <w:sz w:val="26"/>
                <w:szCs w:val="26"/>
              </w:rPr>
            </w:pPr>
          </w:p>
        </w:tc>
      </w:tr>
    </w:tbl>
    <w:p w:rsidR="00D305AF" w:rsidRPr="00D305AF" w:rsidRDefault="00D305AF" w:rsidP="00D305AF">
      <w:pPr>
        <w:spacing w:before="120" w:after="120" w:line="240" w:lineRule="exact"/>
        <w:ind w:left="283" w:hanging="283"/>
        <w:jc w:val="both"/>
        <w:rPr>
          <w:rFonts w:ascii="FrankRuehl" w:hAnsi="FrankRuehl" w:cs="FrankRuehl"/>
          <w:rtl/>
        </w:rPr>
      </w:pPr>
    </w:p>
    <w:p w:rsidR="00D305AF" w:rsidRPr="00D305AF" w:rsidRDefault="00D305AF" w:rsidP="00D305AF">
      <w:pPr>
        <w:rPr>
          <w:sz w:val="26"/>
          <w:szCs w:val="26"/>
          <w:rtl/>
        </w:rPr>
      </w:pPr>
    </w:p>
    <w:p w:rsidR="00E3540B" w:rsidRPr="00E3540B" w:rsidRDefault="00E3540B" w:rsidP="00E3540B">
      <w:pPr>
        <w:spacing w:before="120" w:after="120" w:line="240" w:lineRule="exact"/>
        <w:ind w:left="283" w:hanging="283"/>
        <w:jc w:val="both"/>
        <w:rPr>
          <w:rFonts w:ascii="FrankRuehl" w:hAnsi="FrankRuehl" w:cs="FrankRuehl"/>
          <w:rtl/>
        </w:rPr>
      </w:pPr>
      <w:bookmarkStart w:id="3" w:name="LawTable"/>
      <w:bookmarkEnd w:id="3"/>
    </w:p>
    <w:p w:rsidR="00E3540B" w:rsidRPr="00E3540B" w:rsidRDefault="00E3540B" w:rsidP="00E3540B">
      <w:pPr>
        <w:spacing w:before="120" w:after="120" w:line="240" w:lineRule="exact"/>
        <w:ind w:left="283" w:hanging="283"/>
        <w:jc w:val="both"/>
        <w:rPr>
          <w:rFonts w:ascii="FrankRuehl" w:hAnsi="FrankRuehl" w:cs="FrankRuehl"/>
          <w:rtl/>
        </w:rPr>
      </w:pPr>
      <w:r w:rsidRPr="00E3540B">
        <w:rPr>
          <w:rFonts w:ascii="FrankRuehl" w:hAnsi="FrankRuehl" w:cs="FrankRuehl"/>
          <w:rtl/>
        </w:rPr>
        <w:t xml:space="preserve">חקיקה שאוזכרה: </w:t>
      </w:r>
    </w:p>
    <w:p w:rsidR="00E3540B" w:rsidRPr="00E3540B" w:rsidRDefault="00E3540B" w:rsidP="00E3540B">
      <w:pPr>
        <w:spacing w:before="120" w:after="120" w:line="240" w:lineRule="exact"/>
        <w:ind w:left="283" w:hanging="283"/>
        <w:jc w:val="both"/>
        <w:rPr>
          <w:rFonts w:ascii="FrankRuehl" w:hAnsi="FrankRuehl" w:cs="FrankRuehl"/>
          <w:color w:val="0000FF"/>
          <w:rtl/>
        </w:rPr>
      </w:pPr>
      <w:hyperlink r:id="rId7" w:history="1">
        <w:r w:rsidRPr="00E3540B">
          <w:rPr>
            <w:rStyle w:val="Hyperlink"/>
            <w:rFonts w:ascii="FrankRuehl" w:hAnsi="FrankRuehl" w:cs="FrankRuehl"/>
            <w:u w:val="none"/>
            <w:rtl/>
          </w:rPr>
          <w:t>פקודת הסמים המסוכנים [נוסח חדש], תשל"ג-1973</w:t>
        </w:r>
      </w:hyperlink>
      <w:r w:rsidRPr="00E3540B">
        <w:rPr>
          <w:rFonts w:ascii="FrankRuehl" w:hAnsi="FrankRuehl" w:cs="FrankRuehl"/>
          <w:color w:val="0000FF"/>
          <w:rtl/>
        </w:rPr>
        <w:t xml:space="preserve">: סע'  </w:t>
      </w:r>
      <w:hyperlink r:id="rId8" w:history="1">
        <w:r w:rsidRPr="00E3540B">
          <w:rPr>
            <w:rStyle w:val="Hyperlink"/>
            <w:rFonts w:ascii="FrankRuehl" w:hAnsi="FrankRuehl" w:cs="FrankRuehl"/>
            <w:u w:val="none"/>
          </w:rPr>
          <w:t>13</w:t>
        </w:r>
      </w:hyperlink>
      <w:r w:rsidRPr="00E3540B">
        <w:rPr>
          <w:rFonts w:ascii="FrankRuehl" w:hAnsi="FrankRuehl" w:cs="FrankRuehl"/>
          <w:color w:val="0000FF"/>
          <w:rtl/>
        </w:rPr>
        <w:t xml:space="preserve">, </w:t>
      </w:r>
      <w:hyperlink r:id="rId9" w:history="1">
        <w:r w:rsidRPr="00E3540B">
          <w:rPr>
            <w:rStyle w:val="Hyperlink"/>
            <w:rFonts w:ascii="FrankRuehl" w:hAnsi="FrankRuehl" w:cs="FrankRuehl"/>
            <w:u w:val="none"/>
          </w:rPr>
          <w:t>19</w:t>
        </w:r>
        <w:r w:rsidRPr="00E3540B">
          <w:rPr>
            <w:rStyle w:val="Hyperlink"/>
            <w:rFonts w:ascii="FrankRuehl" w:hAnsi="FrankRuehl" w:cs="FrankRuehl"/>
            <w:u w:val="none"/>
            <w:rtl/>
          </w:rPr>
          <w:t>א</w:t>
        </w:r>
      </w:hyperlink>
    </w:p>
    <w:p w:rsidR="00E3540B" w:rsidRPr="00E3540B" w:rsidRDefault="00E3540B" w:rsidP="00E3540B">
      <w:pPr>
        <w:spacing w:before="120" w:after="120" w:line="240" w:lineRule="exact"/>
        <w:ind w:left="283" w:hanging="283"/>
        <w:jc w:val="both"/>
        <w:rPr>
          <w:rFonts w:ascii="FrankRuehl" w:hAnsi="FrankRuehl" w:cs="FrankRuehl"/>
          <w:color w:val="0000FF"/>
          <w:rtl/>
        </w:rPr>
      </w:pPr>
      <w:hyperlink r:id="rId10" w:history="1">
        <w:r w:rsidRPr="00E3540B">
          <w:rPr>
            <w:rStyle w:val="Hyperlink"/>
            <w:rFonts w:ascii="FrankRuehl" w:hAnsi="FrankRuehl" w:cs="FrankRuehl"/>
            <w:u w:val="none"/>
            <w:rtl/>
          </w:rPr>
          <w:t>פקודת התעבורה [נוסח חדש</w:t>
        </w:r>
        <w:r w:rsidRPr="00E3540B">
          <w:rPr>
            <w:rStyle w:val="Hyperlink"/>
            <w:rFonts w:ascii="FrankRuehl" w:hAnsi="FrankRuehl" w:cs="FrankRuehl"/>
            <w:u w:val="none"/>
          </w:rPr>
          <w:t>]</w:t>
        </w:r>
      </w:hyperlink>
      <w:r w:rsidRPr="00E3540B">
        <w:rPr>
          <w:rFonts w:ascii="FrankRuehl" w:hAnsi="FrankRuehl" w:cs="FrankRuehl"/>
          <w:color w:val="0000FF"/>
          <w:rtl/>
        </w:rPr>
        <w:t xml:space="preserve">: סע'  </w:t>
      </w:r>
      <w:hyperlink r:id="rId11" w:history="1">
        <w:r w:rsidRPr="00E3540B">
          <w:rPr>
            <w:rStyle w:val="Hyperlink"/>
            <w:rFonts w:ascii="FrankRuehl" w:hAnsi="FrankRuehl" w:cs="FrankRuehl"/>
            <w:u w:val="none"/>
          </w:rPr>
          <w:t>10</w:t>
        </w:r>
      </w:hyperlink>
      <w:r w:rsidRPr="00E3540B">
        <w:rPr>
          <w:rFonts w:ascii="FrankRuehl" w:hAnsi="FrankRuehl" w:cs="FrankRuehl"/>
          <w:color w:val="0000FF"/>
          <w:rtl/>
        </w:rPr>
        <w:t xml:space="preserve">(א), </w:t>
      </w:r>
      <w:hyperlink r:id="rId12" w:history="1">
        <w:r w:rsidRPr="00E3540B">
          <w:rPr>
            <w:rStyle w:val="Hyperlink"/>
            <w:rFonts w:ascii="FrankRuehl" w:hAnsi="FrankRuehl" w:cs="FrankRuehl"/>
            <w:u w:val="none"/>
          </w:rPr>
          <w:t>67</w:t>
        </w:r>
      </w:hyperlink>
    </w:p>
    <w:p w:rsidR="00E3540B" w:rsidRPr="00E3540B" w:rsidRDefault="00E3540B" w:rsidP="00E3540B">
      <w:pPr>
        <w:spacing w:before="120" w:after="120" w:line="240" w:lineRule="exact"/>
        <w:ind w:left="283" w:hanging="283"/>
        <w:jc w:val="both"/>
        <w:rPr>
          <w:rFonts w:ascii="FrankRuehl" w:hAnsi="FrankRuehl" w:cs="FrankRuehl"/>
          <w:color w:val="0000FF"/>
          <w:rtl/>
        </w:rPr>
      </w:pPr>
      <w:hyperlink r:id="rId13" w:history="1">
        <w:r w:rsidRPr="00E3540B">
          <w:rPr>
            <w:rStyle w:val="Hyperlink"/>
            <w:rFonts w:ascii="FrankRuehl" w:hAnsi="FrankRuehl" w:cs="FrankRuehl"/>
            <w:u w:val="none"/>
            <w:rtl/>
          </w:rPr>
          <w:t>פקודת ביטוח רכב מנועי [נוסח חדש], תש"ל-1970</w:t>
        </w:r>
      </w:hyperlink>
      <w:r w:rsidRPr="00E3540B">
        <w:rPr>
          <w:rFonts w:ascii="FrankRuehl" w:hAnsi="FrankRuehl" w:cs="FrankRuehl"/>
          <w:color w:val="0000FF"/>
          <w:rtl/>
        </w:rPr>
        <w:t xml:space="preserve">: סע'  </w:t>
      </w:r>
      <w:hyperlink r:id="rId14" w:history="1">
        <w:r w:rsidRPr="00E3540B">
          <w:rPr>
            <w:rStyle w:val="Hyperlink"/>
            <w:rFonts w:ascii="FrankRuehl" w:hAnsi="FrankRuehl" w:cs="FrankRuehl"/>
            <w:u w:val="none"/>
          </w:rPr>
          <w:t>2</w:t>
        </w:r>
        <w:r w:rsidRPr="00E3540B">
          <w:rPr>
            <w:rStyle w:val="Hyperlink"/>
            <w:rFonts w:ascii="FrankRuehl" w:hAnsi="FrankRuehl" w:cs="FrankRuehl"/>
            <w:u w:val="none"/>
            <w:rtl/>
          </w:rPr>
          <w:t>א</w:t>
        </w:r>
      </w:hyperlink>
    </w:p>
    <w:p w:rsidR="00E3540B" w:rsidRPr="00E3540B" w:rsidRDefault="00E3540B" w:rsidP="00E3540B">
      <w:pPr>
        <w:spacing w:before="120" w:after="120" w:line="240" w:lineRule="exact"/>
        <w:ind w:left="283" w:hanging="283"/>
        <w:jc w:val="both"/>
        <w:rPr>
          <w:rFonts w:ascii="FrankRuehl" w:hAnsi="FrankRuehl" w:cs="FrankRuehl"/>
          <w:color w:val="0000FF"/>
          <w:rtl/>
        </w:rPr>
      </w:pPr>
      <w:hyperlink r:id="rId15" w:history="1">
        <w:r w:rsidRPr="00E3540B">
          <w:rPr>
            <w:rStyle w:val="Hyperlink"/>
            <w:rFonts w:ascii="FrankRuehl" w:hAnsi="FrankRuehl" w:cs="FrankRuehl"/>
            <w:u w:val="none"/>
            <w:rtl/>
          </w:rPr>
          <w:t>חוק העונשין, תשל"ז-1977</w:t>
        </w:r>
      </w:hyperlink>
      <w:r w:rsidRPr="00E3540B">
        <w:rPr>
          <w:rFonts w:ascii="FrankRuehl" w:hAnsi="FrankRuehl" w:cs="FrankRuehl"/>
          <w:color w:val="0000FF"/>
          <w:rtl/>
        </w:rPr>
        <w:t xml:space="preserve">: סע'  </w:t>
      </w:r>
      <w:hyperlink r:id="rId16" w:history="1">
        <w:r w:rsidRPr="00E3540B">
          <w:rPr>
            <w:rStyle w:val="Hyperlink"/>
            <w:rFonts w:ascii="FrankRuehl" w:hAnsi="FrankRuehl" w:cs="FrankRuehl"/>
            <w:u w:val="none"/>
            <w:rtl/>
          </w:rPr>
          <w:t>ו40 ה</w:t>
        </w:r>
        <w:r w:rsidRPr="00E3540B">
          <w:rPr>
            <w:rStyle w:val="Hyperlink"/>
            <w:rFonts w:ascii="FrankRuehl" w:hAnsi="FrankRuehl" w:cs="FrankRuehl"/>
            <w:u w:val="none"/>
          </w:rPr>
          <w:t>'</w:t>
        </w:r>
      </w:hyperlink>
      <w:r w:rsidRPr="00E3540B">
        <w:rPr>
          <w:rFonts w:ascii="FrankRuehl" w:hAnsi="FrankRuehl" w:cs="FrankRuehl"/>
          <w:color w:val="0000FF"/>
          <w:rtl/>
        </w:rPr>
        <w:t xml:space="preserve">, </w:t>
      </w:r>
      <w:hyperlink r:id="rId17" w:history="1">
        <w:r w:rsidRPr="00E3540B">
          <w:rPr>
            <w:rStyle w:val="Hyperlink"/>
            <w:rFonts w:ascii="FrankRuehl" w:hAnsi="FrankRuehl" w:cs="FrankRuehl"/>
            <w:u w:val="none"/>
          </w:rPr>
          <w:t>40</w:t>
        </w:r>
        <w:r w:rsidRPr="00E3540B">
          <w:rPr>
            <w:rStyle w:val="Hyperlink"/>
            <w:rFonts w:ascii="FrankRuehl" w:hAnsi="FrankRuehl" w:cs="FrankRuehl"/>
            <w:u w:val="none"/>
            <w:rtl/>
          </w:rPr>
          <w:t>ד</w:t>
        </w:r>
        <w:r w:rsidRPr="00E3540B">
          <w:rPr>
            <w:rStyle w:val="Hyperlink"/>
            <w:rFonts w:ascii="FrankRuehl" w:hAnsi="FrankRuehl" w:cs="FrankRuehl"/>
            <w:u w:val="none"/>
          </w:rPr>
          <w:t>'</w:t>
        </w:r>
      </w:hyperlink>
      <w:r w:rsidRPr="00E3540B">
        <w:rPr>
          <w:rFonts w:ascii="FrankRuehl" w:hAnsi="FrankRuehl" w:cs="FrankRuehl"/>
          <w:color w:val="0000FF"/>
          <w:rtl/>
        </w:rPr>
        <w:t xml:space="preserve">, </w:t>
      </w:r>
      <w:hyperlink r:id="rId18" w:history="1">
        <w:r w:rsidRPr="00E3540B">
          <w:rPr>
            <w:rStyle w:val="Hyperlink"/>
            <w:rFonts w:ascii="FrankRuehl" w:hAnsi="FrankRuehl" w:cs="FrankRuehl"/>
            <w:u w:val="none"/>
          </w:rPr>
          <w:t>40</w:t>
        </w:r>
        <w:r w:rsidRPr="00E3540B">
          <w:rPr>
            <w:rStyle w:val="Hyperlink"/>
            <w:rFonts w:ascii="FrankRuehl" w:hAnsi="FrankRuehl" w:cs="FrankRuehl"/>
            <w:u w:val="none"/>
            <w:rtl/>
          </w:rPr>
          <w:t>ט</w:t>
        </w:r>
        <w:r w:rsidRPr="00E3540B">
          <w:rPr>
            <w:rStyle w:val="Hyperlink"/>
            <w:rFonts w:ascii="FrankRuehl" w:hAnsi="FrankRuehl" w:cs="FrankRuehl"/>
            <w:u w:val="none"/>
          </w:rPr>
          <w:t>'</w:t>
        </w:r>
      </w:hyperlink>
      <w:r w:rsidRPr="00E3540B">
        <w:rPr>
          <w:rFonts w:ascii="FrankRuehl" w:hAnsi="FrankRuehl" w:cs="FrankRuehl"/>
          <w:color w:val="0000FF"/>
          <w:rtl/>
        </w:rPr>
        <w:t xml:space="preserve">, </w:t>
      </w:r>
      <w:hyperlink r:id="rId19" w:history="1">
        <w:r w:rsidRPr="00E3540B">
          <w:rPr>
            <w:rStyle w:val="Hyperlink"/>
            <w:rFonts w:ascii="FrankRuehl" w:hAnsi="FrankRuehl" w:cs="FrankRuehl"/>
            <w:u w:val="none"/>
          </w:rPr>
          <w:t>40</w:t>
        </w:r>
        <w:r w:rsidRPr="00E3540B">
          <w:rPr>
            <w:rStyle w:val="Hyperlink"/>
            <w:rFonts w:ascii="FrankRuehl" w:hAnsi="FrankRuehl" w:cs="FrankRuehl"/>
            <w:u w:val="none"/>
            <w:rtl/>
          </w:rPr>
          <w:t>יא</w:t>
        </w:r>
        <w:r w:rsidRPr="00E3540B">
          <w:rPr>
            <w:rStyle w:val="Hyperlink"/>
            <w:rFonts w:ascii="FrankRuehl" w:hAnsi="FrankRuehl" w:cs="FrankRuehl"/>
            <w:u w:val="none"/>
          </w:rPr>
          <w:t>'</w:t>
        </w:r>
      </w:hyperlink>
    </w:p>
    <w:p w:rsidR="00EC150E" w:rsidRDefault="00EC150E" w:rsidP="00E3540B">
      <w:pPr>
        <w:rPr>
          <w:rFonts w:hint="cs"/>
          <w:sz w:val="26"/>
          <w:szCs w:val="26"/>
          <w:rtl/>
        </w:rPr>
      </w:pPr>
      <w:bookmarkStart w:id="4" w:name="LawTable_End"/>
      <w:bookmarkEnd w:id="4"/>
    </w:p>
    <w:p w:rsidR="00E3540B" w:rsidRDefault="00E3540B" w:rsidP="00E3540B">
      <w:pPr>
        <w:rPr>
          <w:rFonts w:hint="cs"/>
          <w:sz w:val="26"/>
          <w:szCs w:val="26"/>
          <w:rtl/>
        </w:rPr>
      </w:pPr>
    </w:p>
    <w:p w:rsidR="00E3540B" w:rsidRDefault="00E3540B" w:rsidP="00E3540B">
      <w:pPr>
        <w:rPr>
          <w:rFonts w:hint="cs"/>
          <w:sz w:val="26"/>
          <w:szCs w:val="26"/>
          <w:rtl/>
        </w:rPr>
      </w:pPr>
    </w:p>
    <w:p w:rsidR="00E3540B" w:rsidRPr="00E3540B" w:rsidRDefault="00E3540B" w:rsidP="00E3540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150E" w:rsidTr="00EC150E">
        <w:trPr>
          <w:trHeight w:val="355"/>
          <w:jc w:val="center"/>
        </w:trPr>
        <w:tc>
          <w:tcPr>
            <w:tcW w:w="8820" w:type="dxa"/>
            <w:tcBorders>
              <w:top w:val="nil"/>
              <w:left w:val="nil"/>
              <w:bottom w:val="nil"/>
              <w:right w:val="nil"/>
            </w:tcBorders>
            <w:shd w:val="clear" w:color="auto" w:fill="auto"/>
          </w:tcPr>
          <w:p w:rsidR="00D305AF" w:rsidRPr="00D305AF" w:rsidRDefault="00D305AF" w:rsidP="00D305AF">
            <w:pPr>
              <w:jc w:val="center"/>
              <w:rPr>
                <w:rFonts w:ascii="David" w:hAnsi="David"/>
                <w:b/>
                <w:bCs/>
                <w:sz w:val="32"/>
                <w:szCs w:val="32"/>
                <w:u w:val="single"/>
                <w:rtl/>
              </w:rPr>
            </w:pPr>
            <w:bookmarkStart w:id="5" w:name="PsakDin" w:colFirst="0" w:colLast="0"/>
            <w:bookmarkEnd w:id="0"/>
            <w:r w:rsidRPr="00D305AF">
              <w:rPr>
                <w:rFonts w:ascii="David" w:hAnsi="David"/>
                <w:b/>
                <w:bCs/>
                <w:sz w:val="32"/>
                <w:szCs w:val="32"/>
                <w:u w:val="single"/>
                <w:rtl/>
              </w:rPr>
              <w:t>גזר דין</w:t>
            </w:r>
          </w:p>
          <w:p w:rsidR="00EC150E" w:rsidRPr="00D305AF" w:rsidRDefault="00EC150E" w:rsidP="00D305AF">
            <w:pPr>
              <w:jc w:val="center"/>
              <w:rPr>
                <w:rFonts w:ascii="David" w:hAnsi="David"/>
                <w:bCs/>
                <w:sz w:val="32"/>
                <w:szCs w:val="32"/>
                <w:u w:val="single"/>
                <w:rtl/>
              </w:rPr>
            </w:pPr>
          </w:p>
        </w:tc>
      </w:tr>
    </w:tbl>
    <w:p w:rsidR="00EC150E" w:rsidRPr="00C97D9A" w:rsidRDefault="00EC150E" w:rsidP="00EC150E">
      <w:pPr>
        <w:spacing w:after="160" w:line="256" w:lineRule="auto"/>
        <w:rPr>
          <w:rFonts w:ascii="Calibri" w:eastAsia="Calibri" w:hAnsi="Calibri" w:cs="Arial"/>
          <w:sz w:val="22"/>
          <w:szCs w:val="22"/>
          <w:rtl/>
        </w:rPr>
      </w:pPr>
      <w:bookmarkStart w:id="6" w:name="ABSTRACT_START"/>
      <w:bookmarkEnd w:id="5"/>
      <w:bookmarkEnd w:id="6"/>
    </w:p>
    <w:p w:rsidR="00EC150E" w:rsidRPr="00C97D9A" w:rsidRDefault="00EC150E" w:rsidP="00EC150E">
      <w:pPr>
        <w:spacing w:line="360" w:lineRule="auto"/>
        <w:jc w:val="both"/>
        <w:rPr>
          <w:rFonts w:ascii="Arial" w:hAnsi="Arial"/>
          <w:rtl/>
        </w:rPr>
      </w:pPr>
      <w:r w:rsidRPr="00C97D9A">
        <w:rPr>
          <w:rFonts w:ascii="Arial" w:hAnsi="Arial"/>
          <w:rtl/>
        </w:rPr>
        <w:t xml:space="preserve">הנאשם הורשע על פי הודאתו, </w:t>
      </w:r>
      <w:r>
        <w:rPr>
          <w:rFonts w:ascii="Arial" w:hAnsi="Arial" w:hint="cs"/>
          <w:rtl/>
        </w:rPr>
        <w:t xml:space="preserve">בעבירות המיוחסות לו </w:t>
      </w:r>
      <w:r w:rsidRPr="00C97D9A">
        <w:rPr>
          <w:rFonts w:ascii="Arial" w:hAnsi="Arial"/>
          <w:rtl/>
        </w:rPr>
        <w:t xml:space="preserve">בכתב אישום מתוקן </w:t>
      </w:r>
      <w:r>
        <w:rPr>
          <w:rFonts w:ascii="Arial" w:hAnsi="Arial" w:hint="cs"/>
          <w:rtl/>
        </w:rPr>
        <w:t>(</w:t>
      </w:r>
      <w:r w:rsidRPr="00C97D9A">
        <w:rPr>
          <w:rFonts w:ascii="Arial" w:hAnsi="Arial"/>
          <w:rtl/>
        </w:rPr>
        <w:t>במסגרת הליך גישור שנוהל בפני סגנית הנשיאה דאז כב' השופטת ארגמן</w:t>
      </w:r>
      <w:r>
        <w:rPr>
          <w:rFonts w:ascii="Arial" w:hAnsi="Arial" w:hint="cs"/>
          <w:rtl/>
        </w:rPr>
        <w:t>)</w:t>
      </w:r>
      <w:r w:rsidRPr="00C97D9A">
        <w:rPr>
          <w:rFonts w:ascii="Arial" w:hAnsi="Arial"/>
          <w:rtl/>
        </w:rPr>
        <w:t xml:space="preserve">, בעבירות של הספקת סם מסוכן (ריבוי עבירות) – לפי </w:t>
      </w:r>
      <w:hyperlink r:id="rId20" w:history="1">
        <w:r w:rsidR="00E3540B" w:rsidRPr="00E3540B">
          <w:rPr>
            <w:rStyle w:val="Hyperlink"/>
            <w:rFonts w:ascii="Arial" w:hAnsi="Arial"/>
            <w:color w:val="0000FF"/>
            <w:rtl/>
          </w:rPr>
          <w:t>סעיפים 13</w:t>
        </w:r>
      </w:hyperlink>
      <w:r w:rsidRPr="00C97D9A">
        <w:rPr>
          <w:rFonts w:ascii="Arial" w:hAnsi="Arial"/>
          <w:rtl/>
        </w:rPr>
        <w:t xml:space="preserve"> + </w:t>
      </w:r>
      <w:hyperlink r:id="rId21" w:history="1">
        <w:r w:rsidR="00E3540B" w:rsidRPr="00E3540B">
          <w:rPr>
            <w:rStyle w:val="Hyperlink"/>
            <w:rFonts w:ascii="Arial" w:hAnsi="Arial"/>
            <w:color w:val="0000FF"/>
            <w:rtl/>
          </w:rPr>
          <w:t>19א</w:t>
        </w:r>
      </w:hyperlink>
      <w:r w:rsidRPr="00C97D9A">
        <w:rPr>
          <w:rFonts w:ascii="Arial" w:hAnsi="Arial"/>
          <w:rtl/>
        </w:rPr>
        <w:t xml:space="preserve"> ל</w:t>
      </w:r>
      <w:hyperlink r:id="rId22" w:history="1">
        <w:r w:rsidR="00D305AF" w:rsidRPr="00D305AF">
          <w:rPr>
            <w:rFonts w:ascii="Arial" w:hAnsi="Arial"/>
            <w:color w:val="0000FF"/>
            <w:u w:val="single"/>
            <w:rtl/>
          </w:rPr>
          <w:t>פקודת הסמים המסוכנים</w:t>
        </w:r>
      </w:hyperlink>
      <w:r w:rsidRPr="00C97D9A">
        <w:rPr>
          <w:rFonts w:ascii="Arial" w:hAnsi="Arial"/>
          <w:rtl/>
        </w:rPr>
        <w:t xml:space="preserve">, (נוסח חדש) תשל"ג – 1973, נהיגה בזמן פסילה – לפי </w:t>
      </w:r>
      <w:hyperlink r:id="rId23" w:history="1">
        <w:r w:rsidR="00E3540B" w:rsidRPr="00E3540B">
          <w:rPr>
            <w:rStyle w:val="Hyperlink"/>
            <w:rFonts w:ascii="Arial" w:hAnsi="Arial"/>
            <w:color w:val="0000FF"/>
            <w:rtl/>
          </w:rPr>
          <w:t>סעיף 67</w:t>
        </w:r>
      </w:hyperlink>
      <w:r w:rsidRPr="00C97D9A">
        <w:rPr>
          <w:rFonts w:ascii="Arial" w:hAnsi="Arial"/>
          <w:rtl/>
        </w:rPr>
        <w:t xml:space="preserve"> ל</w:t>
      </w:r>
      <w:hyperlink r:id="rId24" w:history="1">
        <w:r w:rsidR="00D305AF" w:rsidRPr="00D305AF">
          <w:rPr>
            <w:rFonts w:ascii="Arial" w:hAnsi="Arial"/>
            <w:color w:val="0000FF"/>
            <w:u w:val="single"/>
            <w:rtl/>
          </w:rPr>
          <w:t>פקודת התעבורה</w:t>
        </w:r>
      </w:hyperlink>
      <w:r w:rsidRPr="00C97D9A">
        <w:rPr>
          <w:rFonts w:ascii="Arial" w:hAnsi="Arial"/>
          <w:rtl/>
        </w:rPr>
        <w:t xml:space="preserve"> (נוסח חדש) תשכ"א – 1961, נהיגה ברכב ללא ביטוח – לפי </w:t>
      </w:r>
      <w:hyperlink r:id="rId25" w:history="1">
        <w:r w:rsidR="00E3540B" w:rsidRPr="00E3540B">
          <w:rPr>
            <w:rStyle w:val="Hyperlink"/>
            <w:rFonts w:ascii="Arial" w:hAnsi="Arial"/>
            <w:color w:val="0000FF"/>
            <w:rtl/>
          </w:rPr>
          <w:t>סעיף 2א</w:t>
        </w:r>
      </w:hyperlink>
      <w:r w:rsidRPr="00C97D9A">
        <w:rPr>
          <w:rFonts w:ascii="Arial" w:hAnsi="Arial"/>
          <w:rtl/>
        </w:rPr>
        <w:t xml:space="preserve"> ל</w:t>
      </w:r>
      <w:hyperlink r:id="rId26" w:history="1">
        <w:r w:rsidR="00D305AF" w:rsidRPr="00D305AF">
          <w:rPr>
            <w:rFonts w:ascii="Arial" w:hAnsi="Arial"/>
            <w:color w:val="0000FF"/>
            <w:u w:val="single"/>
            <w:rtl/>
          </w:rPr>
          <w:t>פקודת ביטוח רכב מנועי</w:t>
        </w:r>
      </w:hyperlink>
      <w:r w:rsidRPr="00C97D9A">
        <w:rPr>
          <w:rFonts w:ascii="Arial" w:hAnsi="Arial"/>
          <w:rtl/>
        </w:rPr>
        <w:t xml:space="preserve"> (נוסח חדש) תש"ל – 1970 ונהיגה ללא רישיון נהיגה (פקיעה מעל שנתיים) – לפי </w:t>
      </w:r>
      <w:hyperlink r:id="rId27" w:history="1">
        <w:r w:rsidR="00E3540B" w:rsidRPr="00E3540B">
          <w:rPr>
            <w:rStyle w:val="Hyperlink"/>
            <w:rFonts w:ascii="Arial" w:hAnsi="Arial"/>
            <w:color w:val="0000FF"/>
            <w:rtl/>
          </w:rPr>
          <w:t>סעיף 10(א)</w:t>
        </w:r>
      </w:hyperlink>
      <w:r w:rsidRPr="00C97D9A">
        <w:rPr>
          <w:rFonts w:ascii="Arial" w:hAnsi="Arial"/>
          <w:rtl/>
        </w:rPr>
        <w:t xml:space="preserve"> לפקודת התעבורה (נוסח חדש) תשכ"א - 1961.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bookmarkStart w:id="7" w:name="ABSTRACT_END"/>
      <w:bookmarkEnd w:id="7"/>
      <w:r w:rsidRPr="00C97D9A">
        <w:rPr>
          <w:rFonts w:ascii="Arial" w:hAnsi="Arial"/>
          <w:rtl/>
        </w:rPr>
        <w:t>בתמצית עובדות כתב האישום המתוקן המכיל 6 א</w:t>
      </w:r>
      <w:r>
        <w:rPr>
          <w:rFonts w:ascii="Arial" w:hAnsi="Arial" w:hint="cs"/>
          <w:rtl/>
        </w:rPr>
        <w:t>י</w:t>
      </w:r>
      <w:r w:rsidRPr="00C97D9A">
        <w:rPr>
          <w:rFonts w:ascii="Arial" w:hAnsi="Arial"/>
          <w:rtl/>
        </w:rPr>
        <w:t xml:space="preserve">שומים, במועדים שונים מכר הנאשם לשוטרים מביימים סמים מסוכנים – 31 גרם לערך מסוג חשיש ו-11 טבליות </w:t>
      </w:r>
      <w:r w:rsidRPr="00C97D9A">
        <w:rPr>
          <w:rFonts w:ascii="Arial" w:hAnsi="Arial"/>
        </w:rPr>
        <w:t>MDMA</w:t>
      </w:r>
      <w:r w:rsidRPr="00C97D9A">
        <w:rPr>
          <w:rFonts w:ascii="Arial" w:hAnsi="Arial"/>
          <w:rtl/>
        </w:rPr>
        <w:t xml:space="preserve"> </w:t>
      </w:r>
      <w:r w:rsidRPr="00C97D9A">
        <w:rPr>
          <w:rFonts w:ascii="Arial" w:hAnsi="Arial" w:hint="cs"/>
          <w:rtl/>
        </w:rPr>
        <w:t>וזאת תמורת 2,100 ₪.</w:t>
      </w:r>
    </w:p>
    <w:p w:rsidR="00EC150E" w:rsidRPr="00C97D9A" w:rsidRDefault="00EC150E" w:rsidP="00EC150E">
      <w:pPr>
        <w:spacing w:line="360" w:lineRule="auto"/>
        <w:jc w:val="both"/>
        <w:rPr>
          <w:rFonts w:ascii="Arial" w:hAnsi="Arial"/>
          <w:rtl/>
        </w:rPr>
      </w:pPr>
      <w:r w:rsidRPr="00C97D9A">
        <w:rPr>
          <w:rFonts w:ascii="Arial" w:hAnsi="Arial"/>
          <w:rtl/>
        </w:rPr>
        <w:lastRenderedPageBreak/>
        <w:t xml:space="preserve">בנוסף, בתאריך 07.04.21 אותר הנאשם כשהוא נוהג במכונית וזאת על אף שרישיון נהיגתו פקע בשנת 2014 ובהיותו פסול לנהיגה מתאריך 11.07.18 </w:t>
      </w:r>
      <w:r>
        <w:rPr>
          <w:rFonts w:ascii="Arial" w:hAnsi="Arial" w:hint="cs"/>
          <w:rtl/>
        </w:rPr>
        <w:t>מתוקף גזר דין שניתן בעניינו ב</w:t>
      </w:r>
      <w:r w:rsidRPr="00C97D9A">
        <w:rPr>
          <w:rFonts w:ascii="Arial" w:hAnsi="Arial"/>
          <w:rtl/>
        </w:rPr>
        <w:t>תיק 11816-01-17.</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בתאריך 16.03.23 הנאשם הודה בעבירות המיוחסות לו בכתב האישום המתוקן והורשע בהן ולבקשת בא כוחו, הופנה </w:t>
      </w:r>
      <w:r>
        <w:rPr>
          <w:rFonts w:ascii="Arial" w:hAnsi="Arial" w:hint="cs"/>
          <w:rtl/>
        </w:rPr>
        <w:t xml:space="preserve">עניינו לשירות המבחן לצורך קבלת </w:t>
      </w:r>
      <w:r w:rsidRPr="00C97D9A">
        <w:rPr>
          <w:rFonts w:ascii="Arial" w:hAnsi="Arial"/>
          <w:rtl/>
        </w:rPr>
        <w:t xml:space="preserve">תסקיר בעניינו.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u w:val="single"/>
          <w:rtl/>
        </w:rPr>
      </w:pPr>
      <w:r w:rsidRPr="00C97D9A">
        <w:rPr>
          <w:rFonts w:ascii="Arial" w:hAnsi="Arial"/>
          <w:u w:val="single"/>
          <w:rtl/>
        </w:rPr>
        <w:t>תסקירי שירות המבחן וחוות דעת הממונה על עבודות השירות</w:t>
      </w:r>
    </w:p>
    <w:p w:rsidR="00EC150E" w:rsidRPr="00C97D9A" w:rsidRDefault="00EC150E" w:rsidP="00EC150E">
      <w:pPr>
        <w:spacing w:line="360" w:lineRule="auto"/>
        <w:jc w:val="both"/>
        <w:rPr>
          <w:rFonts w:ascii="Arial" w:hAnsi="Arial"/>
          <w:rtl/>
        </w:rPr>
      </w:pPr>
      <w:r w:rsidRPr="00C97D9A">
        <w:rPr>
          <w:rFonts w:ascii="Arial" w:hAnsi="Arial"/>
          <w:rtl/>
        </w:rPr>
        <w:t>בתאריך 07.12.23 נתקבל תסקיר שירות המבחן בו צוין שהנאשם, רווק בן 28 המתגורר עם בת זוגתו ועובד עצמאי בעסק לגידול בקר. הנאשם שיתף שעזב את ערערה מאחר והסביבה החברתית משפיעה עליו ופוגעת בהליך שיקומו. בשנת 2019, נרצח אחיו הצעיר של הנאשם בשל טעות בזיהוי על רקע סכסוך משפחות שנפתר בשנת 2021 בהליך סולחה רשמי.</w:t>
      </w:r>
    </w:p>
    <w:p w:rsidR="00EC150E" w:rsidRPr="00C97D9A" w:rsidRDefault="00EC150E" w:rsidP="00EC150E">
      <w:pPr>
        <w:spacing w:line="360" w:lineRule="auto"/>
        <w:jc w:val="both"/>
        <w:rPr>
          <w:rFonts w:ascii="Arial" w:hAnsi="Arial"/>
          <w:rtl/>
        </w:rPr>
      </w:pPr>
      <w:r w:rsidRPr="00C97D9A">
        <w:rPr>
          <w:rFonts w:ascii="Arial" w:hAnsi="Arial"/>
          <w:rtl/>
        </w:rPr>
        <w:t>הנאשם השתלב בשוק העבודה מגיל צעיר בשל קשיים כלכליים במשפחתו. במסגרת עבודתו נחשף לגורמים שוליים והיה מעורב בקטטות, שוד וסחר בסמים. לאחר שחרורו ממאסרו האחרון בשנת 2020, השתלב בעבודות מזדמנות ועקב מצוקה כלכלית פנה למעורבות פלילית. לאחר ביצוע העבירות, התערבות גורמי אכיפת החוק וההליך המשפטי, ניהל מסעדה, אותה סגר בשל הקורונה וכיום מנהל עסק לגידול בקר. הנאשם חש סיפוק בעבודתו מאחר שמצליח לפרנס אותו, את בת זוגו ואת הוריו.</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לחובת הנאשם 2 הרשעות קודמות בהן נדון למאסר בפועל בגין </w:t>
      </w:r>
      <w:r>
        <w:rPr>
          <w:rFonts w:ascii="Arial" w:hAnsi="Arial" w:hint="cs"/>
          <w:rtl/>
        </w:rPr>
        <w:t xml:space="preserve">עבירת </w:t>
      </w:r>
      <w:r w:rsidRPr="00C97D9A">
        <w:rPr>
          <w:rFonts w:ascii="Arial" w:hAnsi="Arial"/>
          <w:rtl/>
        </w:rPr>
        <w:t>שוד, עבירות אלימות וגניבת רכב, האחרונה משנת 2018. בעת מאסרו השני הבין את ההשפעה השלילית של סביבתו וניתק את הקשר עם גורמים שוליים אך עקב הקושי להשתלב בשוק העבודה והמצוקה הכלכלית חיפש דרך להשגת רווחים מהירים. בעקבות השפעות החברה השולית על חייו ועל חיי משפחתו, עזב את ערערה ועבר להתגורר בחיפה.</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שירות המבחן התרשם שהנאשם מגלה הבנה של חומרת העבירות, לוקח אחריות על ביצוען, מביע חרטה ומגלה מוטיבציה התחלתית להשתלבות בהליך שיקומי. לאור הסכמת הנאשם להשתלב בהליך טיפולי, הומלץ על דחיית הדיון.</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בתאריך 28.03.24 הוגש תסקיר משלים</w:t>
      </w:r>
      <w:r>
        <w:rPr>
          <w:rFonts w:ascii="Arial" w:hAnsi="Arial" w:hint="cs"/>
          <w:rtl/>
        </w:rPr>
        <w:t xml:space="preserve">, ממנו עולה כי </w:t>
      </w:r>
      <w:r w:rsidRPr="00C97D9A">
        <w:rPr>
          <w:rFonts w:ascii="Arial" w:hAnsi="Arial"/>
          <w:rtl/>
        </w:rPr>
        <w:t>הנאשם שולב בהליך טיפולי ומשתף פעולה. מאחר שלא נפתחו כנגד הנאשם תיקים חדשים ושירות המבחן התרשם שהנאשם ייתרם מהליך טיפולי, הומלץ על הטלת צו מבחן למשך 12 חודשים במסגרתו ימשיך בהליך הטיפולי וכן צו של"צ בהיקף של 300 שעות.</w:t>
      </w:r>
    </w:p>
    <w:p w:rsidR="00EC150E" w:rsidRPr="00C97D9A" w:rsidRDefault="00EC150E" w:rsidP="00EC150E">
      <w:pPr>
        <w:spacing w:line="360" w:lineRule="auto"/>
        <w:jc w:val="both"/>
        <w:rPr>
          <w:rFonts w:ascii="Arial" w:hAnsi="Arial"/>
          <w:rtl/>
        </w:rPr>
      </w:pPr>
    </w:p>
    <w:p w:rsidR="00EC150E" w:rsidRDefault="00EC150E" w:rsidP="00EC150E">
      <w:pPr>
        <w:spacing w:line="360" w:lineRule="auto"/>
        <w:jc w:val="both"/>
        <w:rPr>
          <w:rFonts w:ascii="Arial" w:hAnsi="Arial"/>
          <w:rtl/>
        </w:rPr>
      </w:pPr>
      <w:r w:rsidRPr="00C97D9A">
        <w:rPr>
          <w:rFonts w:ascii="Arial" w:hAnsi="Arial"/>
          <w:rtl/>
        </w:rPr>
        <w:lastRenderedPageBreak/>
        <w:t>בתאריך 25.06.24 הוגש תסקיר סופי בו צוין שלא נפתחו כנגד הנאשם תיקים חדשים. הנאשם הגיע למרבית המפגשים הקבוצתיים של ההליך הטיפולי, לחלקם באיחור, על רקע לחצים בעבודה וקשיים אישיים. שירות המבחן התרשם שהתנהלות זו נובעת מקושי של הנאשם לזהות את צרכיו הטיפוליים וסבור שזה תואם את השלב הטיפולי בו הוא מצוי. יחד עם זאת, במפגשים בהם נכח, הנאשם לקח חלק פעיל וערך התבוננות עצמית בהקשר לתכנים שעלו. הנאשם התייחס למעורבותו החזרתית בעבירות, לקח אחריות מלאה על התנהלותו וזיהה את הגרומים שעמדו ברקע להתנהלותו.</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שירות המבחן התרשם שהנאשם מסתייע ונענה להליך הטיפולי, מתבונן על מצבי הסיכון, רוכש כלים להתמודדות יעילה במצבים אלה ובמצב זה פוחת הסיכון להישנות העבירות. לאור האמור, שב שירות המבחן על המלצתו להטלת ענישה שיקומית חינוכית בדמות צו מבחן למשך 12 חודשים וצו של"צ בהיקף 300 שעות.</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בתאריך 22.08.24 נתקבלה חוות דעת הממונה על עבודות השירות לפיה הנאשם נמצא לא כשיר לבצע עבודות שירות וזאת בשל התנגדות משטרת ישראל.</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u w:val="single"/>
          <w:rtl/>
        </w:rPr>
      </w:pPr>
      <w:r>
        <w:rPr>
          <w:rFonts w:ascii="Arial" w:hAnsi="Arial"/>
          <w:u w:val="single"/>
          <w:rtl/>
        </w:rPr>
        <w:t>טיעוני הצדדים לעניין העונש</w:t>
      </w:r>
    </w:p>
    <w:p w:rsidR="00EC150E" w:rsidRPr="00C97D9A" w:rsidRDefault="00EC150E" w:rsidP="00EC150E">
      <w:pPr>
        <w:spacing w:line="360" w:lineRule="auto"/>
        <w:jc w:val="both"/>
        <w:rPr>
          <w:rFonts w:ascii="Arial" w:hAnsi="Arial"/>
          <w:rtl/>
        </w:rPr>
      </w:pPr>
      <w:r w:rsidRPr="00C97D9A">
        <w:rPr>
          <w:rFonts w:ascii="Arial" w:hAnsi="Arial"/>
          <w:rtl/>
        </w:rPr>
        <w:t xml:space="preserve">המאשימה הפנתה </w:t>
      </w:r>
      <w:r>
        <w:rPr>
          <w:rFonts w:ascii="Arial" w:hAnsi="Arial" w:hint="cs"/>
          <w:rtl/>
        </w:rPr>
        <w:t xml:space="preserve">בטיעוניה </w:t>
      </w:r>
      <w:r w:rsidRPr="00C97D9A">
        <w:rPr>
          <w:rFonts w:ascii="Arial" w:hAnsi="Arial"/>
          <w:rtl/>
        </w:rPr>
        <w:t>לעובדות כתב האישום המתוקן ועתרה להטלת ענישה מחמירה לאור הפגיעה בערכים המוגנים של שמירה על שלום הציבור ובריאותו וכן פגיעה בביטחונם של משתמשי הדרך. זאת, במיוחד כאשר עונש מאסר מותנה של 6 חודשים</w:t>
      </w:r>
      <w:r>
        <w:rPr>
          <w:rFonts w:ascii="Arial" w:hAnsi="Arial" w:hint="cs"/>
          <w:rtl/>
        </w:rPr>
        <w:t>, בר הפעלה בהליך זה,</w:t>
      </w:r>
      <w:r w:rsidRPr="00C97D9A">
        <w:rPr>
          <w:rFonts w:ascii="Arial" w:hAnsi="Arial"/>
          <w:rtl/>
        </w:rPr>
        <w:t xml:space="preserve"> לא היווה הרתעה כלשהי ולא היה בו כדי להרתיעו מלחזור לסורו. המאשימה הפנתה לפסיקה רלוונטית וביקשה לקבוע מתחם ענישה בין 15 ל-30 חודשי מאסר בפועל.</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המאשימה הגישה מטעמה גיליון רישום פלילי ותעבורתי של הנאשם (ת/1) ו</w:t>
      </w:r>
      <w:r>
        <w:rPr>
          <w:rFonts w:ascii="Arial" w:hAnsi="Arial" w:hint="cs"/>
          <w:rtl/>
        </w:rPr>
        <w:t xml:space="preserve">את </w:t>
      </w:r>
      <w:r w:rsidRPr="00C97D9A">
        <w:rPr>
          <w:rFonts w:ascii="Arial" w:hAnsi="Arial"/>
          <w:rtl/>
        </w:rPr>
        <w:t>גזר דינו של בית משפט המחוזי בחיפה ב</w:t>
      </w:r>
      <w:hyperlink r:id="rId28" w:history="1">
        <w:r w:rsidR="00D305AF" w:rsidRPr="00D305AF">
          <w:rPr>
            <w:rFonts w:ascii="Arial" w:hAnsi="Arial"/>
            <w:color w:val="0000FF"/>
            <w:u w:val="single"/>
            <w:rtl/>
          </w:rPr>
          <w:t>ת"פ 17443-12-17</w:t>
        </w:r>
      </w:hyperlink>
      <w:r w:rsidRPr="00C97D9A">
        <w:rPr>
          <w:rFonts w:ascii="Arial" w:hAnsi="Arial"/>
          <w:rtl/>
        </w:rPr>
        <w:t xml:space="preserve"> (ת/2). המאשימה ביקשה שלא לאמץ את המלצות שירות המבחן ולהשית על הנאשם עונש במרכז מתחם הענישה, הפעלת המאסר המותנה</w:t>
      </w:r>
      <w:r>
        <w:rPr>
          <w:rFonts w:ascii="Arial" w:hAnsi="Arial" w:hint="cs"/>
          <w:rtl/>
        </w:rPr>
        <w:t xml:space="preserve"> במצטבר</w:t>
      </w:r>
      <w:r w:rsidRPr="00C97D9A">
        <w:rPr>
          <w:rFonts w:ascii="Arial" w:hAnsi="Arial"/>
          <w:rtl/>
        </w:rPr>
        <w:t>, מאסר על תנאי, קנס, פסילה בפועל, פסילה על תנאי וצו להשמדת המוצגים.</w:t>
      </w:r>
    </w:p>
    <w:p w:rsidR="00EC150E" w:rsidRPr="00C97D9A" w:rsidRDefault="00EC150E" w:rsidP="00EC150E">
      <w:pPr>
        <w:spacing w:line="360" w:lineRule="auto"/>
        <w:jc w:val="both"/>
        <w:rPr>
          <w:rFonts w:ascii="Arial" w:hAnsi="Arial"/>
          <w:rtl/>
        </w:rPr>
      </w:pPr>
    </w:p>
    <w:p w:rsidR="00EC150E" w:rsidRDefault="00EC150E" w:rsidP="00EC150E">
      <w:pPr>
        <w:spacing w:line="360" w:lineRule="auto"/>
        <w:jc w:val="both"/>
        <w:rPr>
          <w:rFonts w:ascii="Arial" w:hAnsi="Arial"/>
          <w:rtl/>
        </w:rPr>
      </w:pPr>
      <w:r w:rsidRPr="00C97D9A">
        <w:rPr>
          <w:rFonts w:ascii="Arial" w:hAnsi="Arial"/>
          <w:rtl/>
        </w:rPr>
        <w:t>מנגד, ב"כ הנאשם ביקש מבית המשפט לאמץ את המלצות שירות המבחן. לטענתו, הנאשם סחר בסמים קלים, בכמות קטנה ולמשך כחודש ימים. כתב האישום הוגש לאחר כשנתיים ובינתיים לא נפתחו תיקים חדשים כנגד הנאשם.</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Pr>
          <w:rFonts w:ascii="Arial" w:hAnsi="Arial" w:hint="cs"/>
          <w:rtl/>
        </w:rPr>
        <w:t xml:space="preserve">נטען כי </w:t>
      </w:r>
      <w:r w:rsidRPr="00C97D9A">
        <w:rPr>
          <w:rFonts w:ascii="Arial" w:hAnsi="Arial"/>
          <w:rtl/>
        </w:rPr>
        <w:t>במסגרת פרשייה זו נדונו נאשמים אחרים באישומים זהים, שהופללו אף הם על ידי אותו סוכן, לרבות אחיו של הנאשם. נאשמים אלה נידונו לעבודות שירות ולשל"צ.</w:t>
      </w:r>
    </w:p>
    <w:p w:rsidR="00EC150E"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ב"כ הנאשם הפנה לפסיקה רלוונטית לעמדתו וביקש לאמץ את המלצות שירות המבחן ולסטות ממתחם הענישה משיקולי שיקום.</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הנאשם אף הוא ביקש לומר את דברו וציין שהיה קטן ועכשיו הוא בדרך חדשה. הנאשם ציין שהוא הוציא רישיון חדש והוא זקוק לו לשם עבודתו. </w:t>
      </w:r>
    </w:p>
    <w:p w:rsidR="00EC150E" w:rsidRPr="00C97D9A" w:rsidRDefault="00EC150E" w:rsidP="00EC150E">
      <w:pPr>
        <w:spacing w:line="360" w:lineRule="auto"/>
        <w:jc w:val="both"/>
        <w:rPr>
          <w:rFonts w:ascii="Arial" w:hAnsi="Arial"/>
          <w:sz w:val="26"/>
          <w:szCs w:val="26"/>
          <w:rtl/>
        </w:rPr>
      </w:pPr>
    </w:p>
    <w:p w:rsidR="00EC150E" w:rsidRPr="00C97D9A" w:rsidRDefault="00EC150E" w:rsidP="00EC150E">
      <w:pPr>
        <w:spacing w:line="360" w:lineRule="auto"/>
        <w:jc w:val="both"/>
        <w:rPr>
          <w:rFonts w:ascii="Arial" w:hAnsi="Arial"/>
          <w:b/>
          <w:bCs/>
          <w:sz w:val="26"/>
          <w:szCs w:val="26"/>
          <w:u w:val="single"/>
          <w:rtl/>
        </w:rPr>
      </w:pPr>
      <w:r w:rsidRPr="00C97D9A">
        <w:rPr>
          <w:rFonts w:ascii="Arial" w:hAnsi="Arial"/>
          <w:b/>
          <w:bCs/>
          <w:sz w:val="26"/>
          <w:szCs w:val="26"/>
          <w:u w:val="single"/>
          <w:rtl/>
        </w:rPr>
        <w:t>דיון והכרעה</w:t>
      </w:r>
    </w:p>
    <w:p w:rsidR="00EC150E" w:rsidRPr="00C97D9A" w:rsidRDefault="00EC150E" w:rsidP="00EC150E">
      <w:pPr>
        <w:spacing w:line="360" w:lineRule="auto"/>
        <w:jc w:val="both"/>
        <w:rPr>
          <w:rFonts w:ascii="Arial" w:hAnsi="Arial"/>
          <w:rtl/>
        </w:rPr>
      </w:pPr>
      <w:r w:rsidRPr="00C97D9A">
        <w:rPr>
          <w:rFonts w:ascii="Arial" w:hAnsi="Arial"/>
          <w:rtl/>
        </w:rPr>
        <w:t>תיקון 113 ל</w:t>
      </w:r>
      <w:hyperlink r:id="rId29" w:history="1">
        <w:r w:rsidR="00D305AF" w:rsidRPr="00D305AF">
          <w:rPr>
            <w:rFonts w:ascii="Arial" w:hAnsi="Arial"/>
            <w:color w:val="0000FF"/>
            <w:u w:val="single"/>
            <w:rtl/>
          </w:rPr>
          <w:t>חוק העונשין</w:t>
        </w:r>
      </w:hyperlink>
      <w:r w:rsidRPr="00C97D9A">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30" w:history="1">
        <w:r w:rsidR="00E3540B" w:rsidRPr="00E3540B">
          <w:rPr>
            <w:rStyle w:val="Hyperlink"/>
            <w:rFonts w:ascii="Arial" w:hAnsi="Arial"/>
            <w:color w:val="0000FF"/>
            <w:rtl/>
          </w:rPr>
          <w:t>בסעיף 40ט'</w:t>
        </w:r>
      </w:hyperlink>
      <w:r w:rsidRPr="00C97D9A">
        <w:rPr>
          <w:rFonts w:ascii="Arial" w:hAnsi="Arial"/>
          <w:rtl/>
        </w:rPr>
        <w:t xml:space="preserve"> ל</w:t>
      </w:r>
      <w:hyperlink r:id="rId31" w:history="1">
        <w:r w:rsidR="00D305AF" w:rsidRPr="00D305AF">
          <w:rPr>
            <w:rFonts w:ascii="Arial" w:hAnsi="Arial"/>
            <w:color w:val="0000FF"/>
            <w:u w:val="single"/>
            <w:rtl/>
          </w:rPr>
          <w:t>חוק העונשין</w:t>
        </w:r>
      </w:hyperlink>
      <w:r w:rsidRPr="00C97D9A">
        <w:rPr>
          <w:rFonts w:ascii="Arial" w:hAnsi="Arial"/>
          <w:rtl/>
        </w:rPr>
        <w:t xml:space="preserve">.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2" w:history="1">
        <w:r w:rsidR="00E3540B" w:rsidRPr="00E3540B">
          <w:rPr>
            <w:rStyle w:val="Hyperlink"/>
            <w:rFonts w:ascii="Arial" w:hAnsi="Arial"/>
            <w:color w:val="0000FF"/>
            <w:rtl/>
          </w:rPr>
          <w:t>בסעיף 40יא'</w:t>
        </w:r>
      </w:hyperlink>
      <w:r w:rsidRPr="00C97D9A">
        <w:rPr>
          <w:rFonts w:ascii="Arial" w:hAnsi="Arial"/>
          <w:rtl/>
        </w:rPr>
        <w:t xml:space="preserve"> לחוק.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בית המשפט רשאי לחרוג ממתחם העונש ההולם בשל שיקולי שיקום או הגנה על שלום הציבור לפי </w:t>
      </w:r>
      <w:hyperlink r:id="rId33" w:history="1">
        <w:r w:rsidR="00E3540B" w:rsidRPr="00E3540B">
          <w:rPr>
            <w:rStyle w:val="Hyperlink"/>
            <w:rFonts w:ascii="Arial" w:hAnsi="Arial"/>
            <w:color w:val="0000FF"/>
            <w:rtl/>
          </w:rPr>
          <w:t>סעיפים 40ד'</w:t>
        </w:r>
      </w:hyperlink>
      <w:r w:rsidRPr="00C97D9A">
        <w:rPr>
          <w:rFonts w:ascii="Arial" w:hAnsi="Arial"/>
          <w:rtl/>
        </w:rPr>
        <w:t xml:space="preserve"> </w:t>
      </w:r>
      <w:hyperlink r:id="rId34" w:history="1">
        <w:r w:rsidR="00E3540B" w:rsidRPr="00E3540B">
          <w:rPr>
            <w:rStyle w:val="Hyperlink"/>
            <w:rFonts w:ascii="Arial" w:hAnsi="Arial"/>
            <w:color w:val="0000FF"/>
            <w:rtl/>
          </w:rPr>
          <w:t>ו40 ה'</w:t>
        </w:r>
      </w:hyperlink>
      <w:r w:rsidRPr="00C97D9A">
        <w:rPr>
          <w:rFonts w:ascii="Arial" w:hAnsi="Arial"/>
          <w:rtl/>
        </w:rPr>
        <w:t xml:space="preserve"> לחוק.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אין צורך להכביר מילים אודות חומרת העבירות בהן הורשע הנאשם והפגיעה בערכים המוגנים לרבות בציבור בכללותו וודאי כאשר עסקינן בסמים שונים מסוג חשיש ו</w:t>
      </w:r>
      <w:r w:rsidRPr="00C97D9A">
        <w:rPr>
          <w:rFonts w:ascii="Arial" w:hAnsi="Arial"/>
        </w:rPr>
        <w:t>MDMA</w:t>
      </w:r>
      <w:r w:rsidRPr="00C97D9A">
        <w:rPr>
          <w:rFonts w:ascii="Arial" w:hAnsi="Arial"/>
          <w:rtl/>
        </w:rPr>
        <w:t xml:space="preserve"> וכן הפגיעה בביטחון המשתמשים בדרך בעת שהנאשם נהג ברכב וזאת למרות שלא החזיק ברישיון נהיגה בתוקף, למרות שרישיון נהיגתו נפסל על ידי בית המשפט ובהיעדר ביטוח.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בענייננו אין חולק שהנאשם מכר את הסם לשוטרים מביימים לשם רווח כספי כמפורט בסעיף 3 לעובדות כתב האישום המתוקן. כך גם אין חולק כי מדובר בסמים מסוכנים, מסוג חשיש ו</w:t>
      </w:r>
      <w:r w:rsidRPr="00C97D9A">
        <w:rPr>
          <w:rFonts w:ascii="Arial" w:hAnsi="Arial"/>
        </w:rPr>
        <w:t>MDMA</w:t>
      </w:r>
      <w:r w:rsidRPr="00C97D9A">
        <w:rPr>
          <w:rFonts w:ascii="Arial" w:hAnsi="Arial"/>
          <w:rtl/>
        </w:rPr>
        <w:t xml:space="preserve"> אשר החזקתם פוגעת בבריאות הציבור, בשלומו, בפגיעה הפיזית והנפשית אשר עלולה להיגרם כתוצאה ממנו, הן בטווח המידי והן בטווח הממושך, וודאי כאשר מדובר בנזקים שנגרמים לחברה כתוצאה מהשימוש בסם גם על ידי הפרט, מאחר שגם המשתמש הבודד מהווה סכנה מידית ומוחשית לסביבתו ולחברה בכללותה.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לא ניתן להתעלם גם מהעובדה שעבירות הסמים מגבירות ומהוות לעיתים את הסיבה העיקרית לביצוע עבירות פליליות אחרות כגון עבירות רכוש הפוגעות בקניינו של הפרט.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על אחת כמה וכמה, כאשר מדובר בשימוש בסם שהוגדר בפסיקה כסם קשה ומסוכן, כפי שעסקינן בענייננו בסם מסוג </w:t>
      </w:r>
      <w:r w:rsidRPr="00C97D9A">
        <w:rPr>
          <w:rFonts w:ascii="Arial" w:hAnsi="Arial"/>
        </w:rPr>
        <w:t>MDMA</w:t>
      </w:r>
      <w:r w:rsidRPr="00C97D9A">
        <w:rPr>
          <w:rFonts w:ascii="Arial" w:hAnsi="Arial"/>
          <w:rtl/>
        </w:rPr>
        <w:t>, ולעניין זה אפנה ל</w:t>
      </w:r>
      <w:hyperlink r:id="rId35" w:history="1">
        <w:r w:rsidR="00D305AF" w:rsidRPr="00D305AF">
          <w:rPr>
            <w:rFonts w:ascii="Arial" w:hAnsi="Arial"/>
            <w:color w:val="0000FF"/>
            <w:u w:val="single"/>
            <w:rtl/>
          </w:rPr>
          <w:t>ת"פ (מחוזי חי') 69783-10-18</w:t>
        </w:r>
      </w:hyperlink>
      <w:r w:rsidRPr="00C97D9A">
        <w:rPr>
          <w:rFonts w:ascii="Arial" w:hAnsi="Arial"/>
          <w:rtl/>
        </w:rPr>
        <w:t xml:space="preserve"> </w:t>
      </w:r>
      <w:r w:rsidRPr="00C97D9A">
        <w:rPr>
          <w:rFonts w:ascii="Arial" w:hAnsi="Arial"/>
          <w:b/>
          <w:bCs/>
          <w:rtl/>
        </w:rPr>
        <w:t xml:space="preserve">מדינת ישראל נ' אברמסון </w:t>
      </w:r>
      <w:r w:rsidRPr="00C97D9A">
        <w:rPr>
          <w:rFonts w:ascii="Arial" w:hAnsi="Arial"/>
          <w:rtl/>
        </w:rPr>
        <w:t>(07.06.20), שם נאמר לעניין זה:</w:t>
      </w:r>
    </w:p>
    <w:p w:rsidR="00EC150E" w:rsidRPr="00C97D9A" w:rsidRDefault="00EC150E" w:rsidP="00EC150E">
      <w:pPr>
        <w:spacing w:line="360" w:lineRule="auto"/>
        <w:jc w:val="both"/>
        <w:rPr>
          <w:rFonts w:ascii="Arial" w:hAnsi="Arial"/>
          <w:b/>
          <w:bCs/>
          <w:rtl/>
        </w:rPr>
      </w:pPr>
    </w:p>
    <w:p w:rsidR="00EC150E" w:rsidRPr="00C97D9A" w:rsidRDefault="00EC150E" w:rsidP="00EC150E">
      <w:pPr>
        <w:spacing w:line="360" w:lineRule="auto"/>
        <w:jc w:val="both"/>
        <w:rPr>
          <w:rFonts w:ascii="David" w:eastAsia="Calibri" w:hAnsi="David"/>
          <w:rtl/>
        </w:rPr>
      </w:pPr>
      <w:r w:rsidRPr="00C97D9A">
        <w:rPr>
          <w:rFonts w:ascii="Arial" w:hAnsi="Arial"/>
          <w:b/>
          <w:bCs/>
          <w:rtl/>
        </w:rPr>
        <w:t xml:space="preserve">"להמחשת השפעתו הרעה  של סם ה – </w:t>
      </w:r>
      <w:r w:rsidRPr="00C97D9A">
        <w:rPr>
          <w:rFonts w:ascii="Arial" w:hAnsi="Arial"/>
          <w:b/>
          <w:bCs/>
        </w:rPr>
        <w:t>MDMA</w:t>
      </w:r>
      <w:r w:rsidRPr="00C97D9A">
        <w:rPr>
          <w:rFonts w:ascii="Arial" w:hAnsi="Arial"/>
          <w:b/>
          <w:bCs/>
          <w:rtl/>
        </w:rPr>
        <w:t xml:space="preserve">  וסכנותיו יובאו להלן דברים העולים לעניין סם זה מהאתר באינטרנט למאבק בסמים, אלכוהול ואלימות (</w:t>
      </w:r>
      <w:r w:rsidRPr="00C97D9A">
        <w:rPr>
          <w:rFonts w:ascii="Arial" w:hAnsi="Arial"/>
          <w:b/>
          <w:bCs/>
        </w:rPr>
        <w:t>http://www.antidrugs.org.il</w:t>
      </w:r>
      <w:r w:rsidRPr="00C97D9A">
        <w:rPr>
          <w:rFonts w:ascii="Arial" w:hAnsi="Arial"/>
          <w:b/>
          <w:bCs/>
          <w:rtl/>
        </w:rPr>
        <w:t>): "נחשב לסם המסיבות, ונצרך בעיקר על ידי מתבגרים וצעירים, שרבים מהם לא מודעים לסיכונים שבו. החומר שפותח כתרופה פסיכיאטרית נמצא כבר שנים רבות ברשימת החומרים האסורים וממשיך לגבות קורבנות מדי שנה...אקסטזי, ששמו המדעי הוא</w:t>
      </w:r>
      <w:r w:rsidRPr="00C97D9A">
        <w:rPr>
          <w:rFonts w:ascii="Arial" w:hAnsi="Arial"/>
          <w:b/>
          <w:bCs/>
        </w:rPr>
        <w:t>MDMA</w:t>
      </w:r>
      <w:r w:rsidRPr="00C97D9A">
        <w:rPr>
          <w:rFonts w:ascii="Arial" w:hAnsi="Arial"/>
          <w:b/>
          <w:bCs/>
          <w:rtl/>
        </w:rPr>
        <w:t xml:space="preserve"> , מורכב מחומר כימי שהוא נגזרת של אמפטמין - חומר מעורר, ומשלב תכונות פרמקולוגיות של החומר מסקאלין, הידוע כמעורר הזיות...ניתן לחלק את סכנות השימוש באקסטזי לשני סוגים עיקריים:א. סכנות הנובעות מסוג החומר: אקסטזי הוא תרכובת של חומר מעורר וחומר מעורר הזיות המזיק למערכת העצבים המרכזית ולמערכות הלב והדם, השרירים, הכליות והכבד. ב. סכנות הנובעות מאופן ייצור החומר: אקסטזי מיוצר במעבדות פיראטיות בתנאים לא-היגייניים ועם שאריות כימיות של חומרי זיקוק, ותוספות ותרכובות בלתי ידועות שעלולות להיות מסוכנות מאוד..."</w:t>
      </w:r>
      <w:r w:rsidRPr="00C97D9A">
        <w:rPr>
          <w:rFonts w:ascii="David" w:eastAsia="Calibri" w:hAnsi="David"/>
          <w:b/>
          <w:bCs/>
          <w:rtl/>
        </w:rPr>
        <w:t>".</w:t>
      </w:r>
      <w:r w:rsidRPr="00C97D9A">
        <w:rPr>
          <w:rFonts w:ascii="David" w:eastAsia="Calibri" w:hAnsi="David"/>
          <w:rtl/>
        </w:rPr>
        <w:t xml:space="preserve"> דברים אלה יפים לטעמי בענייננו וודאי ככל שנוגעים להספקת סם מסוג הסם שמכר הנאשם. </w:t>
      </w:r>
    </w:p>
    <w:p w:rsidR="00EC150E" w:rsidRPr="00C97D9A" w:rsidRDefault="00EC150E" w:rsidP="00EC150E">
      <w:pPr>
        <w:spacing w:line="360" w:lineRule="auto"/>
        <w:jc w:val="both"/>
        <w:rPr>
          <w:rFonts w:ascii="David" w:eastAsia="Calibri" w:hAnsi="David"/>
          <w:rtl/>
        </w:rPr>
      </w:pPr>
    </w:p>
    <w:p w:rsidR="00EC150E" w:rsidRPr="00C97D9A" w:rsidRDefault="00EC150E" w:rsidP="00EC150E">
      <w:pPr>
        <w:spacing w:after="150" w:line="360" w:lineRule="auto"/>
        <w:jc w:val="both"/>
        <w:rPr>
          <w:rFonts w:ascii="David" w:eastAsia="Calibri" w:hAnsi="David"/>
          <w:b/>
          <w:bCs/>
          <w:color w:val="000000"/>
          <w:rtl/>
        </w:rPr>
      </w:pPr>
      <w:r w:rsidRPr="00C97D9A">
        <w:rPr>
          <w:rFonts w:ascii="David" w:eastAsia="Calibri" w:hAnsi="David"/>
          <w:rtl/>
        </w:rPr>
        <w:t>לעניין חומרת העבירה של הספקת סמים והצורך בענישה מחמירה כלפי מי שהורשע בביצועה, יובאו הדברים הבאים שנאמרו ב</w:t>
      </w:r>
      <w:hyperlink r:id="rId36" w:history="1">
        <w:r w:rsidR="00D305AF" w:rsidRPr="00D305AF">
          <w:rPr>
            <w:rFonts w:ascii="David" w:eastAsia="Calibri" w:hAnsi="David"/>
            <w:color w:val="0000FF"/>
            <w:u w:val="single"/>
            <w:rtl/>
          </w:rPr>
          <w:t>ע"פ 8048/19</w:t>
        </w:r>
      </w:hyperlink>
      <w:r w:rsidRPr="00C97D9A">
        <w:rPr>
          <w:rFonts w:ascii="David" w:eastAsia="Calibri" w:hAnsi="David"/>
          <w:b/>
          <w:bCs/>
          <w:rtl/>
        </w:rPr>
        <w:t xml:space="preserve"> פיצ'ח</w:t>
      </w:r>
      <w:r w:rsidRPr="00C97D9A">
        <w:rPr>
          <w:rFonts w:ascii="David" w:eastAsia="Calibri" w:hAnsi="David"/>
          <w:b/>
          <w:bCs/>
          <w:color w:val="000000"/>
          <w:rtl/>
        </w:rPr>
        <w:t xml:space="preserve">זדה נ' מדינת ישראל </w:t>
      </w:r>
      <w:r w:rsidRPr="00C97D9A">
        <w:rPr>
          <w:rFonts w:ascii="David" w:eastAsia="Calibri" w:hAnsi="David"/>
          <w:color w:val="000000"/>
          <w:rtl/>
        </w:rPr>
        <w:t>(04.06.20) על ידי בית המשפט העליון:</w:t>
      </w:r>
    </w:p>
    <w:p w:rsidR="00EC150E" w:rsidRPr="00C97D9A" w:rsidRDefault="00EC150E" w:rsidP="00EC150E">
      <w:pPr>
        <w:spacing w:line="360" w:lineRule="auto"/>
        <w:jc w:val="both"/>
        <w:rPr>
          <w:rFonts w:ascii="David" w:eastAsia="Calibri" w:hAnsi="David"/>
          <w:color w:val="333333"/>
          <w:rtl/>
        </w:rPr>
      </w:pPr>
      <w:r w:rsidRPr="00C97D9A">
        <w:rPr>
          <w:rFonts w:ascii="David" w:eastAsia="Calibri" w:hAnsi="David"/>
          <w:b/>
          <w:bCs/>
          <w:color w:val="000000"/>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37" w:history="1">
        <w:r w:rsidR="00D305AF" w:rsidRPr="00D305AF">
          <w:rPr>
            <w:rFonts w:ascii="David" w:eastAsia="Calibri" w:hAnsi="David"/>
            <w:b/>
            <w:bCs/>
            <w:color w:val="0000FF"/>
            <w:u w:val="single"/>
            <w:rtl/>
          </w:rPr>
          <w:t>ע"פ 8283/17</w:t>
        </w:r>
      </w:hyperlink>
      <w:r w:rsidRPr="00C97D9A">
        <w:rPr>
          <w:rFonts w:ascii="David" w:eastAsia="Calibri" w:hAnsi="David"/>
          <w:b/>
          <w:bCs/>
          <w:color w:val="000000"/>
          <w:rtl/>
        </w:rPr>
        <w:t xml:space="preserve"> עבאסי נ' מדינת ישראל, [פורסם בנבו] 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38" w:history="1">
        <w:r w:rsidR="00D305AF" w:rsidRPr="00D305AF">
          <w:rPr>
            <w:rFonts w:ascii="David" w:eastAsia="Calibri" w:hAnsi="David"/>
            <w:b/>
            <w:bCs/>
            <w:color w:val="0000FF"/>
            <w:u w:val="single"/>
            <w:rtl/>
          </w:rPr>
          <w:t>חוק העונשין</w:t>
        </w:r>
      </w:hyperlink>
      <w:r w:rsidRPr="00C97D9A">
        <w:rPr>
          <w:rFonts w:ascii="David" w:eastAsia="Calibri" w:hAnsi="David"/>
          <w:b/>
          <w:bCs/>
          <w:color w:val="000000"/>
          <w:rtl/>
        </w:rPr>
        <w:t>, העומד כיום על 202,000 ש"ח [...] יידעו המעורבים בסמים שלא לצריכה עצמית, כי יד המשפט תכבד עליהם" (</w:t>
      </w:r>
      <w:hyperlink r:id="rId39" w:history="1">
        <w:r w:rsidR="00D305AF" w:rsidRPr="00D305AF">
          <w:rPr>
            <w:rFonts w:ascii="David" w:eastAsia="Calibri" w:hAnsi="David"/>
            <w:b/>
            <w:bCs/>
            <w:color w:val="0000FF"/>
            <w:u w:val="single"/>
            <w:rtl/>
          </w:rPr>
          <w:t>ע"פ 1345/08</w:t>
        </w:r>
      </w:hyperlink>
      <w:r w:rsidRPr="00C97D9A">
        <w:rPr>
          <w:rFonts w:ascii="David" w:eastAsia="Calibri" w:hAnsi="David"/>
          <w:b/>
          <w:bCs/>
          <w:color w:val="000000"/>
          <w:rtl/>
        </w:rPr>
        <w:t xml:space="preserve"> איסטרחוב נ' מדינת ישראל, [פורסם בנבו] פסקה כ"ג (18.5.2009))".</w:t>
      </w:r>
    </w:p>
    <w:p w:rsidR="00EC150E" w:rsidRPr="00C97D9A" w:rsidRDefault="00EC150E" w:rsidP="00EC150E">
      <w:pPr>
        <w:spacing w:line="360" w:lineRule="auto"/>
        <w:jc w:val="both"/>
        <w:rPr>
          <w:rFonts w:ascii="David" w:eastAsia="Calibri" w:hAnsi="David"/>
          <w:color w:val="333333"/>
          <w:rtl/>
        </w:rPr>
      </w:pPr>
    </w:p>
    <w:p w:rsidR="00EC150E" w:rsidRPr="00C97D9A" w:rsidRDefault="00EC150E" w:rsidP="00EC150E">
      <w:pPr>
        <w:spacing w:after="150" w:line="360" w:lineRule="auto"/>
        <w:jc w:val="both"/>
        <w:rPr>
          <w:rFonts w:ascii="David" w:eastAsia="Calibri" w:hAnsi="David"/>
          <w:spacing w:val="10"/>
          <w:rtl/>
        </w:rPr>
      </w:pPr>
      <w:r w:rsidRPr="00C97D9A">
        <w:rPr>
          <w:rFonts w:ascii="David" w:eastAsia="Calibri" w:hAnsi="David"/>
          <w:rtl/>
        </w:rPr>
        <w:t>וכן ב</w:t>
      </w:r>
      <w:hyperlink r:id="rId40" w:history="1">
        <w:r w:rsidR="00D305AF" w:rsidRPr="00D305AF">
          <w:rPr>
            <w:rFonts w:ascii="David" w:eastAsia="Calibri" w:hAnsi="David"/>
            <w:color w:val="0000FF"/>
            <w:u w:val="single"/>
            <w:rtl/>
          </w:rPr>
          <w:t>ע"פ 966/94</w:t>
        </w:r>
      </w:hyperlink>
      <w:r>
        <w:rPr>
          <w:rFonts w:ascii="David" w:eastAsia="Calibri" w:hAnsi="David"/>
          <w:rtl/>
        </w:rPr>
        <w:t xml:space="preserve"> אמזלג נ' מדינת ישראל</w:t>
      </w:r>
      <w:r>
        <w:rPr>
          <w:rFonts w:ascii="David" w:eastAsia="Calibri" w:hAnsi="David" w:hint="cs"/>
          <w:rtl/>
        </w:rPr>
        <w:t>:</w:t>
      </w:r>
      <w:r w:rsidRPr="00C97D9A">
        <w:rPr>
          <w:rFonts w:ascii="David" w:eastAsia="Calibri" w:hAnsi="David"/>
          <w:rtl/>
        </w:rPr>
        <w:t xml:space="preserve"> </w:t>
      </w:r>
      <w:r w:rsidRPr="00C97D9A">
        <w:rPr>
          <w:rFonts w:ascii="David" w:eastAsia="Calibri"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Pr="00C97D9A">
        <w:rPr>
          <w:rFonts w:ascii="David" w:eastAsia="Calibri"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sidRPr="00C97D9A">
        <w:rPr>
          <w:rFonts w:ascii="David" w:eastAsia="Calibri" w:hAnsi="David"/>
          <w:spacing w:val="10"/>
          <w:rtl/>
        </w:rPr>
        <w:t xml:space="preserve"> </w:t>
      </w:r>
    </w:p>
    <w:p w:rsidR="00EC150E" w:rsidRPr="00C97D9A" w:rsidRDefault="00EC150E" w:rsidP="00EC150E">
      <w:pPr>
        <w:spacing w:after="150" w:line="360" w:lineRule="auto"/>
        <w:jc w:val="both"/>
        <w:rPr>
          <w:rFonts w:ascii="David" w:eastAsia="Calibri" w:hAnsi="David"/>
          <w:b/>
          <w:bCs/>
          <w:color w:val="000000"/>
          <w:rtl/>
        </w:rPr>
      </w:pPr>
      <w:r w:rsidRPr="00C97D9A">
        <w:rPr>
          <w:rFonts w:ascii="David" w:eastAsia="Calibri" w:hAnsi="David"/>
          <w:spacing w:val="10"/>
          <w:rtl/>
        </w:rPr>
        <w:t xml:space="preserve">ראו לעניין זה גם </w:t>
      </w:r>
      <w:hyperlink r:id="rId41" w:history="1">
        <w:r w:rsidR="00D305AF" w:rsidRPr="00D305AF">
          <w:rPr>
            <w:rFonts w:ascii="David" w:eastAsia="Calibri" w:hAnsi="David"/>
            <w:color w:val="0000FF"/>
            <w:spacing w:val="10"/>
            <w:u w:val="single"/>
            <w:rtl/>
          </w:rPr>
          <w:t>ע"פ 211/09</w:t>
        </w:r>
      </w:hyperlink>
      <w:r w:rsidRPr="00C97D9A">
        <w:rPr>
          <w:rFonts w:ascii="David" w:eastAsia="Calibri" w:hAnsi="David"/>
          <w:rtl/>
        </w:rPr>
        <w:t xml:space="preserve"> אזולאי נ' מדינת ישראל</w:t>
      </w:r>
      <w:r w:rsidRPr="00C97D9A">
        <w:rPr>
          <w:rFonts w:ascii="David" w:eastAsia="Calibri" w:hAnsi="David"/>
          <w:spacing w:val="10"/>
          <w:rtl/>
        </w:rPr>
        <w:t>:</w:t>
      </w:r>
      <w:r w:rsidRPr="00C97D9A">
        <w:rPr>
          <w:rFonts w:ascii="David" w:eastAsia="Calibri" w:hAnsi="David"/>
          <w:b/>
          <w:bCs/>
          <w:color w:val="000000"/>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rsidR="00EC150E" w:rsidRPr="00C97D9A" w:rsidRDefault="00EC150E" w:rsidP="00EC150E">
      <w:pPr>
        <w:spacing w:line="360" w:lineRule="auto"/>
        <w:jc w:val="both"/>
        <w:rPr>
          <w:rFonts w:ascii="Arial" w:hAnsi="Arial"/>
          <w:rtl/>
        </w:rPr>
      </w:pPr>
      <w:r w:rsidRPr="00C97D9A">
        <w:rPr>
          <w:rFonts w:ascii="Arial" w:hAnsi="Arial"/>
          <w:u w:val="single"/>
          <w:rtl/>
        </w:rPr>
        <w:t xml:space="preserve">מדיניות הענישה הנוהגת </w:t>
      </w:r>
    </w:p>
    <w:p w:rsidR="00EC150E" w:rsidRPr="00C97D9A" w:rsidRDefault="00EC150E" w:rsidP="00EC150E">
      <w:pPr>
        <w:spacing w:line="360" w:lineRule="auto"/>
        <w:jc w:val="both"/>
        <w:rPr>
          <w:rFonts w:ascii="Arial" w:hAnsi="Arial"/>
          <w:rtl/>
        </w:rPr>
      </w:pPr>
      <w:r w:rsidRPr="00C97D9A">
        <w:rPr>
          <w:rFonts w:ascii="Arial" w:hAnsi="Arial"/>
          <w:rtl/>
        </w:rPr>
        <w:t>בעבירות סחר בסמים קיים מנעד ענישה רחב שנגזר בין היתר מסוג הסם המעורב, מנסיבות הסחר בו ומהכמות שלו (</w:t>
      </w:r>
      <w:hyperlink r:id="rId42" w:history="1">
        <w:r w:rsidR="00D305AF" w:rsidRPr="00D305AF">
          <w:rPr>
            <w:rFonts w:ascii="Arial" w:hAnsi="Arial"/>
            <w:color w:val="0000FF"/>
            <w:u w:val="single"/>
            <w:rtl/>
          </w:rPr>
          <w:t>ע"פ 8436-20</w:t>
        </w:r>
      </w:hyperlink>
      <w:r w:rsidRPr="00C97D9A">
        <w:rPr>
          <w:rFonts w:ascii="Arial" w:hAnsi="Arial"/>
          <w:rtl/>
        </w:rPr>
        <w:t xml:space="preserve"> </w:t>
      </w:r>
      <w:r w:rsidRPr="00C97D9A">
        <w:rPr>
          <w:rFonts w:ascii="Arial" w:hAnsi="Arial"/>
          <w:b/>
          <w:bCs/>
          <w:rtl/>
        </w:rPr>
        <w:t>אמסלם נ' מדינת ישראל</w:t>
      </w:r>
      <w:r w:rsidRPr="00C97D9A">
        <w:rPr>
          <w:rFonts w:ascii="Arial" w:hAnsi="Arial"/>
          <w:rtl/>
        </w:rPr>
        <w:t xml:space="preserve"> (07.06.21)).</w:t>
      </w:r>
    </w:p>
    <w:p w:rsidR="00EC150E" w:rsidRPr="00C97D9A" w:rsidRDefault="00EC150E" w:rsidP="00EC150E">
      <w:pPr>
        <w:spacing w:line="360" w:lineRule="auto"/>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בחינת מדיניות הענישה הנוהגת מלמדת כי בעניינם של נאשמים אשר הורשעו בעבירות דומות, הוטלו על נאשמים עונשים במנעד רחב, כמפורט להלן:</w:t>
      </w:r>
    </w:p>
    <w:p w:rsidR="00EC150E"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w:t>
      </w:r>
      <w:hyperlink r:id="rId43" w:history="1">
        <w:r w:rsidR="00D305AF" w:rsidRPr="00D305AF">
          <w:rPr>
            <w:rFonts w:ascii="Arial" w:hAnsi="Arial"/>
            <w:color w:val="0000FF"/>
            <w:u w:val="single"/>
            <w:rtl/>
          </w:rPr>
          <w:t>רע"פ 7570/21</w:t>
        </w:r>
      </w:hyperlink>
      <w:r w:rsidRPr="00C97D9A">
        <w:rPr>
          <w:rFonts w:ascii="Arial" w:hAnsi="Arial"/>
          <w:rtl/>
        </w:rPr>
        <w:t xml:space="preserve"> </w:t>
      </w:r>
      <w:r w:rsidRPr="00C97D9A">
        <w:rPr>
          <w:rFonts w:ascii="Arial" w:hAnsi="Arial"/>
          <w:b/>
          <w:bCs/>
          <w:rtl/>
        </w:rPr>
        <w:t>אבו סוילם נ' מדינת ישראל</w:t>
      </w:r>
      <w:r w:rsidRPr="00C97D9A">
        <w:rPr>
          <w:rFonts w:ascii="Arial" w:hAnsi="Arial"/>
          <w:rtl/>
        </w:rPr>
        <w:t xml:space="preserve"> (11.11.21) נדחתה בקשת ערעור של נאשם שהורשע בהחזקת סמים שלא לשימוש עצמי מסוג קנביס במשקל של למעלה מ-4 ק"ג. הנאשם, נעדר עבר פלילי ונתמך בהמלצת שירות המבחן לצו של"צ, נדון ל-8 חודשי מאסר בפועל לאחר שנקבע מתחם עונש הולם שנע בין 8-24 חודשי מאסר. כאמור, ערעורו נדחה.</w:t>
      </w:r>
    </w:p>
    <w:p w:rsidR="00EC150E" w:rsidRPr="00C97D9A" w:rsidRDefault="00EC150E" w:rsidP="00EC150E">
      <w:pPr>
        <w:spacing w:line="360" w:lineRule="auto"/>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w:t>
      </w:r>
      <w:hyperlink r:id="rId44" w:history="1">
        <w:r w:rsidR="00D305AF" w:rsidRPr="00D305AF">
          <w:rPr>
            <w:rFonts w:ascii="Arial" w:hAnsi="Arial"/>
            <w:color w:val="0000FF"/>
            <w:u w:val="single"/>
            <w:rtl/>
          </w:rPr>
          <w:t>עפ"ג (מח' י-ם) 29138-07-17</w:t>
        </w:r>
      </w:hyperlink>
      <w:r w:rsidRPr="00C97D9A">
        <w:rPr>
          <w:rFonts w:ascii="Arial" w:hAnsi="Arial"/>
          <w:rtl/>
        </w:rPr>
        <w:t xml:space="preserve"> </w:t>
      </w:r>
      <w:r w:rsidRPr="00C97D9A">
        <w:rPr>
          <w:rFonts w:ascii="Arial" w:hAnsi="Arial"/>
          <w:b/>
          <w:bCs/>
          <w:rtl/>
        </w:rPr>
        <w:t>מדינת ישראל נ' ג'ית</w:t>
      </w:r>
      <w:r w:rsidRPr="00C97D9A">
        <w:rPr>
          <w:rFonts w:ascii="Arial" w:hAnsi="Arial"/>
          <w:rtl/>
        </w:rPr>
        <w:t xml:space="preserve"> (17.08.17) התקבל ערעור המדינה על קולת העונש. הנאשם הורשע בהחזקת 12 פלטות חשיש במשקל 1.199 ק"ג וכן 408 טבליות </w:t>
      </w:r>
      <w:r w:rsidRPr="00C97D9A">
        <w:rPr>
          <w:rFonts w:ascii="Arial" w:hAnsi="Arial"/>
        </w:rPr>
        <w:t>MDMA</w:t>
      </w:r>
      <w:r w:rsidRPr="00C97D9A">
        <w:rPr>
          <w:rFonts w:ascii="Arial" w:hAnsi="Arial"/>
          <w:rtl/>
        </w:rPr>
        <w:t xml:space="preserve"> שלא לצריכה עצמית ונדון ל-9 חודשי מאסר. בית המשפט המחוזי החמיר בעונשו, קבע את מתחם הענישה בין 10 לבין 32 חודשי מאסר בפועל והטיל על הנאשם 14 חודשי מאסר בפועל.</w:t>
      </w:r>
    </w:p>
    <w:p w:rsidR="00EC150E" w:rsidRPr="00C97D9A" w:rsidRDefault="00EC150E" w:rsidP="00EC150E">
      <w:pPr>
        <w:spacing w:line="360" w:lineRule="auto"/>
        <w:jc w:val="both"/>
        <w:rPr>
          <w:rFonts w:ascii="Arial" w:hAnsi="Arial"/>
          <w:rtl/>
        </w:rPr>
      </w:pPr>
      <w:r w:rsidRPr="00C97D9A">
        <w:rPr>
          <w:rFonts w:ascii="Arial" w:hAnsi="Arial"/>
          <w:rtl/>
        </w:rPr>
        <w:t xml:space="preserve"> </w:t>
      </w:r>
    </w:p>
    <w:p w:rsidR="00EC150E" w:rsidRPr="00C97D9A" w:rsidRDefault="00EC150E" w:rsidP="00EC150E">
      <w:pPr>
        <w:spacing w:line="360" w:lineRule="auto"/>
        <w:jc w:val="both"/>
        <w:rPr>
          <w:rFonts w:ascii="Arial" w:hAnsi="Arial"/>
          <w:rtl/>
        </w:rPr>
      </w:pPr>
      <w:r w:rsidRPr="00C97D9A">
        <w:rPr>
          <w:rFonts w:ascii="Arial" w:hAnsi="Arial"/>
          <w:rtl/>
        </w:rPr>
        <w:t>ב</w:t>
      </w:r>
      <w:hyperlink r:id="rId45" w:history="1">
        <w:r w:rsidR="00D305AF" w:rsidRPr="00D305AF">
          <w:rPr>
            <w:rFonts w:ascii="Arial" w:hAnsi="Arial"/>
            <w:color w:val="0000FF"/>
            <w:u w:val="single"/>
            <w:rtl/>
          </w:rPr>
          <w:t>ת"פ (מחוזי י-ם) 19469-12-13</w:t>
        </w:r>
      </w:hyperlink>
      <w:r w:rsidRPr="00C97D9A">
        <w:rPr>
          <w:rFonts w:ascii="Arial" w:hAnsi="Arial"/>
          <w:rtl/>
        </w:rPr>
        <w:t xml:space="preserve"> </w:t>
      </w:r>
      <w:r w:rsidRPr="00C97D9A">
        <w:rPr>
          <w:rFonts w:ascii="Arial" w:hAnsi="Arial"/>
          <w:b/>
          <w:bCs/>
          <w:rtl/>
        </w:rPr>
        <w:t>מדינת ישראל נ' מסוודא</w:t>
      </w:r>
      <w:r w:rsidRPr="00C97D9A">
        <w:rPr>
          <w:rFonts w:ascii="Arial" w:hAnsi="Arial"/>
          <w:rtl/>
        </w:rPr>
        <w:t xml:space="preserve"> (12.01.22) הורשע הנאשם בתיווך של 991 כדורי </w:t>
      </w:r>
      <w:r w:rsidRPr="00C97D9A">
        <w:rPr>
          <w:rFonts w:ascii="Arial" w:hAnsi="Arial"/>
        </w:rPr>
        <w:t>MDMA</w:t>
      </w:r>
      <w:r w:rsidRPr="00C97D9A">
        <w:rPr>
          <w:rFonts w:ascii="Arial" w:hAnsi="Arial"/>
          <w:rtl/>
        </w:rPr>
        <w:t xml:space="preserve"> לסוכן משטרתי. נקבע מתחם ענישה הנע בין 9 לבין 20 חודשי מאסר בפועל. על הנאשם, בעל עבר פלילי, הוטלו 9 חודשי עבודות שירות משיקולי שיקום.</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ב</w:t>
      </w:r>
      <w:hyperlink r:id="rId46" w:history="1">
        <w:r w:rsidR="00D305AF" w:rsidRPr="00D305AF">
          <w:rPr>
            <w:rFonts w:ascii="Arial" w:hAnsi="Arial"/>
            <w:color w:val="0000FF"/>
            <w:u w:val="single"/>
            <w:rtl/>
          </w:rPr>
          <w:t>ת"פ 55035-10-18</w:t>
        </w:r>
      </w:hyperlink>
      <w:r w:rsidRPr="00C97D9A">
        <w:rPr>
          <w:rFonts w:ascii="Arial" w:hAnsi="Arial"/>
          <w:rtl/>
        </w:rPr>
        <w:t xml:space="preserve"> </w:t>
      </w:r>
      <w:r w:rsidRPr="00C97D9A">
        <w:rPr>
          <w:rFonts w:ascii="Arial" w:hAnsi="Arial"/>
          <w:b/>
          <w:bCs/>
          <w:rtl/>
        </w:rPr>
        <w:t>מדינת ישראל נ' שהאב</w:t>
      </w:r>
      <w:r w:rsidRPr="00C97D9A">
        <w:rPr>
          <w:rFonts w:ascii="Arial" w:hAnsi="Arial"/>
          <w:rtl/>
        </w:rPr>
        <w:t xml:space="preserve"> (11.03.20) הורשע הנאשם בהחזקת סם שלא לצריכה עצמית של 98 כדורי </w:t>
      </w:r>
      <w:r w:rsidRPr="00C97D9A">
        <w:rPr>
          <w:rFonts w:ascii="Arial" w:hAnsi="Arial"/>
        </w:rPr>
        <w:t>MDMA</w:t>
      </w:r>
      <w:r w:rsidRPr="00C97D9A">
        <w:rPr>
          <w:rFonts w:ascii="Arial" w:hAnsi="Arial"/>
          <w:rtl/>
        </w:rPr>
        <w:t xml:space="preserve"> וסחר ב-352 כדורים. נקבע מתחם ענישה שנע בין 18 לבין 48 חודשי מאסר בפועל. על הנאשם, נעדר עבר פלילי הוטלו 18 חודשי מאסר בפועל.</w:t>
      </w:r>
    </w:p>
    <w:p w:rsidR="00EC150E" w:rsidRPr="00C97D9A" w:rsidRDefault="00EC150E" w:rsidP="00EC150E">
      <w:pPr>
        <w:spacing w:line="360" w:lineRule="auto"/>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 xml:space="preserve">לאחר שמיעת טיעוני הצדדים ועיון בפסיקה שאוזכרה על ידם במסגרת טיעוניהם, לרבות בפסק הדין של האחרים שהורשעו בפרשה זו, וכן לאור נסיבותיו של מקרה קונקרטי זה כאשר לפי עובדות כתב האישום המתוקן הסמים שנמכרו היו בכמות מעטה ותמורת סכום כסף מועט, אני קובע שמתחם העונש ההולם לעבירות בהן הורשע הנאשם בהליך זה שלפני נע בין 9-24 חודשי מאסר בפועל לצד ענישה הצופה פני עתיד, פסילה בפועל, פסילה על תנאי וקנס.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u w:val="single"/>
          <w:rtl/>
        </w:rPr>
      </w:pPr>
      <w:r w:rsidRPr="00C97D9A">
        <w:rPr>
          <w:rFonts w:ascii="Arial" w:hAnsi="Arial"/>
          <w:u w:val="single"/>
          <w:rtl/>
        </w:rPr>
        <w:t>קביעת העונש המתאים לנאשם</w:t>
      </w:r>
    </w:p>
    <w:p w:rsidR="00EC150E" w:rsidRPr="00C97D9A" w:rsidRDefault="00EC150E" w:rsidP="00EC150E">
      <w:pPr>
        <w:spacing w:line="360" w:lineRule="auto"/>
        <w:jc w:val="both"/>
        <w:rPr>
          <w:rFonts w:ascii="Arial" w:hAnsi="Arial"/>
          <w:rtl/>
        </w:rPr>
      </w:pPr>
      <w:r w:rsidRPr="00C97D9A">
        <w:rPr>
          <w:rFonts w:ascii="Arial" w:hAnsi="Arial"/>
          <w:rtl/>
        </w:rPr>
        <w:t xml:space="preserve">הנאשם הודה בעבירות המיוחסות לו בכתב האישום המתוקן בהזדמנות הראשונה, לקח אחריות על מעשיו וחסך זמן שיפוטי יקר.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לקחתי בחשבון את העובדה שלחובת הנאשם 3 הרשעות פליליות קודמות וכן 6 הרשעות תעבורה קודמות, בגינן נשא בעונשי מאסר וכן הוטל עליו עונש מאסר מותנה למשך 6 חודשים בר הפעלה בתיק זה (</w:t>
      </w:r>
      <w:hyperlink r:id="rId47" w:history="1">
        <w:r w:rsidR="00D305AF" w:rsidRPr="00D305AF">
          <w:rPr>
            <w:rFonts w:ascii="Arial" w:hAnsi="Arial"/>
            <w:color w:val="0000FF"/>
            <w:u w:val="single"/>
            <w:rtl/>
          </w:rPr>
          <w:t>ת"פ 17443-12-17</w:t>
        </w:r>
      </w:hyperlink>
      <w:r w:rsidRPr="00C97D9A">
        <w:rPr>
          <w:rFonts w:ascii="Arial" w:hAnsi="Arial"/>
          <w:rtl/>
        </w:rPr>
        <w:t xml:space="preserve"> בית המשפט המחוזי חיפה, גזר דין מתאריך 19.06.18). </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נראה שעונש המאסר המותנה, לא הרתיע את הנאשם מלחזור לסורו ולנהוג ללא רישיון</w:t>
      </w:r>
      <w:r>
        <w:rPr>
          <w:rFonts w:ascii="Arial" w:hAnsi="Arial" w:hint="cs"/>
          <w:rtl/>
        </w:rPr>
        <w:t xml:space="preserve"> תקף</w:t>
      </w:r>
      <w:r w:rsidRPr="00C97D9A">
        <w:rPr>
          <w:rFonts w:ascii="Arial" w:hAnsi="Arial"/>
          <w:rtl/>
        </w:rPr>
        <w:t>. הנאשם היה מודע לחומרת מעשיו, לנזק אותו הוא מסב לחברה, כך גם היה מודע לעונש בו יצטרך לשאת במידה וייתפס ויורשע בעבירה של נהיגה ללא רישיון</w:t>
      </w:r>
      <w:r>
        <w:rPr>
          <w:rFonts w:ascii="Arial" w:hAnsi="Arial" w:hint="cs"/>
          <w:rtl/>
        </w:rPr>
        <w:t xml:space="preserve"> תקף</w:t>
      </w:r>
      <w:r w:rsidRPr="00C97D9A">
        <w:rPr>
          <w:rFonts w:ascii="Arial" w:hAnsi="Arial"/>
          <w:rtl/>
        </w:rPr>
        <w:t>.</w:t>
      </w:r>
      <w:r>
        <w:rPr>
          <w:rFonts w:ascii="Arial" w:hAnsi="Arial" w:hint="cs"/>
          <w:rtl/>
        </w:rPr>
        <w:t xml:space="preserve"> אציין כי עונש המאסר המותנה הינו בר הפעלה בתיק זה ולעניין זה אני דוחה את טענת הסניגור ביחס לאופן ניסוח סעיף התנאי בגזר הדין של בית המשפט המחוזי וקיומו של ספק ביחס להפעלתו בהליך זה.</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C97D9A">
        <w:rPr>
          <w:rFonts w:ascii="Arial" w:hAnsi="Arial"/>
          <w:rtl/>
        </w:rPr>
        <w:t>מנגד, נתתי דעתי גם להמלצות שירות המבחן אשר שב על המלצתו והתרשמותו מן הנאשם בשלושת תסקיריו ולעמדתו, לראשונה הנאשם מעוניין לעשות שינוי אמ</w:t>
      </w:r>
      <w:r>
        <w:rPr>
          <w:rFonts w:ascii="Arial" w:hAnsi="Arial" w:hint="cs"/>
          <w:rtl/>
        </w:rPr>
        <w:t>י</w:t>
      </w:r>
      <w:r w:rsidRPr="00C97D9A">
        <w:rPr>
          <w:rFonts w:ascii="Arial" w:hAnsi="Arial"/>
          <w:rtl/>
        </w:rPr>
        <w:t>תי בחייו, מסוגל להיתרם מטיפול בשירות המבחן וככל שיתמיד בטיפול זה, יקטן הסיכון להישנות העבירות.</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David" w:hAnsi="David"/>
          <w:rtl/>
        </w:rPr>
      </w:pPr>
      <w:r w:rsidRPr="00C97D9A">
        <w:rPr>
          <w:rFonts w:ascii="David" w:hAnsi="David"/>
          <w:rtl/>
        </w:rPr>
        <w:t>למעשה, לאור העבירות אותן ביצע הנאשם וריבוין, היה מקום לגזור על הנאשם תקופת מאסר בפועל מאחורי סורג ובריח. אולם, במקרה זה, לאור ההליך השיקומי אותו עובר הנאשם ולאור התרשמות שירות המבחן, סבורני שזהו ה</w:t>
      </w:r>
      <w:r>
        <w:rPr>
          <w:rFonts w:ascii="David" w:hAnsi="David" w:hint="cs"/>
          <w:rtl/>
        </w:rPr>
        <w:t>מקרה</w:t>
      </w:r>
      <w:r w:rsidRPr="00C97D9A">
        <w:rPr>
          <w:rFonts w:ascii="David" w:hAnsi="David"/>
          <w:rtl/>
        </w:rPr>
        <w:t xml:space="preserve"> בו יש לאפשר לנאשם להוכיח את רצינות כוונותיו, לחרוג ממתחם העונש משיקולי שיקום</w:t>
      </w:r>
      <w:r>
        <w:rPr>
          <w:rFonts w:ascii="David" w:hAnsi="David" w:hint="cs"/>
          <w:rtl/>
        </w:rPr>
        <w:t>, לאמץ את המלצת שירות המבחן</w:t>
      </w:r>
      <w:r w:rsidRPr="00C97D9A">
        <w:rPr>
          <w:rFonts w:ascii="David" w:hAnsi="David"/>
          <w:rtl/>
        </w:rPr>
        <w:t xml:space="preserve"> ולהטיל על הנאשם צו מבחן וצו של"צ.</w:t>
      </w:r>
    </w:p>
    <w:p w:rsidR="00EC150E" w:rsidRDefault="00EC150E" w:rsidP="00EC150E">
      <w:pPr>
        <w:spacing w:line="360" w:lineRule="atLeast"/>
        <w:jc w:val="both"/>
        <w:rPr>
          <w:rFonts w:ascii="David" w:hAnsi="David"/>
          <w:color w:val="000000"/>
          <w:rtl/>
        </w:rPr>
      </w:pPr>
    </w:p>
    <w:p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אדגיש כי בעת קביעת העונש המתאים, בתוך מתחם הענישה, בהתאם לתיקון 113 ל</w:t>
      </w:r>
      <w:hyperlink r:id="rId48" w:history="1">
        <w:r w:rsidR="00D305AF" w:rsidRPr="00D305AF">
          <w:rPr>
            <w:rFonts w:ascii="David" w:hAnsi="David"/>
            <w:color w:val="0000FF"/>
            <w:u w:val="single"/>
            <w:rtl/>
          </w:rPr>
          <w:t>חוק העונשין</w:t>
        </w:r>
      </w:hyperlink>
      <w:r w:rsidR="00D305AF">
        <w:rPr>
          <w:rFonts w:ascii="David" w:hAnsi="David"/>
          <w:color w:val="000000"/>
          <w:rtl/>
        </w:rPr>
        <w:t xml:space="preserve"> </w:t>
      </w:r>
      <w:r w:rsidRPr="00C97D9A">
        <w:rPr>
          <w:rFonts w:ascii="David" w:hAnsi="David"/>
          <w:color w:val="000000"/>
          <w:rtl/>
        </w:rPr>
        <w:t xml:space="preserve">אשר ביקש להבנות את שיקול הדעת השיפוטי, יש לקחת בחשבון ולבדוק האם במקרה הקונקרטי הטלת מאסר בפועל מאחורי סורג ובריח, גם אם מדובר בתקופה קצרה, יהיה בה כדי לקבוע שהנזק עולה על התועלת. </w:t>
      </w:r>
    </w:p>
    <w:p w:rsidR="00EC150E" w:rsidRPr="00C97D9A" w:rsidRDefault="00D305AF" w:rsidP="00EC150E">
      <w:pPr>
        <w:spacing w:line="360" w:lineRule="atLeast"/>
        <w:jc w:val="both"/>
        <w:rPr>
          <w:rFonts w:ascii="David" w:hAnsi="David"/>
          <w:color w:val="000000"/>
        </w:rPr>
      </w:pPr>
      <w:r>
        <w:rPr>
          <w:rFonts w:ascii="David" w:hAnsi="David"/>
          <w:color w:val="000000"/>
          <w:rtl/>
        </w:rPr>
        <w:t xml:space="preserve"> </w:t>
      </w:r>
    </w:p>
    <w:p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דו"ח הוועדה הציבורית לבחינת מדיניות הענישה והטיפול בעבריינים ("ועדת דורנר"), התייחס לעניין זה ומסקנתו מצדיקה בחינה מחודשת של שיקולי הענישה. במקרה הנ"ל, לאור נתוני הנאשם, אני סבור שפחותה התועלת בשליחתו של הנאשם למאסר בפועל מהנזק שייגרם לנאשם וזאת, כאשר ניתן אולי להקטין את הסיכון להישנות העבירות על ידי צו מבחן תחת עינו הפקוחה של שירות המבחן. שליחת הנאשם, למאסר בפועל מאחורי סורג ובריח בו ייחשף פעם נוספת לתרבות עבריינית איננה מאינטרס הציבור ומנגד, אם יתמיד הנאשם לשקם עצמו ייתרם מכך לא רק הוא עצמו אלא גם החברה תצא נשכרת (</w:t>
      </w:r>
      <w:hyperlink r:id="rId49" w:history="1">
        <w:r w:rsidR="00D305AF" w:rsidRPr="00D305AF">
          <w:rPr>
            <w:rFonts w:ascii="David" w:hAnsi="David"/>
            <w:color w:val="0000FF"/>
            <w:u w:val="single"/>
            <w:rtl/>
          </w:rPr>
          <w:t>עפ"ת 6597-09-15</w:t>
        </w:r>
      </w:hyperlink>
      <w:r w:rsidR="00D305AF">
        <w:rPr>
          <w:rFonts w:ascii="David" w:hAnsi="David"/>
          <w:color w:val="000000"/>
          <w:rtl/>
        </w:rPr>
        <w:t xml:space="preserve"> </w:t>
      </w:r>
      <w:r w:rsidRPr="00C97D9A">
        <w:rPr>
          <w:rFonts w:ascii="David" w:hAnsi="David"/>
          <w:b/>
          <w:bCs/>
          <w:color w:val="000000"/>
          <w:rtl/>
        </w:rPr>
        <w:t>מ"י נ' עוקר</w:t>
      </w:r>
      <w:r w:rsidR="00D305AF">
        <w:rPr>
          <w:rFonts w:ascii="David" w:hAnsi="David"/>
          <w:color w:val="000000"/>
          <w:rtl/>
        </w:rPr>
        <w:t xml:space="preserve"> </w:t>
      </w:r>
      <w:r w:rsidRPr="00C97D9A">
        <w:rPr>
          <w:rFonts w:ascii="David" w:hAnsi="David"/>
          <w:color w:val="000000"/>
          <w:rtl/>
        </w:rPr>
        <w:t>[פורסם בנבו]</w:t>
      </w:r>
      <w:r w:rsidR="00D305AF">
        <w:rPr>
          <w:rFonts w:ascii="David" w:hAnsi="David"/>
          <w:color w:val="000000"/>
          <w:rtl/>
        </w:rPr>
        <w:t xml:space="preserve"> </w:t>
      </w:r>
      <w:r w:rsidRPr="00C97D9A">
        <w:rPr>
          <w:rFonts w:ascii="David" w:hAnsi="David"/>
          <w:color w:val="000000"/>
          <w:rtl/>
        </w:rPr>
        <w:t>[ניתן ביום 21.1.16]).</w:t>
      </w:r>
    </w:p>
    <w:p w:rsidR="00EC150E" w:rsidRPr="00C97D9A" w:rsidRDefault="00EC150E" w:rsidP="00EC150E">
      <w:pPr>
        <w:spacing w:line="360" w:lineRule="atLeast"/>
        <w:jc w:val="both"/>
        <w:rPr>
          <w:rFonts w:ascii="David" w:hAnsi="David"/>
          <w:color w:val="000000"/>
          <w:rtl/>
        </w:rPr>
      </w:pPr>
    </w:p>
    <w:p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בפסיקה נאמר כי הרתעת הציבור אינה חזות הכול ו"</w:t>
      </w:r>
      <w:r w:rsidRPr="00C97D9A">
        <w:rPr>
          <w:rFonts w:ascii="David" w:hAnsi="David"/>
          <w:b/>
          <w:bCs/>
          <w:color w:val="000000"/>
          <w:rtl/>
        </w:rPr>
        <w:t>יש לשקול כל מקרה על פי נסיבותיו המיוחדות ונסיבותיו האישיות של הנאשם כאינדיבידואל ולאזן בצורה ראויה ביניהן לבין מדיניות הענישה האמורה</w:t>
      </w:r>
      <w:r w:rsidRPr="00C97D9A">
        <w:rPr>
          <w:rFonts w:ascii="David" w:hAnsi="David"/>
          <w:color w:val="000000"/>
          <w:rtl/>
        </w:rPr>
        <w:t>" (</w:t>
      </w:r>
      <w:hyperlink r:id="rId50" w:history="1">
        <w:r w:rsidR="00D305AF" w:rsidRPr="00D305AF">
          <w:rPr>
            <w:rFonts w:ascii="David" w:hAnsi="David"/>
            <w:color w:val="0000FF"/>
            <w:u w:val="single"/>
            <w:rtl/>
          </w:rPr>
          <w:t>עפ"ת 1267-05-16</w:t>
        </w:r>
      </w:hyperlink>
      <w:r w:rsidR="00D305AF">
        <w:rPr>
          <w:rFonts w:ascii="David" w:hAnsi="David"/>
          <w:color w:val="000000"/>
          <w:rtl/>
        </w:rPr>
        <w:t xml:space="preserve"> </w:t>
      </w:r>
      <w:r w:rsidRPr="00C97D9A">
        <w:rPr>
          <w:rFonts w:ascii="David" w:hAnsi="David"/>
          <w:b/>
          <w:bCs/>
          <w:color w:val="000000"/>
          <w:rtl/>
        </w:rPr>
        <w:t>חיזגילוב נ' מ"י</w:t>
      </w:r>
      <w:r w:rsidRPr="00C97D9A">
        <w:rPr>
          <w:rFonts w:ascii="David" w:hAnsi="David"/>
          <w:color w:val="000000"/>
          <w:rtl/>
        </w:rPr>
        <w:t>)</w:t>
      </w:r>
      <w:r w:rsidR="00D305AF">
        <w:rPr>
          <w:rFonts w:ascii="David" w:hAnsi="David"/>
          <w:color w:val="000000"/>
          <w:rtl/>
        </w:rPr>
        <w:t xml:space="preserve"> </w:t>
      </w:r>
      <w:r w:rsidRPr="00C97D9A">
        <w:rPr>
          <w:rFonts w:ascii="David" w:hAnsi="David"/>
          <w:color w:val="000000"/>
          <w:rtl/>
        </w:rPr>
        <w:t>[פורסם בנבו].</w:t>
      </w:r>
    </w:p>
    <w:p w:rsidR="00EC150E" w:rsidRPr="00C97D9A" w:rsidRDefault="00EC150E" w:rsidP="00EC150E">
      <w:pPr>
        <w:spacing w:line="360" w:lineRule="atLeast"/>
        <w:jc w:val="both"/>
        <w:rPr>
          <w:rFonts w:ascii="David" w:hAnsi="David"/>
          <w:color w:val="000000"/>
          <w:rtl/>
        </w:rPr>
      </w:pPr>
    </w:p>
    <w:p w:rsidR="00EC150E" w:rsidRPr="00C97D9A" w:rsidRDefault="00EC150E" w:rsidP="00EC150E">
      <w:pPr>
        <w:spacing w:after="160" w:line="360" w:lineRule="auto"/>
        <w:jc w:val="both"/>
        <w:rPr>
          <w:rFonts w:ascii="Calibri" w:eastAsia="Calibri" w:hAnsi="Calibri" w:cs="Arial"/>
          <w:sz w:val="22"/>
          <w:szCs w:val="22"/>
          <w:rtl/>
        </w:rPr>
      </w:pPr>
      <w:r>
        <w:rPr>
          <w:rFonts w:ascii="David" w:hAnsi="David" w:hint="cs"/>
          <w:color w:val="000000"/>
          <w:u w:val="single"/>
          <w:rtl/>
        </w:rPr>
        <w:t xml:space="preserve">למסקנתי, </w:t>
      </w:r>
      <w:r w:rsidRPr="002A6FD3">
        <w:rPr>
          <w:rFonts w:ascii="David" w:hAnsi="David"/>
          <w:color w:val="000000"/>
          <w:u w:val="single"/>
          <w:rtl/>
        </w:rPr>
        <w:t>השיקולים הפרטניים בענייננו מצדיקים במקרה הנוכחי את העדפת השיקול השיקומי- טיפולי.</w:t>
      </w:r>
      <w:r w:rsidRPr="00C97D9A">
        <w:rPr>
          <w:rFonts w:ascii="David" w:hAnsi="David"/>
          <w:color w:val="000000"/>
          <w:rtl/>
        </w:rPr>
        <w:t xml:space="preserve"> בית המשפט מודע לכך שבענישה האמורה המעדיפה את הפן השיקומי אין משום מיצוי הדין עם הנאשם </w:t>
      </w:r>
      <w:r>
        <w:rPr>
          <w:rFonts w:ascii="David" w:hAnsi="David" w:hint="cs"/>
          <w:color w:val="000000"/>
          <w:rtl/>
        </w:rPr>
        <w:t>ביחס</w:t>
      </w:r>
      <w:r w:rsidRPr="00C97D9A">
        <w:rPr>
          <w:rFonts w:ascii="David" w:hAnsi="David"/>
          <w:color w:val="000000"/>
          <w:rtl/>
        </w:rPr>
        <w:t xml:space="preserve"> </w:t>
      </w:r>
      <w:r>
        <w:rPr>
          <w:rFonts w:ascii="David" w:hAnsi="David" w:hint="cs"/>
          <w:color w:val="000000"/>
          <w:rtl/>
        </w:rPr>
        <w:t>ל</w:t>
      </w:r>
      <w:r w:rsidRPr="00C97D9A">
        <w:rPr>
          <w:rFonts w:ascii="David" w:hAnsi="David"/>
          <w:color w:val="000000"/>
          <w:rtl/>
        </w:rPr>
        <w:t>עבירות החמורות שביצע אך לאור ההליך השיקומי המשמעותי בו נתון הנאשם, אני מוצא לנכון  לתת משקל להיבט זה בענישה, מתוך תקווה כי חזרתו של הנאשם למסלול נורמטיבי תסב תועלת רבה הן לו כאדם, והן לחברה</w:t>
      </w:r>
      <w:r w:rsidR="00D305AF">
        <w:rPr>
          <w:rFonts w:ascii="David" w:hAnsi="David"/>
          <w:color w:val="000000"/>
          <w:rtl/>
        </w:rPr>
        <w:t xml:space="preserve"> </w:t>
      </w:r>
      <w:r w:rsidRPr="00C97D9A">
        <w:rPr>
          <w:rFonts w:ascii="David" w:hAnsi="David"/>
          <w:color w:val="000000"/>
          <w:rtl/>
        </w:rPr>
        <w:t>(</w:t>
      </w:r>
      <w:hyperlink r:id="rId51" w:history="1">
        <w:r w:rsidR="00D305AF" w:rsidRPr="00D305AF">
          <w:rPr>
            <w:rFonts w:ascii="David" w:hAnsi="David"/>
            <w:color w:val="0000FF"/>
            <w:u w:val="single"/>
            <w:rtl/>
          </w:rPr>
          <w:t>ע"פ 9911/07</w:t>
        </w:r>
      </w:hyperlink>
      <w:r w:rsidR="00D305AF">
        <w:rPr>
          <w:rFonts w:ascii="David" w:hAnsi="David"/>
          <w:color w:val="000000"/>
          <w:rtl/>
        </w:rPr>
        <w:t xml:space="preserve"> </w:t>
      </w:r>
      <w:r w:rsidRPr="00C97D9A">
        <w:rPr>
          <w:rFonts w:ascii="David" w:hAnsi="David"/>
          <w:b/>
          <w:bCs/>
          <w:color w:val="000000"/>
          <w:rtl/>
        </w:rPr>
        <w:t>פלוני</w:t>
      </w:r>
      <w:r w:rsidR="00D305AF">
        <w:rPr>
          <w:rFonts w:ascii="David" w:hAnsi="David"/>
          <w:b/>
          <w:bCs/>
          <w:color w:val="000000"/>
          <w:rtl/>
        </w:rPr>
        <w:t xml:space="preserve"> </w:t>
      </w:r>
      <w:r w:rsidRPr="00C97D9A">
        <w:rPr>
          <w:rFonts w:ascii="David" w:hAnsi="David"/>
          <w:b/>
          <w:bCs/>
          <w:color w:val="000000"/>
          <w:rtl/>
        </w:rPr>
        <w:t>נ' מדינת ישראל</w:t>
      </w:r>
      <w:r w:rsidR="00D305AF">
        <w:rPr>
          <w:rFonts w:ascii="David" w:hAnsi="David"/>
          <w:color w:val="000000"/>
          <w:rtl/>
        </w:rPr>
        <w:t xml:space="preserve"> </w:t>
      </w:r>
      <w:r w:rsidRPr="00C97D9A">
        <w:rPr>
          <w:rFonts w:ascii="David" w:hAnsi="David"/>
          <w:color w:val="000000"/>
          <w:rtl/>
        </w:rPr>
        <w:t>[פורסם בנבו] (ניתן ביום 17.8.2009). במקרה זה – ולא בלי התלבטות – אני סבור כי יש מקום לאפשר לנאשם להמשיך ולשמר את תהליך הטיפול והשיקום.</w:t>
      </w:r>
    </w:p>
    <w:p w:rsidR="00EC150E" w:rsidRPr="00C97D9A" w:rsidRDefault="00EC150E" w:rsidP="00EC150E">
      <w:pPr>
        <w:spacing w:line="360" w:lineRule="atLeast"/>
        <w:jc w:val="both"/>
        <w:rPr>
          <w:rFonts w:ascii="David" w:hAnsi="David"/>
          <w:color w:val="000000"/>
          <w:rtl/>
        </w:rPr>
      </w:pPr>
      <w:r w:rsidRPr="00C97D9A">
        <w:rPr>
          <w:rFonts w:ascii="David" w:hAnsi="David"/>
          <w:color w:val="000000"/>
          <w:rtl/>
        </w:rPr>
        <w:t xml:space="preserve">יתר על כן, מובן כי ככל שלא ישכיל הנאשם לנצל את ההזדמנות שניתנה לו, לתקן את דרכיו ולשנות באמת מעמדותיו ותפיסותיו המוטעות, הרי שלא יינתנו </w:t>
      </w:r>
      <w:r>
        <w:rPr>
          <w:rFonts w:ascii="David" w:hAnsi="David" w:hint="cs"/>
          <w:color w:val="000000"/>
          <w:rtl/>
        </w:rPr>
        <w:t xml:space="preserve">לו </w:t>
      </w:r>
      <w:r w:rsidRPr="00C97D9A">
        <w:rPr>
          <w:rFonts w:ascii="David" w:hAnsi="David"/>
          <w:color w:val="000000"/>
          <w:rtl/>
        </w:rPr>
        <w:t xml:space="preserve">הזדמנויות נוספות, צו המבחן יופקע ועניינו יוחזר למתן גזר דין מחדש בפני לרבות האפשרות של הטלת מאסר בפועל בהתאם לעמדתה העונשית של המאשימה. </w:t>
      </w:r>
    </w:p>
    <w:p w:rsidR="00EC150E" w:rsidRPr="00C97D9A" w:rsidRDefault="00EC150E" w:rsidP="00EC150E">
      <w:pPr>
        <w:spacing w:line="360" w:lineRule="auto"/>
        <w:jc w:val="both"/>
        <w:rPr>
          <w:rFonts w:ascii="Arial" w:hAnsi="Arial"/>
          <w:rtl/>
        </w:rPr>
      </w:pPr>
      <w:r w:rsidRPr="00C97D9A">
        <w:rPr>
          <w:rFonts w:ascii="Arial" w:hAnsi="Arial"/>
          <w:rtl/>
        </w:rPr>
        <w:t xml:space="preserve"> </w:t>
      </w:r>
    </w:p>
    <w:p w:rsidR="00EC150E" w:rsidRPr="00C97D9A" w:rsidRDefault="00EC150E" w:rsidP="00EC150E">
      <w:pPr>
        <w:spacing w:line="360" w:lineRule="auto"/>
        <w:jc w:val="both"/>
        <w:rPr>
          <w:rFonts w:ascii="Arial" w:hAnsi="Arial"/>
          <w:rtl/>
        </w:rPr>
      </w:pPr>
      <w:r w:rsidRPr="00C97D9A">
        <w:rPr>
          <w:rFonts w:ascii="Arial" w:hAnsi="Arial"/>
          <w:rtl/>
        </w:rPr>
        <w:t xml:space="preserve">לאחר ששקלתי את מכלול השיקולים האמורים ונתתי את דעתי לטיעוני הצדדים, כמו גם לאור אחידות הענישה והעונשים שהוטלו על האחרים בפרשה, באתי לכלל מסקנה </w:t>
      </w:r>
      <w:r>
        <w:rPr>
          <w:rFonts w:ascii="Arial" w:hAnsi="Arial" w:hint="cs"/>
          <w:rtl/>
        </w:rPr>
        <w:t xml:space="preserve">כי במקרה קונקרטי זה, </w:t>
      </w:r>
      <w:r w:rsidRPr="00C97D9A">
        <w:rPr>
          <w:rFonts w:ascii="Arial" w:hAnsi="Arial"/>
          <w:rtl/>
        </w:rPr>
        <w:t xml:space="preserve">יש לאמץ את המלצות שירות המבחן, להטיל על הנאשם ענישה שיקומית </w:t>
      </w:r>
      <w:r>
        <w:rPr>
          <w:rFonts w:ascii="Arial" w:hAnsi="Arial" w:hint="cs"/>
          <w:rtl/>
        </w:rPr>
        <w:t>וזאת לצד חידוש</w:t>
      </w:r>
      <w:r w:rsidRPr="00C97D9A">
        <w:rPr>
          <w:rFonts w:ascii="Arial" w:hAnsi="Arial"/>
          <w:rtl/>
        </w:rPr>
        <w:t xml:space="preserve"> את המאסר המותנה בר ההפעלה.</w:t>
      </w:r>
    </w:p>
    <w:p w:rsidR="00EC150E" w:rsidRPr="00C97D9A" w:rsidRDefault="00EC150E" w:rsidP="00EC150E">
      <w:pPr>
        <w:spacing w:line="360" w:lineRule="auto"/>
        <w:jc w:val="both"/>
        <w:rPr>
          <w:rFonts w:ascii="Arial" w:hAnsi="Arial"/>
          <w:rtl/>
        </w:rPr>
      </w:pPr>
    </w:p>
    <w:p w:rsidR="00EC150E" w:rsidRPr="00C97D9A" w:rsidRDefault="00EC150E" w:rsidP="00EC150E">
      <w:pPr>
        <w:spacing w:line="360" w:lineRule="auto"/>
        <w:jc w:val="both"/>
        <w:rPr>
          <w:rFonts w:ascii="Arial" w:hAnsi="Arial"/>
          <w:rtl/>
        </w:rPr>
      </w:pPr>
      <w:r w:rsidRPr="002A6FD3">
        <w:rPr>
          <w:rFonts w:ascii="Arial" w:hAnsi="Arial"/>
          <w:b/>
          <w:bCs/>
          <w:u w:val="single"/>
          <w:rtl/>
        </w:rPr>
        <w:t>לאור האמור, אני מטיל בזאת על הנאשם את העונשים הבאים</w:t>
      </w:r>
      <w:r w:rsidRPr="00C97D9A">
        <w:rPr>
          <w:rFonts w:ascii="Arial" w:hAnsi="Arial"/>
          <w:rtl/>
        </w:rPr>
        <w:t xml:space="preserve">: </w:t>
      </w:r>
    </w:p>
    <w:p w:rsidR="00EC150E" w:rsidRPr="00C97D9A" w:rsidRDefault="00EC150E" w:rsidP="00EC150E">
      <w:pPr>
        <w:spacing w:line="360" w:lineRule="auto"/>
        <w:jc w:val="both"/>
        <w:rPr>
          <w:rFonts w:ascii="Arial" w:hAnsi="Arial"/>
          <w:rtl/>
        </w:rPr>
      </w:pPr>
    </w:p>
    <w:p w:rsidR="00EC150E" w:rsidRPr="00C97D9A" w:rsidRDefault="00EC150E" w:rsidP="00EC150E">
      <w:pPr>
        <w:numPr>
          <w:ilvl w:val="0"/>
          <w:numId w:val="1"/>
        </w:numPr>
        <w:spacing w:after="160" w:line="360" w:lineRule="auto"/>
        <w:contextualSpacing/>
        <w:jc w:val="both"/>
        <w:rPr>
          <w:rtl/>
        </w:rPr>
      </w:pPr>
      <w:r w:rsidRPr="00C97D9A">
        <w:rPr>
          <w:rFonts w:ascii="Arial" w:hAnsi="Arial"/>
          <w:rtl/>
        </w:rPr>
        <w:t>אני מורה על חידוש עונש המאסר המותנה שהוטל על הנאשם ב</w:t>
      </w:r>
      <w:hyperlink r:id="rId52" w:history="1">
        <w:r w:rsidR="00D305AF" w:rsidRPr="00D305AF">
          <w:rPr>
            <w:rFonts w:ascii="Arial" w:hAnsi="Arial"/>
            <w:color w:val="0000FF"/>
            <w:u w:val="single"/>
            <w:rtl/>
          </w:rPr>
          <w:t>ת"פ 17443-12-17</w:t>
        </w:r>
      </w:hyperlink>
      <w:r w:rsidRPr="00C97D9A">
        <w:rPr>
          <w:rFonts w:ascii="Arial" w:hAnsi="Arial"/>
          <w:rtl/>
        </w:rPr>
        <w:t xml:space="preserve"> בבית המשפט המחוזי בחיפה בגר דין מתאריך 1</w:t>
      </w:r>
      <w:r>
        <w:rPr>
          <w:rFonts w:ascii="Arial" w:hAnsi="Arial"/>
          <w:rtl/>
        </w:rPr>
        <w:t xml:space="preserve">9.06.18 בשנתיים נוספות החל </w:t>
      </w:r>
      <w:r>
        <w:rPr>
          <w:rFonts w:ascii="Arial" w:hAnsi="Arial" w:hint="cs"/>
          <w:rtl/>
        </w:rPr>
        <w:t>מהיום</w:t>
      </w:r>
      <w:r w:rsidRPr="00C97D9A">
        <w:rPr>
          <w:rFonts w:ascii="Arial" w:hAnsi="Arial"/>
          <w:rtl/>
        </w:rPr>
        <w:t>.</w:t>
      </w:r>
    </w:p>
    <w:p w:rsidR="00EC150E" w:rsidRPr="00C97D9A" w:rsidRDefault="00EC150E" w:rsidP="00EC150E">
      <w:pPr>
        <w:spacing w:line="360" w:lineRule="auto"/>
        <w:ind w:left="720"/>
        <w:contextualSpacing/>
        <w:jc w:val="both"/>
      </w:pPr>
    </w:p>
    <w:p w:rsidR="00EC150E" w:rsidRPr="00C97D9A" w:rsidRDefault="00EC150E" w:rsidP="00EC150E">
      <w:pPr>
        <w:numPr>
          <w:ilvl w:val="0"/>
          <w:numId w:val="1"/>
        </w:numPr>
        <w:spacing w:after="160" w:line="360" w:lineRule="auto"/>
        <w:contextualSpacing/>
        <w:jc w:val="both"/>
      </w:pPr>
      <w:r w:rsidRPr="00C97D9A">
        <w:rPr>
          <w:rFonts w:ascii="Arial" w:hAnsi="Arial"/>
          <w:rtl/>
        </w:rPr>
        <w:t>צו מבחן למשך 12 חודשים</w:t>
      </w:r>
      <w:r>
        <w:rPr>
          <w:rFonts w:ascii="Arial" w:hAnsi="Arial" w:hint="cs"/>
          <w:rtl/>
        </w:rPr>
        <w:t xml:space="preserve"> אשר יבוצע ויפוקח בידי שירות המבחן</w:t>
      </w:r>
      <w:r w:rsidRPr="00C97D9A">
        <w:rPr>
          <w:rFonts w:ascii="Arial" w:hAnsi="Arial"/>
          <w:rtl/>
        </w:rPr>
        <w:t>.</w:t>
      </w:r>
    </w:p>
    <w:p w:rsidR="00EC150E" w:rsidRPr="00C97D9A" w:rsidRDefault="00EC150E" w:rsidP="00EC150E">
      <w:pPr>
        <w:spacing w:line="360" w:lineRule="auto"/>
        <w:ind w:left="720"/>
        <w:jc w:val="both"/>
        <w:rPr>
          <w:rtl/>
        </w:rPr>
      </w:pPr>
      <w:r w:rsidRPr="00C97D9A">
        <w:rPr>
          <w:rtl/>
        </w:rPr>
        <w:t xml:space="preserve">הוסבר לנאשם כי ככל שלא יעמוד בתנאי הצו, יכול ותוגש בקשה להפקעתו ועניינו יובא לבית המשפט לצורך דיון מחודש ברכיבי הענישה של גזר הדין. </w:t>
      </w:r>
    </w:p>
    <w:p w:rsidR="00EC150E" w:rsidRPr="00C97D9A" w:rsidRDefault="00EC150E" w:rsidP="00EC150E">
      <w:pPr>
        <w:spacing w:line="360" w:lineRule="auto"/>
        <w:ind w:left="720"/>
        <w:jc w:val="both"/>
        <w:rPr>
          <w:rtl/>
        </w:rPr>
      </w:pPr>
    </w:p>
    <w:p w:rsidR="00EC150E" w:rsidRPr="00C97D9A" w:rsidRDefault="00EC150E" w:rsidP="00EC150E">
      <w:pPr>
        <w:numPr>
          <w:ilvl w:val="0"/>
          <w:numId w:val="1"/>
        </w:numPr>
        <w:spacing w:after="160" w:line="360" w:lineRule="auto"/>
        <w:contextualSpacing/>
        <w:jc w:val="both"/>
        <w:rPr>
          <w:rtl/>
        </w:rPr>
      </w:pPr>
      <w:r w:rsidRPr="00C97D9A">
        <w:rPr>
          <w:rFonts w:ascii="Arial" w:hAnsi="Arial"/>
          <w:rtl/>
        </w:rPr>
        <w:t>צו של"צ בהיקף של 300 שעות</w:t>
      </w:r>
      <w:r>
        <w:rPr>
          <w:rFonts w:ascii="Arial" w:hAnsi="Arial" w:hint="cs"/>
          <w:rtl/>
        </w:rPr>
        <w:t xml:space="preserve"> וזאת בהתאם לתוכנית של"צ שתגובש עבור הנאשם באמצעות שירות המבחן</w:t>
      </w:r>
      <w:r w:rsidRPr="00C97D9A">
        <w:rPr>
          <w:rFonts w:ascii="Arial" w:hAnsi="Arial"/>
          <w:rtl/>
        </w:rPr>
        <w:t>.</w:t>
      </w:r>
    </w:p>
    <w:p w:rsidR="00EC150E" w:rsidRPr="00C97D9A" w:rsidRDefault="00EC150E" w:rsidP="00EC150E">
      <w:pPr>
        <w:spacing w:line="360" w:lineRule="auto"/>
        <w:ind w:left="720"/>
        <w:contextualSpacing/>
        <w:jc w:val="both"/>
      </w:pPr>
    </w:p>
    <w:p w:rsidR="00EC150E" w:rsidRPr="00861036" w:rsidRDefault="00EC150E" w:rsidP="00EC150E">
      <w:pPr>
        <w:numPr>
          <w:ilvl w:val="0"/>
          <w:numId w:val="1"/>
        </w:numPr>
        <w:spacing w:after="160" w:line="360" w:lineRule="auto"/>
        <w:contextualSpacing/>
        <w:jc w:val="both"/>
      </w:pPr>
      <w:r w:rsidRPr="00C97D9A">
        <w:rPr>
          <w:rFonts w:ascii="Arial" w:hAnsi="Arial"/>
          <w:rtl/>
        </w:rPr>
        <w:t>קנס בסך 5,000 ₪.</w:t>
      </w:r>
      <w:r>
        <w:rPr>
          <w:rFonts w:ascii="Arial" w:hAnsi="Arial" w:hint="cs"/>
          <w:rtl/>
        </w:rPr>
        <w:t xml:space="preserve"> </w:t>
      </w:r>
    </w:p>
    <w:p w:rsidR="00EC150E" w:rsidRDefault="00EC150E" w:rsidP="00EC150E">
      <w:pPr>
        <w:pStyle w:val="ListParagraph"/>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w:t>
      </w:r>
      <w:r>
        <w:rPr>
          <w:rFonts w:ascii="David" w:hAnsi="David" w:cs="David" w:hint="cs"/>
          <w:rtl/>
        </w:rPr>
        <w:t xml:space="preserve">הקנס ישולם ב </w:t>
      </w:r>
      <w:r>
        <w:rPr>
          <w:rFonts w:ascii="David" w:hAnsi="David" w:cs="David"/>
          <w:rtl/>
        </w:rPr>
        <w:t>–</w:t>
      </w:r>
      <w:r>
        <w:rPr>
          <w:rFonts w:ascii="David" w:hAnsi="David" w:cs="David" w:hint="cs"/>
          <w:rtl/>
        </w:rPr>
        <w:t xml:space="preserve"> 5 תשלומים </w:t>
      </w:r>
      <w:r>
        <w:rPr>
          <w:rFonts w:ascii="David" w:hAnsi="David" w:cs="David"/>
          <w:rtl/>
        </w:rPr>
        <w:t>החל</w:t>
      </w:r>
      <w:r>
        <w:rPr>
          <w:rFonts w:ascii="David" w:hAnsi="David" w:cs="David" w:hint="cs"/>
          <w:rtl/>
        </w:rPr>
        <w:t xml:space="preserve"> מיום 10/11/24 ובכל 10 לכל חודש עוקב שאחריו.  ניתן גם לשלם את הקנס </w:t>
      </w:r>
      <w:r>
        <w:rPr>
          <w:rFonts w:ascii="David" w:hAnsi="David" w:cs="David"/>
          <w:rtl/>
        </w:rPr>
        <w:t>באחת מהדרכים הבאות:</w:t>
      </w:r>
    </w:p>
    <w:p w:rsidR="00EC150E" w:rsidRDefault="00EC150E" w:rsidP="00EC150E">
      <w:pPr>
        <w:pStyle w:val="ListParagraph"/>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53" w:history="1">
        <w:r>
          <w:rPr>
            <w:rStyle w:val="Hyperlink"/>
            <w:rFonts w:ascii="Arial" w:hAnsi="Arial" w:cs="Arial"/>
          </w:rPr>
          <w:t>www.eca.gov.il</w:t>
        </w:r>
      </w:hyperlink>
      <w:r>
        <w:rPr>
          <w:rFonts w:ascii="Arial" w:hAnsi="Arial" w:cs="Arial"/>
        </w:rPr>
        <w:t xml:space="preserve"> </w:t>
      </w:r>
      <w:r w:rsidR="00D305AF">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rsidR="00EC150E" w:rsidRDefault="00EC150E" w:rsidP="00EC150E">
      <w:pPr>
        <w:pStyle w:val="ListParagraph"/>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D305AF">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rsidR="00EC150E" w:rsidRDefault="00EC150E" w:rsidP="00EC150E">
      <w:pPr>
        <w:pStyle w:val="ListParagraph"/>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rsidR="00EC150E" w:rsidRPr="00C97D9A" w:rsidRDefault="00EC150E" w:rsidP="00EC150E">
      <w:pPr>
        <w:spacing w:after="160" w:line="256" w:lineRule="auto"/>
        <w:ind w:left="720"/>
        <w:contextualSpacing/>
      </w:pPr>
    </w:p>
    <w:p w:rsidR="00EC150E" w:rsidRPr="00C97D9A" w:rsidRDefault="00EC150E" w:rsidP="00EC150E">
      <w:pPr>
        <w:numPr>
          <w:ilvl w:val="0"/>
          <w:numId w:val="1"/>
        </w:numPr>
        <w:spacing w:after="160" w:line="360" w:lineRule="auto"/>
        <w:contextualSpacing/>
        <w:jc w:val="both"/>
        <w:rPr>
          <w:rtl/>
        </w:rPr>
      </w:pPr>
      <w:r w:rsidRPr="00C97D9A">
        <w:rPr>
          <w:rFonts w:ascii="David" w:hAnsi="David"/>
          <w:rtl/>
        </w:rPr>
        <w:t>אני פוסל את הנאשם מלהחזיק או לקבל רישיון נהיגה לתקופה של 15 חודשים.</w:t>
      </w:r>
      <w:r>
        <w:rPr>
          <w:rFonts w:ascii="David" w:hAnsi="David" w:hint="cs"/>
          <w:rtl/>
        </w:rPr>
        <w:t xml:space="preserve"> הנאשם יפקיד את רישיון הנהיגה במזכירות בית המשפט עד ולא יאוחר מיום 15/10/24 ובהעדרו יופקד על ידו תצהיר, כך שהמזכירות תנפיק לנאשם אישור הפקדה מתאים. פסילה זו תרוצה במצטבר לכל פסילה אחרת ככל שקיימת, באחריות הנאשם להגיש בקשה מתאימה למשרד הרישוי לצורך ביצוע חישוב הפסילות. </w:t>
      </w:r>
    </w:p>
    <w:p w:rsidR="00EC150E" w:rsidRPr="00C97D9A" w:rsidRDefault="00EC150E" w:rsidP="00EC150E">
      <w:pPr>
        <w:spacing w:after="160" w:line="256" w:lineRule="auto"/>
        <w:ind w:left="720"/>
        <w:contextualSpacing/>
      </w:pPr>
    </w:p>
    <w:p w:rsidR="00EC150E" w:rsidRPr="00C97D9A" w:rsidRDefault="00EC150E" w:rsidP="00EC150E">
      <w:pPr>
        <w:numPr>
          <w:ilvl w:val="0"/>
          <w:numId w:val="1"/>
        </w:numPr>
        <w:spacing w:after="160" w:line="360" w:lineRule="auto"/>
        <w:contextualSpacing/>
        <w:jc w:val="both"/>
        <w:rPr>
          <w:rtl/>
        </w:rPr>
      </w:pPr>
      <w:r w:rsidRPr="00C97D9A">
        <w:rPr>
          <w:rtl/>
        </w:rPr>
        <w:t xml:space="preserve">אני פוסל את הנאשם מלקבל או מלהחזיק רישיון נהיגה לתקופה של 10 חודשים על תנאי למשך 3 שנים והתנאי הוא שהנאשם לא יעבור </w:t>
      </w:r>
      <w:r>
        <w:rPr>
          <w:rFonts w:hint="cs"/>
          <w:rtl/>
        </w:rPr>
        <w:t xml:space="preserve">בפרק זמן זה </w:t>
      </w:r>
      <w:r w:rsidRPr="00C97D9A">
        <w:rPr>
          <w:rtl/>
        </w:rPr>
        <w:t xml:space="preserve">על עבירה לפי </w:t>
      </w:r>
      <w:hyperlink r:id="rId54" w:history="1">
        <w:r w:rsidR="00D305AF" w:rsidRPr="00D305AF">
          <w:rPr>
            <w:color w:val="0000FF"/>
            <w:u w:val="single"/>
            <w:rtl/>
          </w:rPr>
          <w:t>פקודת הסמים המסוכנים</w:t>
        </w:r>
      </w:hyperlink>
      <w:r w:rsidRPr="00C97D9A">
        <w:rPr>
          <w:rtl/>
        </w:rPr>
        <w:t xml:space="preserve"> ויורשע בה או על עבירה של נהיגה בזמן פסילה.</w:t>
      </w:r>
    </w:p>
    <w:p w:rsidR="00EC150E" w:rsidRPr="00C97D9A" w:rsidRDefault="00EC150E" w:rsidP="00EC150E">
      <w:pPr>
        <w:spacing w:line="360" w:lineRule="auto"/>
        <w:ind w:left="720" w:hanging="720"/>
        <w:jc w:val="both"/>
        <w:rPr>
          <w:rtl/>
        </w:rPr>
      </w:pPr>
    </w:p>
    <w:p w:rsidR="00EC150E" w:rsidRPr="00C97D9A" w:rsidRDefault="00EC150E" w:rsidP="00EC150E">
      <w:pPr>
        <w:rPr>
          <w:b/>
          <w:bCs/>
        </w:rPr>
      </w:pPr>
      <w:r w:rsidRPr="00C97D9A">
        <w:rPr>
          <w:b/>
          <w:bCs/>
          <w:rtl/>
        </w:rPr>
        <w:t xml:space="preserve">ניתן בזאת צו להשמדת המוצגים - סמים. </w:t>
      </w:r>
    </w:p>
    <w:p w:rsidR="00EC150E" w:rsidRPr="00861036" w:rsidRDefault="00EC150E" w:rsidP="00EC150E">
      <w:pPr>
        <w:spacing w:line="360" w:lineRule="auto"/>
        <w:rPr>
          <w:rFonts w:ascii="David" w:hAnsi="David"/>
        </w:rPr>
      </w:pPr>
    </w:p>
    <w:p w:rsidR="00EC150E" w:rsidRPr="00C97D9A" w:rsidRDefault="00EC150E" w:rsidP="00EC150E">
      <w:pPr>
        <w:spacing w:line="360" w:lineRule="auto"/>
        <w:rPr>
          <w:rFonts w:ascii="David" w:hAnsi="David"/>
          <w:b/>
          <w:bCs/>
          <w:rtl/>
        </w:rPr>
      </w:pPr>
      <w:r w:rsidRPr="00C97D9A">
        <w:rPr>
          <w:rFonts w:ascii="David" w:hAnsi="David"/>
          <w:b/>
          <w:bCs/>
          <w:rtl/>
        </w:rPr>
        <w:t>המזכירות תשלח העתק מגזר הדין לשירות המבחן.</w:t>
      </w:r>
    </w:p>
    <w:p w:rsidR="00EC150E" w:rsidRPr="00C97D9A" w:rsidRDefault="00EC150E" w:rsidP="00EC150E">
      <w:pPr>
        <w:spacing w:line="360" w:lineRule="auto"/>
        <w:rPr>
          <w:rFonts w:ascii="David" w:hAnsi="David"/>
          <w:b/>
          <w:bCs/>
          <w:rtl/>
        </w:rPr>
      </w:pPr>
    </w:p>
    <w:p w:rsidR="00EC150E" w:rsidRPr="00C97D9A" w:rsidRDefault="00D305AF" w:rsidP="00EC150E">
      <w:pPr>
        <w:spacing w:line="360" w:lineRule="auto"/>
        <w:jc w:val="both"/>
      </w:pPr>
      <w:r w:rsidRPr="00D305AF">
        <w:rPr>
          <w:b/>
          <w:bCs/>
          <w:color w:val="FFFFFF"/>
          <w:sz w:val="2"/>
          <w:szCs w:val="2"/>
          <w:rtl/>
        </w:rPr>
        <w:t>5129371</w:t>
      </w:r>
      <w:r w:rsidR="00EC150E" w:rsidRPr="00C97D9A">
        <w:rPr>
          <w:b/>
          <w:bCs/>
          <w:rtl/>
        </w:rPr>
        <w:t xml:space="preserve">זכות ערעור לבית המשפט המחוזי בחיפה  תוך 45 ימים מהיום. </w:t>
      </w:r>
    </w:p>
    <w:p w:rsidR="00EC150E" w:rsidRPr="00D305AF" w:rsidRDefault="00D305AF" w:rsidP="00EC150E">
      <w:pPr>
        <w:rPr>
          <w:rFonts w:ascii="Arial" w:hAnsi="Arial"/>
          <w:b/>
          <w:bCs/>
          <w:color w:val="FFFFFF"/>
          <w:sz w:val="2"/>
          <w:szCs w:val="2"/>
          <w:rtl/>
        </w:rPr>
      </w:pPr>
      <w:r w:rsidRPr="00D305AF">
        <w:rPr>
          <w:rFonts w:ascii="Arial" w:hAnsi="Arial"/>
          <w:b/>
          <w:bCs/>
          <w:color w:val="FFFFFF"/>
          <w:sz w:val="2"/>
          <w:szCs w:val="2"/>
          <w:rtl/>
        </w:rPr>
        <w:t>54678313</w:t>
      </w:r>
    </w:p>
    <w:p w:rsidR="00EC150E" w:rsidRPr="000F2247" w:rsidRDefault="00EC150E" w:rsidP="00EC150E">
      <w:pPr>
        <w:rPr>
          <w:rFonts w:ascii="Arial" w:hAnsi="Arial"/>
          <w:b/>
          <w:bCs/>
          <w:sz w:val="26"/>
          <w:szCs w:val="26"/>
          <w:rtl/>
        </w:rPr>
      </w:pPr>
    </w:p>
    <w:p w:rsidR="00EC150E" w:rsidRPr="000F2247" w:rsidRDefault="00D305AF" w:rsidP="00EC150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במעמד הצדדים. </w:t>
      </w:r>
      <w:bookmarkEnd w:id="8"/>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b/>
          <w:bCs/>
          <w:sz w:val="26"/>
          <w:szCs w:val="26"/>
          <w:rtl/>
        </w:rPr>
        <w:tab/>
      </w:r>
      <w:r w:rsidR="00EC150E">
        <w:rPr>
          <w:rFonts w:ascii="Arial" w:hAnsi="Arial" w:hint="cs"/>
          <w:b/>
          <w:bCs/>
          <w:sz w:val="26"/>
          <w:szCs w:val="26"/>
          <w:rtl/>
        </w:rPr>
        <w:t xml:space="preserve">         </w:t>
      </w:r>
    </w:p>
    <w:p w:rsidR="00EC150E" w:rsidRPr="000F2247" w:rsidRDefault="00EC150E" w:rsidP="00D305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EC150E" w:rsidRPr="00E3540B" w:rsidRDefault="00E3540B" w:rsidP="00EC150E">
      <w:pPr>
        <w:jc w:val="center"/>
        <w:rPr>
          <w:rFonts w:ascii="Arial" w:hAnsi="Arial"/>
          <w:b/>
          <w:bCs/>
          <w:color w:val="FFFFFF"/>
          <w:sz w:val="2"/>
          <w:szCs w:val="2"/>
          <w:rtl/>
        </w:rPr>
      </w:pPr>
      <w:r w:rsidRPr="00E3540B">
        <w:rPr>
          <w:rFonts w:ascii="Arial" w:hAnsi="Arial"/>
          <w:b/>
          <w:bCs/>
          <w:color w:val="FFFFFF"/>
          <w:sz w:val="2"/>
          <w:szCs w:val="2"/>
          <w:rtl/>
        </w:rPr>
        <w:t>5129371</w:t>
      </w:r>
    </w:p>
    <w:p w:rsidR="00F36EA8" w:rsidRPr="00E3540B" w:rsidRDefault="00E3540B" w:rsidP="00D305AF">
      <w:pPr>
        <w:keepNext/>
        <w:rPr>
          <w:rFonts w:ascii="David" w:hAnsi="David"/>
          <w:color w:val="FFFFFF"/>
          <w:sz w:val="2"/>
          <w:szCs w:val="2"/>
          <w:rtl/>
        </w:rPr>
      </w:pPr>
      <w:r w:rsidRPr="00E3540B">
        <w:rPr>
          <w:rFonts w:ascii="David" w:hAnsi="David"/>
          <w:color w:val="FFFFFF"/>
          <w:sz w:val="2"/>
          <w:szCs w:val="2"/>
          <w:rtl/>
        </w:rPr>
        <w:t>54678313</w:t>
      </w:r>
    </w:p>
    <w:p w:rsidR="00D305AF" w:rsidRDefault="00D305AF" w:rsidP="00D305AF">
      <w:pPr>
        <w:rPr>
          <w:rtl/>
        </w:rPr>
      </w:pPr>
    </w:p>
    <w:p w:rsidR="00D305AF" w:rsidRDefault="00D305AF" w:rsidP="00D305AF">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rsidR="00E3540B" w:rsidRPr="00E3540B" w:rsidRDefault="00E3540B" w:rsidP="00E3540B">
      <w:pPr>
        <w:keepNext/>
        <w:rPr>
          <w:rFonts w:ascii="David" w:hAnsi="David"/>
          <w:color w:val="000000"/>
          <w:sz w:val="22"/>
          <w:szCs w:val="22"/>
          <w:rtl/>
        </w:rPr>
      </w:pPr>
    </w:p>
    <w:p w:rsidR="00E3540B" w:rsidRPr="00E3540B" w:rsidRDefault="00E3540B" w:rsidP="00E3540B">
      <w:pPr>
        <w:keepNext/>
        <w:rPr>
          <w:rFonts w:ascii="David" w:hAnsi="David"/>
          <w:color w:val="000000"/>
          <w:sz w:val="22"/>
          <w:szCs w:val="22"/>
          <w:rtl/>
        </w:rPr>
      </w:pPr>
      <w:r w:rsidRPr="00E3540B">
        <w:rPr>
          <w:rFonts w:ascii="David" w:hAnsi="David"/>
          <w:color w:val="000000"/>
          <w:sz w:val="22"/>
          <w:szCs w:val="22"/>
          <w:rtl/>
        </w:rPr>
        <w:t>אלכס אחטר 54678313-/</w:t>
      </w:r>
    </w:p>
    <w:p w:rsidR="00D305AF" w:rsidRPr="00D305AF" w:rsidRDefault="00E3540B" w:rsidP="00E3540B">
      <w:pPr>
        <w:rPr>
          <w:color w:val="0000FF"/>
          <w:u w:val="single"/>
        </w:rPr>
      </w:pPr>
      <w:r w:rsidRPr="00E3540B">
        <w:rPr>
          <w:color w:val="000000"/>
          <w:u w:val="single"/>
          <w:rtl/>
        </w:rPr>
        <w:t>נוסח מסמך זה כפוף לשינויי ניסוח ועריכה</w:t>
      </w:r>
    </w:p>
    <w:sectPr w:rsidR="00D305AF" w:rsidRPr="00D305AF" w:rsidSect="00E3540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5C25" w:rsidRDefault="00EF5C25" w:rsidP="00C86649">
      <w:r>
        <w:separator/>
      </w:r>
    </w:p>
  </w:endnote>
  <w:endnote w:type="continuationSeparator" w:id="0">
    <w:p w:rsidR="00EF5C25" w:rsidRDefault="00EF5C25" w:rsidP="00C8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540B" w:rsidRDefault="00E3540B" w:rsidP="00E3540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D6EF4" w:rsidRPr="00E3540B" w:rsidRDefault="00E3540B" w:rsidP="00E3540B">
    <w:pPr>
      <w:pStyle w:val="Footer"/>
      <w:pBdr>
        <w:top w:val="single" w:sz="4" w:space="1" w:color="auto"/>
        <w:between w:val="single" w:sz="4" w:space="0" w:color="auto"/>
      </w:pBdr>
      <w:spacing w:after="60"/>
      <w:jc w:val="center"/>
      <w:rPr>
        <w:rFonts w:ascii="FrankRuehl" w:hAnsi="FrankRuehl" w:cs="FrankRuehl"/>
        <w:color w:val="000000"/>
      </w:rPr>
    </w:pPr>
    <w:r w:rsidRPr="00E354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540B" w:rsidRDefault="00E3540B" w:rsidP="00E3540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6BCA">
      <w:rPr>
        <w:rFonts w:ascii="FrankRuehl" w:hAnsi="FrankRuehl" w:cs="FrankRuehl"/>
        <w:noProof/>
        <w:rtl/>
      </w:rPr>
      <w:t>1</w:t>
    </w:r>
    <w:r>
      <w:rPr>
        <w:rFonts w:ascii="FrankRuehl" w:hAnsi="FrankRuehl" w:cs="FrankRuehl"/>
        <w:rtl/>
      </w:rPr>
      <w:fldChar w:fldCharType="end"/>
    </w:r>
  </w:p>
  <w:p w:rsidR="009D6EF4" w:rsidRPr="00E3540B" w:rsidRDefault="00E3540B" w:rsidP="00E3540B">
    <w:pPr>
      <w:pStyle w:val="Footer"/>
      <w:pBdr>
        <w:top w:val="single" w:sz="4" w:space="1" w:color="auto"/>
        <w:between w:val="single" w:sz="4" w:space="0" w:color="auto"/>
      </w:pBdr>
      <w:spacing w:after="60"/>
      <w:jc w:val="center"/>
      <w:rPr>
        <w:rFonts w:ascii="FrankRuehl" w:hAnsi="FrankRuehl" w:cs="FrankRuehl"/>
        <w:color w:val="000000"/>
      </w:rPr>
    </w:pPr>
    <w:r w:rsidRPr="00E354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5C25" w:rsidRDefault="00EF5C25" w:rsidP="00C86649">
      <w:r>
        <w:separator/>
      </w:r>
    </w:p>
  </w:footnote>
  <w:footnote w:type="continuationSeparator" w:id="0">
    <w:p w:rsidR="00EF5C25" w:rsidRDefault="00EF5C25" w:rsidP="00C8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05AF" w:rsidRPr="00E3540B" w:rsidRDefault="00E3540B" w:rsidP="00E3540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16014-01-22</w:t>
    </w:r>
    <w:r>
      <w:rPr>
        <w:rFonts w:ascii="David" w:hAnsi="David"/>
        <w:color w:val="000000"/>
        <w:sz w:val="22"/>
        <w:szCs w:val="22"/>
        <w:rtl/>
      </w:rPr>
      <w:tab/>
      <w:t xml:space="preserve"> מדינת ישראל נ' מחמוד דעאיף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05AF" w:rsidRPr="00E3540B" w:rsidRDefault="00E3540B" w:rsidP="00E3540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16014-01-22</w:t>
    </w:r>
    <w:r>
      <w:rPr>
        <w:rFonts w:ascii="David" w:hAnsi="David"/>
        <w:color w:val="000000"/>
        <w:sz w:val="22"/>
        <w:szCs w:val="22"/>
        <w:rtl/>
      </w:rPr>
      <w:tab/>
      <w:t xml:space="preserve"> מדינת ישראל נ' מחמוד דעאיף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6A837A6B"/>
    <w:multiLevelType w:val="hybridMultilevel"/>
    <w:tmpl w:val="D3B6A86E"/>
    <w:lvl w:ilvl="0" w:tplc="1ADCE1AA">
      <w:start w:val="1"/>
      <w:numFmt w:val="decimal"/>
      <w:lvlText w:val="%1."/>
      <w:lvlJc w:val="left"/>
      <w:pPr>
        <w:ind w:left="720" w:hanging="360"/>
      </w:pPr>
      <w:rPr>
        <w:rFonts w:ascii="Arial" w:hAnsi="Aria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016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375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150E"/>
    <w:rsid w:val="001B5A3B"/>
    <w:rsid w:val="001B6BCA"/>
    <w:rsid w:val="004B1D3E"/>
    <w:rsid w:val="009D6EF4"/>
    <w:rsid w:val="00C86649"/>
    <w:rsid w:val="00D305AF"/>
    <w:rsid w:val="00E3540B"/>
    <w:rsid w:val="00EC150E"/>
    <w:rsid w:val="00EF5C25"/>
    <w:rsid w:val="00F36E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B9AF9F0-8323-4052-8C65-EE25E303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150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C150E"/>
    <w:pPr>
      <w:tabs>
        <w:tab w:val="center" w:pos="4153"/>
        <w:tab w:val="right" w:pos="8306"/>
      </w:tabs>
    </w:pPr>
  </w:style>
  <w:style w:type="character" w:customStyle="1" w:styleId="HeaderChar">
    <w:name w:val="Header Char"/>
    <w:link w:val="Header"/>
    <w:rsid w:val="00EC150E"/>
    <w:rPr>
      <w:rFonts w:ascii="Times New Roman" w:eastAsia="Times New Roman" w:hAnsi="Times New Roman" w:cs="David"/>
      <w:sz w:val="24"/>
      <w:szCs w:val="24"/>
    </w:rPr>
  </w:style>
  <w:style w:type="paragraph" w:styleId="Footer">
    <w:name w:val="footer"/>
    <w:basedOn w:val="Normal"/>
    <w:link w:val="FooterChar"/>
    <w:rsid w:val="00EC150E"/>
    <w:pPr>
      <w:tabs>
        <w:tab w:val="center" w:pos="4153"/>
        <w:tab w:val="right" w:pos="8306"/>
      </w:tabs>
    </w:pPr>
  </w:style>
  <w:style w:type="character" w:customStyle="1" w:styleId="FooterChar">
    <w:name w:val="Footer Char"/>
    <w:link w:val="Footer"/>
    <w:rsid w:val="00EC150E"/>
    <w:rPr>
      <w:rFonts w:ascii="Times New Roman" w:eastAsia="Times New Roman" w:hAnsi="Times New Roman" w:cs="David"/>
      <w:sz w:val="24"/>
      <w:szCs w:val="24"/>
    </w:rPr>
  </w:style>
  <w:style w:type="table" w:styleId="TableGrid">
    <w:name w:val="Table Grid"/>
    <w:basedOn w:val="TableNormal"/>
    <w:rsid w:val="00EC15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C150E"/>
  </w:style>
  <w:style w:type="paragraph" w:styleId="ListParagraph">
    <w:name w:val="List Paragraph"/>
    <w:basedOn w:val="Normal"/>
    <w:qFormat/>
    <w:rsid w:val="00EC150E"/>
    <w:pPr>
      <w:ind w:left="720"/>
      <w:contextualSpacing/>
    </w:pPr>
    <w:rPr>
      <w:rFonts w:cs="Times New Roman"/>
    </w:rPr>
  </w:style>
  <w:style w:type="character" w:styleId="Hyperlink">
    <w:name w:val="Hyperlink"/>
    <w:rsid w:val="00EC150E"/>
    <w:rPr>
      <w:color w:val="0563C1"/>
      <w:u w:val="single"/>
    </w:rPr>
  </w:style>
  <w:style w:type="character" w:styleId="LineNumber">
    <w:name w:val="line number"/>
    <w:rsid w:val="00EC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law/74501" TargetMode="External"/><Relationship Id="rId39" Type="http://schemas.openxmlformats.org/officeDocument/2006/relationships/hyperlink" Target="http://www.nevo.co.il/case/5763166"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40.e" TargetMode="External"/><Relationship Id="rId42" Type="http://schemas.openxmlformats.org/officeDocument/2006/relationships/hyperlink" Target="http://www.nevo.co.il/case/27210766" TargetMode="External"/><Relationship Id="rId47" Type="http://schemas.openxmlformats.org/officeDocument/2006/relationships/hyperlink" Target="http://www.nevo.co.il/case/23389942" TargetMode="External"/><Relationship Id="rId50" Type="http://schemas.openxmlformats.org/officeDocument/2006/relationships/hyperlink" Target="http://www.nevo.co.il/case/2166403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e" TargetMode="External"/><Relationship Id="rId29" Type="http://schemas.openxmlformats.org/officeDocument/2006/relationships/hyperlink" Target="http://www.nevo.co.il/law/70301" TargetMode="External"/><Relationship Id="rId11" Type="http://schemas.openxmlformats.org/officeDocument/2006/relationships/hyperlink" Target="http://www.nevo.co.il/law/5227/10.a" TargetMode="External"/><Relationship Id="rId24" Type="http://schemas.openxmlformats.org/officeDocument/2006/relationships/hyperlink" Target="http://www.nevo.co.il/law/5227"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23237993" TargetMode="External"/><Relationship Id="rId40" Type="http://schemas.openxmlformats.org/officeDocument/2006/relationships/hyperlink" Target="http://www.nevo.co.il/case/17932979" TargetMode="External"/><Relationship Id="rId45" Type="http://schemas.openxmlformats.org/officeDocument/2006/relationships/hyperlink" Target="http://www.nevo.co.il/case/10512873" TargetMode="External"/><Relationship Id="rId53" Type="http://schemas.openxmlformats.org/officeDocument/2006/relationships/hyperlink" Target="http://www.eca.gov.il"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40ja"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25097373" TargetMode="External"/><Relationship Id="rId43" Type="http://schemas.openxmlformats.org/officeDocument/2006/relationships/hyperlink" Target="http://www.nevo.co.il/case/28075551"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hyperlink" Target="http://www.nevo.co.il/case/6240909" TargetMode="Externa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74501/2a"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5078452" TargetMode="External"/><Relationship Id="rId59"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case/5698919"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5227/67" TargetMode="External"/><Relationship Id="rId28" Type="http://schemas.openxmlformats.org/officeDocument/2006/relationships/hyperlink" Target="http://www.nevo.co.il/case/23389942" TargetMode="External"/><Relationship Id="rId36" Type="http://schemas.openxmlformats.org/officeDocument/2006/relationships/hyperlink" Target="http://www.nevo.co.il/case/26246488" TargetMode="External"/><Relationship Id="rId49" Type="http://schemas.openxmlformats.org/officeDocument/2006/relationships/hyperlink" Target="http://www.nevo.co.il/case/20551320" TargetMode="External"/><Relationship Id="rId57" Type="http://schemas.openxmlformats.org/officeDocument/2006/relationships/header" Target="header2.xml"/><Relationship Id="rId10" Type="http://schemas.openxmlformats.org/officeDocument/2006/relationships/hyperlink" Target="http://www.nevo.co.il/law/5227"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828581" TargetMode="External"/><Relationship Id="rId52" Type="http://schemas.openxmlformats.org/officeDocument/2006/relationships/hyperlink" Target="http://www.nevo.co.il/case/2338994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19637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7864368</vt:i4>
      </vt:variant>
      <vt:variant>
        <vt:i4>138</vt:i4>
      </vt:variant>
      <vt:variant>
        <vt:i4>0</vt:i4>
      </vt:variant>
      <vt:variant>
        <vt:i4>5</vt:i4>
      </vt:variant>
      <vt:variant>
        <vt:lpwstr>http://www.eca.gov.il/</vt:lpwstr>
      </vt:variant>
      <vt:variant>
        <vt:lpwstr/>
      </vt:variant>
      <vt:variant>
        <vt:i4>3932278</vt:i4>
      </vt:variant>
      <vt:variant>
        <vt:i4>135</vt:i4>
      </vt:variant>
      <vt:variant>
        <vt:i4>0</vt:i4>
      </vt:variant>
      <vt:variant>
        <vt:i4>5</vt:i4>
      </vt:variant>
      <vt:variant>
        <vt:lpwstr>http://www.nevo.co.il/case/23389942</vt:lpwstr>
      </vt:variant>
      <vt:variant>
        <vt:lpwstr/>
      </vt:variant>
      <vt:variant>
        <vt:i4>3276918</vt:i4>
      </vt:variant>
      <vt:variant>
        <vt:i4>132</vt:i4>
      </vt:variant>
      <vt:variant>
        <vt:i4>0</vt:i4>
      </vt:variant>
      <vt:variant>
        <vt:i4>5</vt:i4>
      </vt:variant>
      <vt:variant>
        <vt:lpwstr>http://www.nevo.co.il/case/6240909</vt:lpwstr>
      </vt:variant>
      <vt:variant>
        <vt:lpwstr/>
      </vt:variant>
      <vt:variant>
        <vt:i4>3342451</vt:i4>
      </vt:variant>
      <vt:variant>
        <vt:i4>129</vt:i4>
      </vt:variant>
      <vt:variant>
        <vt:i4>0</vt:i4>
      </vt:variant>
      <vt:variant>
        <vt:i4>5</vt:i4>
      </vt:variant>
      <vt:variant>
        <vt:lpwstr>http://www.nevo.co.il/case/21664036</vt:lpwstr>
      </vt:variant>
      <vt:variant>
        <vt:lpwstr/>
      </vt:variant>
      <vt:variant>
        <vt:i4>3407986</vt:i4>
      </vt:variant>
      <vt:variant>
        <vt:i4>126</vt:i4>
      </vt:variant>
      <vt:variant>
        <vt:i4>0</vt:i4>
      </vt:variant>
      <vt:variant>
        <vt:i4>5</vt:i4>
      </vt:variant>
      <vt:variant>
        <vt:lpwstr>http://www.nevo.co.il/case/20551320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3932278</vt:i4>
      </vt:variant>
      <vt:variant>
        <vt:i4>120</vt:i4>
      </vt:variant>
      <vt:variant>
        <vt:i4>0</vt:i4>
      </vt:variant>
      <vt:variant>
        <vt:i4>5</vt:i4>
      </vt:variant>
      <vt:variant>
        <vt:lpwstr>http://www.nevo.co.il/case/23389942</vt:lpwstr>
      </vt:variant>
      <vt:variant>
        <vt:lpwstr/>
      </vt:variant>
      <vt:variant>
        <vt:i4>4128882</vt:i4>
      </vt:variant>
      <vt:variant>
        <vt:i4>117</vt:i4>
      </vt:variant>
      <vt:variant>
        <vt:i4>0</vt:i4>
      </vt:variant>
      <vt:variant>
        <vt:i4>5</vt:i4>
      </vt:variant>
      <vt:variant>
        <vt:lpwstr>http://www.nevo.co.il/case/25078452</vt:lpwstr>
      </vt:variant>
      <vt:variant>
        <vt:lpwstr/>
      </vt:variant>
      <vt:variant>
        <vt:i4>3211389</vt:i4>
      </vt:variant>
      <vt:variant>
        <vt:i4>114</vt:i4>
      </vt:variant>
      <vt:variant>
        <vt:i4>0</vt:i4>
      </vt:variant>
      <vt:variant>
        <vt:i4>5</vt:i4>
      </vt:variant>
      <vt:variant>
        <vt:lpwstr>http://www.nevo.co.il/case/10512873</vt:lpwstr>
      </vt:variant>
      <vt:variant>
        <vt:lpwstr/>
      </vt:variant>
      <vt:variant>
        <vt:i4>3801201</vt:i4>
      </vt:variant>
      <vt:variant>
        <vt:i4>111</vt:i4>
      </vt:variant>
      <vt:variant>
        <vt:i4>0</vt:i4>
      </vt:variant>
      <vt:variant>
        <vt:i4>5</vt:i4>
      </vt:variant>
      <vt:variant>
        <vt:lpwstr>http://www.nevo.co.il/case/22828581</vt:lpwstr>
      </vt:variant>
      <vt:variant>
        <vt:lpwstr/>
      </vt:variant>
      <vt:variant>
        <vt:i4>3276926</vt:i4>
      </vt:variant>
      <vt:variant>
        <vt:i4>108</vt:i4>
      </vt:variant>
      <vt:variant>
        <vt:i4>0</vt:i4>
      </vt:variant>
      <vt:variant>
        <vt:i4>5</vt:i4>
      </vt:variant>
      <vt:variant>
        <vt:lpwstr>http://www.nevo.co.il/case/28075551</vt:lpwstr>
      </vt:variant>
      <vt:variant>
        <vt:lpwstr/>
      </vt:variant>
      <vt:variant>
        <vt:i4>3539061</vt:i4>
      </vt:variant>
      <vt:variant>
        <vt:i4>105</vt:i4>
      </vt:variant>
      <vt:variant>
        <vt:i4>0</vt:i4>
      </vt:variant>
      <vt:variant>
        <vt:i4>5</vt:i4>
      </vt:variant>
      <vt:variant>
        <vt:lpwstr>http://www.nevo.co.il/case/27210766</vt:lpwstr>
      </vt:variant>
      <vt:variant>
        <vt:lpwstr/>
      </vt:variant>
      <vt:variant>
        <vt:i4>3932283</vt:i4>
      </vt:variant>
      <vt:variant>
        <vt:i4>102</vt:i4>
      </vt:variant>
      <vt:variant>
        <vt:i4>0</vt:i4>
      </vt:variant>
      <vt:variant>
        <vt:i4>5</vt:i4>
      </vt:variant>
      <vt:variant>
        <vt:lpwstr>http://www.nevo.co.il/case/5698919</vt:lpwstr>
      </vt:variant>
      <vt:variant>
        <vt:lpwstr/>
      </vt:variant>
      <vt:variant>
        <vt:i4>3997817</vt:i4>
      </vt:variant>
      <vt:variant>
        <vt:i4>99</vt:i4>
      </vt:variant>
      <vt:variant>
        <vt:i4>0</vt:i4>
      </vt:variant>
      <vt:variant>
        <vt:i4>5</vt:i4>
      </vt:variant>
      <vt:variant>
        <vt:lpwstr>http://www.nevo.co.il/case/17932979</vt:lpwstr>
      </vt:variant>
      <vt:variant>
        <vt:lpwstr/>
      </vt:variant>
      <vt:variant>
        <vt:i4>3407990</vt:i4>
      </vt:variant>
      <vt:variant>
        <vt:i4>96</vt:i4>
      </vt:variant>
      <vt:variant>
        <vt:i4>0</vt:i4>
      </vt:variant>
      <vt:variant>
        <vt:i4>5</vt:i4>
      </vt:variant>
      <vt:variant>
        <vt:lpwstr>http://www.nevo.co.il/case/5763166</vt:lpwstr>
      </vt:variant>
      <vt:variant>
        <vt:lpwstr/>
      </vt:variant>
      <vt:variant>
        <vt:i4>7995492</vt:i4>
      </vt:variant>
      <vt:variant>
        <vt:i4>93</vt:i4>
      </vt:variant>
      <vt:variant>
        <vt:i4>0</vt:i4>
      </vt:variant>
      <vt:variant>
        <vt:i4>5</vt:i4>
      </vt:variant>
      <vt:variant>
        <vt:lpwstr>http://www.nevo.co.il/law/70301</vt:lpwstr>
      </vt:variant>
      <vt:variant>
        <vt:lpwstr/>
      </vt:variant>
      <vt:variant>
        <vt:i4>4063357</vt:i4>
      </vt:variant>
      <vt:variant>
        <vt:i4>90</vt:i4>
      </vt:variant>
      <vt:variant>
        <vt:i4>0</vt:i4>
      </vt:variant>
      <vt:variant>
        <vt:i4>5</vt:i4>
      </vt:variant>
      <vt:variant>
        <vt:lpwstr>http://www.nevo.co.il/case/23237993</vt:lpwstr>
      </vt:variant>
      <vt:variant>
        <vt:lpwstr/>
      </vt:variant>
      <vt:variant>
        <vt:i4>4063346</vt:i4>
      </vt:variant>
      <vt:variant>
        <vt:i4>87</vt:i4>
      </vt:variant>
      <vt:variant>
        <vt:i4>0</vt:i4>
      </vt:variant>
      <vt:variant>
        <vt:i4>5</vt:i4>
      </vt:variant>
      <vt:variant>
        <vt:lpwstr>http://www.nevo.co.il/case/26246488</vt:lpwstr>
      </vt:variant>
      <vt:variant>
        <vt:lpwstr/>
      </vt:variant>
      <vt:variant>
        <vt:i4>3276923</vt:i4>
      </vt:variant>
      <vt:variant>
        <vt:i4>84</vt:i4>
      </vt:variant>
      <vt:variant>
        <vt:i4>0</vt:i4>
      </vt:variant>
      <vt:variant>
        <vt:i4>5</vt:i4>
      </vt:variant>
      <vt:variant>
        <vt:lpwstr>http://www.nevo.co.il/case/25097373</vt:lpwstr>
      </vt:variant>
      <vt:variant>
        <vt:lpwstr/>
      </vt:variant>
      <vt:variant>
        <vt:i4>79</vt:i4>
      </vt:variant>
      <vt:variant>
        <vt:i4>81</vt:i4>
      </vt:variant>
      <vt:variant>
        <vt:i4>0</vt:i4>
      </vt:variant>
      <vt:variant>
        <vt:i4>5</vt:i4>
      </vt:variant>
      <vt:variant>
        <vt:lpwstr>http://www.nevo.co.il/law/70301/40.e</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3932278</vt:i4>
      </vt:variant>
      <vt:variant>
        <vt:i4>63</vt:i4>
      </vt:variant>
      <vt:variant>
        <vt:i4>0</vt:i4>
      </vt:variant>
      <vt:variant>
        <vt:i4>5</vt:i4>
      </vt:variant>
      <vt:variant>
        <vt:lpwstr>http://www.nevo.co.il/case/23389942</vt:lpwstr>
      </vt:variant>
      <vt:variant>
        <vt:lpwstr/>
      </vt:variant>
      <vt:variant>
        <vt:i4>6291576</vt:i4>
      </vt:variant>
      <vt:variant>
        <vt:i4>60</vt:i4>
      </vt:variant>
      <vt:variant>
        <vt:i4>0</vt:i4>
      </vt:variant>
      <vt:variant>
        <vt:i4>5</vt:i4>
      </vt:variant>
      <vt:variant>
        <vt:lpwstr>http://www.nevo.co.il/law/5227/10.a</vt:lpwstr>
      </vt:variant>
      <vt:variant>
        <vt:lpwstr/>
      </vt:variant>
      <vt:variant>
        <vt:i4>8257634</vt:i4>
      </vt:variant>
      <vt:variant>
        <vt:i4>57</vt:i4>
      </vt:variant>
      <vt:variant>
        <vt:i4>0</vt:i4>
      </vt:variant>
      <vt:variant>
        <vt:i4>5</vt:i4>
      </vt:variant>
      <vt:variant>
        <vt:lpwstr>http://www.nevo.co.il/law/74501</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4784200</vt:i4>
      </vt:variant>
      <vt:variant>
        <vt:i4>48</vt:i4>
      </vt:variant>
      <vt:variant>
        <vt:i4>0</vt:i4>
      </vt:variant>
      <vt:variant>
        <vt:i4>5</vt:i4>
      </vt:variant>
      <vt:variant>
        <vt:lpwstr>http://www.nevo.co.il/law/5227/67</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79</vt:i4>
      </vt:variant>
      <vt:variant>
        <vt:i4>27</vt:i4>
      </vt:variant>
      <vt:variant>
        <vt:i4>0</vt:i4>
      </vt:variant>
      <vt:variant>
        <vt:i4>5</vt:i4>
      </vt:variant>
      <vt:variant>
        <vt:lpwstr>http://www.nevo.co.il/law/70301/40.e</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16014</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דעאיף</vt:lpwstr>
  </property>
  <property fmtid="{D5CDD505-2E9C-101B-9397-08002B2CF9AE}" pid="10" name="LAWYER">
    <vt:lpwstr>ממיט טללה;מוחמד מואסי </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20240909</vt:lpwstr>
  </property>
  <property fmtid="{D5CDD505-2E9C-101B-9397-08002B2CF9AE}" pid="14" name="TYPE_N_DATE">
    <vt:lpwstr>38020240909</vt:lpwstr>
  </property>
  <property fmtid="{D5CDD505-2E9C-101B-9397-08002B2CF9AE}" pid="15" name="CASESLISTTMP1">
    <vt:lpwstr>23389942:3;25097373;26246488;23237993;5763166;17932979;5698919;27210766;28075551;22828581;10512873;25078452;20551320;21664036;6240909</vt:lpwstr>
  </property>
  <property fmtid="{D5CDD505-2E9C-101B-9397-08002B2CF9AE}" pid="16" name="WORDNUMPAGES">
    <vt:lpwstr>10</vt:lpwstr>
  </property>
  <property fmtid="{D5CDD505-2E9C-101B-9397-08002B2CF9AE}" pid="17" name="TYPE_ABS_DATE">
    <vt:lpwstr>380020240909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5227/067;010.a</vt:lpwstr>
  </property>
  <property fmtid="{D5CDD505-2E9C-101B-9397-08002B2CF9AE}" pid="38" name="LAWLISTTMP3">
    <vt:lpwstr>74501/002a</vt:lpwstr>
  </property>
  <property fmtid="{D5CDD505-2E9C-101B-9397-08002B2CF9AE}" pid="39" name="LAWLISTTMP4">
    <vt:lpwstr>70301/040i;40ja;040d;040.e</vt:lpwstr>
  </property>
</Properties>
</file>