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2"/>
        <w:gridCol w:w="3679"/>
      </w:tblGrid>
      <w:tr w:rsidR="002377CF" w:rsidRPr="00820138" w14:paraId="6E7A521B" w14:textId="77777777">
        <w:trPr>
          <w:trHeight w:hRule="exact" w:val="948"/>
          <w:jc w:val="center"/>
        </w:trPr>
        <w:tc>
          <w:tcPr>
            <w:tcW w:w="8721" w:type="dxa"/>
            <w:gridSpan w:val="2"/>
          </w:tcPr>
          <w:p w14:paraId="1D0F45A8" w14:textId="77777777" w:rsidR="002377CF" w:rsidRPr="00820138" w:rsidRDefault="00820138">
            <w:pPr>
              <w:pStyle w:val="a3"/>
              <w:jc w:val="center"/>
              <w:rPr>
                <w:rtl/>
              </w:rPr>
            </w:pPr>
            <w:bookmarkStart w:id="0" w:name="LastJudge"/>
            <w:r w:rsidRPr="00820138">
              <w:rPr>
                <w:rFonts w:ascii="Tahoma" w:hAnsi="Tahoma" w:cs="Tahoma"/>
                <w:b/>
                <w:bCs/>
                <w:color w:val="000080"/>
                <w:rtl/>
              </w:rPr>
              <w:t>בית המשפט המחוזי בירושלים</w:t>
            </w:r>
          </w:p>
          <w:p w14:paraId="6DF001D7" w14:textId="77777777" w:rsidR="002377CF" w:rsidRPr="00820138" w:rsidRDefault="002377CF">
            <w:pPr>
              <w:pStyle w:val="a3"/>
              <w:jc w:val="center"/>
              <w:rPr>
                <w:sz w:val="12"/>
                <w:szCs w:val="12"/>
                <w:rtl/>
              </w:rPr>
            </w:pPr>
          </w:p>
          <w:p w14:paraId="2B837DB5" w14:textId="77777777" w:rsidR="002377CF" w:rsidRPr="00820138" w:rsidRDefault="00820138">
            <w:pPr>
              <w:pStyle w:val="a3"/>
              <w:spacing w:line="360" w:lineRule="auto"/>
              <w:jc w:val="center"/>
              <w:rPr>
                <w:rFonts w:ascii="Tahoma" w:hAnsi="Tahoma" w:cs="Tahoma"/>
                <w:color w:val="000080"/>
                <w:sz w:val="28"/>
                <w:szCs w:val="28"/>
                <w:rtl/>
              </w:rPr>
            </w:pPr>
            <w:r w:rsidRPr="00820138">
              <w:rPr>
                <w:rFonts w:ascii="Tahoma" w:hAnsi="Tahoma" w:cs="Tahoma" w:hint="cs"/>
                <w:b/>
                <w:bCs/>
                <w:color w:val="000080"/>
                <w:rtl/>
              </w:rPr>
              <w:t>לפני כבוד השופט רפי כרמל</w:t>
            </w:r>
          </w:p>
        </w:tc>
      </w:tr>
      <w:tr w:rsidR="002377CF" w:rsidRPr="00820138" w14:paraId="193DB366" w14:textId="77777777">
        <w:trPr>
          <w:trHeight w:val="337"/>
          <w:jc w:val="center"/>
        </w:trPr>
        <w:tc>
          <w:tcPr>
            <w:tcW w:w="5042" w:type="dxa"/>
          </w:tcPr>
          <w:p w14:paraId="65ACCF57" w14:textId="77777777" w:rsidR="002377CF" w:rsidRPr="00820138" w:rsidRDefault="00820138">
            <w:pPr>
              <w:rPr>
                <w:rFonts w:cs="FrankRuehl"/>
                <w:sz w:val="28"/>
                <w:szCs w:val="28"/>
                <w:rtl/>
              </w:rPr>
            </w:pPr>
            <w:r w:rsidRPr="00820138">
              <w:rPr>
                <w:rtl/>
              </w:rPr>
              <w:t xml:space="preserve">     </w:t>
            </w:r>
          </w:p>
          <w:p w14:paraId="319B2E6C" w14:textId="77777777" w:rsidR="002377CF" w:rsidRPr="00820138" w:rsidRDefault="002377CF"/>
        </w:tc>
        <w:tc>
          <w:tcPr>
            <w:tcW w:w="3679" w:type="dxa"/>
          </w:tcPr>
          <w:p w14:paraId="2950BBB4" w14:textId="77777777" w:rsidR="002377CF" w:rsidRPr="00820138" w:rsidRDefault="00820138">
            <w:pPr>
              <w:pStyle w:val="a3"/>
              <w:jc w:val="right"/>
              <w:rPr>
                <w:rFonts w:cs="FrankRuehl"/>
                <w:sz w:val="28"/>
                <w:szCs w:val="28"/>
                <w:rtl/>
              </w:rPr>
            </w:pPr>
            <w:r w:rsidRPr="00820138">
              <w:rPr>
                <w:b/>
                <w:bCs/>
                <w:sz w:val="28"/>
                <w:szCs w:val="28"/>
                <w:rtl/>
              </w:rPr>
              <w:t>ת"פ 43136-01-11</w:t>
            </w:r>
          </w:p>
        </w:tc>
      </w:tr>
    </w:tbl>
    <w:p w14:paraId="6F17FCB6" w14:textId="77777777" w:rsidR="002377CF" w:rsidRPr="00820138" w:rsidRDefault="00820138" w:rsidP="000C44E7">
      <w:pPr>
        <w:pStyle w:val="a3"/>
      </w:pPr>
      <w:r w:rsidRPr="00820138">
        <w:rPr>
          <w:rFonts w:hint="cs"/>
          <w:rtl/>
        </w:rPr>
        <w:t xml:space="preserve">    </w:t>
      </w:r>
    </w:p>
    <w:tbl>
      <w:tblPr>
        <w:bidiVisual/>
        <w:tblW w:w="8802" w:type="dxa"/>
        <w:tblInd w:w="-28" w:type="dxa"/>
        <w:tblLook w:val="01E0" w:firstRow="1" w:lastRow="1" w:firstColumn="1" w:lastColumn="1" w:noHBand="0" w:noVBand="0"/>
      </w:tblPr>
      <w:tblGrid>
        <w:gridCol w:w="2880"/>
        <w:gridCol w:w="5922"/>
      </w:tblGrid>
      <w:tr w:rsidR="002377CF" w:rsidRPr="00820138" w14:paraId="0474C40C" w14:textId="77777777">
        <w:tc>
          <w:tcPr>
            <w:tcW w:w="2880" w:type="dxa"/>
          </w:tcPr>
          <w:p w14:paraId="0646B5DA" w14:textId="77777777" w:rsidR="002377CF" w:rsidRPr="00820138" w:rsidRDefault="00820138">
            <w:pPr>
              <w:spacing w:line="480" w:lineRule="auto"/>
              <w:ind w:left="26"/>
              <w:rPr>
                <w:b/>
                <w:bCs/>
                <w:sz w:val="28"/>
                <w:szCs w:val="28"/>
              </w:rPr>
            </w:pPr>
            <w:bookmarkStart w:id="1" w:name="FirstAppellant"/>
            <w:r w:rsidRPr="00820138">
              <w:rPr>
                <w:rFonts w:hint="cs"/>
                <w:b/>
                <w:bCs/>
                <w:sz w:val="28"/>
                <w:szCs w:val="28"/>
                <w:rtl/>
              </w:rPr>
              <w:t>המאשימה</w:t>
            </w:r>
          </w:p>
        </w:tc>
        <w:tc>
          <w:tcPr>
            <w:tcW w:w="5922" w:type="dxa"/>
          </w:tcPr>
          <w:p w14:paraId="61BB16AE" w14:textId="77777777" w:rsidR="002377CF" w:rsidRPr="00820138" w:rsidRDefault="00820138">
            <w:pPr>
              <w:spacing w:line="480" w:lineRule="auto"/>
              <w:rPr>
                <w:b/>
                <w:bCs/>
                <w:sz w:val="28"/>
                <w:szCs w:val="28"/>
                <w:rtl/>
              </w:rPr>
            </w:pPr>
            <w:r w:rsidRPr="00820138">
              <w:rPr>
                <w:rFonts w:hint="cs"/>
                <w:b/>
                <w:bCs/>
                <w:sz w:val="28"/>
                <w:szCs w:val="28"/>
                <w:rtl/>
              </w:rPr>
              <w:t xml:space="preserve"> מדינת ישראל</w:t>
            </w:r>
          </w:p>
          <w:p w14:paraId="6161EAAC" w14:textId="77777777" w:rsidR="002377CF" w:rsidRPr="00820138" w:rsidRDefault="00820138">
            <w:pPr>
              <w:spacing w:line="480" w:lineRule="auto"/>
              <w:rPr>
                <w:b/>
                <w:bCs/>
                <w:sz w:val="28"/>
                <w:szCs w:val="28"/>
              </w:rPr>
            </w:pPr>
            <w:r w:rsidRPr="00820138">
              <w:rPr>
                <w:rFonts w:hint="cs"/>
                <w:b/>
                <w:bCs/>
                <w:sz w:val="28"/>
                <w:szCs w:val="28"/>
                <w:rtl/>
              </w:rPr>
              <w:t>באמצעות פרקליטות מחוז ירושלים</w:t>
            </w:r>
          </w:p>
        </w:tc>
      </w:tr>
      <w:bookmarkEnd w:id="1"/>
      <w:tr w:rsidR="002377CF" w:rsidRPr="00820138" w14:paraId="1376CD83" w14:textId="77777777">
        <w:tc>
          <w:tcPr>
            <w:tcW w:w="8802" w:type="dxa"/>
            <w:gridSpan w:val="2"/>
          </w:tcPr>
          <w:p w14:paraId="0E91A1A2" w14:textId="77777777" w:rsidR="002377CF" w:rsidRPr="00820138" w:rsidRDefault="002377CF">
            <w:pPr>
              <w:spacing w:line="480" w:lineRule="auto"/>
              <w:jc w:val="both"/>
              <w:rPr>
                <w:rFonts w:ascii="Arial" w:hAnsi="Arial"/>
                <w:b/>
                <w:bCs/>
                <w:sz w:val="28"/>
                <w:szCs w:val="28"/>
                <w:rtl/>
              </w:rPr>
            </w:pPr>
          </w:p>
          <w:p w14:paraId="03F269D8" w14:textId="77777777" w:rsidR="002377CF" w:rsidRPr="00820138" w:rsidRDefault="00820138">
            <w:pPr>
              <w:spacing w:line="480" w:lineRule="auto"/>
              <w:jc w:val="center"/>
              <w:rPr>
                <w:rFonts w:ascii="Arial" w:hAnsi="Arial"/>
                <w:b/>
                <w:bCs/>
                <w:sz w:val="28"/>
                <w:szCs w:val="28"/>
                <w:rtl/>
              </w:rPr>
            </w:pPr>
            <w:r w:rsidRPr="00820138">
              <w:rPr>
                <w:rFonts w:ascii="Arial" w:hAnsi="Arial" w:hint="cs"/>
                <w:b/>
                <w:bCs/>
                <w:sz w:val="28"/>
                <w:szCs w:val="28"/>
                <w:rtl/>
              </w:rPr>
              <w:t>נגד</w:t>
            </w:r>
          </w:p>
          <w:p w14:paraId="05D33A78" w14:textId="77777777" w:rsidR="002377CF" w:rsidRPr="00820138" w:rsidRDefault="002377CF">
            <w:pPr>
              <w:spacing w:line="480" w:lineRule="auto"/>
              <w:jc w:val="center"/>
              <w:rPr>
                <w:rFonts w:ascii="Arial" w:hAnsi="Arial"/>
                <w:b/>
                <w:bCs/>
                <w:sz w:val="28"/>
                <w:szCs w:val="28"/>
              </w:rPr>
            </w:pPr>
          </w:p>
        </w:tc>
      </w:tr>
      <w:tr w:rsidR="002377CF" w:rsidRPr="00820138" w14:paraId="7381D3A5" w14:textId="77777777">
        <w:tc>
          <w:tcPr>
            <w:tcW w:w="2880" w:type="dxa"/>
          </w:tcPr>
          <w:p w14:paraId="4FB6CBBE" w14:textId="77777777" w:rsidR="002377CF" w:rsidRPr="00820138" w:rsidRDefault="00820138">
            <w:pPr>
              <w:spacing w:line="480" w:lineRule="auto"/>
              <w:ind w:left="26"/>
              <w:rPr>
                <w:b/>
                <w:bCs/>
                <w:sz w:val="28"/>
                <w:szCs w:val="28"/>
              </w:rPr>
            </w:pPr>
            <w:bookmarkStart w:id="2" w:name="FirstLawyer"/>
            <w:r w:rsidRPr="00820138">
              <w:rPr>
                <w:rFonts w:hint="cs"/>
                <w:b/>
                <w:bCs/>
                <w:sz w:val="28"/>
                <w:szCs w:val="28"/>
                <w:rtl/>
              </w:rPr>
              <w:t>הנאשם</w:t>
            </w:r>
          </w:p>
        </w:tc>
        <w:tc>
          <w:tcPr>
            <w:tcW w:w="5922" w:type="dxa"/>
          </w:tcPr>
          <w:p w14:paraId="32B317DC" w14:textId="77777777" w:rsidR="002377CF" w:rsidRPr="00820138" w:rsidRDefault="00820138">
            <w:pPr>
              <w:spacing w:line="480" w:lineRule="auto"/>
              <w:rPr>
                <w:sz w:val="26"/>
                <w:szCs w:val="26"/>
                <w:rtl/>
              </w:rPr>
            </w:pPr>
            <w:r w:rsidRPr="00820138">
              <w:rPr>
                <w:rFonts w:hint="cs"/>
                <w:b/>
                <w:bCs/>
                <w:sz w:val="28"/>
                <w:szCs w:val="28"/>
                <w:rtl/>
              </w:rPr>
              <w:t xml:space="preserve">שי שטרית </w:t>
            </w:r>
          </w:p>
          <w:p w14:paraId="1BA7129D" w14:textId="77777777" w:rsidR="002377CF" w:rsidRPr="00820138" w:rsidRDefault="00820138">
            <w:pPr>
              <w:spacing w:line="480" w:lineRule="auto"/>
              <w:rPr>
                <w:sz w:val="26"/>
                <w:szCs w:val="26"/>
              </w:rPr>
            </w:pPr>
            <w:r w:rsidRPr="00820138">
              <w:rPr>
                <w:rFonts w:hint="cs"/>
                <w:b/>
                <w:bCs/>
                <w:sz w:val="28"/>
                <w:szCs w:val="28"/>
                <w:rtl/>
              </w:rPr>
              <w:t>ע"י ב"כ עו"ד ראובן בר חיים</w:t>
            </w:r>
          </w:p>
        </w:tc>
      </w:tr>
    </w:tbl>
    <w:p w14:paraId="56A14D23" w14:textId="77777777" w:rsidR="00D85785" w:rsidRDefault="00D85785">
      <w:pPr>
        <w:spacing w:line="480" w:lineRule="auto"/>
        <w:jc w:val="both"/>
        <w:rPr>
          <w:sz w:val="26"/>
          <w:szCs w:val="26"/>
          <w:rtl/>
        </w:rPr>
      </w:pPr>
      <w:bookmarkStart w:id="3" w:name="LawTable"/>
      <w:bookmarkEnd w:id="2"/>
      <w:bookmarkEnd w:id="3"/>
    </w:p>
    <w:p w14:paraId="05191CA6" w14:textId="77777777" w:rsidR="00D85785" w:rsidRPr="00D85785" w:rsidRDefault="00D85785" w:rsidP="00D85785">
      <w:pPr>
        <w:spacing w:after="120" w:line="240" w:lineRule="exact"/>
        <w:ind w:left="283" w:hanging="283"/>
        <w:jc w:val="both"/>
        <w:rPr>
          <w:rFonts w:ascii="FrankRuehl" w:hAnsi="FrankRuehl" w:cs="FrankRuehl"/>
          <w:rtl/>
        </w:rPr>
      </w:pPr>
    </w:p>
    <w:p w14:paraId="2F6CB31E" w14:textId="77777777" w:rsidR="00D85785" w:rsidRPr="00D85785" w:rsidRDefault="00D85785" w:rsidP="00D85785">
      <w:pPr>
        <w:spacing w:after="120" w:line="240" w:lineRule="exact"/>
        <w:ind w:left="283" w:hanging="283"/>
        <w:jc w:val="both"/>
        <w:rPr>
          <w:rFonts w:ascii="FrankRuehl" w:hAnsi="FrankRuehl" w:cs="FrankRuehl"/>
          <w:rtl/>
        </w:rPr>
      </w:pPr>
      <w:r w:rsidRPr="00D85785">
        <w:rPr>
          <w:rFonts w:ascii="FrankRuehl" w:hAnsi="FrankRuehl" w:cs="FrankRuehl"/>
          <w:rtl/>
        </w:rPr>
        <w:t xml:space="preserve">חקיקה שאוזכרה: </w:t>
      </w:r>
    </w:p>
    <w:p w14:paraId="7820632E" w14:textId="77777777" w:rsidR="00D85785" w:rsidRPr="00D85785" w:rsidRDefault="00D85785" w:rsidP="00D85785">
      <w:pPr>
        <w:spacing w:after="120" w:line="240" w:lineRule="exact"/>
        <w:ind w:left="283" w:hanging="283"/>
        <w:jc w:val="both"/>
        <w:rPr>
          <w:rFonts w:ascii="FrankRuehl" w:hAnsi="FrankRuehl" w:cs="FrankRuehl"/>
          <w:color w:val="0000FF"/>
          <w:u w:val="single"/>
          <w:rtl/>
        </w:rPr>
      </w:pPr>
      <w:hyperlink r:id="rId6" w:history="1">
        <w:r w:rsidRPr="00D85785">
          <w:rPr>
            <w:rStyle w:val="Hyperlink"/>
            <w:rFonts w:ascii="FrankRuehl" w:hAnsi="FrankRuehl" w:cs="FrankRuehl"/>
            <w:rtl/>
          </w:rPr>
          <w:t>חוק העונשין, תשל"ז-1977</w:t>
        </w:r>
      </w:hyperlink>
      <w:r w:rsidRPr="00D85785">
        <w:rPr>
          <w:rFonts w:ascii="FrankRuehl" w:hAnsi="FrankRuehl" w:cs="FrankRuehl"/>
          <w:color w:val="0000FF"/>
          <w:u w:val="single"/>
          <w:rtl/>
        </w:rPr>
        <w:t xml:space="preserve">: סע'  </w:t>
      </w:r>
      <w:hyperlink r:id="rId7" w:history="1">
        <w:r w:rsidRPr="00D85785">
          <w:rPr>
            <w:rStyle w:val="Hyperlink"/>
            <w:rFonts w:ascii="FrankRuehl" w:hAnsi="FrankRuehl" w:cs="FrankRuehl"/>
          </w:rPr>
          <w:t>40</w:t>
        </w:r>
        <w:r w:rsidRPr="00D85785">
          <w:rPr>
            <w:rStyle w:val="Hyperlink"/>
            <w:rFonts w:ascii="FrankRuehl" w:hAnsi="FrankRuehl" w:cs="FrankRuehl"/>
            <w:rtl/>
          </w:rPr>
          <w:t>ב</w:t>
        </w:r>
      </w:hyperlink>
      <w:r w:rsidRPr="00D85785">
        <w:rPr>
          <w:rFonts w:ascii="FrankRuehl" w:hAnsi="FrankRuehl" w:cs="FrankRuehl"/>
          <w:color w:val="0000FF"/>
          <w:u w:val="single"/>
          <w:rtl/>
        </w:rPr>
        <w:t xml:space="preserve">, </w:t>
      </w:r>
      <w:hyperlink r:id="rId8" w:history="1">
        <w:r w:rsidRPr="00D85785">
          <w:rPr>
            <w:rStyle w:val="Hyperlink"/>
            <w:rFonts w:ascii="FrankRuehl" w:hAnsi="FrankRuehl" w:cs="FrankRuehl"/>
          </w:rPr>
          <w:t>40</w:t>
        </w:r>
        <w:r w:rsidRPr="00D85785">
          <w:rPr>
            <w:rStyle w:val="Hyperlink"/>
            <w:rFonts w:ascii="FrankRuehl" w:hAnsi="FrankRuehl" w:cs="FrankRuehl"/>
            <w:rtl/>
          </w:rPr>
          <w:t>ג(א)</w:t>
        </w:r>
      </w:hyperlink>
      <w:r w:rsidRPr="00D85785">
        <w:rPr>
          <w:rFonts w:ascii="FrankRuehl" w:hAnsi="FrankRuehl" w:cs="FrankRuehl"/>
          <w:color w:val="0000FF"/>
          <w:u w:val="single"/>
          <w:rtl/>
        </w:rPr>
        <w:t xml:space="preserve">, </w:t>
      </w:r>
      <w:hyperlink r:id="rId9" w:history="1">
        <w:r w:rsidRPr="00D85785">
          <w:rPr>
            <w:rStyle w:val="Hyperlink"/>
            <w:rFonts w:ascii="FrankRuehl" w:hAnsi="FrankRuehl" w:cs="FrankRuehl"/>
          </w:rPr>
          <w:t>40</w:t>
        </w:r>
        <w:r w:rsidRPr="00D85785">
          <w:rPr>
            <w:rStyle w:val="Hyperlink"/>
            <w:rFonts w:ascii="FrankRuehl" w:hAnsi="FrankRuehl" w:cs="FrankRuehl"/>
            <w:rtl/>
          </w:rPr>
          <w:t>ד</w:t>
        </w:r>
      </w:hyperlink>
      <w:r w:rsidRPr="00D85785">
        <w:rPr>
          <w:rFonts w:ascii="FrankRuehl" w:hAnsi="FrankRuehl" w:cs="FrankRuehl"/>
          <w:color w:val="0000FF"/>
          <w:u w:val="single"/>
          <w:rtl/>
        </w:rPr>
        <w:t xml:space="preserve">, </w:t>
      </w:r>
      <w:hyperlink r:id="rId10" w:history="1">
        <w:r w:rsidRPr="00D85785">
          <w:rPr>
            <w:rStyle w:val="Hyperlink"/>
            <w:rFonts w:ascii="FrankRuehl" w:hAnsi="FrankRuehl" w:cs="FrankRuehl"/>
          </w:rPr>
          <w:t>40</w:t>
        </w:r>
        <w:r w:rsidRPr="00D85785">
          <w:rPr>
            <w:rStyle w:val="Hyperlink"/>
            <w:rFonts w:ascii="FrankRuehl" w:hAnsi="FrankRuehl" w:cs="FrankRuehl"/>
            <w:rtl/>
          </w:rPr>
          <w:t>ה</w:t>
        </w:r>
      </w:hyperlink>
      <w:r w:rsidRPr="00D85785">
        <w:rPr>
          <w:rFonts w:ascii="FrankRuehl" w:hAnsi="FrankRuehl" w:cs="FrankRuehl"/>
          <w:color w:val="0000FF"/>
          <w:u w:val="single"/>
          <w:rtl/>
        </w:rPr>
        <w:t xml:space="preserve">, </w:t>
      </w:r>
      <w:hyperlink r:id="rId11" w:history="1">
        <w:r w:rsidRPr="00D85785">
          <w:rPr>
            <w:rStyle w:val="Hyperlink"/>
            <w:rFonts w:ascii="FrankRuehl" w:hAnsi="FrankRuehl" w:cs="FrankRuehl"/>
          </w:rPr>
          <w:t>40</w:t>
        </w:r>
        <w:r w:rsidRPr="00D85785">
          <w:rPr>
            <w:rStyle w:val="Hyperlink"/>
            <w:rFonts w:ascii="FrankRuehl" w:hAnsi="FrankRuehl" w:cs="FrankRuehl"/>
            <w:rtl/>
          </w:rPr>
          <w:t>ו</w:t>
        </w:r>
      </w:hyperlink>
      <w:r w:rsidRPr="00D85785">
        <w:rPr>
          <w:rFonts w:ascii="FrankRuehl" w:hAnsi="FrankRuehl" w:cs="FrankRuehl"/>
          <w:color w:val="0000FF"/>
          <w:u w:val="single"/>
          <w:rtl/>
        </w:rPr>
        <w:t xml:space="preserve">, </w:t>
      </w:r>
      <w:hyperlink r:id="rId12" w:history="1">
        <w:r w:rsidRPr="00D85785">
          <w:rPr>
            <w:rStyle w:val="Hyperlink"/>
            <w:rFonts w:ascii="FrankRuehl" w:hAnsi="FrankRuehl" w:cs="FrankRuehl"/>
          </w:rPr>
          <w:t>40</w:t>
        </w:r>
        <w:r w:rsidRPr="00D85785">
          <w:rPr>
            <w:rStyle w:val="Hyperlink"/>
            <w:rFonts w:ascii="FrankRuehl" w:hAnsi="FrankRuehl" w:cs="FrankRuehl"/>
            <w:rtl/>
          </w:rPr>
          <w:t>ז</w:t>
        </w:r>
      </w:hyperlink>
      <w:r w:rsidRPr="00D85785">
        <w:rPr>
          <w:rFonts w:ascii="FrankRuehl" w:hAnsi="FrankRuehl" w:cs="FrankRuehl"/>
          <w:color w:val="0000FF"/>
          <w:u w:val="single"/>
          <w:rtl/>
        </w:rPr>
        <w:t xml:space="preserve">, </w:t>
      </w:r>
      <w:hyperlink r:id="rId13" w:history="1">
        <w:r w:rsidRPr="00D85785">
          <w:rPr>
            <w:rStyle w:val="Hyperlink"/>
            <w:rFonts w:ascii="FrankRuehl" w:hAnsi="FrankRuehl" w:cs="FrankRuehl"/>
          </w:rPr>
          <w:t>40</w:t>
        </w:r>
        <w:r w:rsidRPr="00D85785">
          <w:rPr>
            <w:rStyle w:val="Hyperlink"/>
            <w:rFonts w:ascii="FrankRuehl" w:hAnsi="FrankRuehl" w:cs="FrankRuehl"/>
            <w:rtl/>
          </w:rPr>
          <w:t>ט</w:t>
        </w:r>
      </w:hyperlink>
      <w:r w:rsidRPr="00D85785">
        <w:rPr>
          <w:rFonts w:ascii="FrankRuehl" w:hAnsi="FrankRuehl" w:cs="FrankRuehl"/>
          <w:color w:val="0000FF"/>
          <w:u w:val="single"/>
          <w:rtl/>
        </w:rPr>
        <w:t xml:space="preserve">, </w:t>
      </w:r>
      <w:hyperlink r:id="rId14" w:history="1">
        <w:r w:rsidRPr="00D85785">
          <w:rPr>
            <w:rStyle w:val="Hyperlink"/>
            <w:rFonts w:ascii="FrankRuehl" w:hAnsi="FrankRuehl" w:cs="FrankRuehl"/>
          </w:rPr>
          <w:t>40</w:t>
        </w:r>
        <w:r w:rsidRPr="00D85785">
          <w:rPr>
            <w:rStyle w:val="Hyperlink"/>
            <w:rFonts w:ascii="FrankRuehl" w:hAnsi="FrankRuehl" w:cs="FrankRuehl"/>
            <w:rtl/>
          </w:rPr>
          <w:t>י</w:t>
        </w:r>
      </w:hyperlink>
      <w:r w:rsidRPr="00D85785">
        <w:rPr>
          <w:rFonts w:ascii="FrankRuehl" w:hAnsi="FrankRuehl" w:cs="FrankRuehl"/>
          <w:color w:val="0000FF"/>
          <w:u w:val="single"/>
          <w:rtl/>
        </w:rPr>
        <w:t xml:space="preserve">, </w:t>
      </w:r>
      <w:hyperlink r:id="rId15" w:history="1">
        <w:r w:rsidRPr="00D85785">
          <w:rPr>
            <w:rStyle w:val="Hyperlink"/>
            <w:rFonts w:ascii="FrankRuehl" w:hAnsi="FrankRuehl" w:cs="FrankRuehl"/>
          </w:rPr>
          <w:t>40</w:t>
        </w:r>
        <w:r w:rsidRPr="00D85785">
          <w:rPr>
            <w:rStyle w:val="Hyperlink"/>
            <w:rFonts w:ascii="FrankRuehl" w:hAnsi="FrankRuehl" w:cs="FrankRuehl"/>
            <w:rtl/>
          </w:rPr>
          <w:t>יא</w:t>
        </w:r>
      </w:hyperlink>
      <w:r w:rsidRPr="00D85785">
        <w:rPr>
          <w:rFonts w:ascii="FrankRuehl" w:hAnsi="FrankRuehl" w:cs="FrankRuehl"/>
          <w:color w:val="0000FF"/>
          <w:u w:val="single"/>
          <w:rtl/>
        </w:rPr>
        <w:t xml:space="preserve">, </w:t>
      </w:r>
      <w:hyperlink r:id="rId16" w:history="1">
        <w:r w:rsidRPr="00D85785">
          <w:rPr>
            <w:rStyle w:val="Hyperlink"/>
            <w:rFonts w:ascii="FrankRuehl" w:hAnsi="FrankRuehl" w:cs="FrankRuehl"/>
          </w:rPr>
          <w:t>40</w:t>
        </w:r>
        <w:r w:rsidRPr="00D85785">
          <w:rPr>
            <w:rStyle w:val="Hyperlink"/>
            <w:rFonts w:ascii="FrankRuehl" w:hAnsi="FrankRuehl" w:cs="FrankRuehl"/>
            <w:rtl/>
          </w:rPr>
          <w:t>יב</w:t>
        </w:r>
      </w:hyperlink>
      <w:r w:rsidRPr="00D85785">
        <w:rPr>
          <w:rFonts w:ascii="FrankRuehl" w:hAnsi="FrankRuehl" w:cs="FrankRuehl"/>
          <w:color w:val="0000FF"/>
          <w:u w:val="single"/>
          <w:rtl/>
        </w:rPr>
        <w:t xml:space="preserve">, </w:t>
      </w:r>
      <w:hyperlink r:id="rId17" w:history="1">
        <w:r w:rsidRPr="00D85785">
          <w:rPr>
            <w:rStyle w:val="Hyperlink"/>
            <w:rFonts w:ascii="FrankRuehl" w:hAnsi="FrankRuehl" w:cs="FrankRuehl"/>
          </w:rPr>
          <w:t>40</w:t>
        </w:r>
        <w:r w:rsidRPr="00D85785">
          <w:rPr>
            <w:rStyle w:val="Hyperlink"/>
            <w:rFonts w:ascii="FrankRuehl" w:hAnsi="FrankRuehl" w:cs="FrankRuehl"/>
            <w:rtl/>
          </w:rPr>
          <w:t>יג</w:t>
        </w:r>
      </w:hyperlink>
      <w:r w:rsidRPr="00D85785">
        <w:rPr>
          <w:rFonts w:ascii="FrankRuehl" w:hAnsi="FrankRuehl" w:cs="FrankRuehl"/>
          <w:color w:val="0000FF"/>
          <w:u w:val="single"/>
          <w:rtl/>
        </w:rPr>
        <w:t xml:space="preserve">, </w:t>
      </w:r>
      <w:hyperlink r:id="rId18" w:history="1">
        <w:r w:rsidRPr="00D85785">
          <w:rPr>
            <w:rStyle w:val="Hyperlink"/>
            <w:rFonts w:ascii="FrankRuehl" w:hAnsi="FrankRuehl" w:cs="FrankRuehl"/>
          </w:rPr>
          <w:t>40</w:t>
        </w:r>
        <w:r w:rsidRPr="00D85785">
          <w:rPr>
            <w:rStyle w:val="Hyperlink"/>
            <w:rFonts w:ascii="FrankRuehl" w:hAnsi="FrankRuehl" w:cs="FrankRuehl"/>
            <w:rtl/>
          </w:rPr>
          <w:t>יד</w:t>
        </w:r>
      </w:hyperlink>
      <w:r w:rsidRPr="00D85785">
        <w:rPr>
          <w:rFonts w:ascii="FrankRuehl" w:hAnsi="FrankRuehl" w:cs="FrankRuehl"/>
          <w:color w:val="0000FF"/>
          <w:u w:val="single"/>
          <w:rtl/>
        </w:rPr>
        <w:t xml:space="preserve">, </w:t>
      </w:r>
      <w:hyperlink r:id="rId19" w:history="1">
        <w:r w:rsidRPr="00D85785">
          <w:rPr>
            <w:rStyle w:val="Hyperlink"/>
            <w:rFonts w:ascii="FrankRuehl" w:hAnsi="FrankRuehl" w:cs="FrankRuehl"/>
          </w:rPr>
          <w:t>448(</w:t>
        </w:r>
        <w:r w:rsidRPr="00D85785">
          <w:rPr>
            <w:rStyle w:val="Hyperlink"/>
            <w:rFonts w:ascii="FrankRuehl" w:hAnsi="FrankRuehl" w:cs="FrankRuehl"/>
            <w:rtl/>
          </w:rPr>
          <w:t>א</w:t>
        </w:r>
        <w:r w:rsidRPr="00D85785">
          <w:rPr>
            <w:rStyle w:val="Hyperlink"/>
            <w:rFonts w:ascii="FrankRuehl" w:hAnsi="FrankRuehl" w:cs="FrankRuehl"/>
          </w:rPr>
          <w:t>)</w:t>
        </w:r>
      </w:hyperlink>
      <w:r w:rsidRPr="00D85785">
        <w:rPr>
          <w:rFonts w:ascii="FrankRuehl" w:hAnsi="FrankRuehl" w:cs="FrankRuehl"/>
          <w:color w:val="0000FF"/>
          <w:u w:val="single"/>
          <w:rtl/>
        </w:rPr>
        <w:t xml:space="preserve">, </w:t>
      </w:r>
      <w:hyperlink r:id="rId20" w:history="1">
        <w:r w:rsidRPr="00D85785">
          <w:rPr>
            <w:rStyle w:val="Hyperlink"/>
            <w:rFonts w:ascii="FrankRuehl" w:hAnsi="FrankRuehl" w:cs="FrankRuehl"/>
          </w:rPr>
          <w:t>499(</w:t>
        </w:r>
        <w:r w:rsidRPr="00D85785">
          <w:rPr>
            <w:rStyle w:val="Hyperlink"/>
            <w:rFonts w:ascii="FrankRuehl" w:hAnsi="FrankRuehl" w:cs="FrankRuehl"/>
            <w:rtl/>
          </w:rPr>
          <w:t>א)</w:t>
        </w:r>
        <w:r w:rsidRPr="00D85785">
          <w:rPr>
            <w:rStyle w:val="Hyperlink"/>
            <w:rFonts w:ascii="FrankRuehl" w:hAnsi="FrankRuehl" w:cs="FrankRuehl"/>
          </w:rPr>
          <w:t>(1)</w:t>
        </w:r>
      </w:hyperlink>
    </w:p>
    <w:p w14:paraId="0D89E163" w14:textId="77777777" w:rsidR="00D85785" w:rsidRPr="00D85785" w:rsidRDefault="00D85785" w:rsidP="00D85785">
      <w:pPr>
        <w:spacing w:after="120" w:line="240" w:lineRule="exact"/>
        <w:ind w:left="283" w:hanging="283"/>
        <w:jc w:val="both"/>
        <w:rPr>
          <w:rFonts w:ascii="FrankRuehl" w:hAnsi="FrankRuehl" w:cs="FrankRuehl"/>
          <w:color w:val="0000FF"/>
          <w:u w:val="single"/>
          <w:rtl/>
        </w:rPr>
      </w:pPr>
      <w:hyperlink r:id="rId21" w:history="1">
        <w:r w:rsidRPr="00D85785">
          <w:rPr>
            <w:rStyle w:val="Hyperlink"/>
            <w:rFonts w:ascii="FrankRuehl" w:hAnsi="FrankRuehl" w:cs="FrankRuehl"/>
            <w:rtl/>
          </w:rPr>
          <w:t>פקודת הסמים המסוכנים [נוסח חדש], תשל"ג-1973</w:t>
        </w:r>
      </w:hyperlink>
      <w:r w:rsidRPr="00D85785">
        <w:rPr>
          <w:rFonts w:ascii="FrankRuehl" w:hAnsi="FrankRuehl" w:cs="FrankRuehl"/>
          <w:color w:val="0000FF"/>
          <w:u w:val="single"/>
          <w:rtl/>
        </w:rPr>
        <w:t xml:space="preserve">: סע'  </w:t>
      </w:r>
      <w:hyperlink r:id="rId22" w:history="1">
        <w:r w:rsidRPr="00D85785">
          <w:rPr>
            <w:rStyle w:val="Hyperlink"/>
            <w:rFonts w:ascii="FrankRuehl" w:hAnsi="FrankRuehl" w:cs="FrankRuehl"/>
          </w:rPr>
          <w:t>7(</w:t>
        </w:r>
        <w:r w:rsidRPr="00D85785">
          <w:rPr>
            <w:rStyle w:val="Hyperlink"/>
            <w:rFonts w:ascii="FrankRuehl" w:hAnsi="FrankRuehl" w:cs="FrankRuehl"/>
            <w:rtl/>
          </w:rPr>
          <w:t>א</w:t>
        </w:r>
        <w:r w:rsidRPr="00D85785">
          <w:rPr>
            <w:rStyle w:val="Hyperlink"/>
            <w:rFonts w:ascii="FrankRuehl" w:hAnsi="FrankRuehl" w:cs="FrankRuehl"/>
          </w:rPr>
          <w:t>)</w:t>
        </w:r>
      </w:hyperlink>
    </w:p>
    <w:p w14:paraId="7D98483C" w14:textId="77777777" w:rsidR="00D85785" w:rsidRPr="00D85785" w:rsidRDefault="00D85785" w:rsidP="00D85785">
      <w:pPr>
        <w:spacing w:after="120" w:line="240" w:lineRule="exact"/>
        <w:ind w:left="283" w:hanging="283"/>
        <w:jc w:val="both"/>
        <w:rPr>
          <w:rFonts w:ascii="FrankRuehl" w:hAnsi="FrankRuehl" w:cs="FrankRuehl"/>
          <w:rtl/>
        </w:rPr>
      </w:pPr>
    </w:p>
    <w:p w14:paraId="56182B9E" w14:textId="77777777" w:rsidR="00D85785" w:rsidRPr="00D85785" w:rsidRDefault="00D85785">
      <w:pPr>
        <w:spacing w:line="480" w:lineRule="auto"/>
        <w:jc w:val="both"/>
        <w:rPr>
          <w:sz w:val="26"/>
          <w:szCs w:val="26"/>
          <w:rtl/>
        </w:rPr>
      </w:pPr>
      <w:bookmarkStart w:id="4" w:name="LawTable_End"/>
      <w:bookmarkEnd w:id="4"/>
    </w:p>
    <w:p w14:paraId="784E361F" w14:textId="77777777" w:rsidR="00611368" w:rsidRPr="00611368" w:rsidRDefault="00611368">
      <w:pPr>
        <w:spacing w:line="480" w:lineRule="auto"/>
        <w:jc w:val="both"/>
        <w:rPr>
          <w:sz w:val="26"/>
          <w:szCs w:val="26"/>
          <w:rtl/>
        </w:rPr>
      </w:pPr>
    </w:p>
    <w:p w14:paraId="6B7F286A" w14:textId="77777777" w:rsidR="00611368" w:rsidRPr="00611368" w:rsidRDefault="00611368">
      <w:pPr>
        <w:spacing w:line="480" w:lineRule="auto"/>
        <w:jc w:val="both"/>
        <w:rPr>
          <w:sz w:val="26"/>
          <w:szCs w:val="26"/>
          <w:rtl/>
        </w:rPr>
      </w:pPr>
    </w:p>
    <w:p w14:paraId="083E4CBE" w14:textId="77777777" w:rsidR="002377CF" w:rsidRPr="00611368" w:rsidRDefault="002377CF">
      <w:pPr>
        <w:spacing w:line="480" w:lineRule="auto"/>
        <w:jc w:val="both"/>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377CF" w14:paraId="05CE99F1" w14:textId="77777777">
        <w:trPr>
          <w:trHeight w:val="355"/>
          <w:jc w:val="center"/>
        </w:trPr>
        <w:tc>
          <w:tcPr>
            <w:tcW w:w="8820" w:type="dxa"/>
            <w:tcBorders>
              <w:top w:val="nil"/>
              <w:left w:val="nil"/>
              <w:bottom w:val="nil"/>
              <w:right w:val="nil"/>
            </w:tcBorders>
          </w:tcPr>
          <w:p w14:paraId="5912CD98" w14:textId="77777777" w:rsidR="00820138" w:rsidRPr="00820138" w:rsidRDefault="00820138" w:rsidP="00820138">
            <w:pPr>
              <w:jc w:val="center"/>
              <w:rPr>
                <w:b/>
                <w:bCs/>
                <w:sz w:val="50"/>
                <w:szCs w:val="50"/>
                <w:u w:val="single"/>
                <w:rtl/>
              </w:rPr>
            </w:pPr>
            <w:bookmarkStart w:id="5" w:name="PsakDin"/>
            <w:bookmarkEnd w:id="0"/>
            <w:r w:rsidRPr="00820138">
              <w:rPr>
                <w:b/>
                <w:bCs/>
                <w:sz w:val="50"/>
                <w:szCs w:val="50"/>
                <w:u w:val="single"/>
                <w:rtl/>
              </w:rPr>
              <w:t>גזר דין</w:t>
            </w:r>
          </w:p>
          <w:bookmarkEnd w:id="5"/>
          <w:p w14:paraId="41661F61" w14:textId="77777777" w:rsidR="002377CF" w:rsidRPr="00820138" w:rsidRDefault="002377CF" w:rsidP="00820138">
            <w:pPr>
              <w:jc w:val="center"/>
              <w:rPr>
                <w:rFonts w:ascii="Arial" w:hAnsi="Arial" w:cs="FrankRuehl"/>
                <w:bCs/>
                <w:sz w:val="32"/>
                <w:szCs w:val="32"/>
                <w:u w:val="single"/>
                <w:rtl/>
              </w:rPr>
            </w:pPr>
          </w:p>
        </w:tc>
      </w:tr>
    </w:tbl>
    <w:p w14:paraId="61F473E3" w14:textId="77777777" w:rsidR="002377CF" w:rsidRDefault="002377CF">
      <w:pPr>
        <w:rPr>
          <w:rFonts w:ascii="Arial" w:hAnsi="Arial"/>
          <w:rtl/>
        </w:rPr>
      </w:pPr>
    </w:p>
    <w:p w14:paraId="7A0EB449" w14:textId="77777777" w:rsidR="002377CF" w:rsidRDefault="002377CF">
      <w:pPr>
        <w:spacing w:line="360" w:lineRule="auto"/>
        <w:rPr>
          <w:rFonts w:ascii="Arial" w:hAnsi="Arial" w:cs="FrankRuehl"/>
          <w:spacing w:val="24"/>
          <w:sz w:val="28"/>
          <w:szCs w:val="28"/>
          <w:rtl/>
        </w:rPr>
      </w:pPr>
    </w:p>
    <w:p w14:paraId="21275925" w14:textId="77777777" w:rsidR="002377CF" w:rsidRDefault="00820138">
      <w:pPr>
        <w:spacing w:line="360" w:lineRule="auto"/>
        <w:jc w:val="both"/>
        <w:rPr>
          <w:rFonts w:ascii="Arial" w:hAnsi="Arial" w:cs="FrankRuehl"/>
          <w:spacing w:val="24"/>
          <w:sz w:val="28"/>
          <w:szCs w:val="28"/>
          <w:rtl/>
        </w:rPr>
      </w:pPr>
      <w:r>
        <w:rPr>
          <w:rFonts w:ascii="Arial" w:hAnsi="Arial" w:cs="FrankRuehl" w:hint="cs"/>
          <w:spacing w:val="24"/>
          <w:sz w:val="28"/>
          <w:szCs w:val="28"/>
          <w:rtl/>
        </w:rPr>
        <w:t>1.</w:t>
      </w:r>
      <w:r>
        <w:rPr>
          <w:rFonts w:ascii="Arial" w:hAnsi="Arial" w:cs="FrankRuehl" w:hint="cs"/>
          <w:spacing w:val="24"/>
          <w:sz w:val="28"/>
          <w:szCs w:val="28"/>
          <w:rtl/>
        </w:rPr>
        <w:tab/>
      </w:r>
      <w:bookmarkStart w:id="6" w:name="ABSTRACT_START"/>
      <w:bookmarkEnd w:id="6"/>
      <w:r>
        <w:rPr>
          <w:rFonts w:ascii="Arial" w:hAnsi="Arial" w:cs="FrankRuehl" w:hint="cs"/>
          <w:spacing w:val="24"/>
          <w:sz w:val="28"/>
          <w:szCs w:val="28"/>
          <w:rtl/>
        </w:rPr>
        <w:t>הנאשם הורשע, לאחר שמיעת ראיות, בעב</w:t>
      </w:r>
      <w:r w:rsidR="00D85785">
        <w:rPr>
          <w:rFonts w:ascii="Arial" w:hAnsi="Arial" w:cs="FrankRuehl" w:hint="cs"/>
          <w:spacing w:val="24"/>
          <w:sz w:val="28"/>
          <w:szCs w:val="28"/>
          <w:rtl/>
        </w:rPr>
        <w:t xml:space="preserve">ירת קשירת קשר לפשע לפי סעיף </w:t>
      </w:r>
      <w:hyperlink r:id="rId23" w:history="1">
        <w:r w:rsidR="00D85785" w:rsidRPr="00D85785">
          <w:rPr>
            <w:rStyle w:val="Hyperlink"/>
            <w:rFonts w:ascii="Arial" w:hAnsi="Arial" w:cs="FrankRuehl"/>
            <w:spacing w:val="24"/>
            <w:sz w:val="28"/>
            <w:szCs w:val="28"/>
            <w:rtl/>
          </w:rPr>
          <w:t>499(א)(1)</w:t>
        </w:r>
      </w:hyperlink>
      <w:r>
        <w:rPr>
          <w:rFonts w:ascii="Arial" w:hAnsi="Arial" w:cs="FrankRuehl" w:hint="cs"/>
          <w:spacing w:val="24"/>
          <w:sz w:val="28"/>
          <w:szCs w:val="28"/>
          <w:rtl/>
        </w:rPr>
        <w:t xml:space="preserve"> ל</w:t>
      </w:r>
      <w:hyperlink r:id="rId24" w:history="1">
        <w:r w:rsidR="00611368" w:rsidRPr="00611368">
          <w:rPr>
            <w:rStyle w:val="Hyperlink"/>
            <w:rFonts w:ascii="Arial" w:hAnsi="Arial" w:cs="FrankRuehl"/>
            <w:spacing w:val="24"/>
            <w:sz w:val="28"/>
            <w:szCs w:val="28"/>
            <w:rtl/>
          </w:rPr>
          <w:t>חוק העונשין</w:t>
        </w:r>
      </w:hyperlink>
      <w:r>
        <w:rPr>
          <w:rFonts w:ascii="Arial" w:hAnsi="Arial" w:cs="FrankRuehl" w:hint="cs"/>
          <w:spacing w:val="24"/>
          <w:sz w:val="28"/>
          <w:szCs w:val="28"/>
          <w:rtl/>
        </w:rPr>
        <w:t xml:space="preserve">, תשל"ז </w:t>
      </w:r>
      <w:r>
        <w:rPr>
          <w:rFonts w:ascii="Arial" w:hAnsi="Arial" w:cs="FrankRuehl"/>
          <w:spacing w:val="24"/>
          <w:sz w:val="28"/>
          <w:szCs w:val="28"/>
          <w:rtl/>
        </w:rPr>
        <w:t>–</w:t>
      </w:r>
      <w:r>
        <w:rPr>
          <w:rFonts w:ascii="Arial" w:hAnsi="Arial" w:cs="FrankRuehl" w:hint="cs"/>
          <w:spacing w:val="24"/>
          <w:sz w:val="28"/>
          <w:szCs w:val="28"/>
          <w:rtl/>
        </w:rPr>
        <w:t xml:space="preserve"> 1977 (להלן: "הח</w:t>
      </w:r>
      <w:r w:rsidR="00D85785">
        <w:rPr>
          <w:rFonts w:ascii="Arial" w:hAnsi="Arial" w:cs="FrankRuehl" w:hint="cs"/>
          <w:spacing w:val="24"/>
          <w:sz w:val="28"/>
          <w:szCs w:val="28"/>
          <w:rtl/>
        </w:rPr>
        <w:t xml:space="preserve">וק"), ובעבירת </w:t>
      </w:r>
      <w:r w:rsidR="00D85785">
        <w:rPr>
          <w:rFonts w:ascii="Arial" w:hAnsi="Arial" w:cs="FrankRuehl" w:hint="cs"/>
          <w:spacing w:val="24"/>
          <w:sz w:val="28"/>
          <w:szCs w:val="28"/>
          <w:rtl/>
        </w:rPr>
        <w:lastRenderedPageBreak/>
        <w:t xml:space="preserve">הצתה לפי </w:t>
      </w:r>
      <w:hyperlink r:id="rId25" w:history="1">
        <w:r w:rsidR="00D85785" w:rsidRPr="00D85785">
          <w:rPr>
            <w:rStyle w:val="Hyperlink"/>
            <w:rFonts w:ascii="Arial" w:hAnsi="Arial" w:cs="FrankRuehl" w:hint="eastAsia"/>
            <w:spacing w:val="24"/>
            <w:sz w:val="28"/>
            <w:szCs w:val="28"/>
            <w:rtl/>
          </w:rPr>
          <w:t>סעיף</w:t>
        </w:r>
        <w:r w:rsidR="00D85785" w:rsidRPr="00D85785">
          <w:rPr>
            <w:rStyle w:val="Hyperlink"/>
            <w:rFonts w:ascii="Arial" w:hAnsi="Arial" w:cs="FrankRuehl"/>
            <w:spacing w:val="24"/>
            <w:sz w:val="28"/>
            <w:szCs w:val="28"/>
            <w:rtl/>
          </w:rPr>
          <w:t xml:space="preserve"> 448(א)</w:t>
        </w:r>
      </w:hyperlink>
      <w:r>
        <w:rPr>
          <w:rFonts w:ascii="Arial" w:hAnsi="Arial" w:cs="FrankRuehl" w:hint="cs"/>
          <w:spacing w:val="24"/>
          <w:sz w:val="28"/>
          <w:szCs w:val="28"/>
          <w:rtl/>
        </w:rPr>
        <w:t xml:space="preserve"> רישא לחוק, זאת בנוגע עם האישום הראשון. בגדר האישום השלישי הורשע הנאשם בעבירת קשירת קשר לפשע, ובגדר האישום הרביעי בעבירה של החזקת</w:t>
      </w:r>
      <w:r w:rsidR="00D85785">
        <w:rPr>
          <w:rFonts w:ascii="Arial" w:hAnsi="Arial" w:cs="FrankRuehl" w:hint="cs"/>
          <w:spacing w:val="24"/>
          <w:sz w:val="28"/>
          <w:szCs w:val="28"/>
          <w:rtl/>
        </w:rPr>
        <w:t xml:space="preserve"> סם שלא לצריכה עצמית לפי סעיף </w:t>
      </w:r>
      <w:hyperlink r:id="rId26" w:history="1">
        <w:r w:rsidR="00D85785" w:rsidRPr="00D85785">
          <w:rPr>
            <w:rStyle w:val="Hyperlink"/>
            <w:rFonts w:ascii="Arial" w:hAnsi="Arial" w:cs="FrankRuehl"/>
            <w:spacing w:val="24"/>
            <w:sz w:val="28"/>
            <w:szCs w:val="28"/>
            <w:rtl/>
          </w:rPr>
          <w:t>7(א)</w:t>
        </w:r>
      </w:hyperlink>
      <w:r>
        <w:rPr>
          <w:rFonts w:ascii="Arial" w:hAnsi="Arial" w:cs="FrankRuehl" w:hint="cs"/>
          <w:spacing w:val="24"/>
          <w:sz w:val="28"/>
          <w:szCs w:val="28"/>
          <w:rtl/>
        </w:rPr>
        <w:t xml:space="preserve"> ל</w:t>
      </w:r>
      <w:hyperlink r:id="rId27" w:history="1">
        <w:r w:rsidR="00611368" w:rsidRPr="00611368">
          <w:rPr>
            <w:rStyle w:val="Hyperlink"/>
            <w:rFonts w:ascii="Arial" w:hAnsi="Arial" w:cs="FrankRuehl"/>
            <w:spacing w:val="24"/>
            <w:sz w:val="28"/>
            <w:szCs w:val="28"/>
            <w:rtl/>
          </w:rPr>
          <w:t>פקודת הסמים המסוכנים</w:t>
        </w:r>
      </w:hyperlink>
      <w:r>
        <w:rPr>
          <w:rFonts w:ascii="Arial" w:hAnsi="Arial" w:cs="FrankRuehl" w:hint="cs"/>
          <w:spacing w:val="24"/>
          <w:sz w:val="28"/>
          <w:szCs w:val="28"/>
          <w:rtl/>
        </w:rPr>
        <w:t xml:space="preserve">. </w:t>
      </w:r>
      <w:bookmarkStart w:id="7" w:name="ABSTRACT_END"/>
      <w:bookmarkEnd w:id="7"/>
      <w:r>
        <w:rPr>
          <w:rFonts w:ascii="Arial" w:hAnsi="Arial" w:cs="FrankRuehl" w:hint="cs"/>
          <w:spacing w:val="24"/>
          <w:sz w:val="28"/>
          <w:szCs w:val="28"/>
          <w:rtl/>
        </w:rPr>
        <w:t xml:space="preserve">הנאשם זוכה מהעבירה שיוחסה לו בגדר האישום השני. העבירות נשוא האישומים הראשון והשלישי, נעשו וכוונו על ידי הנאשם כנגד חותנו, דוד אליאספור, זאת על רקע סכסוך שהיה בין השניים, ובין היתר, על רקע גירושיו של הנאשם מאשתו, היא בתו של מר אליאספור. כפי שפורט בהכרעת הדין, מעשיו של הנאשם כלפי אליאספור, יצאו אל הפועל באמצעות מרדכי בוחבוט, שהיה חברו של הנאשם במשך שנים רבות, ובתקופה שקדמה להגשת כתב האישום, בוחבוט שימש גם כנהגו האישי. בוחבוט הוציא לפועל את ההוראות אותן קיבל מהנאשם באמצעות יצחק אדרי, אשר בשלב שלאחר ביצוע העבירות המתוארות באישום הראשון, שימש כסוכן משטרתי. בגדר האישום הראשון, במסגרתו יוחסה לנאשם עבירת קשירת קשר לפשע ועבירת הצתה, הנאשם ביקש להצית את רכבו של אליאספור. על כן סיכם הנאשם עם בוחבוט כי ההצתות יבוצעו תמורת 7,000 ₪, סכום שישולם על ידי הנאשם. לצורך כך קשר בוחבוט עם אדרי להצית את הרכב תמורת חלוקת הסכום הנ"ל ביניהם. התכנית אכן יצאה אל הפועל, וביום 27/6/10, לאחר חצות, בוחבוט ואדרי הגיעו לביתו של אליאספור, ואדרי הצית את שני כלי רכבו של אליאספור באמצעות בקבוקי דלק. האש אחזה גם בפרגולה הניצבת בכניסה לבית, כאשר באותה עת מר אליאספור ואשתו שהו בביתם. בגדר האישום השלישי, הנאשם קשר עם בוחבוט קשר לתקיפתו של אליאספור, באופן שאליאספור יחבל חבלה חמורה עד כדי אשפוזו, תמורת סכום כסף. לשם כך נפגש בוחבוט עם אדרי וביקש להוציא את התקיפה אל הפועל באמצעות מוט ברזל, כאשר אדרי קיבל הנחיות לגרום לאליאספור חבלות של ממש, אשר יביאו לאשפוזו של אליאספור בבית החולים למספר ימים. המזימה לא יצאה אל הפועל, מאחר שבאותה עת אדרי שימש כבר כסוכן משטרתי, וחלף זאת, לאור לחצו של בוחבוט, ועל מנת לרצות את בוחבוט, יצא אדרי עם מפעילו המשטרתי, וחתך את צמיגי מכוניתו של אליאספור. האישום הרביעי נוגע בהחזקת סם מסוג קוקאין במשקל של 5.6 גרם, אשר היה מחולק לשתי שקיות והוחזק בביתו של הנאשם. </w:t>
      </w:r>
    </w:p>
    <w:p w14:paraId="7D93A765" w14:textId="77777777" w:rsidR="002377CF" w:rsidRDefault="002377CF">
      <w:pPr>
        <w:spacing w:line="360" w:lineRule="auto"/>
        <w:jc w:val="both"/>
        <w:rPr>
          <w:rFonts w:ascii="Arial" w:hAnsi="Arial" w:cs="FrankRuehl"/>
          <w:spacing w:val="24"/>
          <w:sz w:val="28"/>
          <w:szCs w:val="28"/>
          <w:rtl/>
        </w:rPr>
      </w:pPr>
    </w:p>
    <w:p w14:paraId="2489CE6C" w14:textId="77777777" w:rsidR="002377CF" w:rsidRDefault="00820138">
      <w:pPr>
        <w:spacing w:line="360" w:lineRule="auto"/>
        <w:jc w:val="both"/>
        <w:rPr>
          <w:rFonts w:ascii="Arial" w:hAnsi="Arial" w:cs="FrankRuehl"/>
          <w:spacing w:val="24"/>
          <w:sz w:val="28"/>
          <w:szCs w:val="28"/>
          <w:rtl/>
        </w:rPr>
      </w:pPr>
      <w:r>
        <w:rPr>
          <w:rFonts w:ascii="Arial" w:hAnsi="Arial" w:cs="FrankRuehl" w:hint="cs"/>
          <w:spacing w:val="24"/>
          <w:sz w:val="28"/>
          <w:szCs w:val="28"/>
          <w:rtl/>
        </w:rPr>
        <w:t>2.</w:t>
      </w:r>
      <w:r>
        <w:rPr>
          <w:rFonts w:ascii="Arial" w:hAnsi="Arial" w:cs="FrankRuehl" w:hint="cs"/>
          <w:spacing w:val="24"/>
          <w:sz w:val="28"/>
          <w:szCs w:val="28"/>
          <w:rtl/>
        </w:rPr>
        <w:tab/>
        <w:t xml:space="preserve">הנאשם הנו כבן 48, ואין בעברו הרשעות, פרט לקביעה ללא הרשעה משנת 2009, בעבירת תקיפה. כאמור, הנאשם היה נשוי לבתו של אליאספור, ובני הזוג גרושים מזה כשנה. לנאשם וגרושתו חמישה ילדים. הנאשם עובד כקבלן ומעסיק עשרות עובדים. </w:t>
      </w:r>
    </w:p>
    <w:p w14:paraId="55C0BB1B" w14:textId="77777777" w:rsidR="002377CF" w:rsidRDefault="002377CF">
      <w:pPr>
        <w:spacing w:line="360" w:lineRule="auto"/>
        <w:jc w:val="both"/>
        <w:rPr>
          <w:rFonts w:ascii="Arial" w:hAnsi="Arial" w:cs="FrankRuehl"/>
          <w:spacing w:val="24"/>
          <w:sz w:val="28"/>
          <w:szCs w:val="28"/>
          <w:rtl/>
        </w:rPr>
      </w:pPr>
    </w:p>
    <w:p w14:paraId="5DD6EBA6" w14:textId="77777777" w:rsidR="002377CF" w:rsidRDefault="00820138">
      <w:pPr>
        <w:spacing w:line="360" w:lineRule="auto"/>
        <w:jc w:val="both"/>
        <w:rPr>
          <w:rFonts w:ascii="Arial" w:hAnsi="Arial" w:cs="FrankRuehl"/>
          <w:spacing w:val="24"/>
          <w:sz w:val="28"/>
          <w:szCs w:val="28"/>
          <w:rtl/>
        </w:rPr>
      </w:pPr>
      <w:r>
        <w:rPr>
          <w:rFonts w:ascii="Arial" w:hAnsi="Arial" w:cs="FrankRuehl" w:hint="cs"/>
          <w:spacing w:val="24"/>
          <w:sz w:val="28"/>
          <w:szCs w:val="28"/>
          <w:rtl/>
        </w:rPr>
        <w:t>3.</w:t>
      </w:r>
      <w:r>
        <w:rPr>
          <w:rFonts w:ascii="Arial" w:hAnsi="Arial" w:cs="FrankRuehl" w:hint="cs"/>
          <w:spacing w:val="24"/>
          <w:sz w:val="28"/>
          <w:szCs w:val="28"/>
          <w:rtl/>
        </w:rPr>
        <w:tab/>
        <w:t xml:space="preserve">במסגרת הראיות לעונש העיד מר אליאספור על הסבל שנגרם לו כתוצאה מהתנכלות ומעשי הנאשם, ועל הפחדים מהם הוא סובל מאז אירוע ההצתה. לדבריו, הוא ואשתו, כבני 78 שנים, אינם מסוגלים לישון למשך לילה שלם וחוששים להיוותר לבדם, הם איבדו את ביטחונם, ובעקבות הצתת הרכבים, הוא התקין מצלמות אבטחה רבות סביב ביתו. נגרמו לו נזקים כספיים, שכן הוא וויתר על שלושה מכרזים לבניית עשרות יחידות דיור, עקב חששו לחייו. יצוין כי לא בא פירוט לנזקים כספיים שנגרמו לו, ואף בא-כוח המאשימה לא טען לפיצוי ישיר לנזק הכספי, אלא ביקש ליתן את הדגש על הנזק הנפשי שנגרם למר אליאספור ולפסוק לו פיצוי בהתאם. </w:t>
      </w:r>
    </w:p>
    <w:p w14:paraId="191B2E47" w14:textId="77777777" w:rsidR="002377CF" w:rsidRDefault="002377CF">
      <w:pPr>
        <w:spacing w:line="360" w:lineRule="auto"/>
        <w:jc w:val="both"/>
        <w:rPr>
          <w:rFonts w:ascii="Arial" w:hAnsi="Arial" w:cs="FrankRuehl"/>
          <w:spacing w:val="24"/>
          <w:sz w:val="28"/>
          <w:szCs w:val="28"/>
          <w:rtl/>
        </w:rPr>
      </w:pPr>
    </w:p>
    <w:p w14:paraId="42CB0DA5" w14:textId="77777777" w:rsidR="002377CF" w:rsidRDefault="00820138">
      <w:pPr>
        <w:spacing w:line="360" w:lineRule="auto"/>
        <w:jc w:val="both"/>
        <w:rPr>
          <w:rFonts w:ascii="Arial" w:hAnsi="Arial" w:cs="FrankRuehl"/>
          <w:spacing w:val="24"/>
          <w:sz w:val="28"/>
          <w:szCs w:val="28"/>
          <w:rtl/>
        </w:rPr>
      </w:pPr>
      <w:r>
        <w:rPr>
          <w:rFonts w:ascii="Arial" w:hAnsi="Arial" w:cs="FrankRuehl" w:hint="cs"/>
          <w:spacing w:val="24"/>
          <w:sz w:val="28"/>
          <w:szCs w:val="28"/>
          <w:rtl/>
        </w:rPr>
        <w:t>4.</w:t>
      </w:r>
      <w:r>
        <w:rPr>
          <w:rFonts w:ascii="Arial" w:hAnsi="Arial" w:cs="FrankRuehl" w:hint="cs"/>
          <w:spacing w:val="24"/>
          <w:sz w:val="28"/>
          <w:szCs w:val="28"/>
          <w:rtl/>
        </w:rPr>
        <w:tab/>
        <w:t xml:space="preserve">בא-כוח המאשימה התייחס לכל אישום בנפרד. באשר לאירוע ההצתה הכלול באישום הראשון, הודגש פוטנציאל הסיכון הטמון באש הפורצת באופן העלול לאבד שליטה, ובמקרה הנדון, האש התפשטה גם למבנה הפרגולה מעבר למכוניות. מדובר באירוע שקדם לו תכנון, והיוזם לאותו אירוע, היה הנאשם. נטען כי מדיניות הענישה בעבירות ההצתה, עומדת על מספר שנות מאסר בפועל (הוגשה פסיקה שדנה בארבע שנות מאסר בגין הצתת עסק, 33 חודשי מאסר בגין הצתת שתי משאיות), ונטען, על כן, כי מתחם העונש ההולם בגין  אירוע זה, הנו בן שנת מאסר לבין חמש שנות מאסר, ובנסיבות המקרה, ולאור ביצוע הצתה בחצר בית בו מתגוררים אנשים, יש לפסוק על הצד הגבוה. באשר לאישום השלישי, נטען כי המעשה כוון כנגד ערך מוגן שהוא חיי אדם ובטחונו, הכוונה הייתה לחבול במר אליאספור ולגרום לו נזק גופני ממשי, עד אשפוזו. הנאשם יזם את האירוע, רצה בו, וזאת לאחר שחלפו חודשים ספורים בלבד מאירועי האישום הראשון. בהקשר זה נטען כי מתחם הענישה הראוי הנו בן שנת מאסר לבין שלוש שנות מאסר וגם במקרה זה יש לפסוק ברף העליון. באשר לאישום הרביעי של החזקת הסם, נטען על ידי המאשימה כי לאור סוג הסם, מתחם הענישה הראוי הנו בן 8 חודשי מאסר לבין 18 חודשי מאסר בפועל, והעונש הראוי לנאשם הנו במחצית המתחם. עוד באה הפנייה לכך שבוחבוט נדון, במקביל, הן על אישומים חופפים והן על אישומים נוספים שלא יוחסו לנאשם, והוא הורשע, אם כי באופן שונה מעט, כמפורט בגזר הדין שהוגש בעניינו, ונדון לארבע שנות מאסר בפועל (בוחבוט הורשע בעבירה של קשירת קשר לפשע, בעבירת הצתה בנוגע עם הצתת רכבו של מר אליאספור, בקשירת קשר לביצוע עוון ובעבירת שידול לנשיאת נשק, זאת לאחר שקשר קשר עם אדרי להשליך רימון רסס לבית המתלונן, תכנית שלא יצאה אל הפועל, ובעבירה של הספקת סם מסוכן (שלא לנאשם). </w:t>
      </w:r>
    </w:p>
    <w:p w14:paraId="02D74118" w14:textId="77777777" w:rsidR="002377CF" w:rsidRDefault="00820138">
      <w:pPr>
        <w:spacing w:line="360" w:lineRule="auto"/>
        <w:jc w:val="both"/>
        <w:rPr>
          <w:rFonts w:ascii="Arial" w:hAnsi="Arial" w:cs="FrankRuehl"/>
          <w:spacing w:val="24"/>
          <w:sz w:val="28"/>
          <w:szCs w:val="28"/>
          <w:rtl/>
        </w:rPr>
      </w:pPr>
      <w:r>
        <w:rPr>
          <w:rFonts w:ascii="Arial" w:hAnsi="Arial" w:cs="FrankRuehl" w:hint="cs"/>
          <w:spacing w:val="24"/>
          <w:sz w:val="28"/>
          <w:szCs w:val="28"/>
          <w:rtl/>
        </w:rPr>
        <w:tab/>
        <w:t xml:space="preserve">לאור כל זאת, טענה המאשימה כי יש לגזור על הנאשם עונש כולל של מאסר בפועל לתקופה ארוכה, אשר יכלול, לפחות בחלקו, עונש מצטבר בגין כל אישום, וכן מאסר מותנה ופיצוי למר אליאספור. </w:t>
      </w:r>
    </w:p>
    <w:p w14:paraId="16E8FA81" w14:textId="77777777" w:rsidR="002377CF" w:rsidRDefault="002377CF">
      <w:pPr>
        <w:spacing w:line="360" w:lineRule="auto"/>
        <w:jc w:val="both"/>
        <w:rPr>
          <w:rFonts w:ascii="Arial" w:hAnsi="Arial" w:cs="FrankRuehl"/>
          <w:spacing w:val="24"/>
          <w:sz w:val="28"/>
          <w:szCs w:val="28"/>
          <w:rtl/>
        </w:rPr>
      </w:pPr>
    </w:p>
    <w:p w14:paraId="02DEF6F8" w14:textId="77777777" w:rsidR="002377CF" w:rsidRDefault="00820138">
      <w:pPr>
        <w:spacing w:line="360" w:lineRule="auto"/>
        <w:jc w:val="both"/>
        <w:rPr>
          <w:rFonts w:ascii="Arial" w:hAnsi="Arial" w:cs="FrankRuehl"/>
          <w:spacing w:val="24"/>
          <w:sz w:val="28"/>
          <w:szCs w:val="28"/>
          <w:rtl/>
        </w:rPr>
      </w:pPr>
      <w:r>
        <w:rPr>
          <w:rFonts w:ascii="Arial" w:hAnsi="Arial" w:cs="FrankRuehl" w:hint="cs"/>
          <w:spacing w:val="24"/>
          <w:sz w:val="28"/>
          <w:szCs w:val="28"/>
          <w:rtl/>
        </w:rPr>
        <w:t>5.</w:t>
      </w:r>
      <w:r>
        <w:rPr>
          <w:rFonts w:ascii="Arial" w:hAnsi="Arial" w:cs="FrankRuehl" w:hint="cs"/>
          <w:spacing w:val="24"/>
          <w:sz w:val="28"/>
          <w:szCs w:val="28"/>
          <w:rtl/>
        </w:rPr>
        <w:tab/>
        <w:t xml:space="preserve">מנגד, הסנגור טען, בין היתר, כי תיאור המאשימה את האירועים הנו מוגזם, וכלל עובדות מוטעות ומטעות. יצוין כבר כאן כי  המאשימה בטיעוניה, לא כללה עובדות שהן מטעות ומוטעות. ההתייחסות היחידה לכך שניתנה על ידי הסנגור, הנה כי המאשימה טענה שהנאשם קשר עם שני אחרים והוביל אותם לביצוע המעשים, וטענה זו איננה נכונה, שכן הנאשם קשר קשר רק עם בוחבוט. אולם, עובדה זו ידועה מתוך הראיות וכפי שנקבע בהכרעת הדין ואין בכך משום הטעיה.  באשר לעבירת ההצתה, נטען כי יש להעניש את הנאשם אך בנוגע עם עבירת קשירת הקשר, אשר עונשה המקסימלי עומד על למטה ממחצית עבירת ההצתה, זאת מאחר שהנאשם לא לקח חלק בהצתה עצמה, וזו הוצאה אל הפועל על ידי אדרי ובוחבוט, בדרכים ובמועד שמצאו לנכון. עוד נטען כי הנאשם, שלא מסר לבוחבוט את כתובתו של אליאספור, לא היה מעוניין כי ההצתה תתבצע בחצר הבית. לכן, חלק מהותי מהנסיבות המחמירות, כך נטען, אינן חלות על הנאשם: </w:t>
      </w:r>
      <w:r>
        <w:rPr>
          <w:rFonts w:ascii="Arial" w:hAnsi="Arial" w:cs="Miriam" w:hint="cs"/>
          <w:spacing w:val="24"/>
          <w:sz w:val="22"/>
          <w:szCs w:val="22"/>
          <w:rtl/>
        </w:rPr>
        <w:t>"ואי אפשר להעניש את הנאשם על מעשים שעשו אדרי ובוחבוט".</w:t>
      </w:r>
      <w:r>
        <w:rPr>
          <w:rFonts w:ascii="Arial" w:hAnsi="Arial" w:cs="FrankRuehl" w:hint="cs"/>
          <w:b/>
          <w:bCs/>
          <w:spacing w:val="24"/>
          <w:sz w:val="28"/>
          <w:szCs w:val="28"/>
          <w:rtl/>
        </w:rPr>
        <w:t xml:space="preserve"> </w:t>
      </w:r>
      <w:r>
        <w:rPr>
          <w:rFonts w:ascii="Arial" w:hAnsi="Arial" w:cs="FrankRuehl" w:hint="cs"/>
          <w:spacing w:val="24"/>
          <w:sz w:val="28"/>
          <w:szCs w:val="28"/>
          <w:rtl/>
        </w:rPr>
        <w:t xml:space="preserve">עוד נטען כי ההנחיה הייתה להצית רכב אחד, וכפי שאדרי אמר, הרכב השני הוצת על ידו כבונוס. עוד נטען, בהקשר זה, כי אדרי הפר את הסכם הסוכן בכך שסירב להעיד. הוא לא הועמד לדין על כך, וניתן היה לטעון לאכיפה בררנית המצדיקה ביטול כתב אישום, ועתה יש לכך שיקול משמעותי לעניין העונש. </w:t>
      </w:r>
    </w:p>
    <w:p w14:paraId="3EB532E1" w14:textId="77777777" w:rsidR="002377CF" w:rsidRDefault="00820138">
      <w:pPr>
        <w:spacing w:line="360" w:lineRule="auto"/>
        <w:jc w:val="both"/>
        <w:rPr>
          <w:rFonts w:ascii="Arial" w:hAnsi="Arial" w:cs="FrankRuehl"/>
          <w:spacing w:val="24"/>
          <w:sz w:val="28"/>
          <w:szCs w:val="28"/>
          <w:rtl/>
        </w:rPr>
      </w:pPr>
      <w:r>
        <w:rPr>
          <w:rFonts w:ascii="Arial" w:hAnsi="Arial" w:cs="FrankRuehl" w:hint="cs"/>
          <w:spacing w:val="24"/>
          <w:sz w:val="28"/>
          <w:szCs w:val="28"/>
          <w:rtl/>
        </w:rPr>
        <w:tab/>
        <w:t xml:space="preserve">באשר לאישום השלישי </w:t>
      </w:r>
      <w:r>
        <w:rPr>
          <w:rFonts w:ascii="Arial" w:hAnsi="Arial" w:cs="FrankRuehl"/>
          <w:spacing w:val="24"/>
          <w:sz w:val="28"/>
          <w:szCs w:val="28"/>
          <w:rtl/>
        </w:rPr>
        <w:t>–</w:t>
      </w:r>
      <w:r>
        <w:rPr>
          <w:rFonts w:ascii="Arial" w:hAnsi="Arial" w:cs="FrankRuehl" w:hint="cs"/>
          <w:spacing w:val="24"/>
          <w:sz w:val="28"/>
          <w:szCs w:val="28"/>
          <w:rtl/>
        </w:rPr>
        <w:t xml:space="preserve"> נטען, בין היתר, כי כל המעשים שנעשו בפועל, נעשו על ידי בוחבוט ואדרי. לא נטען בכתב האישום כי הנאשם ביקש מבוחבוט להשתמש בלום ברזל לתקיפתו של אליאספור, אלא בוחבוט החליט על כך על דעת עצמו, ובגדר אישום זה, למר אליאספור לא נגרם כל נזק נפשי או גופני. </w:t>
      </w:r>
    </w:p>
    <w:p w14:paraId="486DB0B7" w14:textId="77777777" w:rsidR="002377CF" w:rsidRDefault="00820138">
      <w:pPr>
        <w:spacing w:line="360" w:lineRule="auto"/>
        <w:jc w:val="both"/>
        <w:rPr>
          <w:rFonts w:ascii="Arial" w:hAnsi="Arial" w:cs="FrankRuehl"/>
          <w:spacing w:val="24"/>
          <w:sz w:val="28"/>
          <w:szCs w:val="28"/>
          <w:rtl/>
        </w:rPr>
      </w:pPr>
      <w:r>
        <w:rPr>
          <w:rFonts w:ascii="Arial" w:hAnsi="Arial" w:cs="FrankRuehl" w:hint="cs"/>
          <w:spacing w:val="24"/>
          <w:sz w:val="28"/>
          <w:szCs w:val="28"/>
          <w:rtl/>
        </w:rPr>
        <w:tab/>
        <w:t xml:space="preserve">באשר להחזקת הסם, הדגיש הסנגור כי לא מדובר בסחר, ובגין נסיבות כאלה, העונש הראוי הוא מאסר על תנאי או של"צ. </w:t>
      </w:r>
    </w:p>
    <w:p w14:paraId="33213832" w14:textId="77777777" w:rsidR="002377CF" w:rsidRDefault="002377CF">
      <w:pPr>
        <w:spacing w:line="360" w:lineRule="auto"/>
        <w:jc w:val="both"/>
        <w:rPr>
          <w:rFonts w:ascii="Arial" w:hAnsi="Arial" w:cs="FrankRuehl"/>
          <w:spacing w:val="24"/>
          <w:sz w:val="40"/>
          <w:szCs w:val="40"/>
          <w:rtl/>
        </w:rPr>
      </w:pPr>
    </w:p>
    <w:p w14:paraId="1C75963B" w14:textId="77777777" w:rsidR="002377CF" w:rsidRDefault="00820138">
      <w:pPr>
        <w:spacing w:line="360" w:lineRule="auto"/>
        <w:jc w:val="both"/>
        <w:rPr>
          <w:rFonts w:ascii="Arial" w:hAnsi="Arial" w:cs="FrankRuehl"/>
          <w:spacing w:val="24"/>
          <w:sz w:val="28"/>
          <w:szCs w:val="28"/>
          <w:rtl/>
        </w:rPr>
      </w:pPr>
      <w:r>
        <w:rPr>
          <w:rFonts w:ascii="Arial" w:hAnsi="Arial" w:cs="FrankRuehl" w:hint="cs"/>
          <w:spacing w:val="24"/>
          <w:sz w:val="28"/>
          <w:szCs w:val="28"/>
          <w:rtl/>
        </w:rPr>
        <w:t>6.</w:t>
      </w:r>
      <w:r>
        <w:rPr>
          <w:rFonts w:ascii="Arial" w:hAnsi="Arial" w:cs="FrankRuehl" w:hint="cs"/>
          <w:spacing w:val="24"/>
          <w:sz w:val="28"/>
          <w:szCs w:val="28"/>
          <w:rtl/>
        </w:rPr>
        <w:tab/>
        <w:t xml:space="preserve">הסנגור הוסיף עוד  כי בוחבוט, שנדון לארבע שנות מאסר, עשה מעשים נפשעים: הוא הורשע בעבירה של הספקת סם ויש לו עבר בעבירות סמים, הוא הורשע גם בעבירה הקשורה בנשיאת נשק, עבירה שהנאשם לא הורשע בה, עבירה שהובילה לחומרה בענישתו של בוחבוט, כמו גם הדברים שנאמרו בגזר דינו של בוחבוט בקשר לנחישותו של בוחבוט לביצוע המעשים, כאשר נקבע עוד כי מדובר באישיות עבריינית. הודגש כי בוחבוט ריצה עונשי מאסר מספר פעמים, ועל כן, לאור העונש שהוטל על בוחבוט, הרף המתאים לענישתו של הנאשם הנו מאסר בעבודות שירות, וזאת גם לאור התנהגות מחפירה של רשות האכיפה בעניינו של הנאשם. בעניין אחרון זה כיוון הסנגור לכך שהנאשם נחקר במצב משפיל, צרכיו נעשו בבגדיו, והופר כבודו כאדם. לעניין זה יוער כי בא הסבר לחקירתו של הנאשם באופן זה במהלך הדיון מטעם החוקרת שחקרה אותו. </w:t>
      </w:r>
    </w:p>
    <w:p w14:paraId="66111485" w14:textId="77777777" w:rsidR="002377CF" w:rsidRDefault="00820138">
      <w:pPr>
        <w:spacing w:line="360" w:lineRule="auto"/>
        <w:jc w:val="both"/>
        <w:rPr>
          <w:rFonts w:ascii="Arial" w:hAnsi="Arial" w:cs="FrankRuehl"/>
          <w:spacing w:val="24"/>
          <w:sz w:val="28"/>
          <w:szCs w:val="28"/>
          <w:rtl/>
        </w:rPr>
      </w:pPr>
      <w:r>
        <w:rPr>
          <w:rFonts w:ascii="Arial" w:hAnsi="Arial" w:cs="FrankRuehl" w:hint="cs"/>
          <w:spacing w:val="24"/>
          <w:sz w:val="28"/>
          <w:szCs w:val="28"/>
          <w:rtl/>
        </w:rPr>
        <w:tab/>
        <w:t xml:space="preserve">בין היתר הודגש כי הנאשם כבר התגרש. נטען כי אליאספור הגזים בדבריו אודות הנאשם וביקש לייחס לו מעשים שלא נעשו על ידי הנאשם, ולמעשה לא נגרמו לאליאספור נזקים כלשהם. בנוסף הוצגו מסמכים מטעם מנהל החשבונות של הנאשם ממנו עולה כי מאסרו של הנאשם יובילו להתמוטטות החברה הקבלנית שבבעלותו, חברה המעסיקה 40 עובדים. לכך צורפו מסמכים נוספים לעניין היקף עבודתו ועסקיו של הנאשם, על מנת להסיק על הנזק החמור שיגרם לנאשם (ראה הפנייה להחלטה 5616/11 בעניינו של הנאשם, בשאלת מעצר הבית שם באה התחשבות להיותו בעל עסק, אשר מטבע הדברים, מצריך מידה של פיקוח אישי וקיים חשש כי העסק יפגע קשות אם  הנאשם ימשיך לשהות במעצר בית). </w:t>
      </w:r>
    </w:p>
    <w:p w14:paraId="384D3046" w14:textId="77777777" w:rsidR="002377CF" w:rsidRDefault="00820138">
      <w:pPr>
        <w:spacing w:line="360" w:lineRule="auto"/>
        <w:jc w:val="both"/>
        <w:rPr>
          <w:rFonts w:ascii="Arial" w:hAnsi="Arial" w:cs="FrankRuehl"/>
          <w:spacing w:val="24"/>
          <w:sz w:val="28"/>
          <w:szCs w:val="28"/>
          <w:rtl/>
        </w:rPr>
      </w:pPr>
      <w:r>
        <w:rPr>
          <w:rFonts w:ascii="Arial" w:hAnsi="Arial" w:cs="FrankRuehl" w:hint="cs"/>
          <w:spacing w:val="24"/>
          <w:sz w:val="28"/>
          <w:szCs w:val="28"/>
          <w:rtl/>
        </w:rPr>
        <w:tab/>
        <w:t xml:space="preserve">כן הוגש מסמך מבית החולים הרצוג מיום 25/1/11, שם אושפז הנאשם לבדיקה פסיכיאטרית בעקבות מעצרו, על פי החלטת בית משפט, ובו נאמר, בין היתר, כי יש צורך לשלול סיבה גופנית </w:t>
      </w:r>
      <w:r>
        <w:rPr>
          <w:rFonts w:ascii="Arial" w:hAnsi="Arial" w:cs="FrankRuehl"/>
          <w:spacing w:val="24"/>
          <w:sz w:val="28"/>
          <w:szCs w:val="28"/>
          <w:rtl/>
        </w:rPr>
        <w:t>–</w:t>
      </w:r>
      <w:r>
        <w:rPr>
          <w:rFonts w:ascii="Arial" w:hAnsi="Arial" w:cs="FrankRuehl" w:hint="cs"/>
          <w:spacing w:val="24"/>
          <w:sz w:val="28"/>
          <w:szCs w:val="28"/>
          <w:rtl/>
        </w:rPr>
        <w:t xml:space="preserve"> אורגנית לשינוי פיזי במצבו, והומלץ על בדיקה פסיכיאטרית חוזרת. בהתאם, הוגש מסמך על ידי הפסיכיאטרית, ד"ר גלפין, מיום 8/4/13,  בדבר תלונות הנאשם על ירידה בזיכרון, הפרעה בריכוז, להזיות ולהפרעה בהתמצאות וצוין כי יש צורך בבירור מעמיק בבחינת מצבו של הנאשם. </w:t>
      </w:r>
    </w:p>
    <w:p w14:paraId="0441ADDF" w14:textId="77777777" w:rsidR="002377CF" w:rsidRDefault="002377CF">
      <w:pPr>
        <w:spacing w:line="360" w:lineRule="auto"/>
        <w:jc w:val="both"/>
        <w:rPr>
          <w:rFonts w:ascii="Arial" w:hAnsi="Arial" w:cs="FrankRuehl"/>
          <w:spacing w:val="24"/>
          <w:sz w:val="36"/>
          <w:szCs w:val="36"/>
          <w:rtl/>
        </w:rPr>
      </w:pPr>
    </w:p>
    <w:p w14:paraId="66B7FF94" w14:textId="77777777" w:rsidR="002377CF" w:rsidRDefault="00820138">
      <w:pPr>
        <w:spacing w:line="360" w:lineRule="auto"/>
        <w:jc w:val="both"/>
        <w:rPr>
          <w:rFonts w:cs="FrankRuehl"/>
          <w:spacing w:val="24"/>
          <w:sz w:val="28"/>
          <w:szCs w:val="28"/>
          <w:rtl/>
        </w:rPr>
      </w:pPr>
      <w:r>
        <w:rPr>
          <w:rFonts w:ascii="Arial" w:hAnsi="Arial" w:cs="FrankRuehl" w:hint="cs"/>
          <w:spacing w:val="24"/>
          <w:sz w:val="28"/>
          <w:szCs w:val="28"/>
          <w:rtl/>
        </w:rPr>
        <w:t>7.</w:t>
      </w:r>
      <w:r>
        <w:rPr>
          <w:rFonts w:ascii="Arial" w:hAnsi="Arial" w:cs="FrankRuehl" w:hint="cs"/>
          <w:spacing w:val="24"/>
          <w:sz w:val="28"/>
          <w:szCs w:val="28"/>
          <w:rtl/>
        </w:rPr>
        <w:tab/>
        <w:t xml:space="preserve">לשיטת הסנגור, מתחם הענישה בגין כל אישום, משתרע על מאסר על תנאי עד למאסר בעבודות שירות, ובאה הפנייה לכך שבמקרי הצתה חמורים יותר, שעסקו בנאשמים בעלי עבר פלילי, הם נדונו למאסר בעבודות שירות. נטען כי אין מקום לעונש מצטבר, מאחר שמדובר בפרשה אחת כלפי אדם אחד,  וכן כי יש להביא בחשבון את שהותו של הנאשם במעצר לתקופה של חמישה שבועות ושהותו במעצר בית מלא לאחר מכן, לתקופה של כשבעה חודשים. </w:t>
      </w:r>
    </w:p>
    <w:p w14:paraId="3BD4BA1E" w14:textId="77777777" w:rsidR="002377CF" w:rsidRDefault="002377CF">
      <w:pPr>
        <w:spacing w:line="360" w:lineRule="auto"/>
        <w:jc w:val="both"/>
        <w:rPr>
          <w:rFonts w:cs="FrankRuehl"/>
          <w:spacing w:val="24"/>
          <w:sz w:val="28"/>
          <w:szCs w:val="28"/>
          <w:rtl/>
        </w:rPr>
      </w:pPr>
    </w:p>
    <w:p w14:paraId="6AF4D335" w14:textId="77777777" w:rsidR="002377CF" w:rsidRDefault="00820138">
      <w:pPr>
        <w:spacing w:line="360" w:lineRule="auto"/>
        <w:jc w:val="both"/>
        <w:rPr>
          <w:rFonts w:cs="FrankRuehl"/>
          <w:spacing w:val="24"/>
          <w:sz w:val="28"/>
          <w:szCs w:val="28"/>
          <w:rtl/>
        </w:rPr>
      </w:pPr>
      <w:r>
        <w:rPr>
          <w:rFonts w:cs="FrankRuehl" w:hint="cs"/>
          <w:spacing w:val="24"/>
          <w:sz w:val="28"/>
          <w:szCs w:val="28"/>
          <w:rtl/>
        </w:rPr>
        <w:t>8.</w:t>
      </w:r>
      <w:r>
        <w:rPr>
          <w:rFonts w:cs="FrankRuehl" w:hint="cs"/>
          <w:spacing w:val="24"/>
          <w:sz w:val="28"/>
          <w:szCs w:val="28"/>
          <w:rtl/>
        </w:rPr>
        <w:tab/>
        <w:t xml:space="preserve">הנאשם לא ביקש לומר דבר במסגרת הטיעונים לעונש. </w:t>
      </w:r>
    </w:p>
    <w:p w14:paraId="4D578EF1" w14:textId="77777777" w:rsidR="002377CF" w:rsidRDefault="002377CF">
      <w:pPr>
        <w:spacing w:line="360" w:lineRule="auto"/>
        <w:jc w:val="both"/>
        <w:rPr>
          <w:rFonts w:cs="FrankRuehl"/>
          <w:spacing w:val="24"/>
          <w:sz w:val="34"/>
          <w:szCs w:val="34"/>
          <w:rtl/>
        </w:rPr>
      </w:pPr>
    </w:p>
    <w:p w14:paraId="3313829A" w14:textId="77777777" w:rsidR="002377CF" w:rsidRDefault="00820138">
      <w:pPr>
        <w:spacing w:line="360" w:lineRule="auto"/>
        <w:jc w:val="both"/>
        <w:rPr>
          <w:rFonts w:cs="FrankRuehl"/>
          <w:spacing w:val="24"/>
          <w:sz w:val="28"/>
          <w:szCs w:val="28"/>
          <w:rtl/>
        </w:rPr>
      </w:pPr>
      <w:r>
        <w:rPr>
          <w:rFonts w:cs="FrankRuehl" w:hint="cs"/>
          <w:spacing w:val="24"/>
          <w:sz w:val="28"/>
          <w:szCs w:val="28"/>
          <w:rtl/>
        </w:rPr>
        <w:t>9.</w:t>
      </w:r>
      <w:r>
        <w:rPr>
          <w:rFonts w:cs="FrankRuehl" w:hint="cs"/>
          <w:spacing w:val="24"/>
          <w:sz w:val="28"/>
          <w:szCs w:val="28"/>
          <w:rtl/>
        </w:rPr>
        <w:tab/>
        <w:t>מעשיו של הנאשם חמורים והם ראויים לתגובה עונשית הולמת. אין מקום לאמץ את השקפתו של הסנגור על דבר התרחשות האירועים, ואופן פעולתן של הנפשות שפעלו בו. הנאשם, בשל סכסוך אישי שהיה קיים לו עם חותנו, סב ילדיו, ביקש "לסגור עמו חשבון" בדרכים עברייניות, בלתי תרבותיות וקשות במיוחד. הנאשם הציב את הדרישות כלפי בוחבוט, הוא ביקש כי דרישותיו יוצאו אל הפועל, הוא שילם עבור כך, והוא ידע כי מדובר במעשים עברייניים הכוללים הצתת רכב והזמנה לשבור את עצמותיו של אדם קשיש, עד כדי אשפוזו. טענת הסנגור לפיה הנאשם לא נתן הוראות ספציפיות לביצוע, פועלת דווקא לחובתו של הנאשם, אשר ראה לנגד עיניו את השורה התחתונה בלבד, והיא ביצוע רצונותיו, תוך שהיה אדיש לחלוטין לנזק העלול להיגרם מהצתת כלי רכב, שכן ברור כי כלי הרכב, שהצתתו חמורה לכשעצמה, לא יוצת במדבר שומם, על גבעה חולית, אלא במקום מגורי או עיסוקי בני אדם, על כל הכרוך והמשתמע מכך. לנאשם לא היה אכפת כלל כיצד יבוצעו תוכניותיו, ואמנם הוא לא הנחה את בוחבוט כיצד לחבול באליאספור, אולם התעלמות זו נתנה לבוחבוט יד חופשית לבחור את אופן הביצוע. יודגש בהקשר זה כי בסופו של דבר המפעילים של אדרי לא ראו מנוס מלחתוך את צמיגי מכוניתו של אליאספור,  באמצעות אדרי, זאת הנוכח הלחץ הרב שהופעל על אדרי לחבול בגופו של אליאספור, דהיינו, הנאשם שידר את רצונו העז כי יש לבצע את תוכניותיו.</w:t>
      </w:r>
    </w:p>
    <w:p w14:paraId="0E8619A0" w14:textId="77777777" w:rsidR="002377CF" w:rsidRDefault="002377CF">
      <w:pPr>
        <w:spacing w:line="360" w:lineRule="auto"/>
        <w:jc w:val="both"/>
        <w:rPr>
          <w:rFonts w:cs="FrankRuehl"/>
          <w:spacing w:val="24"/>
          <w:sz w:val="28"/>
          <w:szCs w:val="28"/>
          <w:rtl/>
        </w:rPr>
      </w:pPr>
    </w:p>
    <w:p w14:paraId="4991D422" w14:textId="77777777" w:rsidR="002377CF" w:rsidRDefault="00820138">
      <w:pPr>
        <w:spacing w:line="360" w:lineRule="auto"/>
        <w:jc w:val="both"/>
        <w:rPr>
          <w:rFonts w:cs="FrankRuehl"/>
          <w:spacing w:val="24"/>
          <w:sz w:val="28"/>
          <w:szCs w:val="28"/>
          <w:rtl/>
        </w:rPr>
      </w:pPr>
      <w:r>
        <w:rPr>
          <w:rFonts w:cs="FrankRuehl" w:hint="cs"/>
          <w:spacing w:val="24"/>
          <w:sz w:val="28"/>
          <w:szCs w:val="28"/>
          <w:rtl/>
        </w:rPr>
        <w:t>10.</w:t>
      </w:r>
      <w:r>
        <w:rPr>
          <w:rFonts w:cs="FrankRuehl" w:hint="cs"/>
          <w:spacing w:val="24"/>
          <w:sz w:val="28"/>
          <w:szCs w:val="28"/>
          <w:rtl/>
        </w:rPr>
        <w:tab/>
        <w:t xml:space="preserve">האמור לעיל מוליך לכך שהניסיון להציג את הנאשם כדמות השולית בפרשה, אינו צליח. נהפוך הוא, הנאשם היה הדמות המרכזית בפרשה, על פיו נשק דבר, הוא קשור לעבירת ההצתה במישרין כמי ששילם עבורה ודרש את ביצועה. כזכור, החבלה במר אליאספור נמנעה, לא משום שהנאשם חזר בו, אלא משום היותו של אדרי סוכן משטרתי. </w:t>
      </w:r>
    </w:p>
    <w:p w14:paraId="7A84015A" w14:textId="77777777" w:rsidR="002377CF" w:rsidRDefault="002377CF">
      <w:pPr>
        <w:spacing w:line="360" w:lineRule="auto"/>
        <w:jc w:val="both"/>
        <w:rPr>
          <w:rFonts w:cs="FrankRuehl"/>
          <w:spacing w:val="24"/>
          <w:sz w:val="28"/>
          <w:szCs w:val="28"/>
          <w:rtl/>
        </w:rPr>
      </w:pPr>
    </w:p>
    <w:p w14:paraId="3534D434" w14:textId="77777777" w:rsidR="002377CF" w:rsidRDefault="00820138" w:rsidP="00D85785">
      <w:pPr>
        <w:spacing w:line="360" w:lineRule="auto"/>
        <w:jc w:val="both"/>
        <w:rPr>
          <w:rFonts w:cs="FrankRuehl"/>
          <w:spacing w:val="24"/>
          <w:sz w:val="28"/>
          <w:szCs w:val="28"/>
          <w:rtl/>
        </w:rPr>
      </w:pPr>
      <w:r>
        <w:rPr>
          <w:rFonts w:cs="FrankRuehl" w:hint="cs"/>
          <w:spacing w:val="24"/>
          <w:sz w:val="28"/>
          <w:szCs w:val="28"/>
          <w:rtl/>
        </w:rPr>
        <w:t>11.</w:t>
      </w:r>
      <w:r>
        <w:rPr>
          <w:rFonts w:cs="FrankRuehl" w:hint="cs"/>
          <w:spacing w:val="24"/>
          <w:sz w:val="28"/>
          <w:szCs w:val="28"/>
          <w:rtl/>
        </w:rPr>
        <w:tab/>
      </w:r>
      <w:r>
        <w:rPr>
          <w:rFonts w:cs="FrankRuehl"/>
          <w:spacing w:val="24"/>
          <w:sz w:val="28"/>
          <w:szCs w:val="28"/>
          <w:rtl/>
        </w:rPr>
        <w:t>גזירת דינו של הנאשם באה במסגרת הוראת תיקון 113 ל</w:t>
      </w:r>
      <w:hyperlink r:id="rId28" w:history="1">
        <w:r w:rsidR="00611368" w:rsidRPr="00611368">
          <w:rPr>
            <w:rStyle w:val="Hyperlink"/>
            <w:rFonts w:cs="FrankRuehl"/>
            <w:spacing w:val="24"/>
            <w:sz w:val="28"/>
            <w:szCs w:val="28"/>
            <w:rtl/>
          </w:rPr>
          <w:t>חוק העונשין</w:t>
        </w:r>
      </w:hyperlink>
      <w:r>
        <w:rPr>
          <w:rFonts w:cs="FrankRuehl"/>
          <w:spacing w:val="24"/>
          <w:sz w:val="28"/>
          <w:szCs w:val="28"/>
          <w:rtl/>
        </w:rPr>
        <w:t xml:space="preserve"> – הבניית שיקול הדעת השיפו</w:t>
      </w:r>
      <w:r w:rsidR="00D85785">
        <w:rPr>
          <w:rFonts w:cs="FrankRuehl"/>
          <w:spacing w:val="24"/>
          <w:sz w:val="28"/>
          <w:szCs w:val="28"/>
          <w:rtl/>
        </w:rPr>
        <w:t xml:space="preserve">טי בענישה. בהתאם להוראת סעיף </w:t>
      </w:r>
      <w:hyperlink r:id="rId29" w:history="1">
        <w:r w:rsidR="00D85785" w:rsidRPr="00D85785">
          <w:rPr>
            <w:rStyle w:val="Hyperlink"/>
            <w:rFonts w:cs="FrankRuehl"/>
            <w:spacing w:val="24"/>
            <w:sz w:val="28"/>
            <w:szCs w:val="28"/>
            <w:rtl/>
          </w:rPr>
          <w:t>40ב</w:t>
        </w:r>
      </w:hyperlink>
      <w:r>
        <w:rPr>
          <w:rFonts w:cs="FrankRuehl"/>
          <w:spacing w:val="24"/>
          <w:sz w:val="28"/>
          <w:szCs w:val="28"/>
          <w:rtl/>
        </w:rPr>
        <w:t xml:space="preserve"> ל</w:t>
      </w:r>
      <w:hyperlink r:id="rId30" w:history="1">
        <w:r w:rsidR="00611368" w:rsidRPr="00611368">
          <w:rPr>
            <w:rStyle w:val="Hyperlink"/>
            <w:rFonts w:cs="FrankRuehl"/>
            <w:spacing w:val="24"/>
            <w:sz w:val="28"/>
            <w:szCs w:val="28"/>
            <w:rtl/>
          </w:rPr>
          <w:t>חוק העונשין</w:t>
        </w:r>
      </w:hyperlink>
      <w:r>
        <w:rPr>
          <w:rFonts w:cs="FrankRuehl"/>
          <w:spacing w:val="24"/>
          <w:sz w:val="28"/>
          <w:szCs w:val="28"/>
          <w:rtl/>
        </w:rPr>
        <w:t xml:space="preserve">, העיקרון המנחה בענישה הנו קיומו של יחס הולם בין חומרת מעשה העבירה בנסיבותיו ומידת אשמתו של הנאשם, ובין סוג ומידת </w:t>
      </w:r>
      <w:r w:rsidR="00D85785">
        <w:rPr>
          <w:rFonts w:cs="FrankRuehl"/>
          <w:spacing w:val="24"/>
          <w:sz w:val="28"/>
          <w:szCs w:val="28"/>
          <w:rtl/>
        </w:rPr>
        <w:t xml:space="preserve">העונש המוטל עליו. הוראת סעיף </w:t>
      </w:r>
      <w:hyperlink r:id="rId31" w:history="1">
        <w:r w:rsidR="00D85785" w:rsidRPr="00D85785">
          <w:rPr>
            <w:rStyle w:val="Hyperlink"/>
            <w:rFonts w:cs="FrankRuehl"/>
            <w:spacing w:val="24"/>
            <w:sz w:val="28"/>
            <w:szCs w:val="28"/>
            <w:rtl/>
          </w:rPr>
          <w:t>40ג(א)</w:t>
        </w:r>
      </w:hyperlink>
      <w:r>
        <w:rPr>
          <w:rFonts w:cs="FrankRuehl"/>
          <w:spacing w:val="24"/>
          <w:sz w:val="28"/>
          <w:szCs w:val="28"/>
          <w:rtl/>
        </w:rPr>
        <w:t xml:space="preserve"> קובעת כי יש לקבוע מתחם ענישה הולם למעשה העבירה שביצע הנאשם בהתאם לעיקרון המנחה, תוך התחשבות בערך החברתי שנפגע מביצוע העבירה, במידת הפגיעה בו, במדיניות הענישה הנהוגה ובנסיבות הקשורו</w:t>
      </w:r>
      <w:r w:rsidR="00D85785">
        <w:rPr>
          <w:rFonts w:cs="FrankRuehl"/>
          <w:spacing w:val="24"/>
          <w:sz w:val="28"/>
          <w:szCs w:val="28"/>
          <w:rtl/>
        </w:rPr>
        <w:t xml:space="preserve">ת בביצוע העבירה כמפורט בסעיף </w:t>
      </w:r>
      <w:hyperlink r:id="rId32" w:history="1">
        <w:r w:rsidR="00D85785" w:rsidRPr="00D85785">
          <w:rPr>
            <w:rStyle w:val="Hyperlink"/>
            <w:rFonts w:cs="FrankRuehl"/>
            <w:spacing w:val="24"/>
            <w:sz w:val="28"/>
            <w:szCs w:val="28"/>
            <w:rtl/>
          </w:rPr>
          <w:t>40ט</w:t>
        </w:r>
      </w:hyperlink>
      <w:r w:rsidR="00D85785">
        <w:rPr>
          <w:rFonts w:cs="FrankRuehl"/>
          <w:spacing w:val="24"/>
          <w:sz w:val="28"/>
          <w:szCs w:val="28"/>
          <w:rtl/>
        </w:rPr>
        <w:t xml:space="preserve"> לחוק (</w:t>
      </w:r>
      <w:hyperlink r:id="rId33" w:history="1">
        <w:r w:rsidR="00D85785" w:rsidRPr="00D85785">
          <w:rPr>
            <w:rStyle w:val="Hyperlink"/>
            <w:rFonts w:cs="FrankRuehl"/>
            <w:spacing w:val="24"/>
            <w:sz w:val="28"/>
            <w:szCs w:val="28"/>
            <w:rtl/>
          </w:rPr>
          <w:t>סעיף 40ט</w:t>
        </w:r>
      </w:hyperlink>
      <w:r>
        <w:rPr>
          <w:rFonts w:cs="FrankRuehl"/>
          <w:spacing w:val="24"/>
          <w:sz w:val="28"/>
          <w:szCs w:val="28"/>
          <w:rtl/>
        </w:rPr>
        <w:t xml:space="preserve"> מפרט נסיבות בהן יש להתחשב, במידה שהתקיימו וככל שהן משפיעות על חומרת מעשה העבירה ואשמו של הנאשם, ביניהן התכנון, חלקו היחסי של הנאשם, הנזק שנגרם וכמפורט באותו סעיף). כן קיימות הוראות בדבר אפשרות חריגה ממתחם הענישה (</w:t>
      </w:r>
      <w:r w:rsidR="00D85785">
        <w:rPr>
          <w:rFonts w:cs="FrankRuehl"/>
          <w:spacing w:val="24"/>
          <w:sz w:val="28"/>
          <w:szCs w:val="28"/>
          <w:rtl/>
        </w:rPr>
        <w:t xml:space="preserve">במקרה של אפשרות שיקום – סעיף </w:t>
      </w:r>
      <w:hyperlink r:id="rId34" w:history="1">
        <w:r w:rsidR="00D85785" w:rsidRPr="00D85785">
          <w:rPr>
            <w:rStyle w:val="Hyperlink"/>
            <w:rFonts w:cs="FrankRuehl"/>
            <w:spacing w:val="24"/>
            <w:sz w:val="28"/>
            <w:szCs w:val="28"/>
            <w:rtl/>
          </w:rPr>
          <w:t>40ד</w:t>
        </w:r>
      </w:hyperlink>
      <w:r>
        <w:rPr>
          <w:rFonts w:cs="FrankRuehl"/>
          <w:spacing w:val="24"/>
          <w:sz w:val="28"/>
          <w:szCs w:val="28"/>
          <w:rtl/>
        </w:rPr>
        <w:t xml:space="preserve">), ובמקרים של הגנה על שלום הציבור, הרתעה אישית או הרתעת הרבים, מקום שנמצא לכך צורך (סעיפים </w:t>
      </w:r>
      <w:hyperlink r:id="rId35" w:history="1">
        <w:r w:rsidR="00D85785" w:rsidRPr="00D85785">
          <w:rPr>
            <w:rStyle w:val="Hyperlink"/>
            <w:rFonts w:cs="FrankRuehl"/>
            <w:spacing w:val="24"/>
            <w:sz w:val="28"/>
            <w:szCs w:val="28"/>
            <w:rtl/>
          </w:rPr>
          <w:t>40ה</w:t>
        </w:r>
      </w:hyperlink>
      <w:r>
        <w:rPr>
          <w:rFonts w:cs="FrankRuehl"/>
          <w:spacing w:val="24"/>
          <w:sz w:val="28"/>
          <w:szCs w:val="28"/>
          <w:rtl/>
        </w:rPr>
        <w:t xml:space="preserve">', </w:t>
      </w:r>
      <w:hyperlink r:id="rId36" w:history="1">
        <w:r w:rsidR="00D85785" w:rsidRPr="00D85785">
          <w:rPr>
            <w:rStyle w:val="Hyperlink"/>
            <w:rFonts w:cs="FrankRuehl"/>
            <w:spacing w:val="24"/>
            <w:sz w:val="28"/>
            <w:szCs w:val="28"/>
            <w:rtl/>
          </w:rPr>
          <w:t>40ו</w:t>
        </w:r>
      </w:hyperlink>
      <w:r>
        <w:rPr>
          <w:rFonts w:cs="FrankRuehl"/>
          <w:spacing w:val="24"/>
          <w:sz w:val="28"/>
          <w:szCs w:val="28"/>
          <w:rtl/>
        </w:rPr>
        <w:t xml:space="preserve">', </w:t>
      </w:r>
      <w:hyperlink r:id="rId37" w:history="1">
        <w:r w:rsidR="00D85785" w:rsidRPr="00D85785">
          <w:rPr>
            <w:rStyle w:val="Hyperlink"/>
            <w:rFonts w:cs="FrankRuehl"/>
            <w:spacing w:val="24"/>
            <w:sz w:val="28"/>
            <w:szCs w:val="28"/>
            <w:rtl/>
          </w:rPr>
          <w:t>40ז</w:t>
        </w:r>
      </w:hyperlink>
      <w:r>
        <w:rPr>
          <w:rFonts w:cs="FrankRuehl"/>
          <w:spacing w:val="24"/>
          <w:sz w:val="28"/>
          <w:szCs w:val="28"/>
          <w:rtl/>
        </w:rPr>
        <w:t xml:space="preserve">') ובלבד שהעונש לא יחרוג ממתחם הענישה. לעניין הוכחת הנסיבות הקשורות בביצוע העבירה, ניתן לטעון להן ואף להביא ראיות גם בשלב הטיעונים לעונש ובמסגרת </w:t>
      </w:r>
      <w:r w:rsidR="00D85785">
        <w:rPr>
          <w:rFonts w:cs="FrankRuehl"/>
          <w:spacing w:val="24"/>
          <w:sz w:val="28"/>
          <w:szCs w:val="28"/>
          <w:rtl/>
        </w:rPr>
        <w:t xml:space="preserve">המגבלות הקבועות בהוראות סעיף </w:t>
      </w:r>
      <w:hyperlink r:id="rId38" w:history="1">
        <w:r w:rsidR="00D85785" w:rsidRPr="00D85785">
          <w:rPr>
            <w:rStyle w:val="Hyperlink"/>
            <w:rFonts w:cs="FrankRuehl"/>
            <w:spacing w:val="24"/>
            <w:sz w:val="28"/>
            <w:szCs w:val="28"/>
            <w:rtl/>
          </w:rPr>
          <w:t>40י</w:t>
        </w:r>
      </w:hyperlink>
      <w:r>
        <w:rPr>
          <w:rFonts w:cs="FrankRuehl"/>
          <w:spacing w:val="24"/>
          <w:sz w:val="28"/>
          <w:szCs w:val="28"/>
          <w:rtl/>
        </w:rPr>
        <w:t xml:space="preserve"> לחוק. הוראת התיקון מתייחסת אף לנסיבות אישיות של הנאשם אותן ניתן להביא בחשבון בגדר גזירת העונש, שאינ</w:t>
      </w:r>
      <w:r w:rsidR="00D85785">
        <w:rPr>
          <w:rFonts w:cs="FrankRuehl"/>
          <w:spacing w:val="24"/>
          <w:sz w:val="28"/>
          <w:szCs w:val="28"/>
          <w:rtl/>
        </w:rPr>
        <w:t xml:space="preserve">ן קשורות בביצוע העבירה (סעיף </w:t>
      </w:r>
      <w:hyperlink r:id="rId39" w:history="1">
        <w:r w:rsidR="00D85785" w:rsidRPr="00D85785">
          <w:rPr>
            <w:rStyle w:val="Hyperlink"/>
            <w:rFonts w:cs="FrankRuehl"/>
            <w:spacing w:val="24"/>
            <w:sz w:val="28"/>
            <w:szCs w:val="28"/>
            <w:rtl/>
          </w:rPr>
          <w:t>40יא</w:t>
        </w:r>
      </w:hyperlink>
      <w:r>
        <w:rPr>
          <w:rFonts w:cs="FrankRuehl"/>
          <w:spacing w:val="24"/>
          <w:sz w:val="28"/>
          <w:szCs w:val="28"/>
          <w:rtl/>
        </w:rPr>
        <w:t xml:space="preserve">), וביניהן הפגיעה של העונש בנאשם ובמשפחתו, לרבות גילו, נזקים שנגרמו לנאשם, נטילת אחריות, מאמצים לתיקון תוצאות העבירה ופיצוי, התנהגות נורמטיבית, נסיבות חיים קשות, </w:t>
      </w:r>
      <w:r w:rsidR="00D85785">
        <w:rPr>
          <w:rFonts w:cs="FrankRuehl"/>
          <w:spacing w:val="24"/>
          <w:sz w:val="28"/>
          <w:szCs w:val="28"/>
          <w:rtl/>
        </w:rPr>
        <w:t xml:space="preserve">חלוף הזמן ועבר פלילי. סעיף </w:t>
      </w:r>
      <w:hyperlink r:id="rId40" w:history="1">
        <w:r w:rsidR="00D85785" w:rsidRPr="00D85785">
          <w:rPr>
            <w:rStyle w:val="Hyperlink"/>
            <w:rFonts w:cs="FrankRuehl"/>
            <w:spacing w:val="24"/>
            <w:sz w:val="28"/>
            <w:szCs w:val="28"/>
            <w:rtl/>
          </w:rPr>
          <w:t>40יב</w:t>
        </w:r>
      </w:hyperlink>
      <w:r>
        <w:rPr>
          <w:rFonts w:cs="FrankRuehl"/>
          <w:spacing w:val="24"/>
          <w:sz w:val="28"/>
          <w:szCs w:val="28"/>
          <w:rtl/>
        </w:rPr>
        <w:t xml:space="preserve"> מציין שהוראות סעיפים </w:t>
      </w:r>
      <w:hyperlink r:id="rId41" w:history="1">
        <w:r w:rsidR="00D85785" w:rsidRPr="00D85785">
          <w:rPr>
            <w:rStyle w:val="Hyperlink"/>
            <w:rFonts w:cs="FrankRuehl"/>
            <w:spacing w:val="24"/>
            <w:sz w:val="28"/>
            <w:szCs w:val="28"/>
            <w:rtl/>
          </w:rPr>
          <w:t xml:space="preserve">40ט </w:t>
        </w:r>
      </w:hyperlink>
      <w:r>
        <w:rPr>
          <w:rFonts w:cs="FrankRuehl"/>
          <w:spacing w:val="24"/>
          <w:sz w:val="28"/>
          <w:szCs w:val="28"/>
          <w:rtl/>
        </w:rPr>
        <w:t xml:space="preserve">  ו – </w:t>
      </w:r>
      <w:hyperlink r:id="rId42" w:history="1">
        <w:r w:rsidR="00D85785" w:rsidRPr="00D85785">
          <w:rPr>
            <w:rStyle w:val="Hyperlink"/>
            <w:rFonts w:cs="FrankRuehl"/>
            <w:spacing w:val="24"/>
            <w:sz w:val="28"/>
            <w:szCs w:val="28"/>
            <w:rtl/>
          </w:rPr>
          <w:t>40יא</w:t>
        </w:r>
      </w:hyperlink>
      <w:r>
        <w:rPr>
          <w:rFonts w:cs="FrankRuehl"/>
          <w:spacing w:val="24"/>
          <w:sz w:val="28"/>
          <w:szCs w:val="28"/>
          <w:rtl/>
        </w:rPr>
        <w:t xml:space="preserve">' אינן מהוות רשימה סגורה וניתן לשקול נסיבות נוספות הקשורות בביצוע העבירה, לשם קביעת מתחם העונש ההולם ונסיבות נוספות שאינן קשורות בביצוע העבירה לשם גזירת העונש המתאים. </w:t>
      </w:r>
    </w:p>
    <w:p w14:paraId="46BDA821" w14:textId="77777777" w:rsidR="002377CF" w:rsidRDefault="00820138">
      <w:pPr>
        <w:spacing w:line="360" w:lineRule="auto"/>
        <w:jc w:val="both"/>
        <w:rPr>
          <w:rFonts w:cs="FrankRuehl"/>
          <w:spacing w:val="24"/>
          <w:sz w:val="28"/>
          <w:szCs w:val="28"/>
          <w:rtl/>
        </w:rPr>
      </w:pPr>
      <w:r>
        <w:rPr>
          <w:rFonts w:cs="FrankRuehl"/>
          <w:spacing w:val="24"/>
          <w:sz w:val="28"/>
          <w:szCs w:val="28"/>
          <w:rtl/>
        </w:rPr>
        <w:tab/>
        <w:t xml:space="preserve">הוראת סעיף </w:t>
      </w:r>
      <w:hyperlink r:id="rId43" w:history="1">
        <w:r w:rsidR="00D85785" w:rsidRPr="00D85785">
          <w:rPr>
            <w:rStyle w:val="Hyperlink"/>
            <w:rFonts w:cs="FrankRuehl"/>
            <w:spacing w:val="24"/>
            <w:sz w:val="28"/>
            <w:szCs w:val="28"/>
            <w:rtl/>
          </w:rPr>
          <w:t>40יג</w:t>
        </w:r>
      </w:hyperlink>
      <w:r>
        <w:rPr>
          <w:rFonts w:cs="FrankRuehl"/>
          <w:spacing w:val="24"/>
          <w:sz w:val="28"/>
          <w:szCs w:val="28"/>
          <w:rtl/>
        </w:rPr>
        <w:t xml:space="preserve">' קובעת כי למספר עבירות המהוות אירוע אחד יקבע מתחם עונש הולם לאירוע כולו, דהיינו, מקום שקיימים מספר אירועים, יש לקבוע מתחם ענישה לכל אירוע בנפרד וניתן (לשון החוק היא 'רשאי') לגזור עונש נפרד לכל אירוע, או עונש כולל לכל האירועים. </w:t>
      </w:r>
    </w:p>
    <w:p w14:paraId="74E7E0A3" w14:textId="77777777" w:rsidR="002377CF" w:rsidRDefault="00820138">
      <w:pPr>
        <w:spacing w:line="360" w:lineRule="auto"/>
        <w:jc w:val="both"/>
        <w:rPr>
          <w:rFonts w:cs="FrankRuehl"/>
          <w:spacing w:val="24"/>
          <w:sz w:val="28"/>
          <w:szCs w:val="28"/>
        </w:rPr>
      </w:pPr>
      <w:r>
        <w:rPr>
          <w:rFonts w:cs="FrankRuehl"/>
          <w:spacing w:val="24"/>
          <w:sz w:val="28"/>
          <w:szCs w:val="28"/>
          <w:rtl/>
        </w:rPr>
        <w:tab/>
        <w:t xml:space="preserve">התיקון לחוק מחייב פירוט ונימוק בגזר הדין באשר לקביעת מתחם העונש ההולם בהתאם לעיקרון המנחה והנסיבות הקשורות בביצוע העבירה בהן באה התחשבות לצורך קביעת מתחם העונש ההולם וגזירת עונש מתאים לנאשם והנסיבות שאינן קשורות בביצוע העבירה בהן באה התחשבות, חריגה ממתחם העונש ההולם והדרך בה נגזר הדין לאחר הרשעה המתייחס לכמה אירועים (סעיף </w:t>
      </w:r>
      <w:hyperlink r:id="rId44" w:history="1">
        <w:r w:rsidR="00D85785" w:rsidRPr="00D85785">
          <w:rPr>
            <w:rStyle w:val="Hyperlink"/>
            <w:rFonts w:cs="FrankRuehl"/>
            <w:spacing w:val="24"/>
            <w:sz w:val="28"/>
            <w:szCs w:val="28"/>
            <w:rtl/>
          </w:rPr>
          <w:t>40יד</w:t>
        </w:r>
      </w:hyperlink>
      <w:r>
        <w:rPr>
          <w:rFonts w:cs="FrankRuehl"/>
          <w:spacing w:val="24"/>
          <w:sz w:val="28"/>
          <w:szCs w:val="28"/>
          <w:rtl/>
        </w:rPr>
        <w:t>').</w:t>
      </w:r>
    </w:p>
    <w:p w14:paraId="7EA1C792" w14:textId="77777777" w:rsidR="002377CF" w:rsidRDefault="002377CF">
      <w:pPr>
        <w:rPr>
          <w:sz w:val="44"/>
          <w:szCs w:val="48"/>
        </w:rPr>
      </w:pPr>
    </w:p>
    <w:p w14:paraId="1F721DB5" w14:textId="77777777" w:rsidR="002377CF" w:rsidRDefault="00820138">
      <w:pPr>
        <w:spacing w:line="360" w:lineRule="auto"/>
        <w:jc w:val="both"/>
        <w:rPr>
          <w:rFonts w:cs="FrankRuehl"/>
          <w:spacing w:val="24"/>
          <w:sz w:val="28"/>
          <w:szCs w:val="28"/>
          <w:rtl/>
        </w:rPr>
      </w:pPr>
      <w:r>
        <w:rPr>
          <w:rFonts w:cs="FrankRuehl" w:hint="cs"/>
          <w:spacing w:val="24"/>
          <w:sz w:val="28"/>
          <w:szCs w:val="28"/>
          <w:rtl/>
        </w:rPr>
        <w:t>12.</w:t>
      </w:r>
      <w:r>
        <w:rPr>
          <w:rFonts w:cs="FrankRuehl" w:hint="cs"/>
          <w:spacing w:val="24"/>
          <w:sz w:val="28"/>
          <w:szCs w:val="28"/>
          <w:rtl/>
        </w:rPr>
        <w:tab/>
        <w:t>הערך החברתי שנפגע ממעשיו של הנאשם הנו שלום הציבור ובטחונו, הן במובן של פגיעה ברכוש והן בפוטנציאל הפגיעה בנפש. באשר לנסיבות ביצוע העבירות יש להדגיש כי הנאשם מינה את בוחבוט למוציא לפועל של תוכניותיו, תוך שעצם את עיניו לאמצעים הפסולים והמסוכנים שישמשו ליישום התוכניות, לרבות מעשי ההצתה. לאור כך, מתחם הענישה הראוי באשר לאירועי האישום הראשון, לאור העונש הקבוע בחוק לאותן עבירות ולאור פסיקה שניתנה בגין מקרים דומים, נע בין מאסר בעבודות שירות ועד לחמש שנות מאסר בפועל. מתחם העונש באשר לאישום השלישי, לאור העקרונות הנ"ל, הנו בין מאסר מותנה ועד 24 חודשי מאסר בפועל, ובאשר לאישום הרביעי, המתחם הראוי הנו מאסר מותנה ועד 18 חודשי מאסר בפועל. כאמור לעיל, ניתן לפסוק עונש כולל בגין כל האירועים. לאחר שקלול כל הנתונים, כפי שאלה פורטו לעיל, ולאחר שהבאתי בחשבון גם את גילו של הנאשם, את העובדה כי לצורך העניין ניתן לראותו כנטול עבר פלילי, ואת מידת העונש שנגזרה על בוחבוט, אשר יש בה, בהתאמה, תוך התחשבות בשוני בעבירות בהן הורשעו השניים, להשליך על העונש לו ראוי הנאשם, ומאחר שאין נסיבות המצדיקות סטייה מהמתחם, אני גוזר על הנאשם כלהלן:</w:t>
      </w:r>
    </w:p>
    <w:p w14:paraId="77EA715B" w14:textId="77777777" w:rsidR="002377CF" w:rsidRDefault="002377CF">
      <w:pPr>
        <w:spacing w:line="360" w:lineRule="auto"/>
        <w:jc w:val="both"/>
        <w:rPr>
          <w:rFonts w:cs="FrankRuehl"/>
          <w:spacing w:val="24"/>
          <w:sz w:val="28"/>
          <w:szCs w:val="28"/>
          <w:rtl/>
        </w:rPr>
      </w:pPr>
    </w:p>
    <w:p w14:paraId="780BB0A2" w14:textId="77777777" w:rsidR="002377CF" w:rsidRDefault="00820138">
      <w:pPr>
        <w:spacing w:line="360" w:lineRule="auto"/>
        <w:ind w:firstLine="720"/>
        <w:jc w:val="both"/>
        <w:rPr>
          <w:rFonts w:cs="FrankRuehl"/>
          <w:spacing w:val="24"/>
          <w:sz w:val="28"/>
          <w:szCs w:val="28"/>
          <w:rtl/>
        </w:rPr>
      </w:pPr>
      <w:r>
        <w:rPr>
          <w:rFonts w:cs="FrankRuehl" w:hint="cs"/>
          <w:spacing w:val="24"/>
          <w:sz w:val="28"/>
          <w:szCs w:val="28"/>
          <w:rtl/>
        </w:rPr>
        <w:t>א.</w:t>
      </w:r>
      <w:r>
        <w:rPr>
          <w:rFonts w:cs="FrankRuehl" w:hint="cs"/>
          <w:spacing w:val="24"/>
          <w:sz w:val="28"/>
          <w:szCs w:val="28"/>
          <w:rtl/>
        </w:rPr>
        <w:tab/>
        <w:t>מאסר בפועל לתקופה של 30 חודשים, בניכוי ימי מעצרו.</w:t>
      </w:r>
    </w:p>
    <w:p w14:paraId="73842B5D" w14:textId="77777777" w:rsidR="002377CF" w:rsidRDefault="002377CF">
      <w:pPr>
        <w:spacing w:line="360" w:lineRule="auto"/>
        <w:jc w:val="both"/>
        <w:rPr>
          <w:rFonts w:cs="FrankRuehl"/>
          <w:spacing w:val="24"/>
          <w:sz w:val="28"/>
          <w:szCs w:val="28"/>
          <w:rtl/>
        </w:rPr>
      </w:pPr>
    </w:p>
    <w:p w14:paraId="30807A02" w14:textId="77777777" w:rsidR="002377CF" w:rsidRDefault="00820138">
      <w:pPr>
        <w:spacing w:line="360" w:lineRule="auto"/>
        <w:ind w:left="1440" w:hanging="720"/>
        <w:jc w:val="both"/>
        <w:rPr>
          <w:rFonts w:cs="FrankRuehl"/>
          <w:spacing w:val="24"/>
          <w:sz w:val="28"/>
          <w:szCs w:val="28"/>
          <w:rtl/>
        </w:rPr>
      </w:pPr>
      <w:r>
        <w:rPr>
          <w:rFonts w:cs="FrankRuehl" w:hint="cs"/>
          <w:spacing w:val="24"/>
          <w:sz w:val="28"/>
          <w:szCs w:val="28"/>
          <w:rtl/>
        </w:rPr>
        <w:t>ב.</w:t>
      </w:r>
      <w:r>
        <w:rPr>
          <w:rFonts w:cs="FrankRuehl" w:hint="cs"/>
          <w:spacing w:val="24"/>
          <w:sz w:val="28"/>
          <w:szCs w:val="28"/>
          <w:rtl/>
        </w:rPr>
        <w:tab/>
        <w:t xml:space="preserve">מאסר מותנה לתקופה של שמונה חודשים והתנאי הוא שהנאשם לא יעבור בתוך שלוש שנים מיום שחרורו ממאסר על עבירה מסוג פשע. </w:t>
      </w:r>
    </w:p>
    <w:p w14:paraId="4BD575DE" w14:textId="77777777" w:rsidR="002377CF" w:rsidRDefault="002377CF">
      <w:pPr>
        <w:spacing w:line="360" w:lineRule="auto"/>
        <w:jc w:val="both"/>
        <w:rPr>
          <w:rFonts w:cs="FrankRuehl"/>
          <w:spacing w:val="24"/>
          <w:sz w:val="28"/>
          <w:szCs w:val="28"/>
          <w:rtl/>
        </w:rPr>
      </w:pPr>
    </w:p>
    <w:p w14:paraId="5717A901" w14:textId="77777777" w:rsidR="002377CF" w:rsidRDefault="00820138">
      <w:pPr>
        <w:spacing w:line="360" w:lineRule="auto"/>
        <w:ind w:firstLine="720"/>
        <w:jc w:val="both"/>
        <w:rPr>
          <w:rFonts w:cs="FrankRuehl"/>
          <w:spacing w:val="24"/>
          <w:sz w:val="28"/>
          <w:szCs w:val="28"/>
          <w:rtl/>
        </w:rPr>
      </w:pPr>
      <w:r>
        <w:rPr>
          <w:rFonts w:cs="FrankRuehl" w:hint="cs"/>
          <w:spacing w:val="24"/>
          <w:sz w:val="28"/>
          <w:szCs w:val="28"/>
          <w:rtl/>
        </w:rPr>
        <w:t>ג.</w:t>
      </w:r>
      <w:r>
        <w:rPr>
          <w:rFonts w:cs="FrankRuehl" w:hint="cs"/>
          <w:spacing w:val="24"/>
          <w:sz w:val="28"/>
          <w:szCs w:val="28"/>
          <w:rtl/>
        </w:rPr>
        <w:tab/>
        <w:t xml:space="preserve">פיצוי למתלונן, מר אליאספור, בסך 20,000 ₪. </w:t>
      </w:r>
    </w:p>
    <w:p w14:paraId="41BB5FA8" w14:textId="77777777" w:rsidR="002377CF" w:rsidRDefault="002377CF">
      <w:pPr>
        <w:spacing w:line="360" w:lineRule="auto"/>
        <w:jc w:val="both"/>
        <w:rPr>
          <w:rFonts w:cs="FrankRuehl"/>
          <w:spacing w:val="24"/>
          <w:sz w:val="28"/>
          <w:szCs w:val="28"/>
          <w:rtl/>
        </w:rPr>
      </w:pPr>
    </w:p>
    <w:p w14:paraId="4C519722" w14:textId="77777777" w:rsidR="002377CF" w:rsidRDefault="00820138">
      <w:pPr>
        <w:spacing w:line="360" w:lineRule="auto"/>
        <w:ind w:firstLine="720"/>
        <w:jc w:val="both"/>
        <w:rPr>
          <w:rFonts w:cs="FrankRuehl"/>
          <w:spacing w:val="24"/>
          <w:sz w:val="28"/>
          <w:szCs w:val="28"/>
          <w:rtl/>
        </w:rPr>
      </w:pPr>
      <w:r>
        <w:rPr>
          <w:rFonts w:cs="FrankRuehl" w:hint="cs"/>
          <w:spacing w:val="24"/>
          <w:sz w:val="28"/>
          <w:szCs w:val="28"/>
          <w:rtl/>
        </w:rPr>
        <w:t xml:space="preserve">זכות ערעור לבית משפט העליון בתוך 45 יום מהיום. </w:t>
      </w:r>
    </w:p>
    <w:p w14:paraId="711FCACA" w14:textId="77777777" w:rsidR="002377CF" w:rsidRDefault="002377CF">
      <w:pPr>
        <w:rPr>
          <w:rFonts w:cs="FrankRuehl"/>
          <w:spacing w:val="24"/>
          <w:sz w:val="28"/>
          <w:szCs w:val="28"/>
          <w:rtl/>
        </w:rPr>
      </w:pPr>
    </w:p>
    <w:p w14:paraId="6BB3A69C" w14:textId="77777777" w:rsidR="002377CF" w:rsidRDefault="00820138">
      <w:pPr>
        <w:spacing w:line="360" w:lineRule="auto"/>
        <w:ind w:firstLine="720"/>
        <w:jc w:val="both"/>
        <w:rPr>
          <w:rFonts w:ascii="Arial" w:hAnsi="Arial" w:cs="FrankRuehl"/>
          <w:spacing w:val="24"/>
          <w:sz w:val="28"/>
          <w:szCs w:val="28"/>
          <w:rtl/>
        </w:rPr>
      </w:pPr>
      <w:r>
        <w:rPr>
          <w:rFonts w:ascii="Arial" w:hAnsi="Arial" w:cs="FrankRuehl"/>
          <w:spacing w:val="24"/>
          <w:sz w:val="28"/>
          <w:szCs w:val="28"/>
          <w:rtl/>
        </w:rPr>
        <w:t xml:space="preserve">ניתן היום,  כ"ז אייר תשע"ג, 07 מאי 2013, במעמד בא כוח המאשימה, </w:t>
      </w:r>
      <w:r>
        <w:rPr>
          <w:rFonts w:ascii="Arial" w:hAnsi="Arial" w:cs="FrankRuehl" w:hint="cs"/>
          <w:spacing w:val="24"/>
          <w:sz w:val="28"/>
          <w:szCs w:val="28"/>
          <w:rtl/>
        </w:rPr>
        <w:t xml:space="preserve">בא כוח הנא שם והנאשם בעצמו. </w:t>
      </w:r>
    </w:p>
    <w:p w14:paraId="660B98FE" w14:textId="77777777" w:rsidR="002377CF" w:rsidRDefault="002377CF">
      <w:pPr>
        <w:spacing w:line="360" w:lineRule="auto"/>
        <w:ind w:firstLine="720"/>
        <w:jc w:val="both"/>
        <w:rPr>
          <w:rFonts w:ascii="Arial" w:hAnsi="Arial" w:cs="FrankRuehl"/>
          <w:spacing w:val="24"/>
          <w:sz w:val="28"/>
          <w:szCs w:val="28"/>
          <w:rtl/>
        </w:rPr>
      </w:pPr>
    </w:p>
    <w:p w14:paraId="65F93EE2" w14:textId="77777777" w:rsidR="002377CF" w:rsidRDefault="002377CF">
      <w:pPr>
        <w:spacing w:line="360" w:lineRule="auto"/>
        <w:ind w:firstLine="720"/>
        <w:jc w:val="both"/>
        <w:rPr>
          <w:rFonts w:ascii="Arial" w:hAnsi="Arial" w:cs="FrankRuehl"/>
          <w:spacing w:val="24"/>
          <w:sz w:val="28"/>
          <w:szCs w:val="28"/>
          <w:rtl/>
        </w:rPr>
      </w:pPr>
    </w:p>
    <w:p w14:paraId="25EE528C" w14:textId="77777777" w:rsidR="00820138" w:rsidRPr="00820138" w:rsidRDefault="00820138" w:rsidP="00820138">
      <w:pPr>
        <w:keepNext/>
        <w:spacing w:line="360" w:lineRule="auto"/>
        <w:rPr>
          <w:rFonts w:ascii="David" w:hAnsi="David"/>
          <w:color w:val="000000"/>
          <w:spacing w:val="24"/>
          <w:sz w:val="22"/>
          <w:szCs w:val="22"/>
          <w:rtl/>
        </w:rPr>
      </w:pPr>
    </w:p>
    <w:p w14:paraId="42E194A8" w14:textId="77777777" w:rsidR="000C44E7" w:rsidRPr="000C44E7" w:rsidRDefault="000C44E7" w:rsidP="000C44E7">
      <w:pPr>
        <w:keepNext/>
        <w:spacing w:line="360" w:lineRule="auto"/>
        <w:rPr>
          <w:rFonts w:ascii="David" w:hAnsi="David" w:hint="cs"/>
          <w:color w:val="000000"/>
          <w:spacing w:val="24"/>
          <w:sz w:val="22"/>
          <w:szCs w:val="22"/>
          <w:rtl/>
        </w:rPr>
      </w:pPr>
    </w:p>
    <w:p w14:paraId="6310DC07" w14:textId="77777777" w:rsidR="002377CF" w:rsidRDefault="002377CF">
      <w:pPr>
        <w:spacing w:line="360" w:lineRule="auto"/>
        <w:ind w:firstLine="720"/>
        <w:jc w:val="both"/>
        <w:rPr>
          <w:rFonts w:ascii="Arial" w:hAnsi="Arial" w:cs="FrankRuehl"/>
          <w:spacing w:val="24"/>
          <w:sz w:val="28"/>
          <w:szCs w:val="28"/>
          <w:rtl/>
        </w:rPr>
      </w:pPr>
    </w:p>
    <w:tbl>
      <w:tblPr>
        <w:tblpPr w:leftFromText="180" w:rightFromText="180" w:vertAnchor="text" w:horzAnchor="page" w:tblpX="1063" w:tblpY="162"/>
        <w:bidiVisual/>
        <w:tblW w:w="0" w:type="auto"/>
        <w:tblLook w:val="01E0" w:firstRow="1" w:lastRow="1" w:firstColumn="1" w:lastColumn="1" w:noHBand="0" w:noVBand="0"/>
      </w:tblPr>
      <w:tblGrid>
        <w:gridCol w:w="2444"/>
      </w:tblGrid>
      <w:tr w:rsidR="002377CF" w14:paraId="602831ED" w14:textId="77777777">
        <w:tc>
          <w:tcPr>
            <w:tcW w:w="2444" w:type="dxa"/>
            <w:tcBorders>
              <w:top w:val="nil"/>
              <w:left w:val="nil"/>
              <w:bottom w:val="single" w:sz="4" w:space="0" w:color="auto"/>
              <w:right w:val="nil"/>
            </w:tcBorders>
            <w:vAlign w:val="center"/>
          </w:tcPr>
          <w:p w14:paraId="18D5E112" w14:textId="77777777" w:rsidR="002377CF" w:rsidRDefault="002377CF">
            <w:pPr>
              <w:jc w:val="center"/>
              <w:rPr>
                <w:rFonts w:ascii="Courier New" w:hAnsi="Courier New"/>
                <w:b/>
                <w:bCs/>
                <w:rtl/>
              </w:rPr>
            </w:pPr>
          </w:p>
        </w:tc>
      </w:tr>
      <w:tr w:rsidR="002377CF" w14:paraId="63EA4F41" w14:textId="77777777">
        <w:tc>
          <w:tcPr>
            <w:tcW w:w="2444" w:type="dxa"/>
            <w:tcBorders>
              <w:top w:val="single" w:sz="4" w:space="0" w:color="auto"/>
              <w:left w:val="nil"/>
              <w:bottom w:val="nil"/>
              <w:right w:val="nil"/>
            </w:tcBorders>
            <w:vAlign w:val="center"/>
          </w:tcPr>
          <w:p w14:paraId="01102865" w14:textId="77777777" w:rsidR="002377CF" w:rsidRDefault="00820138">
            <w:pPr>
              <w:spacing w:line="360" w:lineRule="auto"/>
              <w:jc w:val="center"/>
              <w:rPr>
                <w:b/>
                <w:bCs/>
                <w:noProof/>
              </w:rPr>
            </w:pPr>
            <w:r>
              <w:rPr>
                <w:rFonts w:hint="cs"/>
                <w:b/>
                <w:bCs/>
                <w:rtl/>
              </w:rPr>
              <w:t>רפי כרמל, שופט</w:t>
            </w:r>
          </w:p>
        </w:tc>
      </w:tr>
    </w:tbl>
    <w:p w14:paraId="2EEF6308" w14:textId="77777777" w:rsidR="002377CF" w:rsidRDefault="002377CF">
      <w:pPr>
        <w:spacing w:line="360" w:lineRule="auto"/>
        <w:jc w:val="both"/>
        <w:rPr>
          <w:rFonts w:ascii="Arial" w:hAnsi="Arial" w:cs="FrankRuehl"/>
          <w:spacing w:val="24"/>
          <w:sz w:val="28"/>
          <w:szCs w:val="28"/>
          <w:rtl/>
        </w:rPr>
      </w:pPr>
    </w:p>
    <w:p w14:paraId="30B6F6DC" w14:textId="77777777" w:rsidR="002377CF" w:rsidRDefault="002377CF">
      <w:pPr>
        <w:spacing w:line="360" w:lineRule="auto"/>
        <w:jc w:val="both"/>
        <w:rPr>
          <w:rFonts w:ascii="Arial" w:hAnsi="Arial" w:cs="FrankRuehl"/>
          <w:spacing w:val="24"/>
          <w:sz w:val="28"/>
          <w:szCs w:val="28"/>
          <w:rtl/>
        </w:rPr>
      </w:pPr>
    </w:p>
    <w:p w14:paraId="76291E4D" w14:textId="77777777" w:rsidR="002377CF" w:rsidRDefault="002377CF">
      <w:pPr>
        <w:spacing w:line="360" w:lineRule="auto"/>
        <w:jc w:val="both"/>
        <w:rPr>
          <w:rFonts w:ascii="Arial" w:hAnsi="Arial" w:cs="FrankRuehl"/>
          <w:spacing w:val="24"/>
          <w:sz w:val="28"/>
          <w:szCs w:val="28"/>
          <w:rtl/>
        </w:rPr>
      </w:pPr>
    </w:p>
    <w:p w14:paraId="227C5BA6" w14:textId="77777777" w:rsidR="000C44E7" w:rsidRPr="000C44E7" w:rsidRDefault="000C44E7" w:rsidP="000C44E7">
      <w:pPr>
        <w:keepNext/>
        <w:spacing w:line="360" w:lineRule="auto"/>
        <w:rPr>
          <w:rFonts w:ascii="David" w:hAnsi="David"/>
          <w:color w:val="000000"/>
          <w:spacing w:val="24"/>
          <w:sz w:val="22"/>
          <w:szCs w:val="22"/>
          <w:rtl/>
        </w:rPr>
      </w:pPr>
      <w:r w:rsidRPr="000C44E7">
        <w:rPr>
          <w:rFonts w:ascii="David" w:hAnsi="David"/>
          <w:color w:val="000000"/>
          <w:spacing w:val="24"/>
          <w:sz w:val="22"/>
          <w:szCs w:val="22"/>
          <w:rtl/>
        </w:rPr>
        <w:t>רפי כרמל 54678313-/</w:t>
      </w:r>
    </w:p>
    <w:p w14:paraId="17D4A388" w14:textId="77777777" w:rsidR="002377CF" w:rsidRDefault="002377CF">
      <w:pPr>
        <w:spacing w:line="360" w:lineRule="auto"/>
        <w:jc w:val="both"/>
        <w:rPr>
          <w:rFonts w:ascii="Arial" w:hAnsi="Arial" w:cs="FrankRuehl"/>
          <w:spacing w:val="24"/>
          <w:sz w:val="28"/>
          <w:szCs w:val="28"/>
          <w:rtl/>
        </w:rPr>
      </w:pPr>
    </w:p>
    <w:p w14:paraId="53926309" w14:textId="77777777" w:rsidR="002377CF" w:rsidRDefault="002377CF">
      <w:pPr>
        <w:spacing w:line="360" w:lineRule="auto"/>
        <w:jc w:val="both"/>
        <w:rPr>
          <w:rFonts w:ascii="Arial" w:hAnsi="Arial" w:cs="FrankRuehl"/>
          <w:spacing w:val="24"/>
          <w:sz w:val="28"/>
          <w:szCs w:val="28"/>
          <w:rtl/>
        </w:rPr>
      </w:pPr>
    </w:p>
    <w:p w14:paraId="31EE26D0" w14:textId="77777777" w:rsidR="002377CF" w:rsidRPr="00820138" w:rsidRDefault="00820138">
      <w:pPr>
        <w:rPr>
          <w:color w:val="FFFFFF"/>
          <w:sz w:val="2"/>
          <w:szCs w:val="2"/>
          <w:rtl/>
        </w:rPr>
      </w:pPr>
      <w:r w:rsidRPr="00820138">
        <w:rPr>
          <w:color w:val="FFFFFF"/>
          <w:sz w:val="2"/>
          <w:szCs w:val="2"/>
          <w:rtl/>
        </w:rPr>
        <w:t>5129371</w:t>
      </w:r>
    </w:p>
    <w:p w14:paraId="1853CB89" w14:textId="77777777" w:rsidR="002377CF" w:rsidRPr="00820138" w:rsidRDefault="00820138">
      <w:pPr>
        <w:rPr>
          <w:color w:val="FFFFFF"/>
          <w:sz w:val="2"/>
          <w:szCs w:val="2"/>
        </w:rPr>
      </w:pPr>
      <w:r w:rsidRPr="00820138">
        <w:rPr>
          <w:color w:val="FFFFFF"/>
          <w:sz w:val="2"/>
          <w:szCs w:val="2"/>
          <w:rtl/>
        </w:rPr>
        <w:t>54678313</w:t>
      </w:r>
    </w:p>
    <w:p w14:paraId="61B415AB" w14:textId="77777777" w:rsidR="002377CF" w:rsidRPr="000C44E7" w:rsidRDefault="000C44E7">
      <w:pPr>
        <w:spacing w:line="360" w:lineRule="auto"/>
        <w:jc w:val="both"/>
        <w:rPr>
          <w:rFonts w:ascii="Arial" w:hAnsi="Arial" w:cs="FrankRuehl"/>
          <w:color w:val="FFFFFF"/>
          <w:spacing w:val="24"/>
          <w:sz w:val="2"/>
          <w:szCs w:val="2"/>
        </w:rPr>
      </w:pPr>
      <w:r w:rsidRPr="000C44E7">
        <w:rPr>
          <w:rFonts w:ascii="Arial" w:hAnsi="Arial" w:cs="FrankRuehl"/>
          <w:color w:val="FFFFFF"/>
          <w:spacing w:val="24"/>
          <w:sz w:val="2"/>
          <w:szCs w:val="2"/>
          <w:rtl/>
        </w:rPr>
        <w:t>5129371</w:t>
      </w:r>
    </w:p>
    <w:p w14:paraId="54B02539" w14:textId="77777777" w:rsidR="002377CF" w:rsidRPr="000C44E7" w:rsidRDefault="000C44E7">
      <w:pPr>
        <w:rPr>
          <w:rFonts w:cs="FrankRuehl"/>
          <w:color w:val="FFFFFF"/>
          <w:sz w:val="2"/>
          <w:szCs w:val="2"/>
          <w:rtl/>
        </w:rPr>
      </w:pPr>
      <w:r w:rsidRPr="000C44E7">
        <w:rPr>
          <w:rFonts w:cs="FrankRuehl"/>
          <w:color w:val="FFFFFF"/>
          <w:sz w:val="2"/>
          <w:szCs w:val="2"/>
          <w:rtl/>
        </w:rPr>
        <w:t>54678313</w:t>
      </w:r>
    </w:p>
    <w:p w14:paraId="0490EF53" w14:textId="77777777" w:rsidR="002377CF" w:rsidRDefault="00820138">
      <w:pPr>
        <w:jc w:val="center"/>
        <w:rPr>
          <w:rFonts w:cs="FrankRuehl"/>
          <w:sz w:val="28"/>
          <w:szCs w:val="28"/>
          <w:rtl/>
        </w:rPr>
      </w:pPr>
      <w:r>
        <w:rPr>
          <w:rFonts w:hint="cs"/>
          <w:rtl/>
        </w:rPr>
        <w:t xml:space="preserve">   </w:t>
      </w:r>
      <w:r>
        <w:rPr>
          <w:rFonts w:hint="cs"/>
          <w:rtl/>
        </w:rPr>
        <w:tab/>
      </w:r>
      <w:r>
        <w:rPr>
          <w:rFonts w:hint="cs"/>
          <w:rtl/>
        </w:rPr>
        <w:tab/>
      </w:r>
      <w:r>
        <w:rPr>
          <w:rFonts w:hint="cs"/>
          <w:rtl/>
        </w:rPr>
        <w:tab/>
      </w:r>
    </w:p>
    <w:p w14:paraId="473A010B" w14:textId="77777777" w:rsidR="00820138" w:rsidRDefault="00820138" w:rsidP="00820138">
      <w:r w:rsidRPr="00820138">
        <w:rPr>
          <w:color w:val="000000"/>
          <w:rtl/>
        </w:rPr>
        <w:t>נוסח מסמך זה כפוף לשינויי ניסוח ועריכה</w:t>
      </w:r>
    </w:p>
    <w:p w14:paraId="1746DE30" w14:textId="77777777" w:rsidR="00820138" w:rsidRDefault="00820138" w:rsidP="00820138">
      <w:pPr>
        <w:rPr>
          <w:rtl/>
        </w:rPr>
      </w:pPr>
    </w:p>
    <w:p w14:paraId="14C68D17" w14:textId="77777777" w:rsidR="00820138" w:rsidRDefault="00820138" w:rsidP="00820138">
      <w:pPr>
        <w:jc w:val="center"/>
        <w:rPr>
          <w:color w:val="0000FF"/>
          <w:u w:val="single"/>
        </w:rPr>
      </w:pPr>
      <w:r w:rsidRPr="00DB4628">
        <w:rPr>
          <w:color w:val="000000"/>
          <w:rtl/>
        </w:rPr>
        <w:t>בעניין עריכה ושינויים במסמכי פסיקה, חקיקה ועוד באתר נבו – הקש כאן</w:t>
      </w:r>
    </w:p>
    <w:sectPr w:rsidR="00820138" w:rsidSect="000C44E7">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46E779" w14:textId="77777777" w:rsidR="0084227E" w:rsidRPr="00C02A28" w:rsidRDefault="0084227E">
      <w:pPr>
        <w:rPr>
          <w:rFonts w:cs="Arial"/>
          <w:szCs w:val="20"/>
        </w:rPr>
      </w:pPr>
      <w:r>
        <w:separator/>
      </w:r>
    </w:p>
  </w:endnote>
  <w:endnote w:type="continuationSeparator" w:id="0">
    <w:p w14:paraId="6EA150F6" w14:textId="77777777" w:rsidR="0084227E" w:rsidRPr="00C02A28" w:rsidRDefault="0084227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09FFA" w14:textId="77777777" w:rsidR="00653477" w:rsidRDefault="00653477" w:rsidP="000C44E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E460C51" w14:textId="77777777" w:rsidR="00653477" w:rsidRPr="000C44E7" w:rsidRDefault="00653477" w:rsidP="000C44E7">
    <w:pPr>
      <w:pStyle w:val="a4"/>
      <w:pBdr>
        <w:top w:val="single" w:sz="4" w:space="1" w:color="auto"/>
        <w:between w:val="single" w:sz="4" w:space="0" w:color="auto"/>
      </w:pBdr>
      <w:spacing w:after="60"/>
      <w:jc w:val="center"/>
      <w:rPr>
        <w:rFonts w:ascii="FrankRuehl" w:hAnsi="FrankRuehl" w:cs="FrankRuehl"/>
        <w:color w:val="000000"/>
      </w:rPr>
    </w:pPr>
    <w:r w:rsidRPr="000C44E7">
      <w:rPr>
        <w:rFonts w:ascii="FrankRuehl" w:hAnsi="FrankRuehl" w:cs="FrankRuehl"/>
        <w:color w:val="000000"/>
      </w:rPr>
      <w:pict w14:anchorId="7B806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97464" w14:textId="77777777" w:rsidR="00653477" w:rsidRDefault="00653477" w:rsidP="000C44E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133D1">
      <w:rPr>
        <w:rFonts w:ascii="FrankRuehl" w:hAnsi="FrankRuehl" w:cs="FrankRuehl"/>
        <w:noProof/>
        <w:rtl/>
      </w:rPr>
      <w:t>1</w:t>
    </w:r>
    <w:r>
      <w:rPr>
        <w:rFonts w:ascii="FrankRuehl" w:hAnsi="FrankRuehl" w:cs="FrankRuehl"/>
        <w:rtl/>
      </w:rPr>
      <w:fldChar w:fldCharType="end"/>
    </w:r>
  </w:p>
  <w:p w14:paraId="6933004F" w14:textId="77777777" w:rsidR="00653477" w:rsidRPr="000C44E7" w:rsidRDefault="00653477" w:rsidP="000C44E7">
    <w:pPr>
      <w:pStyle w:val="a4"/>
      <w:pBdr>
        <w:top w:val="single" w:sz="4" w:space="1" w:color="auto"/>
        <w:between w:val="single" w:sz="4" w:space="0" w:color="auto"/>
      </w:pBdr>
      <w:spacing w:after="60"/>
      <w:jc w:val="center"/>
      <w:rPr>
        <w:rFonts w:ascii="FrankRuehl" w:hAnsi="FrankRuehl" w:cs="FrankRuehl"/>
        <w:color w:val="000000"/>
      </w:rPr>
    </w:pPr>
    <w:r w:rsidRPr="000C44E7">
      <w:rPr>
        <w:rFonts w:ascii="FrankRuehl" w:hAnsi="FrankRuehl" w:cs="FrankRuehl"/>
        <w:color w:val="000000"/>
      </w:rPr>
      <w:pict w14:anchorId="07FED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65F6D" w14:textId="77777777" w:rsidR="0084227E" w:rsidRPr="00C02A28" w:rsidRDefault="0084227E">
      <w:pPr>
        <w:rPr>
          <w:rFonts w:cs="Arial"/>
          <w:szCs w:val="20"/>
        </w:rPr>
      </w:pPr>
      <w:r>
        <w:separator/>
      </w:r>
    </w:p>
  </w:footnote>
  <w:footnote w:type="continuationSeparator" w:id="0">
    <w:p w14:paraId="7AC84382" w14:textId="77777777" w:rsidR="0084227E" w:rsidRPr="00C02A28" w:rsidRDefault="0084227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0886D" w14:textId="77777777" w:rsidR="00653477" w:rsidRPr="000C44E7" w:rsidRDefault="00653477" w:rsidP="000C44E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43136-01-11</w:t>
    </w:r>
    <w:r>
      <w:rPr>
        <w:rFonts w:ascii="David" w:hAnsi="David"/>
        <w:color w:val="000000"/>
        <w:sz w:val="22"/>
        <w:szCs w:val="22"/>
        <w:rtl/>
      </w:rPr>
      <w:tab/>
      <w:t xml:space="preserve"> מדינת ישראל נ' שי שטרית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F7E9D" w14:textId="77777777" w:rsidR="00653477" w:rsidRPr="000C44E7" w:rsidRDefault="00653477" w:rsidP="000C44E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43136-01-11</w:t>
    </w:r>
    <w:r>
      <w:rPr>
        <w:rFonts w:ascii="David" w:hAnsi="David"/>
        <w:color w:val="000000"/>
        <w:sz w:val="22"/>
        <w:szCs w:val="22"/>
        <w:rtl/>
      </w:rPr>
      <w:tab/>
      <w:t xml:space="preserve"> מדינת ישראל נ' שי שטרית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377CF"/>
    <w:rsid w:val="000C44E7"/>
    <w:rsid w:val="001712D9"/>
    <w:rsid w:val="002377CF"/>
    <w:rsid w:val="00611368"/>
    <w:rsid w:val="00653477"/>
    <w:rsid w:val="00820138"/>
    <w:rsid w:val="0084227E"/>
    <w:rsid w:val="00AF34E0"/>
    <w:rsid w:val="00BA32F7"/>
    <w:rsid w:val="00C133D1"/>
    <w:rsid w:val="00D85785"/>
    <w:rsid w:val="00D94C6B"/>
    <w:rsid w:val="00DB4628"/>
    <w:rsid w:val="00F03F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60FD2FC"/>
  <w15:chartTrackingRefBased/>
  <w15:docId w15:val="{69CF772D-17F2-4FD5-B2D5-7D67DF92D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377CF"/>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377CF"/>
    <w:pPr>
      <w:tabs>
        <w:tab w:val="center" w:pos="4153"/>
        <w:tab w:val="right" w:pos="8306"/>
      </w:tabs>
    </w:pPr>
  </w:style>
  <w:style w:type="paragraph" w:styleId="a4">
    <w:name w:val="footer"/>
    <w:basedOn w:val="a"/>
    <w:rsid w:val="002377CF"/>
    <w:pPr>
      <w:tabs>
        <w:tab w:val="center" w:pos="4153"/>
        <w:tab w:val="right" w:pos="8306"/>
      </w:tabs>
    </w:pPr>
  </w:style>
  <w:style w:type="character" w:styleId="a5">
    <w:name w:val="page number"/>
    <w:basedOn w:val="a0"/>
    <w:rsid w:val="002377CF"/>
  </w:style>
  <w:style w:type="character" w:styleId="Hyperlink">
    <w:name w:val="Hyperlink"/>
    <w:rsid w:val="008201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70301/40jd" TargetMode="External"/><Relationship Id="rId26" Type="http://schemas.openxmlformats.org/officeDocument/2006/relationships/hyperlink" Target="http://www.nevo.co.il/law/4216/7.a" TargetMode="External"/><Relationship Id="rId39" Type="http://schemas.openxmlformats.org/officeDocument/2006/relationships/hyperlink" Target="http://www.nevo.co.il/law/70301/40ja" TargetMode="External"/><Relationship Id="rId21" Type="http://schemas.openxmlformats.org/officeDocument/2006/relationships/hyperlink" Target="http://www.nevo.co.il/law/4216" TargetMode="External"/><Relationship Id="rId34" Type="http://schemas.openxmlformats.org/officeDocument/2006/relationships/hyperlink" Target="http://www.nevo.co.il/law/70301/40d" TargetMode="External"/><Relationship Id="rId42" Type="http://schemas.openxmlformats.org/officeDocument/2006/relationships/hyperlink" Target="http://www.nevo.co.il/law/70301/40ja"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40b" TargetMode="External"/><Relationship Id="rId2" Type="http://schemas.openxmlformats.org/officeDocument/2006/relationships/settings" Target="settings.xml"/><Relationship Id="rId16" Type="http://schemas.openxmlformats.org/officeDocument/2006/relationships/hyperlink" Target="http://www.nevo.co.il/law/70301/40jb" TargetMode="External"/><Relationship Id="rId29" Type="http://schemas.openxmlformats.org/officeDocument/2006/relationships/hyperlink" Target="http://www.nevo.co.il/law/70301/40b" TargetMode="External"/><Relationship Id="rId11" Type="http://schemas.openxmlformats.org/officeDocument/2006/relationships/hyperlink" Target="http://www.nevo.co.il/law/70301/40f"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40i" TargetMode="External"/><Relationship Id="rId37" Type="http://schemas.openxmlformats.org/officeDocument/2006/relationships/hyperlink" Target="http://www.nevo.co.il/law/70301/40g" TargetMode="External"/><Relationship Id="rId40" Type="http://schemas.openxmlformats.org/officeDocument/2006/relationships/hyperlink" Target="http://www.nevo.co.il/law/70301/40jb"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0301/499.a.1"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40f" TargetMode="External"/><Relationship Id="rId49" Type="http://schemas.openxmlformats.org/officeDocument/2006/relationships/fontTable" Target="fontTable.xml"/><Relationship Id="rId10" Type="http://schemas.openxmlformats.org/officeDocument/2006/relationships/hyperlink" Target="http://www.nevo.co.il/law/70301/40e" TargetMode="External"/><Relationship Id="rId19" Type="http://schemas.openxmlformats.org/officeDocument/2006/relationships/hyperlink" Target="http://www.nevo.co.il/law/70301/448.a" TargetMode="External"/><Relationship Id="rId31" Type="http://schemas.openxmlformats.org/officeDocument/2006/relationships/hyperlink" Target="http://www.nevo.co.il/law/70301/40c.a" TargetMode="External"/><Relationship Id="rId44" Type="http://schemas.openxmlformats.org/officeDocument/2006/relationships/hyperlink" Target="http://www.nevo.co.il/law/70301/40jd" TargetMode="External"/><Relationship Id="rId4" Type="http://schemas.openxmlformats.org/officeDocument/2006/relationships/footnotes" Target="footnotes.xml"/><Relationship Id="rId9" Type="http://schemas.openxmlformats.org/officeDocument/2006/relationships/hyperlink" Target="http://www.nevo.co.il/law/70301/40d" TargetMode="External"/><Relationship Id="rId14" Type="http://schemas.openxmlformats.org/officeDocument/2006/relationships/hyperlink" Target="http://www.nevo.co.il/law/70301/40j"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4216"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40e" TargetMode="External"/><Relationship Id="rId43" Type="http://schemas.openxmlformats.org/officeDocument/2006/relationships/hyperlink" Target="http://www.nevo.co.il/law/70301/40jc" TargetMode="External"/><Relationship Id="rId48" Type="http://schemas.openxmlformats.org/officeDocument/2006/relationships/footer" Target="footer2.xml"/><Relationship Id="rId8" Type="http://schemas.openxmlformats.org/officeDocument/2006/relationships/hyperlink" Target="http://www.nevo.co.il/law/70301/40c.a" TargetMode="External"/><Relationship Id="rId3" Type="http://schemas.openxmlformats.org/officeDocument/2006/relationships/webSettings" Target="webSettings.xml"/><Relationship Id="rId12" Type="http://schemas.openxmlformats.org/officeDocument/2006/relationships/hyperlink" Target="http://www.nevo.co.il/law/70301/40g" TargetMode="External"/><Relationship Id="rId17" Type="http://schemas.openxmlformats.org/officeDocument/2006/relationships/hyperlink" Target="http://www.nevo.co.il/law/70301/40jc" TargetMode="External"/><Relationship Id="rId25" Type="http://schemas.openxmlformats.org/officeDocument/2006/relationships/hyperlink" Target="http://www.nevo.co.il/law/70301/448.a" TargetMode="External"/><Relationship Id="rId33" Type="http://schemas.openxmlformats.org/officeDocument/2006/relationships/hyperlink" Target="http://www.nevo.co.il/law/70301/40i" TargetMode="External"/><Relationship Id="rId38" Type="http://schemas.openxmlformats.org/officeDocument/2006/relationships/hyperlink" Target="http://www.nevo.co.il/law/70301/40j" TargetMode="External"/><Relationship Id="rId46" Type="http://schemas.openxmlformats.org/officeDocument/2006/relationships/header" Target="header2.xml"/><Relationship Id="rId20" Type="http://schemas.openxmlformats.org/officeDocument/2006/relationships/hyperlink" Target="http://www.nevo.co.il/law/70301/499.a.1" TargetMode="External"/><Relationship Id="rId41" Type="http://schemas.openxmlformats.org/officeDocument/2006/relationships/hyperlink" Target="http://www.nevo.co.il/law/70301/40i"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2643</Words>
  <Characters>13215</Characters>
  <Application>Microsoft Office Word</Application>
  <DocSecurity>0</DocSecurity>
  <Lines>110</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15827</CharactersWithSpaces>
  <SharedDoc>false</SharedDoc>
  <HLinks>
    <vt:vector size="234" baseType="variant">
      <vt:variant>
        <vt:i4>65547</vt:i4>
      </vt:variant>
      <vt:variant>
        <vt:i4>114</vt:i4>
      </vt:variant>
      <vt:variant>
        <vt:i4>0</vt:i4>
      </vt:variant>
      <vt:variant>
        <vt:i4>5</vt:i4>
      </vt:variant>
      <vt:variant>
        <vt:lpwstr>http://www.nevo.co.il/law/70301/40jd</vt:lpwstr>
      </vt:variant>
      <vt:variant>
        <vt:lpwstr/>
      </vt:variant>
      <vt:variant>
        <vt:i4>393227</vt:i4>
      </vt:variant>
      <vt:variant>
        <vt:i4>111</vt:i4>
      </vt:variant>
      <vt:variant>
        <vt:i4>0</vt:i4>
      </vt:variant>
      <vt:variant>
        <vt:i4>5</vt:i4>
      </vt:variant>
      <vt:variant>
        <vt:lpwstr>http://www.nevo.co.il/law/70301/40jc</vt:lpwstr>
      </vt:variant>
      <vt:variant>
        <vt:lpwstr/>
      </vt:variant>
      <vt:variant>
        <vt:i4>262155</vt:i4>
      </vt:variant>
      <vt:variant>
        <vt:i4>108</vt:i4>
      </vt:variant>
      <vt:variant>
        <vt:i4>0</vt:i4>
      </vt:variant>
      <vt:variant>
        <vt:i4>5</vt:i4>
      </vt:variant>
      <vt:variant>
        <vt:lpwstr>http://www.nevo.co.il/law/70301/40ja</vt:lpwstr>
      </vt:variant>
      <vt:variant>
        <vt:lpwstr/>
      </vt:variant>
      <vt:variant>
        <vt:i4>6619233</vt:i4>
      </vt:variant>
      <vt:variant>
        <vt:i4>105</vt:i4>
      </vt:variant>
      <vt:variant>
        <vt:i4>0</vt:i4>
      </vt:variant>
      <vt:variant>
        <vt:i4>5</vt:i4>
      </vt:variant>
      <vt:variant>
        <vt:lpwstr>http://www.nevo.co.il/law/70301/40i</vt:lpwstr>
      </vt:variant>
      <vt:variant>
        <vt:lpwstr/>
      </vt:variant>
      <vt:variant>
        <vt:i4>458763</vt:i4>
      </vt:variant>
      <vt:variant>
        <vt:i4>102</vt:i4>
      </vt:variant>
      <vt:variant>
        <vt:i4>0</vt:i4>
      </vt:variant>
      <vt:variant>
        <vt:i4>5</vt:i4>
      </vt:variant>
      <vt:variant>
        <vt:lpwstr>http://www.nevo.co.il/law/70301/40jb</vt:lpwstr>
      </vt:variant>
      <vt:variant>
        <vt:lpwstr/>
      </vt:variant>
      <vt:variant>
        <vt:i4>262155</vt:i4>
      </vt:variant>
      <vt:variant>
        <vt:i4>99</vt:i4>
      </vt:variant>
      <vt:variant>
        <vt:i4>0</vt:i4>
      </vt:variant>
      <vt:variant>
        <vt:i4>5</vt:i4>
      </vt:variant>
      <vt:variant>
        <vt:lpwstr>http://www.nevo.co.il/law/70301/40ja</vt:lpwstr>
      </vt:variant>
      <vt:variant>
        <vt:lpwstr/>
      </vt:variant>
      <vt:variant>
        <vt:i4>6619233</vt:i4>
      </vt:variant>
      <vt:variant>
        <vt:i4>96</vt:i4>
      </vt:variant>
      <vt:variant>
        <vt:i4>0</vt:i4>
      </vt:variant>
      <vt:variant>
        <vt:i4>5</vt:i4>
      </vt:variant>
      <vt:variant>
        <vt:lpwstr>http://www.nevo.co.il/law/70301/40j</vt:lpwstr>
      </vt:variant>
      <vt:variant>
        <vt:lpwstr/>
      </vt:variant>
      <vt:variant>
        <vt:i4>6619233</vt:i4>
      </vt:variant>
      <vt:variant>
        <vt:i4>93</vt:i4>
      </vt:variant>
      <vt:variant>
        <vt:i4>0</vt:i4>
      </vt:variant>
      <vt:variant>
        <vt:i4>5</vt:i4>
      </vt:variant>
      <vt:variant>
        <vt:lpwstr>http://www.nevo.co.il/law/70301/40g</vt:lpwstr>
      </vt:variant>
      <vt:variant>
        <vt:lpwstr/>
      </vt:variant>
      <vt:variant>
        <vt:i4>6619233</vt:i4>
      </vt:variant>
      <vt:variant>
        <vt:i4>90</vt:i4>
      </vt:variant>
      <vt:variant>
        <vt:i4>0</vt:i4>
      </vt:variant>
      <vt:variant>
        <vt:i4>5</vt:i4>
      </vt:variant>
      <vt:variant>
        <vt:lpwstr>http://www.nevo.co.il/law/70301/40f</vt:lpwstr>
      </vt:variant>
      <vt:variant>
        <vt:lpwstr/>
      </vt:variant>
      <vt:variant>
        <vt:i4>6619233</vt:i4>
      </vt:variant>
      <vt:variant>
        <vt:i4>87</vt:i4>
      </vt:variant>
      <vt:variant>
        <vt:i4>0</vt:i4>
      </vt:variant>
      <vt:variant>
        <vt:i4>5</vt:i4>
      </vt:variant>
      <vt:variant>
        <vt:lpwstr>http://www.nevo.co.il/law/70301/40e</vt:lpwstr>
      </vt:variant>
      <vt:variant>
        <vt:lpwstr/>
      </vt:variant>
      <vt:variant>
        <vt:i4>6619233</vt:i4>
      </vt:variant>
      <vt:variant>
        <vt:i4>84</vt:i4>
      </vt:variant>
      <vt:variant>
        <vt:i4>0</vt:i4>
      </vt:variant>
      <vt:variant>
        <vt:i4>5</vt:i4>
      </vt:variant>
      <vt:variant>
        <vt:lpwstr>http://www.nevo.co.il/law/70301/40d</vt:lpwstr>
      </vt:variant>
      <vt:variant>
        <vt:lpwstr/>
      </vt:variant>
      <vt:variant>
        <vt:i4>6619233</vt:i4>
      </vt:variant>
      <vt:variant>
        <vt:i4>81</vt:i4>
      </vt:variant>
      <vt:variant>
        <vt:i4>0</vt:i4>
      </vt:variant>
      <vt:variant>
        <vt:i4>5</vt:i4>
      </vt:variant>
      <vt:variant>
        <vt:lpwstr>http://www.nevo.co.il/law/70301/40i</vt:lpwstr>
      </vt:variant>
      <vt:variant>
        <vt:lpwstr/>
      </vt:variant>
      <vt:variant>
        <vt:i4>6619233</vt:i4>
      </vt:variant>
      <vt:variant>
        <vt:i4>78</vt:i4>
      </vt:variant>
      <vt:variant>
        <vt:i4>0</vt:i4>
      </vt:variant>
      <vt:variant>
        <vt:i4>5</vt:i4>
      </vt:variant>
      <vt:variant>
        <vt:lpwstr>http://www.nevo.co.il/law/70301/40i</vt:lpwstr>
      </vt:variant>
      <vt:variant>
        <vt:lpwstr/>
      </vt:variant>
      <vt:variant>
        <vt:i4>4915202</vt:i4>
      </vt:variant>
      <vt:variant>
        <vt:i4>75</vt:i4>
      </vt:variant>
      <vt:variant>
        <vt:i4>0</vt:i4>
      </vt:variant>
      <vt:variant>
        <vt:i4>5</vt:i4>
      </vt:variant>
      <vt:variant>
        <vt:lpwstr>http://www.nevo.co.il/law/70301/40c.a</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http://www.nevo.co.il/law/70301/40b</vt:lpwstr>
      </vt:variant>
      <vt:variant>
        <vt:lpwstr/>
      </vt:variant>
      <vt:variant>
        <vt:i4>7995492</vt:i4>
      </vt:variant>
      <vt:variant>
        <vt:i4>66</vt:i4>
      </vt:variant>
      <vt:variant>
        <vt:i4>0</vt:i4>
      </vt:variant>
      <vt:variant>
        <vt:i4>5</vt:i4>
      </vt:variant>
      <vt:variant>
        <vt:lpwstr>http://www.nevo.co.il/law/70301</vt:lpwstr>
      </vt:variant>
      <vt:variant>
        <vt:lpwstr/>
      </vt:variant>
      <vt:variant>
        <vt:i4>8257637</vt:i4>
      </vt:variant>
      <vt:variant>
        <vt:i4>63</vt:i4>
      </vt:variant>
      <vt:variant>
        <vt:i4>0</vt:i4>
      </vt:variant>
      <vt:variant>
        <vt:i4>5</vt:i4>
      </vt:variant>
      <vt:variant>
        <vt:lpwstr>http://www.nevo.co.il/law/4216</vt:lpwstr>
      </vt:variant>
      <vt:variant>
        <vt:lpwstr/>
      </vt:variant>
      <vt:variant>
        <vt:i4>2621540</vt:i4>
      </vt:variant>
      <vt:variant>
        <vt:i4>60</vt:i4>
      </vt:variant>
      <vt:variant>
        <vt:i4>0</vt:i4>
      </vt:variant>
      <vt:variant>
        <vt:i4>5</vt:i4>
      </vt:variant>
      <vt:variant>
        <vt:lpwstr>http://www.nevo.co.il/law/4216/7.a</vt:lpwstr>
      </vt:variant>
      <vt:variant>
        <vt:lpwstr/>
      </vt:variant>
      <vt:variant>
        <vt:i4>5177433</vt:i4>
      </vt:variant>
      <vt:variant>
        <vt:i4>57</vt:i4>
      </vt:variant>
      <vt:variant>
        <vt:i4>0</vt:i4>
      </vt:variant>
      <vt:variant>
        <vt:i4>5</vt:i4>
      </vt:variant>
      <vt:variant>
        <vt:lpwstr>http://www.nevo.co.il/law/70301/448.a</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7077945</vt:i4>
      </vt:variant>
      <vt:variant>
        <vt:i4>51</vt:i4>
      </vt:variant>
      <vt:variant>
        <vt:i4>0</vt:i4>
      </vt:variant>
      <vt:variant>
        <vt:i4>5</vt:i4>
      </vt:variant>
      <vt:variant>
        <vt:lpwstr>http://www.nevo.co.il/law/70301/499.a.1</vt:lpwstr>
      </vt:variant>
      <vt:variant>
        <vt:lpwstr/>
      </vt:variant>
      <vt:variant>
        <vt:i4>2621540</vt:i4>
      </vt:variant>
      <vt:variant>
        <vt:i4>48</vt:i4>
      </vt:variant>
      <vt:variant>
        <vt:i4>0</vt:i4>
      </vt:variant>
      <vt:variant>
        <vt:i4>5</vt:i4>
      </vt:variant>
      <vt:variant>
        <vt:lpwstr>http://www.nevo.co.il/law/4216/7.a</vt:lpwstr>
      </vt:variant>
      <vt:variant>
        <vt:lpwstr/>
      </vt:variant>
      <vt:variant>
        <vt:i4>8257637</vt:i4>
      </vt:variant>
      <vt:variant>
        <vt:i4>45</vt:i4>
      </vt:variant>
      <vt:variant>
        <vt:i4>0</vt:i4>
      </vt:variant>
      <vt:variant>
        <vt:i4>5</vt:i4>
      </vt:variant>
      <vt:variant>
        <vt:lpwstr>http://www.nevo.co.il/law/4216</vt:lpwstr>
      </vt:variant>
      <vt:variant>
        <vt:lpwstr/>
      </vt:variant>
      <vt:variant>
        <vt:i4>7077945</vt:i4>
      </vt:variant>
      <vt:variant>
        <vt:i4>42</vt:i4>
      </vt:variant>
      <vt:variant>
        <vt:i4>0</vt:i4>
      </vt:variant>
      <vt:variant>
        <vt:i4>5</vt:i4>
      </vt:variant>
      <vt:variant>
        <vt:lpwstr>http://www.nevo.co.il/law/70301/499.a.1</vt:lpwstr>
      </vt:variant>
      <vt:variant>
        <vt:lpwstr/>
      </vt:variant>
      <vt:variant>
        <vt:i4>5177433</vt:i4>
      </vt:variant>
      <vt:variant>
        <vt:i4>39</vt:i4>
      </vt:variant>
      <vt:variant>
        <vt:i4>0</vt:i4>
      </vt:variant>
      <vt:variant>
        <vt:i4>5</vt:i4>
      </vt:variant>
      <vt:variant>
        <vt:lpwstr>http://www.nevo.co.il/law/70301/448.a</vt:lpwstr>
      </vt:variant>
      <vt:variant>
        <vt:lpwstr/>
      </vt:variant>
      <vt:variant>
        <vt:i4>65547</vt:i4>
      </vt:variant>
      <vt:variant>
        <vt:i4>36</vt:i4>
      </vt:variant>
      <vt:variant>
        <vt:i4>0</vt:i4>
      </vt:variant>
      <vt:variant>
        <vt:i4>5</vt:i4>
      </vt:variant>
      <vt:variant>
        <vt:lpwstr>http://www.nevo.co.il/law/70301/40jd</vt:lpwstr>
      </vt:variant>
      <vt:variant>
        <vt:lpwstr/>
      </vt:variant>
      <vt:variant>
        <vt:i4>393227</vt:i4>
      </vt:variant>
      <vt:variant>
        <vt:i4>33</vt:i4>
      </vt:variant>
      <vt:variant>
        <vt:i4>0</vt:i4>
      </vt:variant>
      <vt:variant>
        <vt:i4>5</vt:i4>
      </vt:variant>
      <vt:variant>
        <vt:lpwstr>http://www.nevo.co.il/law/70301/40jc</vt:lpwstr>
      </vt:variant>
      <vt:variant>
        <vt:lpwstr/>
      </vt:variant>
      <vt:variant>
        <vt:i4>458763</vt:i4>
      </vt:variant>
      <vt:variant>
        <vt:i4>30</vt:i4>
      </vt:variant>
      <vt:variant>
        <vt:i4>0</vt:i4>
      </vt:variant>
      <vt:variant>
        <vt:i4>5</vt:i4>
      </vt:variant>
      <vt:variant>
        <vt:lpwstr>http://www.nevo.co.il/law/70301/40jb</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6619233</vt:i4>
      </vt:variant>
      <vt:variant>
        <vt:i4>24</vt:i4>
      </vt:variant>
      <vt:variant>
        <vt:i4>0</vt:i4>
      </vt:variant>
      <vt:variant>
        <vt:i4>5</vt:i4>
      </vt:variant>
      <vt:variant>
        <vt:lpwstr>http://www.nevo.co.il/law/70301/40j</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http://www.nevo.co.il/law/70301/40g</vt:lpwstr>
      </vt:variant>
      <vt:variant>
        <vt:lpwstr/>
      </vt:variant>
      <vt:variant>
        <vt:i4>6619233</vt:i4>
      </vt:variant>
      <vt:variant>
        <vt:i4>15</vt:i4>
      </vt:variant>
      <vt:variant>
        <vt:i4>0</vt:i4>
      </vt:variant>
      <vt:variant>
        <vt:i4>5</vt:i4>
      </vt:variant>
      <vt:variant>
        <vt:lpwstr>http://www.nevo.co.il/law/70301/40f</vt:lpwstr>
      </vt:variant>
      <vt:variant>
        <vt:lpwstr/>
      </vt:variant>
      <vt:variant>
        <vt:i4>6619233</vt:i4>
      </vt:variant>
      <vt:variant>
        <vt:i4>12</vt:i4>
      </vt:variant>
      <vt:variant>
        <vt:i4>0</vt:i4>
      </vt:variant>
      <vt:variant>
        <vt:i4>5</vt:i4>
      </vt:variant>
      <vt:variant>
        <vt:lpwstr>http://www.nevo.co.il/law/70301/40e</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2025-04-22T20:20:00Z</dcterms:created>
  <dcterms:modified xsi:type="dcterms:W3CDTF">2025-04-22T20:20:00Z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43136</vt:lpwstr>
  </property>
  <property fmtid="{D5CDD505-2E9C-101B-9397-08002B2CF9AE}" pid="6" name="NEWPARTB">
    <vt:lpwstr>01</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שי שטרית</vt:lpwstr>
  </property>
  <property fmtid="{D5CDD505-2E9C-101B-9397-08002B2CF9AE}" pid="10" name="LAWYER">
    <vt:lpwstr>ראובן בר חיים</vt:lpwstr>
  </property>
  <property fmtid="{D5CDD505-2E9C-101B-9397-08002B2CF9AE}" pid="11" name="JUDGE">
    <vt:lpwstr>רפי כרמל</vt:lpwstr>
  </property>
  <property fmtid="{D5CDD505-2E9C-101B-9397-08002B2CF9AE}" pid="12" name="CITY">
    <vt:lpwstr>י-ם</vt:lpwstr>
  </property>
  <property fmtid="{D5CDD505-2E9C-101B-9397-08002B2CF9AE}" pid="13" name="DATE">
    <vt:lpwstr>20130507</vt:lpwstr>
  </property>
  <property fmtid="{D5CDD505-2E9C-101B-9397-08002B2CF9AE}" pid="14" name="TYPE_N_DATE">
    <vt:lpwstr>39020130507</vt:lpwstr>
  </property>
  <property fmtid="{D5CDD505-2E9C-101B-9397-08002B2CF9AE}" pid="15" name="WORDNUMPAGES">
    <vt:lpwstr>9</vt:lpwstr>
  </property>
  <property fmtid="{D5CDD505-2E9C-101B-9397-08002B2CF9AE}" pid="16" name="TYPE_ABS_DATE">
    <vt:lpwstr>390020130507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70301/499.a.1;448.a;040b;040c.a;040i:3;040d;040e;040f;040g;040j;40ja:2;40jb;40jc;40jd</vt:lpwstr>
  </property>
  <property fmtid="{D5CDD505-2E9C-101B-9397-08002B2CF9AE}" pid="36" name="LAWLISTTMP2">
    <vt:lpwstr>4216/007.a</vt:lpwstr>
  </property>
</Properties>
</file>