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784B5F" w:rsidRPr="00B4080E" w14:paraId="6C0A216B" w14:textId="77777777">
        <w:trPr>
          <w:trHeight w:hRule="exact" w:val="418"/>
          <w:jc w:val="center"/>
        </w:trPr>
        <w:tc>
          <w:tcPr>
            <w:tcW w:w="8720" w:type="dxa"/>
            <w:gridSpan w:val="3"/>
          </w:tcPr>
          <w:p w14:paraId="0423CA07" w14:textId="77777777" w:rsidR="00784B5F" w:rsidRPr="00B4080E" w:rsidRDefault="00B4080E">
            <w:pPr>
              <w:pStyle w:val="a3"/>
              <w:tabs>
                <w:tab w:val="clear" w:pos="8306"/>
              </w:tabs>
              <w:jc w:val="center"/>
              <w:rPr>
                <w:rFonts w:ascii="Tahoma" w:hAnsi="Tahoma" w:cs="Tahoma"/>
                <w:b/>
                <w:bCs/>
                <w:color w:val="000080"/>
                <w:sz w:val="20"/>
                <w:szCs w:val="20"/>
                <w:rtl/>
              </w:rPr>
            </w:pPr>
            <w:bookmarkStart w:id="0" w:name="FirstLawyer"/>
            <w:r w:rsidRPr="00B4080E">
              <w:rPr>
                <w:rFonts w:ascii="Tahoma" w:hAnsi="Tahoma" w:cs="Tahoma"/>
                <w:b/>
                <w:bCs/>
                <w:color w:val="000080"/>
                <w:sz w:val="20"/>
                <w:szCs w:val="20"/>
                <w:rtl/>
              </w:rPr>
              <w:t>בית המשפט המחוזי בנצרת</w:t>
            </w:r>
          </w:p>
        </w:tc>
      </w:tr>
      <w:tr w:rsidR="00784B5F" w:rsidRPr="00B4080E" w14:paraId="7B85A8C9" w14:textId="77777777">
        <w:trPr>
          <w:trHeight w:val="337"/>
          <w:jc w:val="center"/>
        </w:trPr>
        <w:tc>
          <w:tcPr>
            <w:tcW w:w="3973" w:type="dxa"/>
          </w:tcPr>
          <w:p w14:paraId="5BB0EC86" w14:textId="77777777" w:rsidR="00784B5F" w:rsidRPr="00B4080E" w:rsidRDefault="00B4080E">
            <w:pPr>
              <w:rPr>
                <w:b/>
                <w:bCs/>
                <w:sz w:val="26"/>
                <w:szCs w:val="26"/>
                <w:rtl/>
              </w:rPr>
            </w:pPr>
            <w:r w:rsidRPr="00B4080E">
              <w:rPr>
                <w:b/>
                <w:bCs/>
                <w:sz w:val="26"/>
                <w:szCs w:val="26"/>
                <w:rtl/>
              </w:rPr>
              <w:t>ת"פ</w:t>
            </w:r>
            <w:r w:rsidRPr="00B4080E">
              <w:rPr>
                <w:rFonts w:hint="cs"/>
                <w:b/>
                <w:bCs/>
                <w:sz w:val="26"/>
                <w:szCs w:val="26"/>
                <w:rtl/>
              </w:rPr>
              <w:t xml:space="preserve"> </w:t>
            </w:r>
            <w:r w:rsidRPr="00B4080E">
              <w:rPr>
                <w:b/>
                <w:bCs/>
                <w:sz w:val="26"/>
                <w:szCs w:val="26"/>
                <w:rtl/>
              </w:rPr>
              <w:t>20534-02-12</w:t>
            </w:r>
            <w:r w:rsidRPr="00B4080E">
              <w:rPr>
                <w:rFonts w:hint="cs"/>
                <w:b/>
                <w:bCs/>
                <w:sz w:val="26"/>
                <w:szCs w:val="26"/>
                <w:rtl/>
              </w:rPr>
              <w:t xml:space="preserve"> </w:t>
            </w:r>
            <w:r w:rsidRPr="00B4080E">
              <w:rPr>
                <w:b/>
                <w:bCs/>
                <w:sz w:val="26"/>
                <w:szCs w:val="26"/>
                <w:rtl/>
              </w:rPr>
              <w:t>מדינת ישראל נ' עלי אחמד(עציר)</w:t>
            </w:r>
          </w:p>
          <w:p w14:paraId="2D6EA4D3" w14:textId="77777777" w:rsidR="00784B5F" w:rsidRPr="00B4080E" w:rsidRDefault="00784B5F">
            <w:pPr>
              <w:rPr>
                <w:b/>
                <w:bCs/>
                <w:sz w:val="26"/>
                <w:szCs w:val="26"/>
                <w:rtl/>
              </w:rPr>
            </w:pPr>
          </w:p>
        </w:tc>
        <w:tc>
          <w:tcPr>
            <w:tcW w:w="1068" w:type="dxa"/>
          </w:tcPr>
          <w:p w14:paraId="08B60BD2" w14:textId="77777777" w:rsidR="00784B5F" w:rsidRPr="00B4080E" w:rsidRDefault="00784B5F">
            <w:pPr>
              <w:pStyle w:val="a3"/>
              <w:jc w:val="right"/>
              <w:rPr>
                <w:b/>
                <w:bCs/>
                <w:sz w:val="26"/>
                <w:szCs w:val="26"/>
                <w:rtl/>
              </w:rPr>
            </w:pPr>
          </w:p>
        </w:tc>
        <w:tc>
          <w:tcPr>
            <w:tcW w:w="3679" w:type="dxa"/>
          </w:tcPr>
          <w:p w14:paraId="4AF0309C" w14:textId="77777777" w:rsidR="00784B5F" w:rsidRPr="00B4080E" w:rsidRDefault="00B4080E">
            <w:pPr>
              <w:pStyle w:val="a3"/>
              <w:tabs>
                <w:tab w:val="clear" w:pos="4153"/>
              </w:tabs>
              <w:jc w:val="right"/>
              <w:rPr>
                <w:b/>
                <w:bCs/>
                <w:sz w:val="26"/>
                <w:szCs w:val="26"/>
                <w:rtl/>
              </w:rPr>
            </w:pPr>
            <w:r w:rsidRPr="00B4080E">
              <w:rPr>
                <w:b/>
                <w:bCs/>
                <w:sz w:val="26"/>
                <w:szCs w:val="26"/>
                <w:rtl/>
              </w:rPr>
              <w:t>28 ינואר 2013</w:t>
            </w:r>
          </w:p>
        </w:tc>
      </w:tr>
    </w:tbl>
    <w:p w14:paraId="51A9183C" w14:textId="77777777" w:rsidR="00784B5F" w:rsidRPr="00B4080E" w:rsidRDefault="00784B5F">
      <w:pPr>
        <w:pStyle w:val="a3"/>
        <w:jc w:val="center"/>
        <w:rPr>
          <w:rFonts w:ascii="Tahoma" w:hAnsi="Tahoma" w:cs="Tahoma"/>
          <w:b/>
          <w:bCs/>
          <w:color w:val="000080"/>
          <w:sz w:val="20"/>
          <w:szCs w:val="20"/>
          <w:rtl/>
        </w:rPr>
      </w:pPr>
    </w:p>
    <w:p w14:paraId="5F13A151" w14:textId="77777777" w:rsidR="00784B5F" w:rsidRPr="00B4080E" w:rsidRDefault="00784B5F">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784B5F" w:rsidRPr="00B4080E" w14:paraId="6FC2490C" w14:textId="77777777">
        <w:trPr>
          <w:gridAfter w:val="1"/>
          <w:wAfter w:w="55" w:type="dxa"/>
        </w:trPr>
        <w:tc>
          <w:tcPr>
            <w:tcW w:w="8719" w:type="dxa"/>
            <w:gridSpan w:val="2"/>
          </w:tcPr>
          <w:p w14:paraId="0F20935E" w14:textId="77777777" w:rsidR="00784B5F" w:rsidRPr="00B4080E" w:rsidRDefault="00B4080E">
            <w:pPr>
              <w:spacing w:line="360" w:lineRule="auto"/>
              <w:jc w:val="both"/>
              <w:rPr>
                <w:rFonts w:ascii="Arial" w:eastAsia="Times New Roman" w:hAnsi="Arial"/>
                <w:sz w:val="26"/>
                <w:szCs w:val="26"/>
                <w:rtl/>
              </w:rPr>
            </w:pPr>
            <w:r w:rsidRPr="00B4080E">
              <w:rPr>
                <w:rFonts w:ascii="Times New Roman" w:eastAsia="Times New Roman" w:hAnsi="Times New Roman" w:hint="cs"/>
                <w:b/>
                <w:bCs/>
                <w:sz w:val="26"/>
                <w:szCs w:val="26"/>
                <w:rtl/>
              </w:rPr>
              <w:t>בפני כבוד סגן הנשיא, השופט – תאופיק כתילי</w:t>
            </w:r>
          </w:p>
        </w:tc>
      </w:tr>
      <w:tr w:rsidR="00784B5F" w:rsidRPr="00B4080E" w14:paraId="5440A39D" w14:textId="77777777">
        <w:tc>
          <w:tcPr>
            <w:tcW w:w="2880" w:type="dxa"/>
          </w:tcPr>
          <w:p w14:paraId="0B7951A4" w14:textId="77777777" w:rsidR="00784B5F" w:rsidRPr="00B4080E" w:rsidRDefault="00B4080E">
            <w:pPr>
              <w:ind w:left="26"/>
              <w:rPr>
                <w:rFonts w:ascii="Times New Roman" w:eastAsia="Times New Roman" w:hAnsi="Times New Roman"/>
                <w:b/>
                <w:bCs/>
                <w:sz w:val="26"/>
                <w:szCs w:val="26"/>
                <w:rtl/>
              </w:rPr>
            </w:pPr>
            <w:bookmarkStart w:id="1" w:name="FirstAppellant"/>
            <w:bookmarkStart w:id="2" w:name="LastJudge"/>
            <w:bookmarkEnd w:id="2"/>
            <w:r w:rsidRPr="00B4080E">
              <w:rPr>
                <w:rFonts w:ascii="Times New Roman" w:eastAsia="Times New Roman" w:hAnsi="Times New Roman" w:hint="cs"/>
                <w:b/>
                <w:bCs/>
                <w:sz w:val="26"/>
                <w:szCs w:val="26"/>
                <w:rtl/>
              </w:rPr>
              <w:t>המאשימה</w:t>
            </w:r>
          </w:p>
        </w:tc>
        <w:tc>
          <w:tcPr>
            <w:tcW w:w="5922" w:type="dxa"/>
            <w:gridSpan w:val="2"/>
          </w:tcPr>
          <w:p w14:paraId="483DB2DB" w14:textId="77777777" w:rsidR="00784B5F" w:rsidRPr="00B4080E" w:rsidRDefault="00B4080E">
            <w:pPr>
              <w:rPr>
                <w:rFonts w:ascii="Times New Roman" w:eastAsia="Times New Roman" w:hAnsi="Times New Roman"/>
                <w:b/>
                <w:bCs/>
                <w:sz w:val="26"/>
                <w:szCs w:val="26"/>
              </w:rPr>
            </w:pPr>
            <w:r w:rsidRPr="00B4080E">
              <w:rPr>
                <w:rFonts w:ascii="Times New Roman" w:eastAsia="Times New Roman" w:hAnsi="Times New Roman" w:hint="cs"/>
                <w:b/>
                <w:bCs/>
                <w:sz w:val="26"/>
                <w:szCs w:val="26"/>
                <w:rtl/>
              </w:rPr>
              <w:t>מדינת ישראל</w:t>
            </w:r>
          </w:p>
          <w:p w14:paraId="020350D5" w14:textId="77777777" w:rsidR="00784B5F" w:rsidRPr="00B4080E" w:rsidRDefault="00B4080E">
            <w:pPr>
              <w:rPr>
                <w:rFonts w:ascii="Times New Roman" w:eastAsia="Times New Roman" w:hAnsi="Times New Roman"/>
                <w:b/>
                <w:bCs/>
                <w:sz w:val="22"/>
                <w:szCs w:val="22"/>
                <w:rtl/>
              </w:rPr>
            </w:pPr>
            <w:r w:rsidRPr="00B4080E">
              <w:rPr>
                <w:rFonts w:ascii="Times New Roman" w:eastAsia="Times New Roman" w:hAnsi="Times New Roman" w:hint="cs"/>
                <w:b/>
                <w:bCs/>
                <w:sz w:val="22"/>
                <w:szCs w:val="22"/>
                <w:rtl/>
              </w:rPr>
              <w:t>באמצעות פרקליטות מחוז צפון</w:t>
            </w:r>
          </w:p>
        </w:tc>
      </w:tr>
      <w:bookmarkEnd w:id="1"/>
      <w:tr w:rsidR="00784B5F" w:rsidRPr="00B4080E" w14:paraId="1C8FF794" w14:textId="77777777">
        <w:tc>
          <w:tcPr>
            <w:tcW w:w="8802" w:type="dxa"/>
            <w:gridSpan w:val="3"/>
          </w:tcPr>
          <w:p w14:paraId="4ED1ACA2" w14:textId="77777777" w:rsidR="00784B5F" w:rsidRPr="00B4080E" w:rsidRDefault="00784B5F">
            <w:pPr>
              <w:jc w:val="both"/>
              <w:rPr>
                <w:rFonts w:ascii="Arial" w:eastAsia="Times New Roman" w:hAnsi="Arial"/>
                <w:b/>
                <w:bCs/>
                <w:sz w:val="26"/>
                <w:szCs w:val="26"/>
                <w:rtl/>
              </w:rPr>
            </w:pPr>
          </w:p>
          <w:p w14:paraId="5CD8913A" w14:textId="77777777" w:rsidR="00784B5F" w:rsidRPr="00B4080E" w:rsidRDefault="00B4080E">
            <w:pPr>
              <w:jc w:val="center"/>
              <w:rPr>
                <w:rFonts w:ascii="Arial" w:eastAsia="Times New Roman" w:hAnsi="Arial"/>
                <w:b/>
                <w:bCs/>
                <w:sz w:val="26"/>
                <w:szCs w:val="26"/>
                <w:rtl/>
              </w:rPr>
            </w:pPr>
            <w:r w:rsidRPr="00B4080E">
              <w:rPr>
                <w:rFonts w:ascii="Arial" w:eastAsia="Times New Roman" w:hAnsi="Arial"/>
                <w:b/>
                <w:bCs/>
                <w:sz w:val="26"/>
                <w:szCs w:val="26"/>
                <w:rtl/>
              </w:rPr>
              <w:t>נגד</w:t>
            </w:r>
          </w:p>
          <w:p w14:paraId="7B4837C2" w14:textId="77777777" w:rsidR="00784B5F" w:rsidRPr="00B4080E" w:rsidRDefault="00784B5F">
            <w:pPr>
              <w:jc w:val="center"/>
              <w:rPr>
                <w:rFonts w:ascii="Arial" w:eastAsia="Times New Roman" w:hAnsi="Arial"/>
                <w:b/>
                <w:bCs/>
                <w:sz w:val="26"/>
                <w:szCs w:val="26"/>
              </w:rPr>
            </w:pPr>
          </w:p>
        </w:tc>
      </w:tr>
      <w:tr w:rsidR="00784B5F" w:rsidRPr="00B4080E" w14:paraId="11270430" w14:textId="77777777">
        <w:tc>
          <w:tcPr>
            <w:tcW w:w="2880" w:type="dxa"/>
          </w:tcPr>
          <w:p w14:paraId="5A19A408" w14:textId="77777777" w:rsidR="00784B5F" w:rsidRPr="00B4080E" w:rsidRDefault="00B4080E">
            <w:pPr>
              <w:ind w:left="26"/>
              <w:rPr>
                <w:rFonts w:ascii="Times New Roman" w:eastAsia="Times New Roman" w:hAnsi="Times New Roman"/>
                <w:b/>
                <w:bCs/>
                <w:sz w:val="26"/>
                <w:szCs w:val="26"/>
                <w:rtl/>
              </w:rPr>
            </w:pPr>
            <w:r w:rsidRPr="00B4080E">
              <w:rPr>
                <w:rFonts w:ascii="Times New Roman" w:eastAsia="Times New Roman" w:hAnsi="Times New Roman" w:hint="cs"/>
                <w:b/>
                <w:bCs/>
                <w:sz w:val="26"/>
                <w:szCs w:val="26"/>
                <w:rtl/>
              </w:rPr>
              <w:t>הנאשם</w:t>
            </w:r>
          </w:p>
        </w:tc>
        <w:tc>
          <w:tcPr>
            <w:tcW w:w="5922" w:type="dxa"/>
            <w:gridSpan w:val="2"/>
          </w:tcPr>
          <w:p w14:paraId="24B6BABF" w14:textId="77777777" w:rsidR="00784B5F" w:rsidRPr="00B4080E" w:rsidRDefault="00B4080E">
            <w:pPr>
              <w:rPr>
                <w:rFonts w:ascii="Times New Roman" w:eastAsia="Times New Roman" w:hAnsi="Times New Roman"/>
                <w:b/>
                <w:bCs/>
                <w:sz w:val="26"/>
                <w:szCs w:val="26"/>
                <w:rtl/>
              </w:rPr>
            </w:pPr>
            <w:r w:rsidRPr="00B4080E">
              <w:rPr>
                <w:rFonts w:ascii="Times New Roman" w:eastAsia="Times New Roman" w:hAnsi="Times New Roman" w:hint="cs"/>
                <w:rtl/>
              </w:rPr>
              <w:t>עאמר עלי אחמד (עציר)</w:t>
            </w:r>
          </w:p>
        </w:tc>
      </w:tr>
    </w:tbl>
    <w:p w14:paraId="20D84DE7" w14:textId="77777777" w:rsidR="00784B5F" w:rsidRPr="00B4080E" w:rsidRDefault="00B4080E">
      <w:pPr>
        <w:pStyle w:val="12"/>
        <w:rPr>
          <w:u w:val="none"/>
          <w:rtl/>
        </w:rPr>
      </w:pPr>
      <w:r w:rsidRPr="00B4080E">
        <w:rPr>
          <w:rFonts w:hint="cs"/>
          <w:u w:val="none"/>
          <w:rtl/>
        </w:rPr>
        <w:t>נוכחים:</w:t>
      </w:r>
    </w:p>
    <w:p w14:paraId="25314DB1" w14:textId="77777777" w:rsidR="00784B5F" w:rsidRPr="00B4080E" w:rsidRDefault="00B4080E">
      <w:pPr>
        <w:rPr>
          <w:rFonts w:ascii="Times New Roman" w:eastAsia="Times New Roman" w:hAnsi="Times New Roman" w:cs="Times New Roman"/>
          <w:sz w:val="20"/>
          <w:szCs w:val="20"/>
        </w:rPr>
      </w:pPr>
      <w:r w:rsidRPr="00B4080E">
        <w:rPr>
          <w:rFonts w:ascii="Times New Roman" w:eastAsia="Times New Roman" w:hAnsi="Times New Roman" w:hint="cs"/>
          <w:b/>
          <w:bCs/>
          <w:rtl/>
        </w:rPr>
        <w:t xml:space="preserve">מטעם המאשימה: עו"ד רותי כהן </w:t>
      </w:r>
    </w:p>
    <w:p w14:paraId="6F7E50AC" w14:textId="77777777" w:rsidR="002B536C" w:rsidRDefault="00B4080E">
      <w:pPr>
        <w:pStyle w:val="12"/>
        <w:rPr>
          <w:b w:val="0"/>
          <w:bCs w:val="0"/>
          <w:u w:val="none"/>
          <w:rtl/>
        </w:rPr>
      </w:pPr>
      <w:r w:rsidRPr="00B4080E">
        <w:rPr>
          <w:rFonts w:eastAsia="David" w:hint="cs"/>
          <w:u w:val="none"/>
          <w:rtl/>
        </w:rPr>
        <w:t>מטעם הנאשם: הובא וע"י ב"כ עו"ד רפאלה שפריר</w:t>
      </w:r>
      <w:bookmarkStart w:id="3" w:name="LawTable"/>
      <w:bookmarkEnd w:id="3"/>
    </w:p>
    <w:p w14:paraId="5BE9BA5D" w14:textId="77777777" w:rsidR="002B536C" w:rsidRPr="002B536C" w:rsidRDefault="002B536C" w:rsidP="002B536C">
      <w:pPr>
        <w:pStyle w:val="12"/>
        <w:spacing w:after="120" w:line="240" w:lineRule="exact"/>
        <w:ind w:left="283" w:hanging="283"/>
        <w:jc w:val="both"/>
        <w:rPr>
          <w:rFonts w:ascii="FrankRuehl" w:hAnsi="FrankRuehl" w:cs="FrankRuehl"/>
          <w:b w:val="0"/>
          <w:bCs w:val="0"/>
          <w:u w:val="none"/>
          <w:rtl/>
        </w:rPr>
      </w:pPr>
    </w:p>
    <w:p w14:paraId="309F6092" w14:textId="77777777" w:rsidR="002B536C" w:rsidRPr="002B536C" w:rsidRDefault="002B536C" w:rsidP="002B536C">
      <w:pPr>
        <w:pStyle w:val="12"/>
        <w:spacing w:after="120" w:line="240" w:lineRule="exact"/>
        <w:ind w:left="283" w:hanging="283"/>
        <w:jc w:val="both"/>
        <w:rPr>
          <w:rFonts w:ascii="FrankRuehl" w:hAnsi="FrankRuehl" w:cs="FrankRuehl"/>
          <w:b w:val="0"/>
          <w:bCs w:val="0"/>
          <w:u w:val="none"/>
          <w:rtl/>
        </w:rPr>
      </w:pPr>
      <w:r w:rsidRPr="002B536C">
        <w:rPr>
          <w:rFonts w:ascii="FrankRuehl" w:hAnsi="FrankRuehl" w:cs="FrankRuehl"/>
          <w:b w:val="0"/>
          <w:bCs w:val="0"/>
          <w:u w:val="none"/>
          <w:rtl/>
        </w:rPr>
        <w:t xml:space="preserve">חקיקה שאוזכרה: </w:t>
      </w:r>
    </w:p>
    <w:p w14:paraId="6D489242" w14:textId="77777777" w:rsidR="002B536C" w:rsidRPr="002B536C" w:rsidRDefault="002B536C" w:rsidP="002B536C">
      <w:pPr>
        <w:pStyle w:val="12"/>
        <w:spacing w:after="120" w:line="240" w:lineRule="exact"/>
        <w:ind w:left="283" w:hanging="283"/>
        <w:jc w:val="both"/>
        <w:rPr>
          <w:rFonts w:ascii="FrankRuehl" w:hAnsi="FrankRuehl" w:cs="FrankRuehl"/>
          <w:b w:val="0"/>
          <w:bCs w:val="0"/>
          <w:u w:val="none"/>
          <w:rtl/>
        </w:rPr>
      </w:pPr>
      <w:hyperlink r:id="rId6" w:history="1">
        <w:r w:rsidRPr="002B536C">
          <w:rPr>
            <w:rFonts w:ascii="FrankRuehl" w:hAnsi="FrankRuehl" w:cs="FrankRuehl"/>
            <w:b w:val="0"/>
            <w:bCs w:val="0"/>
            <w:color w:val="0000FF"/>
            <w:rtl/>
          </w:rPr>
          <w:t>פקודת הסמים המסוכנים [נוסח חדש], תשל"ג-1973</w:t>
        </w:r>
      </w:hyperlink>
      <w:r w:rsidRPr="002B536C">
        <w:rPr>
          <w:rFonts w:ascii="FrankRuehl" w:hAnsi="FrankRuehl" w:cs="FrankRuehl"/>
          <w:b w:val="0"/>
          <w:bCs w:val="0"/>
          <w:u w:val="none"/>
          <w:rtl/>
        </w:rPr>
        <w:t xml:space="preserve">: סע'  </w:t>
      </w:r>
      <w:hyperlink r:id="rId7" w:history="1">
        <w:r w:rsidRPr="002B536C">
          <w:rPr>
            <w:rFonts w:ascii="FrankRuehl" w:hAnsi="FrankRuehl" w:cs="FrankRuehl"/>
            <w:b w:val="0"/>
            <w:bCs w:val="0"/>
            <w:color w:val="0000FF"/>
            <w:rtl/>
          </w:rPr>
          <w:t>7(א)</w:t>
        </w:r>
      </w:hyperlink>
      <w:r w:rsidRPr="002B536C">
        <w:rPr>
          <w:rFonts w:ascii="FrankRuehl" w:hAnsi="FrankRuehl" w:cs="FrankRuehl"/>
          <w:b w:val="0"/>
          <w:bCs w:val="0"/>
          <w:u w:val="none"/>
          <w:rtl/>
        </w:rPr>
        <w:t xml:space="preserve">, </w:t>
      </w:r>
      <w:hyperlink r:id="rId8" w:history="1">
        <w:r w:rsidRPr="002B536C">
          <w:rPr>
            <w:rFonts w:ascii="FrankRuehl" w:hAnsi="FrankRuehl" w:cs="FrankRuehl"/>
            <w:b w:val="0"/>
            <w:bCs w:val="0"/>
            <w:color w:val="0000FF"/>
            <w:rtl/>
          </w:rPr>
          <w:t>(ג)</w:t>
        </w:r>
      </w:hyperlink>
      <w:r w:rsidRPr="002B536C">
        <w:rPr>
          <w:rFonts w:ascii="FrankRuehl" w:hAnsi="FrankRuehl" w:cs="FrankRuehl"/>
          <w:b w:val="0"/>
          <w:bCs w:val="0"/>
          <w:u w:val="none"/>
          <w:rtl/>
        </w:rPr>
        <w:t xml:space="preserve">, </w:t>
      </w:r>
      <w:hyperlink r:id="rId9" w:history="1">
        <w:r w:rsidRPr="002B536C">
          <w:rPr>
            <w:rFonts w:ascii="FrankRuehl" w:hAnsi="FrankRuehl" w:cs="FrankRuehl"/>
            <w:b w:val="0"/>
            <w:bCs w:val="0"/>
            <w:color w:val="0000FF"/>
            <w:rtl/>
          </w:rPr>
          <w:t>13</w:t>
        </w:r>
      </w:hyperlink>
      <w:r w:rsidRPr="002B536C">
        <w:rPr>
          <w:rFonts w:ascii="FrankRuehl" w:hAnsi="FrankRuehl" w:cs="FrankRuehl"/>
          <w:b w:val="0"/>
          <w:bCs w:val="0"/>
          <w:u w:val="none"/>
          <w:rtl/>
        </w:rPr>
        <w:t xml:space="preserve">, </w:t>
      </w:r>
      <w:hyperlink r:id="rId10" w:history="1">
        <w:r w:rsidRPr="002B536C">
          <w:rPr>
            <w:rFonts w:ascii="FrankRuehl" w:hAnsi="FrankRuehl" w:cs="FrankRuehl"/>
            <w:b w:val="0"/>
            <w:bCs w:val="0"/>
            <w:color w:val="0000FF"/>
            <w:rtl/>
          </w:rPr>
          <w:t>19א</w:t>
        </w:r>
      </w:hyperlink>
    </w:p>
    <w:p w14:paraId="141FEA49" w14:textId="77777777" w:rsidR="002B536C" w:rsidRPr="002B536C" w:rsidRDefault="002B536C" w:rsidP="002B536C">
      <w:pPr>
        <w:pStyle w:val="12"/>
        <w:spacing w:after="120" w:line="240" w:lineRule="exact"/>
        <w:ind w:left="283" w:hanging="283"/>
        <w:jc w:val="both"/>
        <w:rPr>
          <w:rFonts w:ascii="FrankRuehl" w:hAnsi="FrankRuehl" w:cs="FrankRuehl"/>
          <w:b w:val="0"/>
          <w:bCs w:val="0"/>
          <w:u w:val="none"/>
          <w:rtl/>
        </w:rPr>
      </w:pPr>
      <w:hyperlink r:id="rId11" w:history="1">
        <w:r w:rsidRPr="002B536C">
          <w:rPr>
            <w:rFonts w:ascii="FrankRuehl" w:hAnsi="FrankRuehl" w:cs="FrankRuehl"/>
            <w:b w:val="0"/>
            <w:bCs w:val="0"/>
            <w:color w:val="0000FF"/>
            <w:rtl/>
          </w:rPr>
          <w:t>פקודת התעבורה [נוסח חדש]</w:t>
        </w:r>
      </w:hyperlink>
      <w:r w:rsidRPr="002B536C">
        <w:rPr>
          <w:rFonts w:ascii="FrankRuehl" w:hAnsi="FrankRuehl" w:cs="FrankRuehl"/>
          <w:b w:val="0"/>
          <w:bCs w:val="0"/>
          <w:u w:val="none"/>
          <w:rtl/>
        </w:rPr>
        <w:t xml:space="preserve">: סע'  </w:t>
      </w:r>
      <w:hyperlink r:id="rId12" w:history="1">
        <w:r w:rsidRPr="002B536C">
          <w:rPr>
            <w:rFonts w:ascii="FrankRuehl" w:hAnsi="FrankRuehl" w:cs="FrankRuehl"/>
            <w:b w:val="0"/>
            <w:bCs w:val="0"/>
            <w:color w:val="0000FF"/>
            <w:rtl/>
          </w:rPr>
          <w:t>10</w:t>
        </w:r>
      </w:hyperlink>
      <w:r w:rsidRPr="002B536C">
        <w:rPr>
          <w:rFonts w:ascii="FrankRuehl" w:hAnsi="FrankRuehl" w:cs="FrankRuehl"/>
          <w:b w:val="0"/>
          <w:bCs w:val="0"/>
          <w:u w:val="none"/>
          <w:rtl/>
        </w:rPr>
        <w:t xml:space="preserve">, </w:t>
      </w:r>
      <w:hyperlink r:id="rId13" w:history="1">
        <w:r w:rsidRPr="002B536C">
          <w:rPr>
            <w:rFonts w:ascii="FrankRuehl" w:hAnsi="FrankRuehl" w:cs="FrankRuehl"/>
            <w:b w:val="0"/>
            <w:bCs w:val="0"/>
            <w:color w:val="0000FF"/>
            <w:rtl/>
          </w:rPr>
          <w:t>43</w:t>
        </w:r>
      </w:hyperlink>
    </w:p>
    <w:p w14:paraId="276BB32F" w14:textId="77777777" w:rsidR="002B536C" w:rsidRPr="002B536C" w:rsidRDefault="002B536C" w:rsidP="002B536C">
      <w:pPr>
        <w:pStyle w:val="12"/>
        <w:spacing w:after="120" w:line="240" w:lineRule="exact"/>
        <w:ind w:left="283" w:hanging="283"/>
        <w:jc w:val="both"/>
        <w:rPr>
          <w:rFonts w:ascii="FrankRuehl" w:hAnsi="FrankRuehl" w:cs="FrankRuehl"/>
          <w:b w:val="0"/>
          <w:bCs w:val="0"/>
          <w:u w:val="none"/>
          <w:rtl/>
        </w:rPr>
      </w:pPr>
      <w:hyperlink r:id="rId14" w:history="1">
        <w:r w:rsidRPr="002B536C">
          <w:rPr>
            <w:rFonts w:ascii="FrankRuehl" w:hAnsi="FrankRuehl" w:cs="FrankRuehl"/>
            <w:b w:val="0"/>
            <w:bCs w:val="0"/>
            <w:color w:val="0000FF"/>
            <w:rtl/>
          </w:rPr>
          <w:t>פקודת ביטוח רכב מנועי [נוסח חדש], תש"ל-1970</w:t>
        </w:r>
      </w:hyperlink>
      <w:r w:rsidRPr="002B536C">
        <w:rPr>
          <w:rFonts w:ascii="FrankRuehl" w:hAnsi="FrankRuehl" w:cs="FrankRuehl"/>
          <w:b w:val="0"/>
          <w:bCs w:val="0"/>
          <w:u w:val="none"/>
          <w:rtl/>
        </w:rPr>
        <w:t xml:space="preserve">: סע'  </w:t>
      </w:r>
      <w:hyperlink r:id="rId15" w:history="1">
        <w:r w:rsidRPr="002B536C">
          <w:rPr>
            <w:rFonts w:ascii="FrankRuehl" w:hAnsi="FrankRuehl" w:cs="FrankRuehl"/>
            <w:b w:val="0"/>
            <w:bCs w:val="0"/>
            <w:color w:val="0000FF"/>
            <w:rtl/>
          </w:rPr>
          <w:t>2</w:t>
        </w:r>
      </w:hyperlink>
    </w:p>
    <w:p w14:paraId="69C5E28C" w14:textId="77777777" w:rsidR="002B536C" w:rsidRPr="002B536C" w:rsidRDefault="002B536C" w:rsidP="002B536C">
      <w:pPr>
        <w:pStyle w:val="12"/>
        <w:spacing w:after="120" w:line="240" w:lineRule="exact"/>
        <w:ind w:left="283" w:hanging="283"/>
        <w:jc w:val="both"/>
        <w:rPr>
          <w:rFonts w:ascii="FrankRuehl" w:hAnsi="FrankRuehl" w:cs="FrankRuehl"/>
          <w:b w:val="0"/>
          <w:bCs w:val="0"/>
          <w:u w:val="none"/>
          <w:rtl/>
        </w:rPr>
      </w:pPr>
      <w:hyperlink r:id="rId16" w:history="1">
        <w:r w:rsidRPr="002B536C">
          <w:rPr>
            <w:rFonts w:ascii="FrankRuehl" w:hAnsi="FrankRuehl" w:cs="FrankRuehl"/>
            <w:b w:val="0"/>
            <w:bCs w:val="0"/>
            <w:color w:val="0000FF"/>
            <w:rtl/>
          </w:rPr>
          <w:t>חוק העונשין, תשל"ז-1977</w:t>
        </w:r>
      </w:hyperlink>
      <w:r w:rsidRPr="002B536C">
        <w:rPr>
          <w:rFonts w:ascii="FrankRuehl" w:hAnsi="FrankRuehl" w:cs="FrankRuehl"/>
          <w:b w:val="0"/>
          <w:bCs w:val="0"/>
          <w:u w:val="none"/>
          <w:rtl/>
        </w:rPr>
        <w:t xml:space="preserve">: סע'  </w:t>
      </w:r>
      <w:hyperlink r:id="rId17" w:history="1">
        <w:r w:rsidRPr="002B536C">
          <w:rPr>
            <w:rFonts w:ascii="FrankRuehl" w:hAnsi="FrankRuehl" w:cs="FrankRuehl"/>
            <w:b w:val="0"/>
            <w:bCs w:val="0"/>
            <w:color w:val="0000FF"/>
            <w:rtl/>
          </w:rPr>
          <w:t>244</w:t>
        </w:r>
      </w:hyperlink>
    </w:p>
    <w:p w14:paraId="6790F1D8" w14:textId="77777777" w:rsidR="002B536C" w:rsidRPr="002B536C" w:rsidRDefault="002B536C" w:rsidP="002B536C">
      <w:pPr>
        <w:pStyle w:val="12"/>
        <w:spacing w:after="120" w:line="240" w:lineRule="exact"/>
        <w:ind w:left="283" w:hanging="283"/>
        <w:jc w:val="both"/>
        <w:rPr>
          <w:rFonts w:ascii="FrankRuehl" w:hAnsi="FrankRuehl" w:cs="FrankRuehl"/>
          <w:b w:val="0"/>
          <w:bCs w:val="0"/>
          <w:u w:val="none"/>
          <w:rtl/>
        </w:rPr>
      </w:pPr>
    </w:p>
    <w:p w14:paraId="3E9AD545" w14:textId="77777777" w:rsidR="002B536C" w:rsidRPr="002B536C" w:rsidRDefault="002B536C">
      <w:pPr>
        <w:pStyle w:val="12"/>
        <w:rPr>
          <w:b w:val="0"/>
          <w:bCs w:val="0"/>
          <w:u w:val="none"/>
          <w:rtl/>
        </w:rPr>
      </w:pPr>
      <w:bookmarkStart w:id="4" w:name="LawTable_End"/>
      <w:bookmarkEnd w:id="4"/>
    </w:p>
    <w:p w14:paraId="54F47DD3" w14:textId="77777777" w:rsidR="002B536C" w:rsidRPr="002B536C" w:rsidRDefault="002B536C">
      <w:pPr>
        <w:pStyle w:val="12"/>
        <w:rPr>
          <w:b w:val="0"/>
          <w:bCs w:val="0"/>
          <w:u w:val="none"/>
          <w:rtl/>
        </w:rPr>
      </w:pPr>
    </w:p>
    <w:p w14:paraId="428BE59D" w14:textId="77777777" w:rsidR="00784B5F" w:rsidRPr="002B536C" w:rsidRDefault="00784B5F">
      <w:pPr>
        <w:pStyle w:val="12"/>
        <w:rPr>
          <w:b w:val="0"/>
          <w:bCs w:val="0"/>
          <w:u w:val="none"/>
          <w:rtl/>
        </w:rPr>
      </w:pPr>
    </w:p>
    <w:p w14:paraId="0BF48956" w14:textId="77777777" w:rsidR="00A42E48" w:rsidRPr="00A42E48" w:rsidRDefault="00A42E48">
      <w:pPr>
        <w:spacing w:line="360" w:lineRule="auto"/>
        <w:jc w:val="both"/>
        <w:rPr>
          <w:rtl/>
        </w:rPr>
      </w:pPr>
    </w:p>
    <w:p w14:paraId="3F455ECA" w14:textId="77777777" w:rsidR="00A42E48" w:rsidRPr="00A42E48" w:rsidRDefault="00A42E48">
      <w:pPr>
        <w:spacing w:line="360" w:lineRule="auto"/>
        <w:jc w:val="both"/>
        <w:rPr>
          <w:rtl/>
        </w:rPr>
      </w:pPr>
    </w:p>
    <w:p w14:paraId="63524E36" w14:textId="77777777" w:rsidR="00784B5F" w:rsidRPr="00A42E48" w:rsidRDefault="00784B5F">
      <w:pPr>
        <w:spacing w:line="360" w:lineRule="auto"/>
        <w:jc w:val="both"/>
        <w:rPr>
          <w:rtl/>
        </w:rPr>
      </w:pPr>
    </w:p>
    <w:p w14:paraId="678F5DDC" w14:textId="77777777" w:rsidR="00B4080E" w:rsidRPr="00B4080E" w:rsidRDefault="00B4080E" w:rsidP="00B4080E">
      <w:pPr>
        <w:spacing w:line="360" w:lineRule="auto"/>
        <w:jc w:val="center"/>
        <w:rPr>
          <w:rFonts w:ascii="Arial" w:hAnsi="Arial"/>
          <w:b/>
          <w:bCs/>
          <w:sz w:val="28"/>
          <w:szCs w:val="28"/>
          <w:u w:val="single"/>
          <w:rtl/>
        </w:rPr>
      </w:pPr>
      <w:bookmarkStart w:id="5" w:name="PsakDin"/>
      <w:bookmarkEnd w:id="0"/>
      <w:r w:rsidRPr="00B4080E">
        <w:rPr>
          <w:rFonts w:ascii="Arial" w:hAnsi="Arial"/>
          <w:b/>
          <w:bCs/>
          <w:sz w:val="28"/>
          <w:szCs w:val="28"/>
          <w:u w:val="single"/>
          <w:rtl/>
        </w:rPr>
        <w:t>גזר דין</w:t>
      </w:r>
    </w:p>
    <w:bookmarkEnd w:id="5"/>
    <w:p w14:paraId="02109E83" w14:textId="77777777" w:rsidR="00784B5F" w:rsidRDefault="00B4080E">
      <w:pPr>
        <w:spacing w:line="360" w:lineRule="auto"/>
        <w:jc w:val="both"/>
        <w:rPr>
          <w:rtl/>
        </w:rPr>
      </w:pPr>
      <w:r>
        <w:rPr>
          <w:rtl/>
        </w:rPr>
        <w:t xml:space="preserve"> </w:t>
      </w:r>
    </w:p>
    <w:p w14:paraId="529DB60B" w14:textId="77777777" w:rsidR="00784B5F" w:rsidRDefault="00B4080E">
      <w:pPr>
        <w:spacing w:line="360" w:lineRule="auto"/>
        <w:ind w:left="720" w:hanging="720"/>
        <w:jc w:val="both"/>
        <w:rPr>
          <w:rtl/>
        </w:rPr>
      </w:pPr>
      <w:r>
        <w:rPr>
          <w:rtl/>
        </w:rPr>
        <w:t>1.</w:t>
      </w:r>
      <w:r>
        <w:rPr>
          <w:rFonts w:hint="cs"/>
          <w:rtl/>
        </w:rPr>
        <w:tab/>
      </w:r>
      <w:bookmarkStart w:id="6" w:name="ABSTRACT_START"/>
      <w:bookmarkEnd w:id="6"/>
      <w:r>
        <w:rPr>
          <w:rtl/>
        </w:rPr>
        <w:t xml:space="preserve">הנאשם לפניי הורשע, על-פי הודאתו בעובדות כתב-אישום מתוקן מיום 28.11.12 (להלן: "כתב האישום") בביצוע העבירות הבאות: </w:t>
      </w:r>
      <w:r>
        <w:rPr>
          <w:u w:val="single"/>
          <w:rtl/>
        </w:rPr>
        <w:t>החזקת סם שלא לצריכה עצמית בלבד</w:t>
      </w:r>
      <w:r>
        <w:rPr>
          <w:rtl/>
        </w:rPr>
        <w:t xml:space="preserve">, לפי </w:t>
      </w:r>
      <w:hyperlink r:id="rId18" w:history="1">
        <w:r w:rsidR="002B536C" w:rsidRPr="002B536C">
          <w:rPr>
            <w:color w:val="0000FF"/>
            <w:u w:val="single"/>
            <w:rtl/>
          </w:rPr>
          <w:t>סעיף 7(א)</w:t>
        </w:r>
      </w:hyperlink>
      <w:r>
        <w:rPr>
          <w:rtl/>
        </w:rPr>
        <w:t>+</w:t>
      </w:r>
      <w:hyperlink r:id="rId19" w:history="1">
        <w:r w:rsidR="002B536C" w:rsidRPr="002B536C">
          <w:rPr>
            <w:rStyle w:val="Hyperlink"/>
            <w:rtl/>
          </w:rPr>
          <w:t>(ג)</w:t>
        </w:r>
      </w:hyperlink>
      <w:r>
        <w:rPr>
          <w:rtl/>
        </w:rPr>
        <w:t xml:space="preserve"> ל</w:t>
      </w:r>
      <w:hyperlink r:id="rId20" w:history="1">
        <w:r w:rsidR="00A42E48" w:rsidRPr="00A42E48">
          <w:rPr>
            <w:rStyle w:val="Hyperlink"/>
            <w:rtl/>
          </w:rPr>
          <w:t>פקודת הסמים המסוכנים</w:t>
        </w:r>
      </w:hyperlink>
      <w:r>
        <w:rPr>
          <w:rtl/>
        </w:rPr>
        <w:t xml:space="preserve">, התשל"ג-1973 (להלן: "פקודת הסמים"); </w:t>
      </w:r>
      <w:r>
        <w:rPr>
          <w:u w:val="single"/>
          <w:rtl/>
        </w:rPr>
        <w:t>הסתייעות ברכב לשם ביצוע פשע</w:t>
      </w:r>
      <w:r>
        <w:rPr>
          <w:rtl/>
        </w:rPr>
        <w:t xml:space="preserve">, לפי </w:t>
      </w:r>
      <w:hyperlink r:id="rId21" w:history="1">
        <w:r w:rsidR="002B536C" w:rsidRPr="002B536C">
          <w:rPr>
            <w:rStyle w:val="Hyperlink"/>
            <w:rtl/>
          </w:rPr>
          <w:t>סעיף 43</w:t>
        </w:r>
      </w:hyperlink>
      <w:r>
        <w:rPr>
          <w:rtl/>
        </w:rPr>
        <w:t xml:space="preserve"> ל</w:t>
      </w:r>
      <w:hyperlink r:id="rId22" w:history="1">
        <w:r w:rsidR="00A42E48" w:rsidRPr="00A42E48">
          <w:rPr>
            <w:rStyle w:val="Hyperlink"/>
            <w:rtl/>
          </w:rPr>
          <w:t>פקודת התעבורה</w:t>
        </w:r>
      </w:hyperlink>
      <w:r>
        <w:rPr>
          <w:rtl/>
        </w:rPr>
        <w:t xml:space="preserve"> [נוסח חדש], התשכ"א-1961 (להלן: "פקודת התעבורה"); </w:t>
      </w:r>
      <w:r>
        <w:rPr>
          <w:u w:val="single"/>
          <w:rtl/>
        </w:rPr>
        <w:t>נהיגה ללא רישיון תקף</w:t>
      </w:r>
      <w:r>
        <w:rPr>
          <w:rtl/>
        </w:rPr>
        <w:t xml:space="preserve">, לפי </w:t>
      </w:r>
      <w:hyperlink r:id="rId23" w:history="1">
        <w:r w:rsidR="002B536C" w:rsidRPr="002B536C">
          <w:rPr>
            <w:rStyle w:val="Hyperlink"/>
            <w:rtl/>
          </w:rPr>
          <w:t>סעיף 10</w:t>
        </w:r>
      </w:hyperlink>
      <w:r>
        <w:rPr>
          <w:rtl/>
        </w:rPr>
        <w:t xml:space="preserve"> לפקודת התעבורה; ו</w:t>
      </w:r>
      <w:r>
        <w:rPr>
          <w:u w:val="single"/>
          <w:rtl/>
        </w:rPr>
        <w:t>נהיגה ללא פוליסת ביטוח תקפה</w:t>
      </w:r>
      <w:r>
        <w:rPr>
          <w:rtl/>
        </w:rPr>
        <w:t xml:space="preserve">, לפי </w:t>
      </w:r>
      <w:hyperlink r:id="rId24" w:history="1">
        <w:r w:rsidR="002B536C" w:rsidRPr="002B536C">
          <w:rPr>
            <w:rStyle w:val="Hyperlink"/>
            <w:rtl/>
          </w:rPr>
          <w:t>סעיף 2</w:t>
        </w:r>
      </w:hyperlink>
      <w:r>
        <w:rPr>
          <w:rtl/>
        </w:rPr>
        <w:t xml:space="preserve"> ל</w:t>
      </w:r>
      <w:hyperlink r:id="rId25" w:history="1">
        <w:r w:rsidR="00A42E48" w:rsidRPr="00A42E48">
          <w:rPr>
            <w:rStyle w:val="Hyperlink"/>
            <w:rtl/>
          </w:rPr>
          <w:t>פקודת ביטוח רכב מנועי</w:t>
        </w:r>
      </w:hyperlink>
      <w:r>
        <w:rPr>
          <w:rtl/>
        </w:rPr>
        <w:t xml:space="preserve"> [נוסח חדש], התש"ל-1970</w:t>
      </w:r>
      <w:bookmarkStart w:id="7" w:name="ABSTRACT_END"/>
      <w:bookmarkEnd w:id="7"/>
      <w:r>
        <w:rPr>
          <w:rtl/>
        </w:rPr>
        <w:t>.</w:t>
      </w:r>
    </w:p>
    <w:p w14:paraId="075DB585" w14:textId="77777777" w:rsidR="00784B5F" w:rsidRDefault="00784B5F">
      <w:pPr>
        <w:spacing w:line="360" w:lineRule="auto"/>
        <w:jc w:val="both"/>
        <w:rPr>
          <w:rtl/>
        </w:rPr>
      </w:pPr>
    </w:p>
    <w:p w14:paraId="31095A8D" w14:textId="77777777" w:rsidR="00784B5F" w:rsidRDefault="00B4080E">
      <w:pPr>
        <w:spacing w:line="360" w:lineRule="auto"/>
        <w:ind w:left="720" w:hanging="720"/>
        <w:jc w:val="both"/>
        <w:rPr>
          <w:rtl/>
        </w:rPr>
      </w:pPr>
      <w:r>
        <w:rPr>
          <w:rtl/>
        </w:rPr>
        <w:t>2.</w:t>
      </w:r>
      <w:r>
        <w:rPr>
          <w:rFonts w:hint="cs"/>
          <w:rtl/>
        </w:rPr>
        <w:tab/>
      </w:r>
      <w:r>
        <w:rPr>
          <w:rtl/>
        </w:rPr>
        <w:t>על-פי המפורט בכתב האישום, ביום 03.02.12 סמוך לשעה 09:30, הגיע הנאשם ברכב מסוג טויוטה היילקס, מ"ר 8913056 (להלן: "הרכב"), סמוך לגדר הגבול בין ישראל ללבנון (להלן: "הגדר"), במטולה, תוך שהוא נוהג ללא רישיון נהיגה תקף וללא ביטוח מתאים.</w:t>
      </w:r>
    </w:p>
    <w:p w14:paraId="4EE3A5A5" w14:textId="77777777" w:rsidR="00784B5F" w:rsidRDefault="00B4080E">
      <w:pPr>
        <w:spacing w:line="360" w:lineRule="auto"/>
        <w:ind w:left="720"/>
        <w:jc w:val="both"/>
        <w:rPr>
          <w:rtl/>
        </w:rPr>
      </w:pPr>
      <w:r>
        <w:rPr>
          <w:rtl/>
        </w:rPr>
        <w:lastRenderedPageBreak/>
        <w:t>בהגיעו לכביש הסמוך לגדר, אסף הנאשם אל רכבו שבע חבילות המכילות סם מסוכן מסוג הרואין במשקל כולל של כ-3.5 ק"ג (להלן: "הסמים") אשר נזרקו מעל הגדר מכיוון לבנון, ולאחר מכן החל הנאשם בנסיעה. כוח צה"ל שהבחין במתרחש, נסע אחר הרכב ועצר את הנאשם כשהסמים ברשותו.</w:t>
      </w:r>
    </w:p>
    <w:p w14:paraId="0E567D4A" w14:textId="77777777" w:rsidR="00784B5F" w:rsidRDefault="00784B5F">
      <w:pPr>
        <w:spacing w:line="360" w:lineRule="auto"/>
        <w:jc w:val="both"/>
        <w:rPr>
          <w:rtl/>
        </w:rPr>
      </w:pPr>
    </w:p>
    <w:p w14:paraId="27114B43" w14:textId="77777777" w:rsidR="00784B5F" w:rsidRDefault="00B4080E">
      <w:pPr>
        <w:spacing w:line="360" w:lineRule="auto"/>
        <w:jc w:val="both"/>
        <w:rPr>
          <w:b/>
          <w:bCs/>
          <w:u w:val="single"/>
          <w:rtl/>
        </w:rPr>
      </w:pPr>
      <w:r>
        <w:rPr>
          <w:b/>
          <w:bCs/>
          <w:u w:val="single"/>
          <w:rtl/>
        </w:rPr>
        <w:t>טיעוני המאשימה</w:t>
      </w:r>
    </w:p>
    <w:p w14:paraId="5D8118D6" w14:textId="77777777" w:rsidR="00784B5F" w:rsidRDefault="00B4080E">
      <w:pPr>
        <w:spacing w:line="360" w:lineRule="auto"/>
        <w:ind w:left="720" w:hanging="720"/>
        <w:jc w:val="both"/>
        <w:rPr>
          <w:rtl/>
        </w:rPr>
      </w:pPr>
      <w:r>
        <w:rPr>
          <w:rtl/>
        </w:rPr>
        <w:t>3.</w:t>
      </w:r>
      <w:r>
        <w:rPr>
          <w:rFonts w:hint="cs"/>
          <w:rtl/>
        </w:rPr>
        <w:tab/>
      </w:r>
      <w:r>
        <w:rPr>
          <w:rtl/>
        </w:rPr>
        <w:t>המאשימה מבקשת להטיל על הנאשם עונש של מאסר בפועל לתקופה ממושכת, וכן מאסר על תנאי, קנס שיש בו לשקף את הרווח שהנאשם ביקש להפיק מן העבירות ופסילת רישיון למשך מספר שנים. לדבריה, כמות הסם שהוחזקה על-ידי הנאשם הינה גדולה מאוד, וגלום בה פוטנציאל הרסני לחברה. באשר לנסיבות ביצוע העבירה, המאשימה ציינה את התכנון המוקדם ואת כוונתו של הנאשם להחזיק בסמים ולפעול לקידומה של עסקת סמים ממניעים של בצע כסף.</w:t>
      </w:r>
    </w:p>
    <w:p w14:paraId="3CA2BF3B" w14:textId="77777777" w:rsidR="00784B5F" w:rsidRDefault="00784B5F">
      <w:pPr>
        <w:spacing w:line="360" w:lineRule="auto"/>
        <w:jc w:val="both"/>
        <w:rPr>
          <w:rtl/>
        </w:rPr>
      </w:pPr>
    </w:p>
    <w:p w14:paraId="4A8F0D14" w14:textId="77777777" w:rsidR="00784B5F" w:rsidRDefault="00B4080E">
      <w:pPr>
        <w:spacing w:line="360" w:lineRule="auto"/>
        <w:ind w:left="720" w:hanging="720"/>
        <w:jc w:val="both"/>
        <w:rPr>
          <w:rtl/>
        </w:rPr>
      </w:pPr>
      <w:r>
        <w:rPr>
          <w:rtl/>
        </w:rPr>
        <w:t>4.</w:t>
      </w:r>
      <w:r>
        <w:rPr>
          <w:rFonts w:hint="cs"/>
          <w:rtl/>
        </w:rPr>
        <w:tab/>
      </w:r>
      <w:r>
        <w:rPr>
          <w:rtl/>
        </w:rPr>
        <w:t>לטענתה, מתחם העונש ההולם בנסיבות דנן הינו בין 7 ל-12 שנות מאסר בפועל. בתוך מתחם זה סבורה המאשימה כי יש להטיל על הנאשם עונש של 9 שנות מאסר בפועל, בהדגישה כי אין בנסיבותיו האישיות של הנאשם נימוק המצדיק הקלה או הטלת עונש ברף הנמוך של המתחם ההולם, ובמיוחד כאשר לחובת הנאשם הרשעה קודמת בעבירת סמים.</w:t>
      </w:r>
    </w:p>
    <w:p w14:paraId="6CF59F84" w14:textId="77777777" w:rsidR="00784B5F" w:rsidRDefault="00B4080E">
      <w:pPr>
        <w:spacing w:line="360" w:lineRule="auto"/>
        <w:ind w:left="720"/>
        <w:jc w:val="both"/>
        <w:rPr>
          <w:rtl/>
        </w:rPr>
      </w:pPr>
      <w:r>
        <w:rPr>
          <w:rtl/>
        </w:rPr>
        <w:t>עוד טענה כי בעבירות מן הסוג הנדון יש מקום ליתן משקל לנימוק של הרתעת הרבים, וזאת בשל הנזק הרב שעבירות הסמים צפויות לגרום לחברה, מחד גיסא, ובשל הרווחים הגדולים שהן עשויות להניב למבצעיהן, מאידך גיסא.</w:t>
      </w:r>
    </w:p>
    <w:p w14:paraId="25F57055" w14:textId="77777777" w:rsidR="00784B5F" w:rsidRDefault="00784B5F">
      <w:pPr>
        <w:spacing w:line="360" w:lineRule="auto"/>
        <w:jc w:val="both"/>
        <w:rPr>
          <w:rtl/>
        </w:rPr>
      </w:pPr>
    </w:p>
    <w:p w14:paraId="53E33D93" w14:textId="77777777" w:rsidR="00784B5F" w:rsidRDefault="00B4080E">
      <w:pPr>
        <w:spacing w:line="360" w:lineRule="auto"/>
        <w:ind w:left="720" w:hanging="720"/>
        <w:jc w:val="both"/>
        <w:rPr>
          <w:rtl/>
        </w:rPr>
      </w:pPr>
      <w:r>
        <w:rPr>
          <w:rtl/>
        </w:rPr>
        <w:t>5.</w:t>
      </w:r>
      <w:r>
        <w:rPr>
          <w:rFonts w:hint="cs"/>
          <w:rtl/>
        </w:rPr>
        <w:tab/>
      </w:r>
      <w:r>
        <w:rPr>
          <w:rtl/>
        </w:rPr>
        <w:t>בכתב האישום המאשימה ביקשה להכריז על הנאשם כעל "סוחר סמים" ולחלט את הרכב ורכוש נוסף שיפורט בהמשך, אולם בדיון מיום 23.12.12 חזרה בה המאשימה מבקשה זו והסכימה לשחרר את הרכב לידי בעליו.</w:t>
      </w:r>
    </w:p>
    <w:p w14:paraId="4FBE224B" w14:textId="77777777" w:rsidR="00784B5F" w:rsidRDefault="00784B5F">
      <w:pPr>
        <w:spacing w:line="360" w:lineRule="auto"/>
        <w:jc w:val="both"/>
        <w:rPr>
          <w:rtl/>
        </w:rPr>
      </w:pPr>
    </w:p>
    <w:p w14:paraId="4C3674AE" w14:textId="77777777" w:rsidR="00784B5F" w:rsidRDefault="00B4080E">
      <w:pPr>
        <w:spacing w:line="360" w:lineRule="auto"/>
        <w:ind w:left="720" w:hanging="720"/>
        <w:jc w:val="both"/>
        <w:rPr>
          <w:rtl/>
        </w:rPr>
      </w:pPr>
      <w:r>
        <w:rPr>
          <w:rtl/>
        </w:rPr>
        <w:t>6.</w:t>
      </w:r>
      <w:r>
        <w:rPr>
          <w:rFonts w:hint="cs"/>
          <w:rtl/>
        </w:rPr>
        <w:tab/>
      </w:r>
      <w:r>
        <w:rPr>
          <w:rtl/>
        </w:rPr>
        <w:t>מגיליון המרשם הפלילי שהוגש לעיוני עולה כי לחובת הנאשם שתי הרשעות קודמות. הרשעתו הראשונה, משנת 2001, הינה בגין החזקת סמים לשימוש עצמי, והרשעתו השנייה, מיום 12.02.12, כוללת עבירות של החזקת סמים לצריכה עצמית, הפרעה לשוטר במילוי תפקידו ותקיפת שוטר, נהיגה פוחזת של רכב, חבלה במזיד לרכב, נהיגה תחת השפעת אלכוהול ואיומים.</w:t>
      </w:r>
    </w:p>
    <w:p w14:paraId="60272474" w14:textId="77777777" w:rsidR="00784B5F" w:rsidRDefault="00784B5F">
      <w:pPr>
        <w:spacing w:line="360" w:lineRule="auto"/>
        <w:jc w:val="both"/>
        <w:rPr>
          <w:rtl/>
        </w:rPr>
      </w:pPr>
    </w:p>
    <w:p w14:paraId="58AE6FE6" w14:textId="77777777" w:rsidR="00784B5F" w:rsidRDefault="00B4080E">
      <w:pPr>
        <w:spacing w:line="360" w:lineRule="auto"/>
        <w:jc w:val="both"/>
        <w:rPr>
          <w:b/>
          <w:bCs/>
          <w:u w:val="single"/>
          <w:rtl/>
        </w:rPr>
      </w:pPr>
      <w:r>
        <w:rPr>
          <w:b/>
          <w:bCs/>
          <w:u w:val="single"/>
          <w:rtl/>
        </w:rPr>
        <w:t>טיעוני הנאשם</w:t>
      </w:r>
    </w:p>
    <w:p w14:paraId="3707AAC3" w14:textId="77777777" w:rsidR="00784B5F" w:rsidRDefault="00B4080E">
      <w:pPr>
        <w:spacing w:line="360" w:lineRule="auto"/>
        <w:ind w:left="720" w:hanging="720"/>
        <w:jc w:val="both"/>
        <w:rPr>
          <w:rtl/>
        </w:rPr>
      </w:pPr>
      <w:r>
        <w:rPr>
          <w:rtl/>
        </w:rPr>
        <w:t>7.</w:t>
      </w:r>
      <w:r>
        <w:rPr>
          <w:rFonts w:hint="cs"/>
          <w:rtl/>
        </w:rPr>
        <w:tab/>
      </w:r>
      <w:r>
        <w:rPr>
          <w:rtl/>
        </w:rPr>
        <w:t>הסנגורית מבקשת להטיל על הנאשם עונש הנע בין 30 ל-36 חודשי מאסר בפועל, ולהימנע מהטלת קנס בשל מצבם הכלכלי של הנאשם ובני משפחתו.</w:t>
      </w:r>
    </w:p>
    <w:p w14:paraId="3C2EDD5F" w14:textId="77777777" w:rsidR="00784B5F" w:rsidRDefault="00B4080E">
      <w:pPr>
        <w:spacing w:line="360" w:lineRule="auto"/>
        <w:ind w:left="720"/>
        <w:jc w:val="both"/>
        <w:rPr>
          <w:rtl/>
        </w:rPr>
      </w:pPr>
      <w:r>
        <w:rPr>
          <w:rtl/>
        </w:rPr>
        <w:t xml:space="preserve">לדבריה, הנאשם הורשע בעבירה של החזקת סמים שלא לשימוש עצמי, וזאת להבדיל מעבירה של סחר בסמים או ייבוא סם. הנאשם, כך נטען, לא תכנן את העבירות אלא נקלע לסיטואציה המתוארת מתוך "טיפשות", כאשר במסגרת עבודתו במקום הבחין בחבילות </w:t>
      </w:r>
      <w:r>
        <w:rPr>
          <w:rtl/>
        </w:rPr>
        <w:lastRenderedPageBreak/>
        <w:t>וברכב נמלט מן המקום, ומבלי לחשוב החליט לאסוף את החבילות אל רכבו. כאשר התבקש הנאשם לעצור את רכבו הוא עשה כן באופן מיידי ולא ניסה לברוח, ושיתף פעולה עם גורמי האכיפה כבר מהשלב הראשון. הנאשם הודה בביצוע העבירות בהזדמנות הראשונה, התחרט ונטל אחריות למעשיו. עוד טענה הסנגורית כי מעשיו של הנאשם לא גרמו לנזק, מאחר והסמים נתפסו מיד לאחר איסופם.</w:t>
      </w:r>
    </w:p>
    <w:p w14:paraId="6CEF59E1" w14:textId="77777777" w:rsidR="00784B5F" w:rsidRDefault="00784B5F">
      <w:pPr>
        <w:spacing w:line="360" w:lineRule="auto"/>
        <w:jc w:val="both"/>
        <w:rPr>
          <w:rtl/>
        </w:rPr>
      </w:pPr>
    </w:p>
    <w:p w14:paraId="3557FACF" w14:textId="77777777" w:rsidR="00784B5F" w:rsidRDefault="00B4080E">
      <w:pPr>
        <w:spacing w:line="360" w:lineRule="auto"/>
        <w:ind w:left="720" w:hanging="720"/>
        <w:jc w:val="both"/>
        <w:rPr>
          <w:rtl/>
        </w:rPr>
      </w:pPr>
      <w:r>
        <w:rPr>
          <w:rtl/>
        </w:rPr>
        <w:t>8.</w:t>
      </w:r>
      <w:r>
        <w:rPr>
          <w:rFonts w:hint="cs"/>
          <w:rtl/>
        </w:rPr>
        <w:tab/>
      </w:r>
      <w:r>
        <w:rPr>
          <w:rtl/>
        </w:rPr>
        <w:t>באשר לנסיבותיו האישיות של הנאשם, נטען כי הנאשם הינו אב לשני ילדים קטנים אשר עד למעצרו עבד ופרנס את משפחתו. לעיון בית המשפט הוגש מכתב מאת רעייתו של הנאשם, בו היא מגוללת את קשיי פרנסתם, ואת תחושות החרטה, הבושה והצער שהביע בפניה הנאשם.</w:t>
      </w:r>
    </w:p>
    <w:p w14:paraId="0B3DAA99" w14:textId="77777777" w:rsidR="00784B5F" w:rsidRDefault="00784B5F">
      <w:pPr>
        <w:spacing w:line="360" w:lineRule="auto"/>
        <w:jc w:val="both"/>
        <w:rPr>
          <w:rtl/>
        </w:rPr>
      </w:pPr>
    </w:p>
    <w:p w14:paraId="57C6696D" w14:textId="77777777" w:rsidR="00784B5F" w:rsidRDefault="00B4080E">
      <w:pPr>
        <w:spacing w:line="360" w:lineRule="auto"/>
        <w:jc w:val="both"/>
        <w:rPr>
          <w:b/>
          <w:bCs/>
          <w:u w:val="single"/>
          <w:rtl/>
        </w:rPr>
      </w:pPr>
      <w:r>
        <w:rPr>
          <w:b/>
          <w:bCs/>
          <w:u w:val="single"/>
          <w:rtl/>
        </w:rPr>
        <w:t>דיון והכרעה</w:t>
      </w:r>
    </w:p>
    <w:p w14:paraId="71C75D20" w14:textId="77777777" w:rsidR="00784B5F" w:rsidRDefault="00B4080E">
      <w:pPr>
        <w:spacing w:line="360" w:lineRule="auto"/>
        <w:jc w:val="both"/>
        <w:rPr>
          <w:u w:val="single"/>
          <w:rtl/>
        </w:rPr>
      </w:pPr>
      <w:r>
        <w:rPr>
          <w:u w:val="single"/>
          <w:rtl/>
        </w:rPr>
        <w:t>הערך החברתי הנפגע</w:t>
      </w:r>
    </w:p>
    <w:p w14:paraId="084C8F5C" w14:textId="77777777" w:rsidR="00784B5F" w:rsidRDefault="00B4080E">
      <w:pPr>
        <w:spacing w:line="360" w:lineRule="auto"/>
        <w:ind w:left="720" w:hanging="720"/>
        <w:jc w:val="both"/>
        <w:rPr>
          <w:rtl/>
        </w:rPr>
      </w:pPr>
      <w:r>
        <w:rPr>
          <w:rtl/>
        </w:rPr>
        <w:t>9.</w:t>
      </w:r>
      <w:r>
        <w:rPr>
          <w:rFonts w:hint="cs"/>
          <w:rtl/>
        </w:rPr>
        <w:tab/>
      </w:r>
      <w:r>
        <w:rPr>
          <w:rtl/>
        </w:rPr>
        <w:t>בתי המשפט אשר דנו נאשמים בעבירות לפי פקודת הסמים חזרו והדגישו את הצורך להטיל ענישה מחמירה על מבצעיהן, כצעד מתחייב לשם ביעור נגע הסמים מקרבה של החברה. עבירות הסמים הן חמורות, ובעלות השפעה הרסנית על האדם, על משפחתו ועל החברה ככלל. לפיכך, מצווים בתי המשפט להעביר מסר ברור וחד משמעי של הוקעת עבירות הסמים, בין היתר, באמצעות הטלת עונשי מאסר ממושכים על מבצעי העבירות. בתי-המשפט ביטאו שוב ושוב את שאט הנפש והחומרה שבהן יש לראות את עבירות הסחר בסמים, המשחיתות כל חלקה טובה ופוגעות באופן אנוש באושיות החברה (</w:t>
      </w:r>
      <w:hyperlink r:id="rId26" w:history="1">
        <w:r w:rsidR="00A42E48" w:rsidRPr="00A42E48">
          <w:rPr>
            <w:rStyle w:val="Hyperlink"/>
            <w:rtl/>
          </w:rPr>
          <w:t>ע"פ 10228/05</w:t>
        </w:r>
      </w:hyperlink>
      <w:r>
        <w:rPr>
          <w:rtl/>
        </w:rPr>
        <w:t xml:space="preserve"> </w:t>
      </w:r>
      <w:r>
        <w:rPr>
          <w:b/>
          <w:bCs/>
          <w:rtl/>
        </w:rPr>
        <w:t>רובאעי נ' מדינת ישראל</w:t>
      </w:r>
      <w:r>
        <w:rPr>
          <w:rtl/>
        </w:rPr>
        <w:t xml:space="preserve"> (26/6/2006); </w:t>
      </w:r>
      <w:hyperlink r:id="rId27" w:history="1">
        <w:r w:rsidR="002B536C" w:rsidRPr="002B536C">
          <w:rPr>
            <w:rStyle w:val="Hyperlink"/>
            <w:rtl/>
          </w:rPr>
          <w:t xml:space="preserve">רע"פ 8457 </w:t>
        </w:r>
      </w:hyperlink>
      <w:r>
        <w:rPr>
          <w:rtl/>
        </w:rPr>
        <w:t xml:space="preserve"> </w:t>
      </w:r>
      <w:r>
        <w:rPr>
          <w:b/>
          <w:bCs/>
          <w:rtl/>
        </w:rPr>
        <w:t>אבו עיאדה נ' מדינת ישראל</w:t>
      </w:r>
      <w:r>
        <w:rPr>
          <w:rtl/>
        </w:rPr>
        <w:t xml:space="preserve"> (22/12/2008)). כך למשל התבטא בית המשפט העליון ב</w:t>
      </w:r>
      <w:hyperlink r:id="rId28" w:history="1">
        <w:r w:rsidR="00A42E48" w:rsidRPr="00A42E48">
          <w:rPr>
            <w:rStyle w:val="Hyperlink"/>
            <w:rtl/>
          </w:rPr>
          <w:t>ע"פ 966/94</w:t>
        </w:r>
      </w:hyperlink>
      <w:r>
        <w:rPr>
          <w:rtl/>
        </w:rPr>
        <w:t xml:space="preserve"> </w:t>
      </w:r>
      <w:r>
        <w:rPr>
          <w:b/>
          <w:bCs/>
          <w:rtl/>
        </w:rPr>
        <w:t>אמזלג נ' מדינת ישראל</w:t>
      </w:r>
      <w:r>
        <w:rPr>
          <w:rtl/>
        </w:rPr>
        <w:t xml:space="preserve"> (12/12/1995):</w:t>
      </w:r>
    </w:p>
    <w:p w14:paraId="7C248446" w14:textId="77777777" w:rsidR="00784B5F" w:rsidRDefault="00B4080E">
      <w:pPr>
        <w:spacing w:line="360" w:lineRule="auto"/>
        <w:ind w:left="964" w:right="851"/>
        <w:jc w:val="both"/>
        <w:rPr>
          <w:rtl/>
        </w:rPr>
      </w:pPr>
      <w:r>
        <w:rPr>
          <w:rtl/>
        </w:rPr>
        <w:t>"</w:t>
      </w:r>
      <w:r>
        <w:rPr>
          <w:b/>
          <w:bCs/>
          <w:rtl/>
        </w:rPr>
        <w:t>עונש הולם למחזיקי סמים שלא לשימוש עצמי – קרי: למשולבים במערך ההפצה –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w:t>
      </w:r>
      <w:r>
        <w:rPr>
          <w:rtl/>
        </w:rPr>
        <w:t>".</w:t>
      </w:r>
    </w:p>
    <w:p w14:paraId="1FF3790D" w14:textId="77777777" w:rsidR="00784B5F" w:rsidRDefault="00784B5F">
      <w:pPr>
        <w:spacing w:line="360" w:lineRule="auto"/>
        <w:jc w:val="both"/>
        <w:rPr>
          <w:rtl/>
        </w:rPr>
      </w:pPr>
    </w:p>
    <w:p w14:paraId="5A77B8DE" w14:textId="77777777" w:rsidR="00784B5F" w:rsidRDefault="00B4080E">
      <w:pPr>
        <w:spacing w:line="360" w:lineRule="auto"/>
        <w:jc w:val="both"/>
        <w:rPr>
          <w:u w:val="single"/>
          <w:rtl/>
        </w:rPr>
      </w:pPr>
      <w:r>
        <w:rPr>
          <w:u w:val="single"/>
          <w:rtl/>
        </w:rPr>
        <w:t>נסיבות ביצוע העבירה</w:t>
      </w:r>
    </w:p>
    <w:p w14:paraId="3DFC11FD" w14:textId="77777777" w:rsidR="00784B5F" w:rsidRDefault="00B4080E">
      <w:pPr>
        <w:spacing w:line="360" w:lineRule="auto"/>
        <w:ind w:left="720" w:hanging="720"/>
        <w:jc w:val="both"/>
        <w:rPr>
          <w:rtl/>
        </w:rPr>
      </w:pPr>
      <w:r>
        <w:rPr>
          <w:rtl/>
        </w:rPr>
        <w:t>10.</w:t>
      </w:r>
      <w:r>
        <w:rPr>
          <w:rFonts w:hint="cs"/>
          <w:rtl/>
        </w:rPr>
        <w:tab/>
      </w:r>
      <w:r>
        <w:rPr>
          <w:rtl/>
        </w:rPr>
        <w:t>הנאשם בתיק זה הודה בכך שאסף אל רכבו כמות של 3.5 ק"ג הרואין אותם מצא, לטענתו, על גדר הגבול עם לבנון. הסבריו באשר לנסיבות שהובילו אותו לאסוף את הסמים אל רכבו אינם מוצאים ביטוי בכתב האישום, וניתן להגדירם כ"תמוהים", ובפרט כאשר הנאשם אינו מכחיש שהיה מודע לתוכן החבילות. כך או כך, גם אם אצא מנקודת הנחה שהסבריו של הנאשם משקפים את המציאות, הרי שיש לראות בעצם נטילת החבילות והודאתו של הנאשם כי החזיק בסמים שלא למטרת שימוש עצמי, כראיה לכך שהנאשם התכוון לעשות בהם שימוש מסחרי ולהפיצם בקרב משתמשי סמים, אם בעצמו ואם באמצעות אחרים. הודאתו זו אף מעידה על הנאשם כמי אשר צפוי היה לגרוף לכיסיו את מלוא הרווח עקב הפצת הסמים, ושלנאשם הייתה שליטה מלאה על בחירתו לאסוף את החבילות, שלא הופעל עליו כל לחץ או שכנוע חיצוני ושבנקל יכול היה להימנע מביצוע המעשים.</w:t>
      </w:r>
    </w:p>
    <w:p w14:paraId="0A4ADB9F" w14:textId="77777777" w:rsidR="00784B5F" w:rsidRDefault="00784B5F">
      <w:pPr>
        <w:spacing w:line="360" w:lineRule="auto"/>
        <w:jc w:val="both"/>
        <w:rPr>
          <w:rtl/>
        </w:rPr>
      </w:pPr>
    </w:p>
    <w:p w14:paraId="74D82BE4" w14:textId="77777777" w:rsidR="00784B5F" w:rsidRDefault="00B4080E">
      <w:pPr>
        <w:spacing w:line="360" w:lineRule="auto"/>
        <w:ind w:left="720" w:hanging="720"/>
        <w:jc w:val="both"/>
        <w:rPr>
          <w:rtl/>
        </w:rPr>
      </w:pPr>
      <w:r>
        <w:rPr>
          <w:rtl/>
        </w:rPr>
        <w:t>11.</w:t>
      </w:r>
      <w:r>
        <w:rPr>
          <w:rFonts w:hint="cs"/>
          <w:rtl/>
        </w:rPr>
        <w:tab/>
      </w:r>
      <w:r>
        <w:rPr>
          <w:rtl/>
        </w:rPr>
        <w:t>בהינתן כמות הסמים, הרי שהנזק שהיה צפוי ממעשיו של הנאשם, כמו גם הרווח שהיה עתיד לגרוף לכיסו, היה גדול מאוד. הנזק הצפוי הינו שיקול רלוונטי בעת קביעת מתחם העונש ההולם, ולדידי אין כל מקום להתחשב בטענה כי בפועל לא נגרם כל נזק, שכן מניעת הנזק היא תוצאה של ערנות הגורמים הצבאיים ולא של חרטת הנאשם.</w:t>
      </w:r>
    </w:p>
    <w:p w14:paraId="2418AE75" w14:textId="77777777" w:rsidR="00784B5F" w:rsidRDefault="00784B5F">
      <w:pPr>
        <w:spacing w:line="360" w:lineRule="auto"/>
        <w:jc w:val="both"/>
        <w:rPr>
          <w:rtl/>
        </w:rPr>
      </w:pPr>
    </w:p>
    <w:p w14:paraId="61E9963E" w14:textId="77777777" w:rsidR="00784B5F" w:rsidRDefault="00B4080E">
      <w:pPr>
        <w:spacing w:line="360" w:lineRule="auto"/>
        <w:ind w:left="720" w:hanging="720"/>
        <w:jc w:val="both"/>
        <w:rPr>
          <w:rtl/>
        </w:rPr>
      </w:pPr>
      <w:r>
        <w:rPr>
          <w:rtl/>
        </w:rPr>
        <w:t>12.</w:t>
      </w:r>
      <w:r>
        <w:rPr>
          <w:rFonts w:hint="cs"/>
          <w:rtl/>
        </w:rPr>
        <w:tab/>
      </w:r>
      <w:r>
        <w:rPr>
          <w:rtl/>
        </w:rPr>
        <w:t>עוד יש לציין כי הנאשם ביצע את העבירות באמצעות רכב, ובזמן שהיה פסול מלהחזיק ברישיון נהיגה. נסיבה זו, אף כי הינה "שולית" ביחס לנטילת חבילות הסם, משקפת במידה רבה את יחסו של הנאשם למערכת האכיפה ואת חוסר מוראו מן החוק.</w:t>
      </w:r>
    </w:p>
    <w:p w14:paraId="5935BD43" w14:textId="77777777" w:rsidR="00784B5F" w:rsidRDefault="00784B5F">
      <w:pPr>
        <w:spacing w:line="360" w:lineRule="auto"/>
        <w:jc w:val="both"/>
        <w:rPr>
          <w:rtl/>
        </w:rPr>
      </w:pPr>
    </w:p>
    <w:p w14:paraId="7DAA8D07" w14:textId="77777777" w:rsidR="00784B5F" w:rsidRDefault="00B4080E">
      <w:pPr>
        <w:spacing w:line="360" w:lineRule="auto"/>
        <w:jc w:val="both"/>
        <w:rPr>
          <w:u w:val="single"/>
          <w:rtl/>
        </w:rPr>
      </w:pPr>
      <w:r>
        <w:rPr>
          <w:u w:val="single"/>
          <w:rtl/>
        </w:rPr>
        <w:t>מדיניות הענישה הנוהגת ומתחם העונש ההולם</w:t>
      </w:r>
    </w:p>
    <w:p w14:paraId="12F12FA5" w14:textId="77777777" w:rsidR="00784B5F" w:rsidRDefault="00B4080E">
      <w:pPr>
        <w:spacing w:line="360" w:lineRule="auto"/>
        <w:ind w:left="720" w:hanging="720"/>
        <w:jc w:val="both"/>
        <w:rPr>
          <w:u w:val="single"/>
        </w:rPr>
      </w:pPr>
      <w:r>
        <w:rPr>
          <w:rtl/>
        </w:rPr>
        <w:t>13.</w:t>
      </w:r>
      <w:r>
        <w:rPr>
          <w:rFonts w:hint="cs"/>
          <w:rtl/>
        </w:rPr>
        <w:tab/>
      </w:r>
      <w:r>
        <w:rPr>
          <w:rtl/>
        </w:rPr>
        <w:t>טווח הענישה הנהוג בעבירות סמים הנו רחב, ותלוי בסוג ובכמות הסם, תדירות העיסוק, בנסיבות ביצוע העבירות ובנסיבותיהם של הנאשמים. כאשר עסקינן בהפצת כמויות גדולות של סם, קבע בית-המשפט העליון לא אחת, כי ראוי לגזור על המורשעים ענישה מחמירה ומרתיעה, הקרובה אל העונש המקסימאלי הקבוע בחוק, וכי שיקוליו האישיים של הנאשם נסוגים מפני שיקולי הנזק הכבד שהשימוש בסם מביא על המשתמשים בו (</w:t>
      </w:r>
      <w:hyperlink r:id="rId29" w:history="1">
        <w:r w:rsidR="00A42E48" w:rsidRPr="00A42E48">
          <w:rPr>
            <w:rStyle w:val="Hyperlink"/>
            <w:rtl/>
          </w:rPr>
          <w:t>ע"פ 6029/03 מדינת ישראל נ' גולן שמאי, פ"ד נח</w:t>
        </w:r>
      </w:hyperlink>
      <w:r>
        <w:rPr>
          <w:rtl/>
        </w:rPr>
        <w:t>(2) 734).</w:t>
      </w:r>
    </w:p>
    <w:p w14:paraId="49BD8836" w14:textId="77777777" w:rsidR="00784B5F" w:rsidRDefault="00784B5F">
      <w:pPr>
        <w:spacing w:line="360" w:lineRule="auto"/>
        <w:jc w:val="both"/>
        <w:rPr>
          <w:u w:val="single"/>
          <w:rtl/>
        </w:rPr>
      </w:pPr>
    </w:p>
    <w:p w14:paraId="071F4D19" w14:textId="77777777" w:rsidR="00784B5F" w:rsidRDefault="00B4080E">
      <w:pPr>
        <w:spacing w:line="360" w:lineRule="auto"/>
        <w:ind w:left="720" w:hanging="720"/>
        <w:jc w:val="both"/>
        <w:rPr>
          <w:rtl/>
        </w:rPr>
      </w:pPr>
      <w:r>
        <w:rPr>
          <w:rtl/>
        </w:rPr>
        <w:t>14.</w:t>
      </w:r>
      <w:r>
        <w:rPr>
          <w:rFonts w:hint="cs"/>
          <w:rtl/>
        </w:rPr>
        <w:tab/>
      </w:r>
      <w:r>
        <w:rPr>
          <w:rtl/>
        </w:rPr>
        <w:t>ב</w:t>
      </w:r>
      <w:hyperlink r:id="rId30" w:history="1">
        <w:r w:rsidR="00A42E48" w:rsidRPr="00A42E48">
          <w:rPr>
            <w:rStyle w:val="Hyperlink"/>
            <w:rtl/>
          </w:rPr>
          <w:t>ע"פ 1859/02</w:t>
        </w:r>
      </w:hyperlink>
      <w:r>
        <w:rPr>
          <w:rtl/>
        </w:rPr>
        <w:t xml:space="preserve"> </w:t>
      </w:r>
      <w:r>
        <w:rPr>
          <w:b/>
          <w:bCs/>
          <w:rtl/>
        </w:rPr>
        <w:t>מדינת ישראל נ' אמיר רחאל ואח'</w:t>
      </w:r>
      <w:r>
        <w:rPr>
          <w:rtl/>
        </w:rPr>
        <w:t xml:space="preserve"> (08.09.04) אישר בית-המשפט העליון עונש של 7 שנות מאסר בפועל על נאשם אשר נתפס בסמוך לגדר הגבול כשהוא אוסף תיק המכיל</w:t>
      </w:r>
      <w:r>
        <w:rPr>
          <w:b/>
          <w:bCs/>
          <w:color w:val="000000"/>
          <w:rtl/>
        </w:rPr>
        <w:t xml:space="preserve"> </w:t>
      </w:r>
      <w:r>
        <w:rPr>
          <w:rtl/>
        </w:rPr>
        <w:t xml:space="preserve">סם מסוג קוקאין במשקל נטו של 4,888.54 גרם. הנאשם שם, להבדיל מן הנאשם לפניי, הורשע, בין היתר, בעבירות של יבוא סם מסוכן וביצוע עסקה בסם מסוכן, אולם מדובר היה בנאשם אשר הודה בעובדות כתב האישום ושזו הייתה לו הרשעתו הראשונה בפלילים. יודגש כי שותפו של הנאשם שם, אשר זוכה מעבירות לפי </w:t>
      </w:r>
      <w:hyperlink r:id="rId31" w:history="1">
        <w:r w:rsidR="002B536C" w:rsidRPr="002B536C">
          <w:rPr>
            <w:rStyle w:val="Hyperlink"/>
            <w:rtl/>
          </w:rPr>
          <w:t>סעיפים 13</w:t>
        </w:r>
      </w:hyperlink>
      <w:r>
        <w:rPr>
          <w:rtl/>
        </w:rPr>
        <w:t xml:space="preserve"> ו-</w:t>
      </w:r>
      <w:hyperlink r:id="rId32" w:history="1">
        <w:r w:rsidR="002B536C" w:rsidRPr="002B536C">
          <w:rPr>
            <w:color w:val="0000FF"/>
            <w:u w:val="single"/>
            <w:rtl/>
          </w:rPr>
          <w:t>19א</w:t>
        </w:r>
      </w:hyperlink>
      <w:r>
        <w:rPr>
          <w:rtl/>
        </w:rPr>
        <w:t xml:space="preserve"> לפקודת הסמים והורשע בעבירות של קשירת קשר לביצוע פשע, ניסיון להחזקת סם שלא לצריכה עצמית והפרעה לשוטר במילוי תפקידו, נדון ל-8 שנות מאסר בפועל, וזאת בעיקר בשל עברו הפלילי המכביד. כן הטיל עליו בית המשפט קנס בסך של 15,000₪ ובנוסף פסל אותו מלהחזיק או לקבל רישיון נהיגה מסוג כלשהו למשך 3 שנים מתום ריצוי המאסר בפועל.</w:t>
      </w:r>
    </w:p>
    <w:p w14:paraId="56DD6483" w14:textId="77777777" w:rsidR="00784B5F" w:rsidRDefault="00784B5F">
      <w:pPr>
        <w:spacing w:line="360" w:lineRule="auto"/>
        <w:jc w:val="both"/>
        <w:rPr>
          <w:rtl/>
        </w:rPr>
      </w:pPr>
    </w:p>
    <w:p w14:paraId="0665EAC8" w14:textId="77777777" w:rsidR="00784B5F" w:rsidRDefault="00B4080E">
      <w:pPr>
        <w:spacing w:line="360" w:lineRule="auto"/>
        <w:ind w:left="720" w:hanging="720"/>
        <w:jc w:val="both"/>
        <w:rPr>
          <w:rtl/>
        </w:rPr>
      </w:pPr>
      <w:r>
        <w:rPr>
          <w:rtl/>
        </w:rPr>
        <w:t>15.</w:t>
      </w:r>
      <w:r>
        <w:rPr>
          <w:rFonts w:hint="cs"/>
          <w:rtl/>
        </w:rPr>
        <w:tab/>
      </w:r>
      <w:r>
        <w:rPr>
          <w:rtl/>
        </w:rPr>
        <w:t>ב</w:t>
      </w:r>
      <w:hyperlink r:id="rId33" w:history="1">
        <w:r w:rsidR="00A42E48" w:rsidRPr="00A42E48">
          <w:rPr>
            <w:rStyle w:val="Hyperlink"/>
            <w:rtl/>
          </w:rPr>
          <w:t>ע"פ 5175/11</w:t>
        </w:r>
      </w:hyperlink>
      <w:r>
        <w:rPr>
          <w:rtl/>
        </w:rPr>
        <w:t xml:space="preserve"> </w:t>
      </w:r>
      <w:r>
        <w:rPr>
          <w:b/>
          <w:bCs/>
          <w:rtl/>
        </w:rPr>
        <w:t>פיראס רדא נ' מדינת ישראל</w:t>
      </w:r>
      <w:r>
        <w:rPr>
          <w:rtl/>
        </w:rPr>
        <w:t xml:space="preserve"> (14.5.12) דן בית-המשפט העליון בעונשם של שני עברייני סמים עליהם גזרתי עונשי מאסר בפועל לתקופה של 7.5 ו-5.5 שנים (מערערים 1 ו-2 בהתאמה). באותו מקרה המערער 1 היה מעורב באופן ישיר בסחר הרואין שהתבצע באזור מג'דל שמס, והפעיל לשם כך בלדר סורי, ואילו תפקידו של המערער 2 היה לדאוג לאיסופן של חבילות הסמים, והוא עשה כן באמצעות גיוסו של אדם אחר. המערערים הורשעו על-פי הודאתם בעבירות של עסקה אחרת בסם מסוכן, לפי </w:t>
      </w:r>
      <w:hyperlink r:id="rId34" w:history="1">
        <w:r w:rsidR="002B536C" w:rsidRPr="002B536C">
          <w:rPr>
            <w:color w:val="0000FF"/>
            <w:u w:val="single"/>
            <w:rtl/>
          </w:rPr>
          <w:t>סעיפים 13</w:t>
        </w:r>
      </w:hyperlink>
      <w:r>
        <w:rPr>
          <w:rtl/>
        </w:rPr>
        <w:t xml:space="preserve"> ו- </w:t>
      </w:r>
      <w:hyperlink r:id="rId35" w:history="1">
        <w:r w:rsidR="002B536C" w:rsidRPr="002B536C">
          <w:rPr>
            <w:color w:val="0000FF"/>
            <w:u w:val="single"/>
            <w:rtl/>
          </w:rPr>
          <w:t>19א</w:t>
        </w:r>
      </w:hyperlink>
      <w:r>
        <w:rPr>
          <w:rtl/>
        </w:rPr>
        <w:t xml:space="preserve"> לפקודת הסמים, ובשיבוש מהלכי משפט, לפי </w:t>
      </w:r>
      <w:hyperlink r:id="rId36" w:history="1">
        <w:r w:rsidR="002B536C" w:rsidRPr="002B536C">
          <w:rPr>
            <w:color w:val="0000FF"/>
            <w:u w:val="single"/>
            <w:rtl/>
          </w:rPr>
          <w:t>סעיף 244</w:t>
        </w:r>
      </w:hyperlink>
      <w:r>
        <w:rPr>
          <w:rtl/>
        </w:rPr>
        <w:t xml:space="preserve"> ל</w:t>
      </w:r>
      <w:hyperlink r:id="rId37" w:history="1">
        <w:r w:rsidR="00A42E48" w:rsidRPr="00A42E48">
          <w:rPr>
            <w:rStyle w:val="Hyperlink"/>
            <w:rtl/>
          </w:rPr>
          <w:t>חוק העונשין</w:t>
        </w:r>
      </w:hyperlink>
      <w:r>
        <w:rPr>
          <w:rtl/>
        </w:rPr>
        <w:t>, התשל"ז- 1977.</w:t>
      </w:r>
    </w:p>
    <w:p w14:paraId="0EECB16F" w14:textId="77777777" w:rsidR="00784B5F" w:rsidRDefault="00B4080E">
      <w:pPr>
        <w:spacing w:line="360" w:lineRule="auto"/>
        <w:ind w:left="720"/>
        <w:jc w:val="both"/>
        <w:rPr>
          <w:rtl/>
        </w:rPr>
      </w:pPr>
      <w:r>
        <w:rPr>
          <w:rtl/>
        </w:rPr>
        <w:t>בית המשפט העליון החליט להפחית מעונש המאסר בפועל של כל אחד מן המערערים שנה ומחצה, בהדגישו כי ההפחתה נעשית אך ורק משיקולים של אחדות הענישה והשוואת עונשם לעונשו של נאשם נוסף באותו מקרה, ובציינו כי "על פני הדברים לא היה דופי בעונש שהוטל לגופו, וניתן להבין את המסר הראוי שביקש בית המשפט קמא להעביר".</w:t>
      </w:r>
    </w:p>
    <w:p w14:paraId="295F9A56" w14:textId="77777777" w:rsidR="00784B5F" w:rsidRDefault="00784B5F">
      <w:pPr>
        <w:spacing w:line="360" w:lineRule="auto"/>
        <w:jc w:val="both"/>
        <w:rPr>
          <w:rtl/>
        </w:rPr>
      </w:pPr>
    </w:p>
    <w:p w14:paraId="53B092C2" w14:textId="77777777" w:rsidR="00784B5F" w:rsidRDefault="00B4080E">
      <w:pPr>
        <w:spacing w:line="360" w:lineRule="auto"/>
        <w:ind w:left="720" w:hanging="720"/>
        <w:jc w:val="both"/>
        <w:rPr>
          <w:rtl/>
        </w:rPr>
      </w:pPr>
      <w:r>
        <w:rPr>
          <w:rtl/>
        </w:rPr>
        <w:t>17.</w:t>
      </w:r>
      <w:r>
        <w:rPr>
          <w:rFonts w:hint="cs"/>
          <w:rtl/>
        </w:rPr>
        <w:tab/>
      </w:r>
      <w:r>
        <w:rPr>
          <w:rtl/>
        </w:rPr>
        <w:t xml:space="preserve">מן האמור לעיל מסקנתי היא כי מתחם העונש ההולם למחזיק בכמות כה גדולה של סם מסוכן מסוג הרואין, ולאור כוונתו המסתברת של הנאשם להפיצם בדרך זו או אחרת, הינו בטווח שבין 5 ל-8 שנות מאסר בפועל. </w:t>
      </w:r>
    </w:p>
    <w:p w14:paraId="37FAFB30" w14:textId="77777777" w:rsidR="00784B5F" w:rsidRDefault="00784B5F">
      <w:pPr>
        <w:spacing w:line="360" w:lineRule="auto"/>
        <w:jc w:val="both"/>
      </w:pPr>
    </w:p>
    <w:p w14:paraId="32832AB1" w14:textId="77777777" w:rsidR="00784B5F" w:rsidRDefault="00B4080E">
      <w:pPr>
        <w:spacing w:line="360" w:lineRule="auto"/>
        <w:jc w:val="both"/>
        <w:rPr>
          <w:b/>
          <w:bCs/>
          <w:u w:val="single"/>
          <w:rtl/>
        </w:rPr>
      </w:pPr>
      <w:r>
        <w:rPr>
          <w:b/>
          <w:bCs/>
          <w:u w:val="single"/>
          <w:rtl/>
        </w:rPr>
        <w:t>נסיבותיו האישיות של הנאשם וגזירת העונש</w:t>
      </w:r>
    </w:p>
    <w:p w14:paraId="6D09A25D" w14:textId="77777777" w:rsidR="00784B5F" w:rsidRDefault="00B4080E">
      <w:pPr>
        <w:spacing w:line="360" w:lineRule="auto"/>
        <w:ind w:left="720" w:hanging="720"/>
        <w:jc w:val="both"/>
        <w:rPr>
          <w:rtl/>
        </w:rPr>
      </w:pPr>
      <w:r>
        <w:rPr>
          <w:rtl/>
        </w:rPr>
        <w:t>18.</w:t>
      </w:r>
      <w:r>
        <w:rPr>
          <w:rFonts w:hint="cs"/>
          <w:rtl/>
        </w:rPr>
        <w:tab/>
      </w:r>
      <w:r>
        <w:rPr>
          <w:rtl/>
        </w:rPr>
        <w:t xml:space="preserve">נסיבותיו של הנאשם, שהינו אדם בוגר ואב לילדים קטנים, אינן יוצאות דופן ואין בהן משום הצדקה להפחתה בעונשו, פרט לעובדה כי שיתף פעולה עם גורמי האכיפה והודה בעובדות כתב האישום בהזדמנות הראשונה. אף לא ראיתי מקום להתחשב במצבו הכלכלי של הנאשם עד כדי הימנעות מהטלת קנס, וזאת הן בשל אופי העבירות והן משום שלא הובאו מטעם הנאשם ראיות משכנעות לתמיכה בטענותיו אלה. </w:t>
      </w:r>
    </w:p>
    <w:p w14:paraId="25A6B05D" w14:textId="77777777" w:rsidR="00784B5F" w:rsidRDefault="00784B5F">
      <w:pPr>
        <w:spacing w:line="360" w:lineRule="auto"/>
        <w:ind w:left="720" w:hanging="720"/>
        <w:jc w:val="both"/>
        <w:rPr>
          <w:rtl/>
        </w:rPr>
      </w:pPr>
    </w:p>
    <w:p w14:paraId="06C8ACE4" w14:textId="77777777" w:rsidR="00784B5F" w:rsidRDefault="00B4080E">
      <w:pPr>
        <w:spacing w:line="360" w:lineRule="auto"/>
        <w:ind w:left="720" w:hanging="720"/>
        <w:jc w:val="both"/>
        <w:rPr>
          <w:rtl/>
        </w:rPr>
      </w:pPr>
      <w:r>
        <w:rPr>
          <w:rtl/>
        </w:rPr>
        <w:t>19.</w:t>
      </w:r>
      <w:r>
        <w:rPr>
          <w:rFonts w:hint="cs"/>
          <w:rtl/>
        </w:rPr>
        <w:tab/>
      </w:r>
      <w:r>
        <w:rPr>
          <w:rtl/>
        </w:rPr>
        <w:t>עוד יש להתחשב בכך שלנאשם עבר פלילי בעבירות של החזקת סמים, אם כי נדרשתי לכך שהנאשם לא עסק בעבר בהחזקת כמות מסחרית או בעבירות שמהותן הפצת סמים.</w:t>
      </w:r>
    </w:p>
    <w:p w14:paraId="5B9D56C8" w14:textId="77777777" w:rsidR="00784B5F" w:rsidRDefault="00784B5F">
      <w:pPr>
        <w:spacing w:line="360" w:lineRule="auto"/>
        <w:jc w:val="both"/>
        <w:rPr>
          <w:rtl/>
        </w:rPr>
      </w:pPr>
    </w:p>
    <w:p w14:paraId="3E171A16" w14:textId="77777777" w:rsidR="00784B5F" w:rsidRDefault="00B4080E">
      <w:pPr>
        <w:spacing w:line="360" w:lineRule="auto"/>
        <w:ind w:left="720" w:hanging="720"/>
        <w:jc w:val="both"/>
        <w:rPr>
          <w:rtl/>
        </w:rPr>
      </w:pPr>
      <w:r>
        <w:rPr>
          <w:rtl/>
        </w:rPr>
        <w:t>20.</w:t>
      </w:r>
      <w:r>
        <w:rPr>
          <w:rFonts w:hint="cs"/>
          <w:rtl/>
        </w:rPr>
        <w:tab/>
      </w:r>
      <w:r>
        <w:rPr>
          <w:rtl/>
        </w:rPr>
        <w:t xml:space="preserve">הנה כי כן, לאחר ששקלתי את כל השיקולים המתבקשים והמתחייבים לענייננו, החלטתי </w:t>
      </w:r>
      <w:r>
        <w:rPr>
          <w:rFonts w:hint="cs"/>
          <w:rtl/>
        </w:rPr>
        <w:t>לגזור</w:t>
      </w:r>
      <w:r>
        <w:rPr>
          <w:rtl/>
        </w:rPr>
        <w:t xml:space="preserve"> על הנאשם את העונשים הבאים:</w:t>
      </w:r>
    </w:p>
    <w:p w14:paraId="17509942" w14:textId="77777777" w:rsidR="00784B5F" w:rsidRDefault="00B4080E">
      <w:pPr>
        <w:spacing w:line="360" w:lineRule="auto"/>
        <w:ind w:firstLine="720"/>
        <w:jc w:val="both"/>
        <w:rPr>
          <w:rtl/>
        </w:rPr>
      </w:pPr>
      <w:r>
        <w:rPr>
          <w:rtl/>
        </w:rPr>
        <w:t>א.</w:t>
      </w:r>
      <w:r>
        <w:rPr>
          <w:rFonts w:hint="cs"/>
          <w:rtl/>
        </w:rPr>
        <w:tab/>
        <w:t xml:space="preserve">אני דן את הנאשם לשש </w:t>
      </w:r>
      <w:r>
        <w:rPr>
          <w:rtl/>
        </w:rPr>
        <w:t>שנות מאסר בפועל בניכוי ימי מעצרו</w:t>
      </w:r>
      <w:r>
        <w:rPr>
          <w:rFonts w:hint="cs"/>
          <w:rtl/>
        </w:rPr>
        <w:t xml:space="preserve"> מיום 03.02.12</w:t>
      </w:r>
      <w:r>
        <w:rPr>
          <w:rtl/>
        </w:rPr>
        <w:t>.</w:t>
      </w:r>
    </w:p>
    <w:p w14:paraId="0A143599" w14:textId="77777777" w:rsidR="00784B5F" w:rsidRDefault="00B4080E">
      <w:pPr>
        <w:spacing w:line="360" w:lineRule="auto"/>
        <w:ind w:left="1440" w:hanging="720"/>
        <w:jc w:val="both"/>
        <w:rPr>
          <w:rtl/>
        </w:rPr>
      </w:pPr>
      <w:r>
        <w:rPr>
          <w:rtl/>
        </w:rPr>
        <w:t>ב.</w:t>
      </w:r>
      <w:r>
        <w:rPr>
          <w:rFonts w:hint="cs"/>
          <w:rtl/>
        </w:rPr>
        <w:tab/>
        <w:t xml:space="preserve">אני דן את הנאשם ל- </w:t>
      </w:r>
      <w:r>
        <w:rPr>
          <w:rtl/>
        </w:rPr>
        <w:t>24 חודשי מאסר על תנאי למשך 3 שנים, והתנאי הוא שהנאשם לא יעבור בפרק זמן זה כל עבירת סמים מסוג פשע שיורשע בגינה.</w:t>
      </w:r>
    </w:p>
    <w:p w14:paraId="4458E009" w14:textId="77777777" w:rsidR="00784B5F" w:rsidRDefault="00B4080E">
      <w:pPr>
        <w:spacing w:line="360" w:lineRule="auto"/>
        <w:ind w:left="1440" w:hanging="720"/>
        <w:jc w:val="both"/>
        <w:rPr>
          <w:rtl/>
        </w:rPr>
      </w:pPr>
      <w:r>
        <w:rPr>
          <w:rtl/>
        </w:rPr>
        <w:t>ג.</w:t>
      </w:r>
      <w:r>
        <w:rPr>
          <w:rFonts w:hint="cs"/>
          <w:rtl/>
        </w:rPr>
        <w:tab/>
        <w:t xml:space="preserve">אני גוזר על הנאשם </w:t>
      </w:r>
      <w:r>
        <w:rPr>
          <w:rtl/>
        </w:rPr>
        <w:t xml:space="preserve">קנס </w:t>
      </w:r>
      <w:r>
        <w:rPr>
          <w:rFonts w:hint="cs"/>
          <w:rtl/>
        </w:rPr>
        <w:t xml:space="preserve">כספי </w:t>
      </w:r>
      <w:r>
        <w:rPr>
          <w:rtl/>
        </w:rPr>
        <w:t>בסך 10,000 ₪</w:t>
      </w:r>
      <w:r>
        <w:rPr>
          <w:rFonts w:hint="cs"/>
          <w:rtl/>
        </w:rPr>
        <w:t xml:space="preserve"> או 3 חודשי מאסר תמורתו, בנוסף לכל מאסר אחר שהוטל עליו. הקנס ישולם באופן הבא: </w:t>
      </w:r>
    </w:p>
    <w:p w14:paraId="20978E9D" w14:textId="77777777" w:rsidR="00784B5F" w:rsidRDefault="00B4080E">
      <w:pPr>
        <w:spacing w:line="360" w:lineRule="auto"/>
        <w:ind w:left="1440" w:hanging="720"/>
        <w:jc w:val="both"/>
        <w:rPr>
          <w:rtl/>
        </w:rPr>
      </w:pPr>
      <w:r>
        <w:rPr>
          <w:rFonts w:hint="cs"/>
          <w:rtl/>
        </w:rPr>
        <w:t xml:space="preserve"> </w:t>
      </w:r>
      <w:r>
        <w:rPr>
          <w:rFonts w:hint="cs"/>
          <w:rtl/>
        </w:rPr>
        <w:tab/>
        <w:t xml:space="preserve">3,000 ₪ בתוך 24 חודשים מהיום ואילו את היתרה בתוך 120 יום מיום שחרורו מהכלא. </w:t>
      </w:r>
    </w:p>
    <w:p w14:paraId="7146F29A" w14:textId="77777777" w:rsidR="00784B5F" w:rsidRDefault="00B4080E">
      <w:pPr>
        <w:spacing w:line="360" w:lineRule="auto"/>
        <w:ind w:left="1440" w:hanging="720"/>
        <w:jc w:val="both"/>
      </w:pPr>
      <w:r>
        <w:rPr>
          <w:rtl/>
        </w:rPr>
        <w:t>ד.</w:t>
      </w:r>
      <w:r>
        <w:rPr>
          <w:rFonts w:hint="cs"/>
          <w:rtl/>
        </w:rPr>
        <w:tab/>
      </w:r>
      <w:r>
        <w:rPr>
          <w:rtl/>
        </w:rPr>
        <w:t>אני פוסל את הנאשם מלהחזיק או לקבל רישיון נהיגה למשך 3 שנים מיום שחרורו ממאסר.</w:t>
      </w:r>
    </w:p>
    <w:p w14:paraId="49D5E86B" w14:textId="77777777" w:rsidR="00784B5F" w:rsidRDefault="00784B5F">
      <w:pPr>
        <w:spacing w:line="360" w:lineRule="auto"/>
        <w:jc w:val="both"/>
      </w:pPr>
    </w:p>
    <w:p w14:paraId="2E422F0F" w14:textId="77777777" w:rsidR="00784B5F" w:rsidRDefault="00B4080E">
      <w:pPr>
        <w:pStyle w:val="David"/>
        <w:rPr>
          <w:b/>
          <w:bCs/>
          <w:u w:val="single"/>
          <w:rtl/>
        </w:rPr>
      </w:pPr>
      <w:r>
        <w:rPr>
          <w:rFonts w:hint="cs"/>
          <w:b/>
          <w:bCs/>
          <w:u w:val="single"/>
          <w:rtl/>
        </w:rPr>
        <w:t xml:space="preserve">זכות ערעור לבית המשפט העליון בתוך 45 יום מהיום. </w:t>
      </w:r>
    </w:p>
    <w:p w14:paraId="3C14124A" w14:textId="77777777" w:rsidR="00784B5F" w:rsidRDefault="00B4080E">
      <w:pPr>
        <w:pStyle w:val="David"/>
        <w:rPr>
          <w:b/>
          <w:bCs/>
          <w:sz w:val="6"/>
          <w:szCs w:val="6"/>
          <w:rtl/>
        </w:rPr>
      </w:pPr>
      <w:r>
        <w:rPr>
          <w:b/>
          <w:bCs/>
          <w:sz w:val="6"/>
          <w:szCs w:val="6"/>
          <w:rtl/>
        </w:rPr>
        <w:t>&lt;#6#&gt;</w:t>
      </w:r>
    </w:p>
    <w:p w14:paraId="690E716E" w14:textId="77777777" w:rsidR="00784B5F" w:rsidRDefault="00784B5F">
      <w:pPr>
        <w:jc w:val="right"/>
        <w:rPr>
          <w:rtl/>
        </w:rPr>
      </w:pPr>
    </w:p>
    <w:p w14:paraId="6A226CEA" w14:textId="77777777" w:rsidR="00B4080E" w:rsidRPr="00B4080E" w:rsidRDefault="00B4080E" w:rsidP="00B4080E">
      <w:pPr>
        <w:keepNext/>
        <w:spacing w:line="360" w:lineRule="auto"/>
        <w:rPr>
          <w:color w:val="000000"/>
          <w:sz w:val="22"/>
          <w:szCs w:val="22"/>
          <w:rtl/>
        </w:rPr>
      </w:pPr>
      <w:bookmarkStart w:id="8" w:name="_GoBack"/>
      <w:bookmarkEnd w:id="8"/>
    </w:p>
    <w:p w14:paraId="45B932AF" w14:textId="77777777" w:rsidR="007A0687" w:rsidRPr="007A0687" w:rsidRDefault="007A0687" w:rsidP="007A0687">
      <w:pPr>
        <w:keepNext/>
        <w:spacing w:line="360" w:lineRule="auto"/>
        <w:rPr>
          <w:rFonts w:hint="cs"/>
          <w:color w:val="000000"/>
          <w:sz w:val="22"/>
          <w:szCs w:val="22"/>
          <w:rtl/>
        </w:rPr>
      </w:pPr>
    </w:p>
    <w:p w14:paraId="6CDA5011" w14:textId="77777777" w:rsidR="007A0687" w:rsidRPr="007A0687" w:rsidRDefault="007A0687" w:rsidP="007A0687">
      <w:pPr>
        <w:keepNext/>
        <w:spacing w:line="360" w:lineRule="auto"/>
        <w:rPr>
          <w:color w:val="000000"/>
          <w:sz w:val="22"/>
          <w:szCs w:val="22"/>
          <w:rtl/>
        </w:rPr>
      </w:pPr>
      <w:r w:rsidRPr="007A0687">
        <w:rPr>
          <w:color w:val="000000"/>
          <w:sz w:val="22"/>
          <w:szCs w:val="22"/>
          <w:rtl/>
        </w:rPr>
        <w:t>תאופיק כתילי 54678313-/</w:t>
      </w:r>
    </w:p>
    <w:p w14:paraId="0E3E9CFB" w14:textId="77777777" w:rsidR="00784B5F" w:rsidRDefault="007A0687">
      <w:pPr>
        <w:spacing w:line="360" w:lineRule="auto"/>
        <w:jc w:val="both"/>
        <w:rPr>
          <w:rtl/>
        </w:rPr>
      </w:pPr>
      <w:r w:rsidRPr="007A0687">
        <w:rPr>
          <w:b/>
          <w:bCs/>
          <w:color w:val="FFFFFF"/>
          <w:sz w:val="2"/>
          <w:szCs w:val="2"/>
          <w:rtl/>
        </w:rPr>
        <w:t>5129371</w:t>
      </w:r>
      <w:r w:rsidR="00B4080E" w:rsidRPr="00B4080E">
        <w:rPr>
          <w:b/>
          <w:bCs/>
          <w:color w:val="FFFFFF"/>
          <w:sz w:val="2"/>
          <w:szCs w:val="2"/>
          <w:rtl/>
        </w:rPr>
        <w:t>5129371</w:t>
      </w:r>
      <w:r w:rsidR="00B4080E">
        <w:rPr>
          <w:b/>
          <w:bCs/>
          <w:rtl/>
        </w:rPr>
        <w:t xml:space="preserve">ניתנה והודעה היום י"ז שבט תשע"ג, 28/01/2013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784B5F" w14:paraId="42062108" w14:textId="77777777">
        <w:trPr>
          <w:trHeight w:val="364"/>
          <w:jc w:val="right"/>
        </w:trPr>
        <w:tc>
          <w:tcPr>
            <w:tcW w:w="3708" w:type="dxa"/>
          </w:tcPr>
          <w:p w14:paraId="131905F4" w14:textId="77777777" w:rsidR="00784B5F" w:rsidRPr="00B4080E" w:rsidRDefault="007A0687">
            <w:pPr>
              <w:jc w:val="center"/>
              <w:rPr>
                <w:rFonts w:ascii="Times New Roman" w:eastAsia="Times New Roman" w:hAnsi="Times New Roman" w:cs="Times New Roman"/>
                <w:color w:val="FFFFFF"/>
                <w:sz w:val="2"/>
                <w:szCs w:val="2"/>
                <w:rtl/>
              </w:rPr>
            </w:pPr>
            <w:r w:rsidRPr="007A0687">
              <w:rPr>
                <w:rFonts w:ascii="Times New Roman" w:eastAsia="Times New Roman" w:hAnsi="Times New Roman" w:cs="Times New Roman"/>
                <w:color w:val="FFFFFF"/>
                <w:sz w:val="2"/>
                <w:szCs w:val="2"/>
                <w:rtl/>
              </w:rPr>
              <w:t>54678313</w:t>
            </w:r>
            <w:r w:rsidR="00B4080E" w:rsidRPr="00B4080E">
              <w:rPr>
                <w:rFonts w:ascii="Times New Roman" w:eastAsia="Times New Roman" w:hAnsi="Times New Roman" w:cs="Times New Roman"/>
                <w:color w:val="FFFFFF"/>
                <w:sz w:val="2"/>
                <w:szCs w:val="2"/>
                <w:rtl/>
              </w:rPr>
              <w:t>54678313</w:t>
            </w:r>
          </w:p>
        </w:tc>
      </w:tr>
      <w:tr w:rsidR="00784B5F" w14:paraId="7F500C0A" w14:textId="77777777">
        <w:trPr>
          <w:trHeight w:val="415"/>
          <w:jc w:val="right"/>
        </w:trPr>
        <w:tc>
          <w:tcPr>
            <w:tcW w:w="3708" w:type="dxa"/>
          </w:tcPr>
          <w:p w14:paraId="002DFD03" w14:textId="77777777" w:rsidR="00784B5F" w:rsidRDefault="00B4080E">
            <w:pPr>
              <w:jc w:val="center"/>
              <w:rPr>
                <w:rFonts w:ascii="Times New Roman" w:eastAsia="Times New Roman" w:hAnsi="Times New Roman"/>
                <w:b/>
                <w:bCs/>
                <w:rtl/>
              </w:rPr>
            </w:pPr>
            <w:r>
              <w:rPr>
                <w:rFonts w:ascii="Times New Roman" w:eastAsia="Times New Roman" w:hAnsi="Times New Roman" w:hint="cs"/>
                <w:rtl/>
              </w:rPr>
              <w:t>תאופיק</w:t>
            </w:r>
            <w:r>
              <w:rPr>
                <w:rFonts w:ascii="Times New Roman" w:eastAsia="Times New Roman" w:hAnsi="Times New Roman" w:hint="cs"/>
                <w:b/>
                <w:bCs/>
                <w:rtl/>
              </w:rPr>
              <w:t xml:space="preserve"> </w:t>
            </w:r>
            <w:r>
              <w:rPr>
                <w:rFonts w:ascii="Times New Roman" w:eastAsia="Times New Roman" w:hAnsi="Times New Roman" w:hint="cs"/>
                <w:rtl/>
              </w:rPr>
              <w:t>כתילי</w:t>
            </w:r>
            <w:r>
              <w:rPr>
                <w:rFonts w:ascii="Times New Roman" w:eastAsia="Times New Roman" w:hAnsi="Times New Roman" w:hint="cs"/>
                <w:b/>
                <w:bCs/>
                <w:rtl/>
              </w:rPr>
              <w:t xml:space="preserve">, </w:t>
            </w:r>
            <w:r>
              <w:rPr>
                <w:rFonts w:ascii="Times New Roman" w:eastAsia="Times New Roman" w:hAnsi="Times New Roman" w:hint="cs"/>
                <w:rtl/>
              </w:rPr>
              <w:t>סגן נשיא</w:t>
            </w:r>
          </w:p>
        </w:tc>
      </w:tr>
    </w:tbl>
    <w:p w14:paraId="3CEAE56E" w14:textId="77777777" w:rsidR="00B4080E" w:rsidRDefault="00B4080E" w:rsidP="00B4080E">
      <w:r w:rsidRPr="00B4080E">
        <w:rPr>
          <w:color w:val="000000"/>
          <w:rtl/>
        </w:rPr>
        <w:t>נוסח מסמך זה כפוף לשינויי ניסוח ועריכה</w:t>
      </w:r>
    </w:p>
    <w:p w14:paraId="1A707053" w14:textId="77777777" w:rsidR="00B4080E" w:rsidRDefault="00B4080E" w:rsidP="00B4080E">
      <w:pPr>
        <w:rPr>
          <w:rtl/>
        </w:rPr>
      </w:pPr>
    </w:p>
    <w:p w14:paraId="6691DEF1" w14:textId="77777777" w:rsidR="00B4080E" w:rsidRDefault="00B4080E" w:rsidP="00B4080E">
      <w:pPr>
        <w:jc w:val="center"/>
        <w:rPr>
          <w:color w:val="0000FF"/>
          <w:u w:val="single"/>
        </w:rPr>
      </w:pPr>
      <w:r w:rsidRPr="008B0140">
        <w:rPr>
          <w:color w:val="000000"/>
          <w:rtl/>
        </w:rPr>
        <w:t>בעניין עריכה ושינויים במסמכי פסיקה, חקיקה ועוד באתר נבו – הקש כאן</w:t>
      </w:r>
    </w:p>
    <w:sectPr w:rsidR="00B4080E" w:rsidSect="007A0687">
      <w:headerReference w:type="even" r:id="rId38"/>
      <w:headerReference w:type="default" r:id="rId39"/>
      <w:footerReference w:type="even" r:id="rId40"/>
      <w:footerReference w:type="default" r:id="rId41"/>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E5DA4C" w14:textId="77777777" w:rsidR="00F515A2" w:rsidRPr="00602539" w:rsidRDefault="00F515A2">
      <w:pPr>
        <w:rPr>
          <w:rFonts w:ascii="Garamond" w:hAnsi="Garamond" w:cs="Arial"/>
          <w:sz w:val="20"/>
          <w:szCs w:val="20"/>
        </w:rPr>
      </w:pPr>
      <w:r>
        <w:separator/>
      </w:r>
    </w:p>
  </w:endnote>
  <w:endnote w:type="continuationSeparator" w:id="0">
    <w:p w14:paraId="6B154026" w14:textId="77777777" w:rsidR="00F515A2" w:rsidRPr="00602539" w:rsidRDefault="00F515A2">
      <w:pPr>
        <w:rPr>
          <w:rFonts w:ascii="Garamond" w:hAnsi="Garamond" w:cs="Arial"/>
          <w:sz w:val="20"/>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2CB1C" w14:textId="77777777" w:rsidR="00AE6DB6" w:rsidRDefault="00AE6DB6" w:rsidP="007A068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0A6E443" w14:textId="77777777" w:rsidR="00AE6DB6" w:rsidRPr="007A0687" w:rsidRDefault="00AE6DB6" w:rsidP="007A0687">
    <w:pPr>
      <w:pStyle w:val="a4"/>
      <w:pBdr>
        <w:top w:val="single" w:sz="4" w:space="1" w:color="auto"/>
        <w:between w:val="single" w:sz="4" w:space="0" w:color="auto"/>
      </w:pBdr>
      <w:spacing w:after="60"/>
      <w:jc w:val="center"/>
      <w:rPr>
        <w:rFonts w:ascii="FrankRuehl" w:hAnsi="FrankRuehl" w:cs="FrankRuehl"/>
        <w:color w:val="000000"/>
      </w:rPr>
    </w:pPr>
    <w:r w:rsidRPr="007A068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98E61" w14:textId="77777777" w:rsidR="00AE6DB6" w:rsidRDefault="00AE6DB6" w:rsidP="007A068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3647B">
      <w:rPr>
        <w:rFonts w:ascii="FrankRuehl" w:hAnsi="FrankRuehl" w:cs="FrankRuehl"/>
        <w:noProof/>
        <w:rtl/>
      </w:rPr>
      <w:t>1</w:t>
    </w:r>
    <w:r>
      <w:rPr>
        <w:rFonts w:ascii="FrankRuehl" w:hAnsi="FrankRuehl" w:cs="FrankRuehl"/>
        <w:rtl/>
      </w:rPr>
      <w:fldChar w:fldCharType="end"/>
    </w:r>
  </w:p>
  <w:p w14:paraId="06F81EFF" w14:textId="77777777" w:rsidR="00AE6DB6" w:rsidRPr="007A0687" w:rsidRDefault="00AE6DB6" w:rsidP="007A0687">
    <w:pPr>
      <w:pStyle w:val="a4"/>
      <w:pBdr>
        <w:top w:val="single" w:sz="4" w:space="1" w:color="auto"/>
        <w:between w:val="single" w:sz="4" w:space="0" w:color="auto"/>
      </w:pBdr>
      <w:spacing w:after="60"/>
      <w:jc w:val="center"/>
      <w:rPr>
        <w:rFonts w:ascii="FrankRuehl" w:hAnsi="FrankRuehl" w:cs="FrankRuehl"/>
        <w:color w:val="000000"/>
      </w:rPr>
    </w:pPr>
    <w:r w:rsidRPr="007A0687">
      <w:rPr>
        <w:rFonts w:ascii="FrankRuehl" w:hAnsi="FrankRuehl" w:cs="FrankRuehl"/>
        <w:color w:val="000000"/>
      </w:rPr>
      <w:pict w14:anchorId="6235A9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3908C7" w14:textId="77777777" w:rsidR="00F515A2" w:rsidRPr="00602539" w:rsidRDefault="00F515A2">
      <w:pPr>
        <w:rPr>
          <w:rFonts w:ascii="Garamond" w:hAnsi="Garamond" w:cs="Arial"/>
          <w:sz w:val="20"/>
          <w:szCs w:val="20"/>
        </w:rPr>
      </w:pPr>
      <w:r>
        <w:separator/>
      </w:r>
    </w:p>
  </w:footnote>
  <w:footnote w:type="continuationSeparator" w:id="0">
    <w:p w14:paraId="4F06E4DB" w14:textId="77777777" w:rsidR="00F515A2" w:rsidRPr="00602539" w:rsidRDefault="00F515A2">
      <w:pPr>
        <w:rPr>
          <w:rFonts w:ascii="Garamond" w:hAnsi="Garamond" w:cs="Arial"/>
          <w:sz w:val="20"/>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66AE0" w14:textId="77777777" w:rsidR="00AE6DB6" w:rsidRPr="007A0687" w:rsidRDefault="00AE6DB6" w:rsidP="007A0687">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20534-02-12</w:t>
    </w:r>
    <w:r>
      <w:rPr>
        <w:color w:val="000000"/>
        <w:sz w:val="22"/>
        <w:szCs w:val="22"/>
        <w:rtl/>
      </w:rPr>
      <w:tab/>
      <w:t xml:space="preserve"> מדינת ישראל נ' עאמר עלי אחמד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569998" w14:textId="77777777" w:rsidR="00AE6DB6" w:rsidRPr="007A0687" w:rsidRDefault="00AE6DB6" w:rsidP="007A0687">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20534-02-12</w:t>
    </w:r>
    <w:r>
      <w:rPr>
        <w:color w:val="000000"/>
        <w:sz w:val="22"/>
        <w:szCs w:val="22"/>
        <w:rtl/>
      </w:rPr>
      <w:tab/>
      <w:t xml:space="preserve"> מדינת ישראל נ' עאמר עלי אחמד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84B5F"/>
    <w:rsid w:val="00287A44"/>
    <w:rsid w:val="002B536C"/>
    <w:rsid w:val="002C6178"/>
    <w:rsid w:val="00371E13"/>
    <w:rsid w:val="00440773"/>
    <w:rsid w:val="005530D8"/>
    <w:rsid w:val="00784B5F"/>
    <w:rsid w:val="007A0687"/>
    <w:rsid w:val="008B0140"/>
    <w:rsid w:val="008B0168"/>
    <w:rsid w:val="00A3647B"/>
    <w:rsid w:val="00A42E48"/>
    <w:rsid w:val="00AE6DB6"/>
    <w:rsid w:val="00B4080E"/>
    <w:rsid w:val="00F515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C31528C"/>
  <w15:chartTrackingRefBased/>
  <w15:docId w15:val="{62F16517-32F2-42AC-916A-D32A3EEC2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84B5F"/>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784B5F"/>
    <w:pPr>
      <w:tabs>
        <w:tab w:val="center" w:pos="4153"/>
        <w:tab w:val="right" w:pos="8306"/>
      </w:tabs>
    </w:pPr>
  </w:style>
  <w:style w:type="paragraph" w:styleId="a4">
    <w:name w:val="footer"/>
    <w:basedOn w:val="a"/>
    <w:rsid w:val="00784B5F"/>
    <w:pPr>
      <w:tabs>
        <w:tab w:val="center" w:pos="4153"/>
        <w:tab w:val="right" w:pos="8306"/>
      </w:tabs>
    </w:pPr>
  </w:style>
  <w:style w:type="character" w:styleId="a5">
    <w:name w:val="page number"/>
    <w:basedOn w:val="a0"/>
    <w:rsid w:val="00784B5F"/>
  </w:style>
  <w:style w:type="paragraph" w:customStyle="1" w:styleId="12">
    <w:name w:val="רגיל + ‏12 נק'"/>
    <w:aliases w:val="מיושר לשני הצדדים,מרווח בין שורות:  שורה וחצי"/>
    <w:basedOn w:val="a"/>
    <w:rsid w:val="00784B5F"/>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784B5F"/>
    <w:pPr>
      <w:spacing w:line="360" w:lineRule="auto"/>
      <w:jc w:val="both"/>
    </w:pPr>
    <w:rPr>
      <w:rFonts w:ascii="Times New Roman" w:eastAsia="Times New Roman" w:hAnsi="Times New Roman"/>
    </w:rPr>
  </w:style>
  <w:style w:type="character" w:styleId="a6">
    <w:name w:val="line number"/>
    <w:basedOn w:val="a0"/>
    <w:rsid w:val="00784B5F"/>
  </w:style>
  <w:style w:type="character" w:styleId="Hyperlink">
    <w:name w:val="Hyperlink"/>
    <w:rsid w:val="00B408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5227/43" TargetMode="External"/><Relationship Id="rId18" Type="http://schemas.openxmlformats.org/officeDocument/2006/relationships/hyperlink" Target="http://www.nevo.co.il/law/4216/7.a" TargetMode="External"/><Relationship Id="rId26" Type="http://schemas.openxmlformats.org/officeDocument/2006/relationships/hyperlink" Target="http://www.nevo.co.il/case/6166988" TargetMode="External"/><Relationship Id="rId39" Type="http://schemas.openxmlformats.org/officeDocument/2006/relationships/header" Target="header2.xml"/><Relationship Id="rId21" Type="http://schemas.openxmlformats.org/officeDocument/2006/relationships/hyperlink" Target="http://www.nevo.co.il/law/5227/43" TargetMode="External"/><Relationship Id="rId34" Type="http://schemas.openxmlformats.org/officeDocument/2006/relationships/hyperlink" Target="http://www.nevo.co.il/law/4216/13" TargetMode="External"/><Relationship Id="rId42" Type="http://schemas.openxmlformats.org/officeDocument/2006/relationships/fontTable" Target="fontTable.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law/4216" TargetMode="External"/><Relationship Id="rId29" Type="http://schemas.openxmlformats.org/officeDocument/2006/relationships/hyperlink" Target="http://www.nevo.co.il/case/5786821" TargetMode="External"/><Relationship Id="rId41"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5227" TargetMode="External"/><Relationship Id="rId24" Type="http://schemas.openxmlformats.org/officeDocument/2006/relationships/hyperlink" Target="http://www.nevo.co.il/law/74501/2" TargetMode="External"/><Relationship Id="rId32" Type="http://schemas.openxmlformats.org/officeDocument/2006/relationships/hyperlink" Target="http://www.nevo.co.il/law/4216/19a" TargetMode="External"/><Relationship Id="rId37" Type="http://schemas.openxmlformats.org/officeDocument/2006/relationships/hyperlink" Target="http://www.nevo.co.il/law/70301" TargetMode="External"/><Relationship Id="rId40"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74501/2" TargetMode="External"/><Relationship Id="rId23" Type="http://schemas.openxmlformats.org/officeDocument/2006/relationships/hyperlink" Target="http://www.nevo.co.il/law/5227/10" TargetMode="External"/><Relationship Id="rId28" Type="http://schemas.openxmlformats.org/officeDocument/2006/relationships/hyperlink" Target="http://www.nevo.co.il/case/17932979" TargetMode="External"/><Relationship Id="rId36" Type="http://schemas.openxmlformats.org/officeDocument/2006/relationships/hyperlink" Target="http://www.nevo.co.il/law/70301/244" TargetMode="External"/><Relationship Id="rId10" Type="http://schemas.openxmlformats.org/officeDocument/2006/relationships/hyperlink" Target="http://www.nevo.co.il/law/4216/19a" TargetMode="External"/><Relationship Id="rId19" Type="http://schemas.openxmlformats.org/officeDocument/2006/relationships/hyperlink" Target="http://www.nevo.co.il/law/4216/7.c" TargetMode="External"/><Relationship Id="rId31" Type="http://schemas.openxmlformats.org/officeDocument/2006/relationships/hyperlink" Target="http://www.nevo.co.il/law/4216/13" TargetMode="External"/><Relationship Id="rId4" Type="http://schemas.openxmlformats.org/officeDocument/2006/relationships/footnotes" Target="footnotes.xml"/><Relationship Id="rId9" Type="http://schemas.openxmlformats.org/officeDocument/2006/relationships/hyperlink" Target="http://www.nevo.co.il/law/4216/13" TargetMode="External"/><Relationship Id="rId14" Type="http://schemas.openxmlformats.org/officeDocument/2006/relationships/hyperlink" Target="http://www.nevo.co.il/law/74501" TargetMode="External"/><Relationship Id="rId22" Type="http://schemas.openxmlformats.org/officeDocument/2006/relationships/hyperlink" Target="http://www.nevo.co.il/law/5227" TargetMode="External"/><Relationship Id="rId27" Type="http://schemas.openxmlformats.org/officeDocument/2006/relationships/hyperlink" Target="http://www.nevo.co.il/case/6129929" TargetMode="External"/><Relationship Id="rId30" Type="http://schemas.openxmlformats.org/officeDocument/2006/relationships/hyperlink" Target="http://www.nevo.co.il/case/5796585" TargetMode="External"/><Relationship Id="rId35" Type="http://schemas.openxmlformats.org/officeDocument/2006/relationships/hyperlink" Target="http://www.nevo.co.il/law/4216/19a" TargetMode="External"/><Relationship Id="rId43" Type="http://schemas.openxmlformats.org/officeDocument/2006/relationships/theme" Target="theme/theme1.xml"/><Relationship Id="rId8" Type="http://schemas.openxmlformats.org/officeDocument/2006/relationships/hyperlink" Target="http://www.nevo.co.il/law/4216/7.c" TargetMode="External"/><Relationship Id="rId3" Type="http://schemas.openxmlformats.org/officeDocument/2006/relationships/webSettings" Target="webSettings.xml"/><Relationship Id="rId12" Type="http://schemas.openxmlformats.org/officeDocument/2006/relationships/hyperlink" Target="http://www.nevo.co.il/law/5227/10" TargetMode="External"/><Relationship Id="rId17" Type="http://schemas.openxmlformats.org/officeDocument/2006/relationships/hyperlink" Target="http://www.nevo.co.il/law/70301/244" TargetMode="External"/><Relationship Id="rId25" Type="http://schemas.openxmlformats.org/officeDocument/2006/relationships/hyperlink" Target="http://www.nevo.co.il/law/74501" TargetMode="External"/><Relationship Id="rId33" Type="http://schemas.openxmlformats.org/officeDocument/2006/relationships/hyperlink" Target="http://www.nevo.co.il/case/5997847"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1896</Words>
  <Characters>9484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11358</CharactersWithSpaces>
  <SharedDoc>false</SharedDoc>
  <HLinks>
    <vt:vector size="192" baseType="variant">
      <vt:variant>
        <vt:i4>7995492</vt:i4>
      </vt:variant>
      <vt:variant>
        <vt:i4>93</vt:i4>
      </vt:variant>
      <vt:variant>
        <vt:i4>0</vt:i4>
      </vt:variant>
      <vt:variant>
        <vt:i4>5</vt:i4>
      </vt:variant>
      <vt:variant>
        <vt:lpwstr>http://www.nevo.co.il/law/70301</vt:lpwstr>
      </vt:variant>
      <vt:variant>
        <vt:lpwstr/>
      </vt:variant>
      <vt:variant>
        <vt:i4>6357095</vt:i4>
      </vt:variant>
      <vt:variant>
        <vt:i4>90</vt:i4>
      </vt:variant>
      <vt:variant>
        <vt:i4>0</vt:i4>
      </vt:variant>
      <vt:variant>
        <vt:i4>5</vt:i4>
      </vt:variant>
      <vt:variant>
        <vt:lpwstr>http://www.nevo.co.il/law/70301/244</vt:lpwstr>
      </vt:variant>
      <vt:variant>
        <vt:lpwstr/>
      </vt:variant>
      <vt:variant>
        <vt:i4>3014771</vt:i4>
      </vt:variant>
      <vt:variant>
        <vt:i4>87</vt:i4>
      </vt:variant>
      <vt:variant>
        <vt:i4>0</vt:i4>
      </vt:variant>
      <vt:variant>
        <vt:i4>5</vt:i4>
      </vt:variant>
      <vt:variant>
        <vt:lpwstr>http://www.nevo.co.il/law/4216/19a</vt:lpwstr>
      </vt:variant>
      <vt:variant>
        <vt:lpwstr/>
      </vt:variant>
      <vt:variant>
        <vt:i4>5177418</vt:i4>
      </vt:variant>
      <vt:variant>
        <vt:i4>84</vt:i4>
      </vt:variant>
      <vt:variant>
        <vt:i4>0</vt:i4>
      </vt:variant>
      <vt:variant>
        <vt:i4>5</vt:i4>
      </vt:variant>
      <vt:variant>
        <vt:lpwstr>http://www.nevo.co.il/law/4216/13</vt:lpwstr>
      </vt:variant>
      <vt:variant>
        <vt:lpwstr/>
      </vt:variant>
      <vt:variant>
        <vt:i4>3342462</vt:i4>
      </vt:variant>
      <vt:variant>
        <vt:i4>81</vt:i4>
      </vt:variant>
      <vt:variant>
        <vt:i4>0</vt:i4>
      </vt:variant>
      <vt:variant>
        <vt:i4>5</vt:i4>
      </vt:variant>
      <vt:variant>
        <vt:lpwstr>http://www.nevo.co.il/case/5997847</vt:lpwstr>
      </vt:variant>
      <vt:variant>
        <vt:lpwstr/>
      </vt:variant>
      <vt:variant>
        <vt:i4>3014771</vt:i4>
      </vt:variant>
      <vt:variant>
        <vt:i4>78</vt:i4>
      </vt:variant>
      <vt:variant>
        <vt:i4>0</vt:i4>
      </vt:variant>
      <vt:variant>
        <vt:i4>5</vt:i4>
      </vt:variant>
      <vt:variant>
        <vt:lpwstr>http://www.nevo.co.il/law/4216/19a</vt:lpwstr>
      </vt:variant>
      <vt:variant>
        <vt:lpwstr/>
      </vt:variant>
      <vt:variant>
        <vt:i4>5177418</vt:i4>
      </vt:variant>
      <vt:variant>
        <vt:i4>75</vt:i4>
      </vt:variant>
      <vt:variant>
        <vt:i4>0</vt:i4>
      </vt:variant>
      <vt:variant>
        <vt:i4>5</vt:i4>
      </vt:variant>
      <vt:variant>
        <vt:lpwstr>http://www.nevo.co.il/law/4216/13</vt:lpwstr>
      </vt:variant>
      <vt:variant>
        <vt:lpwstr/>
      </vt:variant>
      <vt:variant>
        <vt:i4>3932285</vt:i4>
      </vt:variant>
      <vt:variant>
        <vt:i4>72</vt:i4>
      </vt:variant>
      <vt:variant>
        <vt:i4>0</vt:i4>
      </vt:variant>
      <vt:variant>
        <vt:i4>5</vt:i4>
      </vt:variant>
      <vt:variant>
        <vt:lpwstr>http://www.nevo.co.il/case/5796585</vt:lpwstr>
      </vt:variant>
      <vt:variant>
        <vt:lpwstr/>
      </vt:variant>
      <vt:variant>
        <vt:i4>3407991</vt:i4>
      </vt:variant>
      <vt:variant>
        <vt:i4>69</vt:i4>
      </vt:variant>
      <vt:variant>
        <vt:i4>0</vt:i4>
      </vt:variant>
      <vt:variant>
        <vt:i4>5</vt:i4>
      </vt:variant>
      <vt:variant>
        <vt:lpwstr>http://www.nevo.co.il/case/5786821</vt:lpwstr>
      </vt:variant>
      <vt:variant>
        <vt:lpwstr/>
      </vt:variant>
      <vt:variant>
        <vt:i4>3997817</vt:i4>
      </vt:variant>
      <vt:variant>
        <vt:i4>66</vt:i4>
      </vt:variant>
      <vt:variant>
        <vt:i4>0</vt:i4>
      </vt:variant>
      <vt:variant>
        <vt:i4>5</vt:i4>
      </vt:variant>
      <vt:variant>
        <vt:lpwstr>http://www.nevo.co.il/case/17932979</vt:lpwstr>
      </vt:variant>
      <vt:variant>
        <vt:lpwstr/>
      </vt:variant>
      <vt:variant>
        <vt:i4>3407998</vt:i4>
      </vt:variant>
      <vt:variant>
        <vt:i4>63</vt:i4>
      </vt:variant>
      <vt:variant>
        <vt:i4>0</vt:i4>
      </vt:variant>
      <vt:variant>
        <vt:i4>5</vt:i4>
      </vt:variant>
      <vt:variant>
        <vt:lpwstr>http://www.nevo.co.il/case/6129929</vt:lpwstr>
      </vt:variant>
      <vt:variant>
        <vt:lpwstr/>
      </vt:variant>
      <vt:variant>
        <vt:i4>3211387</vt:i4>
      </vt:variant>
      <vt:variant>
        <vt:i4>60</vt:i4>
      </vt:variant>
      <vt:variant>
        <vt:i4>0</vt:i4>
      </vt:variant>
      <vt:variant>
        <vt:i4>5</vt:i4>
      </vt:variant>
      <vt:variant>
        <vt:lpwstr>http://www.nevo.co.il/case/6166988</vt:lpwstr>
      </vt:variant>
      <vt:variant>
        <vt:lpwstr/>
      </vt:variant>
      <vt:variant>
        <vt:i4>8257634</vt:i4>
      </vt:variant>
      <vt:variant>
        <vt:i4>57</vt:i4>
      </vt:variant>
      <vt:variant>
        <vt:i4>0</vt:i4>
      </vt:variant>
      <vt:variant>
        <vt:i4>5</vt:i4>
      </vt:variant>
      <vt:variant>
        <vt:lpwstr>http://www.nevo.co.il/law/74501</vt:lpwstr>
      </vt:variant>
      <vt:variant>
        <vt:lpwstr/>
      </vt:variant>
      <vt:variant>
        <vt:i4>5308499</vt:i4>
      </vt:variant>
      <vt:variant>
        <vt:i4>54</vt:i4>
      </vt:variant>
      <vt:variant>
        <vt:i4>0</vt:i4>
      </vt:variant>
      <vt:variant>
        <vt:i4>5</vt:i4>
      </vt:variant>
      <vt:variant>
        <vt:lpwstr>http://www.nevo.co.il/law/74501/2</vt:lpwstr>
      </vt:variant>
      <vt:variant>
        <vt:lpwstr/>
      </vt:variant>
      <vt:variant>
        <vt:i4>5111880</vt:i4>
      </vt:variant>
      <vt:variant>
        <vt:i4>51</vt:i4>
      </vt:variant>
      <vt:variant>
        <vt:i4>0</vt:i4>
      </vt:variant>
      <vt:variant>
        <vt:i4>5</vt:i4>
      </vt:variant>
      <vt:variant>
        <vt:lpwstr>http://www.nevo.co.il/law/5227/10</vt:lpwstr>
      </vt:variant>
      <vt:variant>
        <vt:lpwstr/>
      </vt:variant>
      <vt:variant>
        <vt:i4>8323175</vt:i4>
      </vt:variant>
      <vt:variant>
        <vt:i4>48</vt:i4>
      </vt:variant>
      <vt:variant>
        <vt:i4>0</vt:i4>
      </vt:variant>
      <vt:variant>
        <vt:i4>5</vt:i4>
      </vt:variant>
      <vt:variant>
        <vt:lpwstr>http://www.nevo.co.il/law/5227</vt:lpwstr>
      </vt:variant>
      <vt:variant>
        <vt:lpwstr/>
      </vt:variant>
      <vt:variant>
        <vt:i4>4915272</vt:i4>
      </vt:variant>
      <vt:variant>
        <vt:i4>45</vt:i4>
      </vt:variant>
      <vt:variant>
        <vt:i4>0</vt:i4>
      </vt:variant>
      <vt:variant>
        <vt:i4>5</vt:i4>
      </vt:variant>
      <vt:variant>
        <vt:lpwstr>http://www.nevo.co.il/law/5227/43</vt:lpwstr>
      </vt:variant>
      <vt:variant>
        <vt:lpwstr/>
      </vt:variant>
      <vt:variant>
        <vt:i4>8257637</vt:i4>
      </vt:variant>
      <vt:variant>
        <vt:i4>42</vt:i4>
      </vt:variant>
      <vt:variant>
        <vt:i4>0</vt:i4>
      </vt:variant>
      <vt:variant>
        <vt:i4>5</vt:i4>
      </vt:variant>
      <vt:variant>
        <vt:lpwstr>http://www.nevo.co.il/law/4216</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6357095</vt:i4>
      </vt:variant>
      <vt:variant>
        <vt:i4>33</vt:i4>
      </vt:variant>
      <vt:variant>
        <vt:i4>0</vt:i4>
      </vt:variant>
      <vt:variant>
        <vt:i4>5</vt:i4>
      </vt:variant>
      <vt:variant>
        <vt:lpwstr>http://www.nevo.co.il/law/70301/244</vt:lpwstr>
      </vt:variant>
      <vt:variant>
        <vt:lpwstr/>
      </vt:variant>
      <vt:variant>
        <vt:i4>7995492</vt:i4>
      </vt:variant>
      <vt:variant>
        <vt:i4>30</vt:i4>
      </vt:variant>
      <vt:variant>
        <vt:i4>0</vt:i4>
      </vt:variant>
      <vt:variant>
        <vt:i4>5</vt:i4>
      </vt:variant>
      <vt:variant>
        <vt:lpwstr>http://www.nevo.co.il/law/70301</vt:lpwstr>
      </vt:variant>
      <vt:variant>
        <vt:lpwstr/>
      </vt:variant>
      <vt:variant>
        <vt:i4>5308499</vt:i4>
      </vt:variant>
      <vt:variant>
        <vt:i4>27</vt:i4>
      </vt:variant>
      <vt:variant>
        <vt:i4>0</vt:i4>
      </vt:variant>
      <vt:variant>
        <vt:i4>5</vt:i4>
      </vt:variant>
      <vt:variant>
        <vt:lpwstr>http://www.nevo.co.il/law/74501/2</vt:lpwstr>
      </vt:variant>
      <vt:variant>
        <vt:lpwstr/>
      </vt:variant>
      <vt:variant>
        <vt:i4>8257634</vt:i4>
      </vt:variant>
      <vt:variant>
        <vt:i4>24</vt:i4>
      </vt:variant>
      <vt:variant>
        <vt:i4>0</vt:i4>
      </vt:variant>
      <vt:variant>
        <vt:i4>5</vt:i4>
      </vt:variant>
      <vt:variant>
        <vt:lpwstr>http://www.nevo.co.il/law/74501</vt:lpwstr>
      </vt:variant>
      <vt:variant>
        <vt:lpwstr/>
      </vt:variant>
      <vt:variant>
        <vt:i4>4915272</vt:i4>
      </vt:variant>
      <vt:variant>
        <vt:i4>21</vt:i4>
      </vt:variant>
      <vt:variant>
        <vt:i4>0</vt:i4>
      </vt:variant>
      <vt:variant>
        <vt:i4>5</vt:i4>
      </vt:variant>
      <vt:variant>
        <vt:lpwstr>http://www.nevo.co.il/law/5227/43</vt:lpwstr>
      </vt:variant>
      <vt:variant>
        <vt:lpwstr/>
      </vt:variant>
      <vt:variant>
        <vt:i4>5111880</vt:i4>
      </vt:variant>
      <vt:variant>
        <vt:i4>18</vt:i4>
      </vt:variant>
      <vt:variant>
        <vt:i4>0</vt:i4>
      </vt:variant>
      <vt:variant>
        <vt:i4>5</vt:i4>
      </vt:variant>
      <vt:variant>
        <vt:lpwstr>http://www.nevo.co.il/law/5227/10</vt:lpwstr>
      </vt:variant>
      <vt:variant>
        <vt:lpwstr/>
      </vt:variant>
      <vt:variant>
        <vt:i4>8323175</vt:i4>
      </vt:variant>
      <vt:variant>
        <vt:i4>15</vt:i4>
      </vt:variant>
      <vt:variant>
        <vt:i4>0</vt:i4>
      </vt:variant>
      <vt:variant>
        <vt:i4>5</vt:i4>
      </vt:variant>
      <vt:variant>
        <vt:lpwstr>http://www.nevo.co.il/law/5227</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2025-04-22T20:21:00Z</dcterms:created>
  <dcterms:modified xsi:type="dcterms:W3CDTF">2025-04-22T20:21:00Z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20534</vt:lpwstr>
  </property>
  <property fmtid="{D5CDD505-2E9C-101B-9397-08002B2CF9AE}" pid="6" name="NEWPARTB">
    <vt:lpwstr>02</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עאמר עלי אחמד</vt:lpwstr>
  </property>
  <property fmtid="{D5CDD505-2E9C-101B-9397-08002B2CF9AE}" pid="10" name="LAWYER">
    <vt:lpwstr>רפאלה שפריר;רותי כהן</vt:lpwstr>
  </property>
  <property fmtid="{D5CDD505-2E9C-101B-9397-08002B2CF9AE}" pid="11" name="JUDGE">
    <vt:lpwstr>תאופיק כתילי</vt:lpwstr>
  </property>
  <property fmtid="{D5CDD505-2E9C-101B-9397-08002B2CF9AE}" pid="12" name="CITY">
    <vt:lpwstr>נצ'</vt:lpwstr>
  </property>
  <property fmtid="{D5CDD505-2E9C-101B-9397-08002B2CF9AE}" pid="13" name="DATE">
    <vt:lpwstr>20130128</vt:lpwstr>
  </property>
  <property fmtid="{D5CDD505-2E9C-101B-9397-08002B2CF9AE}" pid="14" name="TYPE_N_DATE">
    <vt:lpwstr>39020130128</vt:lpwstr>
  </property>
  <property fmtid="{D5CDD505-2E9C-101B-9397-08002B2CF9AE}" pid="15" name="WORDNUMPAGES">
    <vt:lpwstr>5</vt:lpwstr>
  </property>
  <property fmtid="{D5CDD505-2E9C-101B-9397-08002B2CF9AE}" pid="16" name="TYPE_ABS_DATE">
    <vt:lpwstr>390020130128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6166988;17932979;5786821;5796585;5997847</vt:lpwstr>
  </property>
  <property fmtid="{D5CDD505-2E9C-101B-9397-08002B2CF9AE}" pid="36" name="LAWLISTTMP1">
    <vt:lpwstr>4216/007.a;007.c;013:2;019a:2</vt:lpwstr>
  </property>
  <property fmtid="{D5CDD505-2E9C-101B-9397-08002B2CF9AE}" pid="37" name="LAWLISTTMP2">
    <vt:lpwstr>5227/043;010</vt:lpwstr>
  </property>
  <property fmtid="{D5CDD505-2E9C-101B-9397-08002B2CF9AE}" pid="38" name="LAWLISTTMP3">
    <vt:lpwstr>74501/002</vt:lpwstr>
  </property>
  <property fmtid="{D5CDD505-2E9C-101B-9397-08002B2CF9AE}" pid="39" name="LAWLISTTMP4">
    <vt:lpwstr>70301/244</vt:lpwstr>
  </property>
</Properties>
</file>