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36333" w:rsidRPr="00BE4BA2" w14:paraId="7E13036D" w14:textId="77777777">
        <w:trPr>
          <w:trHeight w:hRule="exact" w:val="418"/>
          <w:jc w:val="center"/>
        </w:trPr>
        <w:tc>
          <w:tcPr>
            <w:tcW w:w="8720" w:type="dxa"/>
            <w:gridSpan w:val="3"/>
          </w:tcPr>
          <w:p w14:paraId="2D38FB72" w14:textId="77777777" w:rsidR="00D36333" w:rsidRPr="00BE4BA2" w:rsidRDefault="00BE4BA2">
            <w:pPr>
              <w:pStyle w:val="a3"/>
              <w:tabs>
                <w:tab w:val="clear" w:pos="8306"/>
              </w:tabs>
              <w:jc w:val="center"/>
              <w:rPr>
                <w:rFonts w:ascii="Tahoma" w:hAnsi="Tahoma" w:cs="Tahoma"/>
                <w:b/>
                <w:bCs/>
                <w:color w:val="000080"/>
                <w:sz w:val="20"/>
                <w:szCs w:val="20"/>
                <w:rtl/>
              </w:rPr>
            </w:pPr>
            <w:r w:rsidRPr="00BE4BA2">
              <w:rPr>
                <w:rFonts w:ascii="Tahoma" w:hAnsi="Tahoma" w:cs="Tahoma"/>
                <w:b/>
                <w:bCs/>
                <w:color w:val="000080"/>
                <w:sz w:val="20"/>
                <w:szCs w:val="20"/>
                <w:rtl/>
              </w:rPr>
              <w:t>בית המשפט המחוזי בנצרת</w:t>
            </w:r>
          </w:p>
        </w:tc>
      </w:tr>
      <w:tr w:rsidR="00D36333" w:rsidRPr="00BE4BA2" w14:paraId="7ACEFAA9" w14:textId="77777777">
        <w:trPr>
          <w:trHeight w:val="337"/>
          <w:jc w:val="center"/>
        </w:trPr>
        <w:tc>
          <w:tcPr>
            <w:tcW w:w="3973" w:type="dxa"/>
          </w:tcPr>
          <w:p w14:paraId="3A776396" w14:textId="77777777" w:rsidR="00D36333" w:rsidRPr="00BE4BA2" w:rsidRDefault="00BE4BA2">
            <w:pPr>
              <w:spacing w:line="360" w:lineRule="auto"/>
              <w:rPr>
                <w:b/>
                <w:bCs/>
                <w:rtl/>
              </w:rPr>
            </w:pPr>
            <w:r w:rsidRPr="00BE4BA2">
              <w:rPr>
                <w:b/>
                <w:bCs/>
                <w:rtl/>
              </w:rPr>
              <w:t>ת"פ</w:t>
            </w:r>
            <w:r w:rsidRPr="00BE4BA2">
              <w:rPr>
                <w:rFonts w:hint="cs"/>
                <w:b/>
                <w:bCs/>
                <w:rtl/>
              </w:rPr>
              <w:t xml:space="preserve"> </w:t>
            </w:r>
            <w:r w:rsidRPr="00BE4BA2">
              <w:rPr>
                <w:b/>
                <w:bCs/>
                <w:rtl/>
              </w:rPr>
              <w:t>42712-02-12</w:t>
            </w:r>
            <w:r w:rsidRPr="00BE4BA2">
              <w:rPr>
                <w:rFonts w:hint="cs"/>
                <w:b/>
                <w:bCs/>
                <w:rtl/>
              </w:rPr>
              <w:t xml:space="preserve"> </w:t>
            </w:r>
            <w:r w:rsidRPr="00BE4BA2">
              <w:rPr>
                <w:b/>
                <w:bCs/>
                <w:rtl/>
              </w:rPr>
              <w:t>מדינת ישראל נ' אנטילי</w:t>
            </w:r>
          </w:p>
        </w:tc>
        <w:tc>
          <w:tcPr>
            <w:tcW w:w="1068" w:type="dxa"/>
          </w:tcPr>
          <w:p w14:paraId="1134360E" w14:textId="77777777" w:rsidR="00D36333" w:rsidRPr="00BE4BA2" w:rsidRDefault="00D36333">
            <w:pPr>
              <w:pStyle w:val="a3"/>
              <w:spacing w:line="360" w:lineRule="auto"/>
              <w:jc w:val="right"/>
              <w:rPr>
                <w:b/>
                <w:bCs/>
                <w:rtl/>
              </w:rPr>
            </w:pPr>
          </w:p>
        </w:tc>
        <w:tc>
          <w:tcPr>
            <w:tcW w:w="3679" w:type="dxa"/>
          </w:tcPr>
          <w:p w14:paraId="1B0A7248" w14:textId="77777777" w:rsidR="00D36333" w:rsidRPr="00BE4BA2" w:rsidRDefault="00BE4BA2">
            <w:pPr>
              <w:pStyle w:val="a3"/>
              <w:tabs>
                <w:tab w:val="clear" w:pos="4153"/>
              </w:tabs>
              <w:spacing w:line="360" w:lineRule="auto"/>
              <w:jc w:val="right"/>
              <w:rPr>
                <w:b/>
                <w:bCs/>
                <w:rtl/>
              </w:rPr>
            </w:pPr>
            <w:r w:rsidRPr="00BE4BA2">
              <w:rPr>
                <w:b/>
                <w:bCs/>
                <w:rtl/>
              </w:rPr>
              <w:t>16 ספטמבר 2013</w:t>
            </w:r>
          </w:p>
        </w:tc>
      </w:tr>
    </w:tbl>
    <w:p w14:paraId="717322AC" w14:textId="77777777" w:rsidR="00D36333" w:rsidRPr="00BE4BA2" w:rsidRDefault="00D3633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D36333" w:rsidRPr="00BE4BA2" w14:paraId="296BE558" w14:textId="77777777">
        <w:trPr>
          <w:gridAfter w:val="1"/>
          <w:wAfter w:w="55" w:type="dxa"/>
        </w:trPr>
        <w:tc>
          <w:tcPr>
            <w:tcW w:w="8719" w:type="dxa"/>
            <w:gridSpan w:val="2"/>
          </w:tcPr>
          <w:p w14:paraId="6906154C" w14:textId="77777777" w:rsidR="00D36333" w:rsidRPr="00BE4BA2" w:rsidRDefault="00BE4BA2">
            <w:pPr>
              <w:spacing w:line="360" w:lineRule="auto"/>
              <w:jc w:val="both"/>
              <w:rPr>
                <w:rFonts w:ascii="Arial" w:eastAsia="Times New Roman" w:hAnsi="Arial"/>
                <w:rtl/>
              </w:rPr>
            </w:pPr>
            <w:r w:rsidRPr="00BE4BA2">
              <w:rPr>
                <w:rFonts w:ascii="Times New Roman" w:eastAsia="Times New Roman" w:hAnsi="Times New Roman" w:hint="cs"/>
                <w:b/>
                <w:bCs/>
                <w:rtl/>
              </w:rPr>
              <w:t>בפני כבוד סגן הנשיא, השופט - תאופיק כתילי</w:t>
            </w:r>
          </w:p>
        </w:tc>
      </w:tr>
      <w:tr w:rsidR="00D36333" w:rsidRPr="00BE4BA2" w14:paraId="57483E80" w14:textId="77777777">
        <w:tc>
          <w:tcPr>
            <w:tcW w:w="2880" w:type="dxa"/>
          </w:tcPr>
          <w:p w14:paraId="2B4A278E" w14:textId="77777777" w:rsidR="00D36333" w:rsidRPr="00BE4BA2" w:rsidRDefault="00BE4BA2">
            <w:pPr>
              <w:spacing w:line="360" w:lineRule="auto"/>
              <w:ind w:left="26"/>
              <w:rPr>
                <w:rFonts w:ascii="Times New Roman" w:eastAsia="Times New Roman" w:hAnsi="Times New Roman"/>
                <w:b/>
                <w:bCs/>
                <w:rtl/>
              </w:rPr>
            </w:pPr>
            <w:bookmarkStart w:id="0" w:name="FirstAppellant"/>
            <w:bookmarkStart w:id="1" w:name="LastJudge"/>
            <w:bookmarkEnd w:id="1"/>
            <w:r w:rsidRPr="00BE4BA2">
              <w:rPr>
                <w:rFonts w:ascii="Times New Roman" w:eastAsia="Times New Roman" w:hAnsi="Times New Roman" w:hint="cs"/>
                <w:b/>
                <w:bCs/>
                <w:rtl/>
              </w:rPr>
              <w:t>המאשימה</w:t>
            </w:r>
          </w:p>
        </w:tc>
        <w:tc>
          <w:tcPr>
            <w:tcW w:w="5922" w:type="dxa"/>
            <w:gridSpan w:val="2"/>
          </w:tcPr>
          <w:p w14:paraId="56DC2A1B" w14:textId="77777777" w:rsidR="00D36333" w:rsidRPr="00BE4BA2" w:rsidRDefault="00BE4BA2">
            <w:pPr>
              <w:spacing w:line="360" w:lineRule="auto"/>
              <w:rPr>
                <w:rFonts w:ascii="Times New Roman" w:eastAsia="Times New Roman" w:hAnsi="Times New Roman"/>
                <w:b/>
                <w:bCs/>
                <w:rtl/>
              </w:rPr>
            </w:pPr>
            <w:r w:rsidRPr="00BE4BA2">
              <w:rPr>
                <w:rFonts w:ascii="Times New Roman" w:eastAsia="Times New Roman" w:hAnsi="Times New Roman" w:hint="cs"/>
                <w:b/>
                <w:bCs/>
                <w:rtl/>
              </w:rPr>
              <w:t>מדינת ישראל</w:t>
            </w:r>
          </w:p>
        </w:tc>
      </w:tr>
      <w:bookmarkEnd w:id="0"/>
      <w:tr w:rsidR="00D36333" w:rsidRPr="00BE4BA2" w14:paraId="577F64DC" w14:textId="77777777">
        <w:tc>
          <w:tcPr>
            <w:tcW w:w="8802" w:type="dxa"/>
            <w:gridSpan w:val="3"/>
          </w:tcPr>
          <w:p w14:paraId="09929589" w14:textId="77777777" w:rsidR="00D36333" w:rsidRPr="00BE4BA2" w:rsidRDefault="00BE4BA2">
            <w:pPr>
              <w:spacing w:line="360" w:lineRule="auto"/>
              <w:jc w:val="center"/>
              <w:rPr>
                <w:rFonts w:ascii="Arial" w:eastAsia="Times New Roman" w:hAnsi="Arial"/>
                <w:b/>
                <w:bCs/>
              </w:rPr>
            </w:pPr>
            <w:r w:rsidRPr="00BE4BA2">
              <w:rPr>
                <w:rFonts w:ascii="Arial" w:eastAsia="Times New Roman" w:hAnsi="Arial"/>
                <w:b/>
                <w:bCs/>
                <w:rtl/>
              </w:rPr>
              <w:t>נגד</w:t>
            </w:r>
          </w:p>
        </w:tc>
      </w:tr>
      <w:tr w:rsidR="00D36333" w:rsidRPr="00BE4BA2" w14:paraId="02F04827" w14:textId="77777777">
        <w:tc>
          <w:tcPr>
            <w:tcW w:w="2880" w:type="dxa"/>
          </w:tcPr>
          <w:p w14:paraId="4D4D3FB0" w14:textId="77777777" w:rsidR="00D36333" w:rsidRPr="00BE4BA2" w:rsidRDefault="00BE4BA2">
            <w:pPr>
              <w:spacing w:line="360" w:lineRule="auto"/>
              <w:ind w:left="26"/>
              <w:rPr>
                <w:rFonts w:ascii="Times New Roman" w:eastAsia="Times New Roman" w:hAnsi="Times New Roman"/>
                <w:b/>
                <w:bCs/>
                <w:rtl/>
              </w:rPr>
            </w:pPr>
            <w:r w:rsidRPr="00BE4BA2">
              <w:rPr>
                <w:rFonts w:ascii="Times New Roman" w:eastAsia="Times New Roman" w:hAnsi="Times New Roman" w:hint="cs"/>
                <w:b/>
                <w:bCs/>
                <w:rtl/>
              </w:rPr>
              <w:t>הנאשם</w:t>
            </w:r>
          </w:p>
        </w:tc>
        <w:tc>
          <w:tcPr>
            <w:tcW w:w="5922" w:type="dxa"/>
            <w:gridSpan w:val="2"/>
          </w:tcPr>
          <w:p w14:paraId="27910EC4" w14:textId="77777777" w:rsidR="00D36333" w:rsidRPr="00BE4BA2" w:rsidRDefault="00BE4BA2">
            <w:pPr>
              <w:spacing w:line="360" w:lineRule="auto"/>
              <w:rPr>
                <w:rFonts w:ascii="Times New Roman" w:eastAsia="Times New Roman" w:hAnsi="Times New Roman"/>
                <w:b/>
                <w:bCs/>
                <w:rtl/>
              </w:rPr>
            </w:pPr>
            <w:r w:rsidRPr="00BE4BA2">
              <w:rPr>
                <w:rFonts w:ascii="Times New Roman" w:eastAsia="Times New Roman" w:hAnsi="Times New Roman" w:hint="cs"/>
                <w:rtl/>
              </w:rPr>
              <w:t>חאלד אנטילי</w:t>
            </w:r>
          </w:p>
        </w:tc>
      </w:tr>
    </w:tbl>
    <w:p w14:paraId="570CB691" w14:textId="77777777" w:rsidR="00D36333" w:rsidRPr="00BE4BA2" w:rsidRDefault="00D36333">
      <w:pPr>
        <w:spacing w:line="360" w:lineRule="auto"/>
        <w:jc w:val="both"/>
        <w:rPr>
          <w:rFonts w:ascii="Arial" w:hAnsi="Arial"/>
          <w:rtl/>
        </w:rPr>
      </w:pPr>
    </w:p>
    <w:p w14:paraId="1DC4AD93" w14:textId="77777777" w:rsidR="00D36333" w:rsidRPr="00BE4BA2" w:rsidRDefault="00BE4BA2">
      <w:pPr>
        <w:spacing w:line="360" w:lineRule="auto"/>
        <w:jc w:val="both"/>
        <w:rPr>
          <w:rFonts w:ascii="Arial" w:hAnsi="Arial"/>
          <w:b/>
          <w:bCs/>
          <w:rtl/>
        </w:rPr>
      </w:pPr>
      <w:r w:rsidRPr="00BE4BA2">
        <w:rPr>
          <w:rFonts w:ascii="Arial" w:hAnsi="Arial" w:hint="cs"/>
          <w:b/>
          <w:bCs/>
          <w:rtl/>
        </w:rPr>
        <w:t xml:space="preserve">נוכחים: </w:t>
      </w:r>
      <w:r w:rsidRPr="00BE4BA2">
        <w:rPr>
          <w:rFonts w:ascii="Arial" w:hAnsi="Arial" w:hint="cs"/>
          <w:b/>
          <w:bCs/>
          <w:rtl/>
        </w:rPr>
        <w:tab/>
      </w:r>
      <w:bookmarkStart w:id="2" w:name="FirstLawyer"/>
      <w:r w:rsidRPr="00BE4BA2">
        <w:rPr>
          <w:rFonts w:ascii="Arial" w:hAnsi="Arial" w:hint="cs"/>
          <w:b/>
          <w:bCs/>
          <w:rtl/>
        </w:rPr>
        <w:t>בשם</w:t>
      </w:r>
      <w:bookmarkEnd w:id="2"/>
      <w:r w:rsidRPr="00BE4BA2">
        <w:rPr>
          <w:rFonts w:ascii="Arial" w:hAnsi="Arial" w:hint="cs"/>
          <w:b/>
          <w:bCs/>
          <w:rtl/>
        </w:rPr>
        <w:t xml:space="preserve"> המאשימה עו"ד סופי גרניט. </w:t>
      </w:r>
    </w:p>
    <w:p w14:paraId="1D43A32A" w14:textId="77777777" w:rsidR="00D36333" w:rsidRPr="00BE4BA2" w:rsidRDefault="00BE4BA2">
      <w:pPr>
        <w:spacing w:line="360" w:lineRule="auto"/>
        <w:jc w:val="both"/>
        <w:rPr>
          <w:rFonts w:ascii="Arial" w:hAnsi="Arial"/>
          <w:b/>
          <w:bCs/>
          <w:rtl/>
        </w:rPr>
      </w:pPr>
      <w:r w:rsidRPr="00BE4BA2">
        <w:rPr>
          <w:rFonts w:ascii="Arial" w:hAnsi="Arial" w:hint="cs"/>
          <w:b/>
          <w:bCs/>
          <w:rtl/>
        </w:rPr>
        <w:tab/>
      </w:r>
      <w:r w:rsidRPr="00BE4BA2">
        <w:rPr>
          <w:rFonts w:ascii="Arial" w:hAnsi="Arial" w:hint="cs"/>
          <w:b/>
          <w:bCs/>
          <w:rtl/>
        </w:rPr>
        <w:tab/>
        <w:t xml:space="preserve">בשם הנאשם עו"ד אבנון. </w:t>
      </w:r>
    </w:p>
    <w:p w14:paraId="46D75607" w14:textId="77777777" w:rsidR="00EA200B" w:rsidRDefault="00BE4BA2">
      <w:pPr>
        <w:spacing w:line="360" w:lineRule="auto"/>
        <w:jc w:val="both"/>
        <w:rPr>
          <w:rFonts w:ascii="Arial" w:hAnsi="Arial"/>
          <w:rtl/>
        </w:rPr>
      </w:pPr>
      <w:r w:rsidRPr="00BE4BA2">
        <w:rPr>
          <w:rFonts w:ascii="Arial" w:hAnsi="Arial" w:hint="cs"/>
          <w:b/>
          <w:bCs/>
          <w:rtl/>
        </w:rPr>
        <w:tab/>
      </w:r>
      <w:r w:rsidRPr="00BE4BA2">
        <w:rPr>
          <w:rFonts w:ascii="Arial" w:hAnsi="Arial" w:hint="cs"/>
          <w:b/>
          <w:bCs/>
          <w:rtl/>
        </w:rPr>
        <w:tab/>
        <w:t xml:space="preserve">הנאשם בעצמו, הובא על ידי הליווי. </w:t>
      </w:r>
      <w:bookmarkStart w:id="3" w:name="LawTable"/>
      <w:bookmarkEnd w:id="3"/>
    </w:p>
    <w:p w14:paraId="4E0C273B" w14:textId="77777777" w:rsidR="00EA200B" w:rsidRPr="00EA200B" w:rsidRDefault="00EA200B" w:rsidP="00EA200B">
      <w:pPr>
        <w:spacing w:after="120" w:line="240" w:lineRule="exact"/>
        <w:ind w:left="283" w:hanging="283"/>
        <w:jc w:val="both"/>
        <w:rPr>
          <w:rFonts w:ascii="FrankRuehl" w:hAnsi="FrankRuehl" w:cs="FrankRuehl"/>
          <w:rtl/>
        </w:rPr>
      </w:pPr>
    </w:p>
    <w:p w14:paraId="4349D05C" w14:textId="77777777" w:rsidR="00EA200B" w:rsidRPr="00EA200B" w:rsidRDefault="00EA200B" w:rsidP="00EA200B">
      <w:pPr>
        <w:spacing w:after="120" w:line="240" w:lineRule="exact"/>
        <w:ind w:left="283" w:hanging="283"/>
        <w:jc w:val="both"/>
        <w:rPr>
          <w:rFonts w:ascii="FrankRuehl" w:hAnsi="FrankRuehl" w:cs="FrankRuehl"/>
          <w:rtl/>
        </w:rPr>
      </w:pPr>
      <w:r w:rsidRPr="00EA200B">
        <w:rPr>
          <w:rFonts w:ascii="FrankRuehl" w:hAnsi="FrankRuehl" w:cs="FrankRuehl"/>
          <w:rtl/>
        </w:rPr>
        <w:t xml:space="preserve">חקיקה שאוזכרה: </w:t>
      </w:r>
    </w:p>
    <w:p w14:paraId="01CB2FAB" w14:textId="77777777" w:rsidR="00EA200B" w:rsidRPr="00EA200B" w:rsidRDefault="00EA200B" w:rsidP="00EA200B">
      <w:pPr>
        <w:spacing w:after="120" w:line="240" w:lineRule="exact"/>
        <w:ind w:left="283" w:hanging="283"/>
        <w:jc w:val="both"/>
        <w:rPr>
          <w:rFonts w:ascii="FrankRuehl" w:hAnsi="FrankRuehl" w:cs="FrankRuehl"/>
          <w:rtl/>
        </w:rPr>
      </w:pPr>
      <w:hyperlink r:id="rId6" w:history="1">
        <w:r w:rsidRPr="00EA200B">
          <w:rPr>
            <w:rFonts w:ascii="FrankRuehl" w:hAnsi="FrankRuehl" w:cs="FrankRuehl"/>
            <w:color w:val="0000FF"/>
            <w:u w:val="single"/>
            <w:rtl/>
          </w:rPr>
          <w:t>פקודת הסמים המסוכנים [נוסח חדש], תשל"ג-1973</w:t>
        </w:r>
      </w:hyperlink>
      <w:r w:rsidRPr="00EA200B">
        <w:rPr>
          <w:rFonts w:ascii="FrankRuehl" w:hAnsi="FrankRuehl" w:cs="FrankRuehl"/>
          <w:rtl/>
        </w:rPr>
        <w:t xml:space="preserve">: סע'  </w:t>
      </w:r>
      <w:hyperlink r:id="rId7" w:history="1">
        <w:r w:rsidRPr="00EA200B">
          <w:rPr>
            <w:rFonts w:ascii="FrankRuehl" w:hAnsi="FrankRuehl" w:cs="FrankRuehl"/>
            <w:color w:val="0000FF"/>
            <w:u w:val="single"/>
            <w:rtl/>
          </w:rPr>
          <w:t>7(א)</w:t>
        </w:r>
      </w:hyperlink>
      <w:r w:rsidRPr="00EA200B">
        <w:rPr>
          <w:rFonts w:ascii="FrankRuehl" w:hAnsi="FrankRuehl" w:cs="FrankRuehl"/>
          <w:rtl/>
        </w:rPr>
        <w:t xml:space="preserve">, </w:t>
      </w:r>
      <w:hyperlink r:id="rId8" w:history="1">
        <w:r w:rsidRPr="00EA200B">
          <w:rPr>
            <w:rFonts w:ascii="FrankRuehl" w:hAnsi="FrankRuehl" w:cs="FrankRuehl"/>
            <w:color w:val="0000FF"/>
            <w:u w:val="single"/>
            <w:rtl/>
          </w:rPr>
          <w:t>7(ג)</w:t>
        </w:r>
      </w:hyperlink>
      <w:r w:rsidRPr="00EA200B">
        <w:rPr>
          <w:rFonts w:ascii="FrankRuehl" w:hAnsi="FrankRuehl" w:cs="FrankRuehl"/>
          <w:rtl/>
        </w:rPr>
        <w:t xml:space="preserve">, </w:t>
      </w:r>
      <w:hyperlink r:id="rId9" w:history="1">
        <w:r w:rsidRPr="00EA200B">
          <w:rPr>
            <w:rFonts w:ascii="FrankRuehl" w:hAnsi="FrankRuehl" w:cs="FrankRuehl"/>
            <w:color w:val="0000FF"/>
            <w:u w:val="single"/>
            <w:rtl/>
          </w:rPr>
          <w:t>13</w:t>
        </w:r>
      </w:hyperlink>
      <w:r w:rsidRPr="00EA200B">
        <w:rPr>
          <w:rFonts w:ascii="FrankRuehl" w:hAnsi="FrankRuehl" w:cs="FrankRuehl"/>
          <w:rtl/>
        </w:rPr>
        <w:t xml:space="preserve">, </w:t>
      </w:r>
      <w:hyperlink r:id="rId10" w:history="1">
        <w:r w:rsidRPr="00EA200B">
          <w:rPr>
            <w:rFonts w:ascii="FrankRuehl" w:hAnsi="FrankRuehl" w:cs="FrankRuehl"/>
            <w:color w:val="0000FF"/>
            <w:u w:val="single"/>
            <w:rtl/>
          </w:rPr>
          <w:t>19א</w:t>
        </w:r>
      </w:hyperlink>
      <w:r w:rsidRPr="00EA200B">
        <w:rPr>
          <w:rFonts w:ascii="FrankRuehl" w:hAnsi="FrankRuehl" w:cs="FrankRuehl"/>
          <w:rtl/>
        </w:rPr>
        <w:t xml:space="preserve">, </w:t>
      </w:r>
      <w:hyperlink r:id="rId11" w:history="1">
        <w:r w:rsidRPr="00EA200B">
          <w:rPr>
            <w:rFonts w:ascii="FrankRuehl" w:hAnsi="FrankRuehl" w:cs="FrankRuehl"/>
            <w:color w:val="0000FF"/>
            <w:u w:val="single"/>
            <w:rtl/>
          </w:rPr>
          <w:t>36א(א)(1)</w:t>
        </w:r>
      </w:hyperlink>
      <w:r w:rsidRPr="00EA200B">
        <w:rPr>
          <w:rFonts w:ascii="FrankRuehl" w:hAnsi="FrankRuehl" w:cs="FrankRuehl"/>
          <w:rtl/>
        </w:rPr>
        <w:t xml:space="preserve">, </w:t>
      </w:r>
      <w:hyperlink r:id="rId12" w:history="1">
        <w:r w:rsidRPr="00EA200B">
          <w:rPr>
            <w:rFonts w:ascii="FrankRuehl" w:hAnsi="FrankRuehl" w:cs="FrankRuehl"/>
            <w:color w:val="0000FF"/>
            <w:u w:val="single"/>
            <w:rtl/>
          </w:rPr>
          <w:t>36א(ב)</w:t>
        </w:r>
      </w:hyperlink>
    </w:p>
    <w:p w14:paraId="6AF06938" w14:textId="77777777" w:rsidR="00EA200B" w:rsidRPr="00EA200B" w:rsidRDefault="00EA200B" w:rsidP="00EA200B">
      <w:pPr>
        <w:spacing w:after="120" w:line="240" w:lineRule="exact"/>
        <w:ind w:left="283" w:hanging="283"/>
        <w:jc w:val="both"/>
        <w:rPr>
          <w:rFonts w:ascii="FrankRuehl" w:hAnsi="FrankRuehl" w:cs="FrankRuehl"/>
          <w:rtl/>
        </w:rPr>
      </w:pPr>
      <w:hyperlink r:id="rId13" w:history="1">
        <w:r w:rsidRPr="00EA200B">
          <w:rPr>
            <w:rFonts w:ascii="FrankRuehl" w:hAnsi="FrankRuehl" w:cs="FrankRuehl"/>
            <w:color w:val="0000FF"/>
            <w:u w:val="single"/>
            <w:rtl/>
          </w:rPr>
          <w:t>פקודת התעבורה [נוסח חדש]</w:t>
        </w:r>
      </w:hyperlink>
      <w:r w:rsidRPr="00EA200B">
        <w:rPr>
          <w:rFonts w:ascii="FrankRuehl" w:hAnsi="FrankRuehl" w:cs="FrankRuehl"/>
          <w:rtl/>
        </w:rPr>
        <w:t xml:space="preserve">: סע'  </w:t>
      </w:r>
      <w:hyperlink r:id="rId14" w:history="1">
        <w:r w:rsidRPr="00EA200B">
          <w:rPr>
            <w:rFonts w:ascii="FrankRuehl" w:hAnsi="FrankRuehl" w:cs="FrankRuehl"/>
            <w:color w:val="0000FF"/>
            <w:u w:val="single"/>
            <w:rtl/>
          </w:rPr>
          <w:t>43</w:t>
        </w:r>
      </w:hyperlink>
    </w:p>
    <w:p w14:paraId="240168BB" w14:textId="77777777" w:rsidR="00EA200B" w:rsidRPr="00EA200B" w:rsidRDefault="00EA200B" w:rsidP="00EA200B">
      <w:pPr>
        <w:spacing w:after="120" w:line="240" w:lineRule="exact"/>
        <w:ind w:left="283" w:hanging="283"/>
        <w:jc w:val="both"/>
        <w:rPr>
          <w:rFonts w:ascii="FrankRuehl" w:hAnsi="FrankRuehl" w:cs="FrankRuehl"/>
          <w:rtl/>
        </w:rPr>
      </w:pPr>
    </w:p>
    <w:p w14:paraId="651BA12D" w14:textId="77777777" w:rsidR="00EA200B" w:rsidRPr="00EA200B" w:rsidRDefault="00EA200B">
      <w:pPr>
        <w:spacing w:line="360" w:lineRule="auto"/>
        <w:jc w:val="both"/>
        <w:rPr>
          <w:rFonts w:ascii="Arial" w:hAnsi="Arial"/>
          <w:rtl/>
        </w:rPr>
      </w:pPr>
      <w:bookmarkStart w:id="4" w:name="LawTable_End"/>
      <w:bookmarkEnd w:id="4"/>
    </w:p>
    <w:p w14:paraId="700333FB" w14:textId="77777777" w:rsidR="00EA200B" w:rsidRPr="00EA200B" w:rsidRDefault="00EA200B">
      <w:pPr>
        <w:spacing w:line="360" w:lineRule="auto"/>
        <w:jc w:val="both"/>
        <w:rPr>
          <w:rFonts w:ascii="Arial" w:hAnsi="Arial"/>
          <w:b/>
          <w:bCs/>
          <w:rtl/>
        </w:rPr>
      </w:pPr>
    </w:p>
    <w:p w14:paraId="45EE0EF5" w14:textId="77777777" w:rsidR="00D36333" w:rsidRPr="00EA200B" w:rsidRDefault="00D36333">
      <w:pPr>
        <w:spacing w:line="360" w:lineRule="auto"/>
        <w:jc w:val="both"/>
        <w:rPr>
          <w:rFonts w:ascii="Arial" w:hAnsi="Arial"/>
          <w:b/>
          <w:bCs/>
          <w:rtl/>
        </w:rPr>
      </w:pPr>
    </w:p>
    <w:p w14:paraId="58C0A0B3" w14:textId="77777777" w:rsidR="0007540D" w:rsidRPr="0007540D" w:rsidRDefault="0007540D">
      <w:pPr>
        <w:spacing w:line="360" w:lineRule="auto"/>
        <w:jc w:val="center"/>
        <w:rPr>
          <w:rFonts w:ascii="Arial" w:hAnsi="Arial"/>
          <w:sz w:val="28"/>
          <w:szCs w:val="28"/>
          <w:rtl/>
        </w:rPr>
      </w:pPr>
    </w:p>
    <w:p w14:paraId="70E1C8BE" w14:textId="77777777" w:rsidR="0007540D" w:rsidRPr="0007540D" w:rsidRDefault="0007540D">
      <w:pPr>
        <w:spacing w:line="360" w:lineRule="auto"/>
        <w:jc w:val="center"/>
        <w:rPr>
          <w:rFonts w:ascii="Arial" w:hAnsi="Arial"/>
          <w:b/>
          <w:bCs/>
          <w:sz w:val="28"/>
          <w:szCs w:val="28"/>
          <w:rtl/>
        </w:rPr>
      </w:pPr>
    </w:p>
    <w:p w14:paraId="20DF196F" w14:textId="77777777" w:rsidR="00BE4BA2" w:rsidRPr="0007540D" w:rsidRDefault="00BE4BA2">
      <w:pPr>
        <w:spacing w:line="360" w:lineRule="auto"/>
        <w:jc w:val="center"/>
        <w:rPr>
          <w:rFonts w:ascii="Arial" w:hAnsi="Arial"/>
          <w:b/>
          <w:bCs/>
          <w:sz w:val="28"/>
          <w:szCs w:val="28"/>
          <w:rtl/>
        </w:rPr>
      </w:pPr>
    </w:p>
    <w:p w14:paraId="29DF8D45" w14:textId="77777777" w:rsidR="00BE4BA2" w:rsidRPr="00BE4BA2" w:rsidRDefault="00BE4BA2" w:rsidP="00BE4BA2">
      <w:pPr>
        <w:spacing w:line="360" w:lineRule="auto"/>
        <w:jc w:val="center"/>
        <w:rPr>
          <w:rFonts w:ascii="Arial" w:hAnsi="Arial"/>
          <w:b/>
          <w:bCs/>
          <w:sz w:val="28"/>
          <w:szCs w:val="28"/>
          <w:u w:val="single"/>
          <w:rtl/>
        </w:rPr>
      </w:pPr>
      <w:bookmarkStart w:id="5" w:name="PsakDin"/>
      <w:r w:rsidRPr="00BE4BA2">
        <w:rPr>
          <w:rFonts w:ascii="Arial" w:hAnsi="Arial"/>
          <w:b/>
          <w:bCs/>
          <w:sz w:val="28"/>
          <w:szCs w:val="28"/>
          <w:u w:val="single"/>
          <w:rtl/>
        </w:rPr>
        <w:t>גזר דין</w:t>
      </w:r>
    </w:p>
    <w:bookmarkEnd w:id="5"/>
    <w:p w14:paraId="003B50A9" w14:textId="77777777" w:rsidR="00D36333" w:rsidRDefault="00D36333">
      <w:pPr>
        <w:spacing w:line="360" w:lineRule="auto"/>
        <w:jc w:val="center"/>
        <w:rPr>
          <w:rtl/>
        </w:rPr>
      </w:pPr>
    </w:p>
    <w:p w14:paraId="7E920688" w14:textId="77777777" w:rsidR="00D36333" w:rsidRDefault="00BE4BA2">
      <w:pPr>
        <w:spacing w:line="360" w:lineRule="auto"/>
        <w:ind w:left="720" w:hanging="570"/>
        <w:jc w:val="both"/>
        <w:rPr>
          <w:rtl/>
        </w:rPr>
      </w:pPr>
      <w:r>
        <w:rPr>
          <w:b/>
          <w:bCs/>
          <w:rtl/>
        </w:rPr>
        <w:t>1.</w:t>
      </w:r>
      <w:r>
        <w:rPr>
          <w:rtl/>
        </w:rPr>
        <w:t xml:space="preserve"> </w:t>
      </w:r>
      <w:r>
        <w:rPr>
          <w:rFonts w:hint="cs"/>
          <w:rtl/>
        </w:rPr>
        <w:tab/>
      </w:r>
      <w:bookmarkStart w:id="6" w:name="ABSTRACT_START"/>
      <w:bookmarkEnd w:id="6"/>
      <w:r>
        <w:rPr>
          <w:rtl/>
        </w:rPr>
        <w:t>הנאשם לפניי הורשע, על-פי הודאתו בעובדות כתב-אישום מתוקן מיום 05.12.12 (להלן: "</w:t>
      </w:r>
      <w:r>
        <w:rPr>
          <w:b/>
          <w:bCs/>
          <w:rtl/>
        </w:rPr>
        <w:t>כתב האישום</w:t>
      </w:r>
      <w:r>
        <w:rPr>
          <w:rtl/>
        </w:rPr>
        <w:t xml:space="preserve">"), בביצוע עבירות של </w:t>
      </w:r>
      <w:r>
        <w:rPr>
          <w:u w:val="single"/>
          <w:rtl/>
        </w:rPr>
        <w:t>החזקת סם שלא לצריכה עצמית בלבד</w:t>
      </w:r>
      <w:r>
        <w:rPr>
          <w:rtl/>
        </w:rPr>
        <w:t xml:space="preserve">, לפי </w:t>
      </w:r>
      <w:hyperlink r:id="rId15" w:history="1">
        <w:r w:rsidR="00EA200B" w:rsidRPr="00EA200B">
          <w:rPr>
            <w:color w:val="0000FF"/>
            <w:u w:val="single"/>
            <w:rtl/>
          </w:rPr>
          <w:t>סעיפים 7(א)</w:t>
        </w:r>
      </w:hyperlink>
      <w:r>
        <w:rPr>
          <w:rtl/>
        </w:rPr>
        <w:t xml:space="preserve"> ו-</w:t>
      </w:r>
      <w:hyperlink r:id="rId16" w:history="1">
        <w:r w:rsidR="00EA200B" w:rsidRPr="00EA200B">
          <w:rPr>
            <w:color w:val="0000FF"/>
            <w:u w:val="single"/>
            <w:rtl/>
          </w:rPr>
          <w:t>7(ג)</w:t>
        </w:r>
      </w:hyperlink>
      <w:r>
        <w:rPr>
          <w:rtl/>
        </w:rPr>
        <w:t xml:space="preserve"> רישא ל</w:t>
      </w:r>
      <w:hyperlink r:id="rId17" w:history="1">
        <w:r w:rsidR="0007540D" w:rsidRPr="0007540D">
          <w:rPr>
            <w:rStyle w:val="Hyperlink"/>
            <w:rtl/>
          </w:rPr>
          <w:t>פקודת הסמים המסוכנים</w:t>
        </w:r>
      </w:hyperlink>
      <w:r>
        <w:rPr>
          <w:rtl/>
        </w:rPr>
        <w:t>, התשל"ג-1973 (להלן: "</w:t>
      </w:r>
      <w:r>
        <w:rPr>
          <w:b/>
          <w:bCs/>
          <w:rtl/>
        </w:rPr>
        <w:t>פקודת הסמים</w:t>
      </w:r>
      <w:r>
        <w:rPr>
          <w:rtl/>
        </w:rPr>
        <w:t xml:space="preserve">"); </w:t>
      </w:r>
      <w:r>
        <w:rPr>
          <w:u w:val="single"/>
          <w:rtl/>
        </w:rPr>
        <w:t>והסתייעות ברכב לביצוע פשע</w:t>
      </w:r>
      <w:r>
        <w:rPr>
          <w:rtl/>
        </w:rPr>
        <w:t xml:space="preserve">, לפי </w:t>
      </w:r>
      <w:hyperlink r:id="rId18" w:history="1">
        <w:r w:rsidR="00EA200B" w:rsidRPr="00EA200B">
          <w:rPr>
            <w:color w:val="0000FF"/>
            <w:u w:val="single"/>
            <w:rtl/>
          </w:rPr>
          <w:t>סעיף 43</w:t>
        </w:r>
      </w:hyperlink>
      <w:r>
        <w:rPr>
          <w:rtl/>
        </w:rPr>
        <w:t xml:space="preserve"> ל</w:t>
      </w:r>
      <w:hyperlink r:id="rId19" w:history="1">
        <w:r w:rsidR="0007540D" w:rsidRPr="0007540D">
          <w:rPr>
            <w:rStyle w:val="Hyperlink"/>
            <w:rtl/>
          </w:rPr>
          <w:t>פקודת התעבורה</w:t>
        </w:r>
      </w:hyperlink>
      <w:r>
        <w:rPr>
          <w:rtl/>
        </w:rPr>
        <w:t xml:space="preserve"> [נוסח חדש], התשכ"א-1961.</w:t>
      </w:r>
      <w:bookmarkStart w:id="7" w:name="ABSTRACT_END"/>
      <w:bookmarkEnd w:id="7"/>
    </w:p>
    <w:p w14:paraId="431196E1" w14:textId="77777777" w:rsidR="00D36333" w:rsidRDefault="00D36333">
      <w:pPr>
        <w:spacing w:line="360" w:lineRule="auto"/>
        <w:jc w:val="both"/>
        <w:rPr>
          <w:rtl/>
        </w:rPr>
      </w:pPr>
    </w:p>
    <w:p w14:paraId="14D60730" w14:textId="77777777" w:rsidR="00D36333" w:rsidRDefault="00BE4BA2">
      <w:pPr>
        <w:spacing w:line="360" w:lineRule="auto"/>
        <w:ind w:left="720" w:hanging="720"/>
        <w:jc w:val="both"/>
        <w:rPr>
          <w:rtl/>
        </w:rPr>
      </w:pPr>
      <w:r>
        <w:rPr>
          <w:b/>
          <w:bCs/>
          <w:rtl/>
        </w:rPr>
        <w:t>2.</w:t>
      </w:r>
      <w:r>
        <w:rPr>
          <w:rtl/>
        </w:rPr>
        <w:t xml:space="preserve"> </w:t>
      </w:r>
      <w:r>
        <w:rPr>
          <w:rFonts w:hint="cs"/>
          <w:rtl/>
        </w:rPr>
        <w:tab/>
      </w:r>
      <w:r>
        <w:rPr>
          <w:rtl/>
        </w:rPr>
        <w:t>על-פי המפורט בכתב האישום, בתאריך 19.02.12, באזור צומת כחל הסמוך לכביש 85, קיבל הנאשם לידיו כ-3 ק"ג סם מסוכן מסוג הרואין, הסליקם בדופן דלת רכבו מסוג מאזדה, מ"ר 51-321-50 (להלן: "</w:t>
      </w:r>
      <w:r>
        <w:rPr>
          <w:b/>
          <w:bCs/>
          <w:rtl/>
        </w:rPr>
        <w:t>הרכב</w:t>
      </w:r>
      <w:r>
        <w:rPr>
          <w:rtl/>
        </w:rPr>
        <w:t>"), והחל בנסיעה דרומה. לאחר מספר דקות נעצר הנאשם במחסום משטרתי כשברשותו הסמים.</w:t>
      </w:r>
    </w:p>
    <w:p w14:paraId="71DE80EB" w14:textId="77777777" w:rsidR="00D36333" w:rsidRDefault="00D36333">
      <w:pPr>
        <w:spacing w:line="360" w:lineRule="auto"/>
        <w:jc w:val="both"/>
        <w:rPr>
          <w:rtl/>
        </w:rPr>
      </w:pPr>
    </w:p>
    <w:p w14:paraId="0004B854" w14:textId="77777777" w:rsidR="00D36333" w:rsidRDefault="00BE4BA2">
      <w:pPr>
        <w:spacing w:line="360" w:lineRule="auto"/>
        <w:jc w:val="both"/>
        <w:rPr>
          <w:b/>
          <w:bCs/>
          <w:u w:val="single"/>
          <w:rtl/>
        </w:rPr>
      </w:pPr>
      <w:r>
        <w:rPr>
          <w:b/>
          <w:bCs/>
          <w:u w:val="single"/>
          <w:rtl/>
        </w:rPr>
        <w:t>תסקיר שירות המבחן</w:t>
      </w:r>
    </w:p>
    <w:p w14:paraId="502012DB" w14:textId="77777777" w:rsidR="00D36333" w:rsidRDefault="00D36333">
      <w:pPr>
        <w:spacing w:line="360" w:lineRule="auto"/>
        <w:jc w:val="both"/>
        <w:rPr>
          <w:b/>
          <w:bCs/>
          <w:u w:val="single"/>
          <w:rtl/>
        </w:rPr>
      </w:pPr>
    </w:p>
    <w:p w14:paraId="79803911" w14:textId="77777777" w:rsidR="00D36333" w:rsidRDefault="00BE4BA2">
      <w:pPr>
        <w:spacing w:line="360" w:lineRule="auto"/>
        <w:ind w:left="720" w:hanging="720"/>
        <w:jc w:val="both"/>
        <w:rPr>
          <w:rtl/>
        </w:rPr>
      </w:pPr>
      <w:r>
        <w:rPr>
          <w:b/>
          <w:bCs/>
          <w:rtl/>
        </w:rPr>
        <w:lastRenderedPageBreak/>
        <w:t>3.</w:t>
      </w:r>
      <w:r>
        <w:rPr>
          <w:rtl/>
        </w:rPr>
        <w:t xml:space="preserve"> </w:t>
      </w:r>
      <w:r>
        <w:rPr>
          <w:rFonts w:hint="cs"/>
          <w:rtl/>
        </w:rPr>
        <w:tab/>
      </w:r>
      <w:r>
        <w:rPr>
          <w:rtl/>
        </w:rPr>
        <w:t>הנאשם בן 26, נשוי ואב לשלושה ילדים בגילאי שנה וחצי עד ארבע וחצי. מתגורר עם משפחתו הגרעינית בבית אמו ברמלה. הנאשם הוא הבן הרביעי במשפחה המונה שישה אחים. אביו, שהיה נשוי לארבע נשים, נפטר בשנות ילדותו המוקדמת. משפחתו של הנאשם חוותה משבר עקב מותו של אחד האחים בנסיבות טרגיות, לפני כשש שנים.</w:t>
      </w:r>
    </w:p>
    <w:p w14:paraId="471A4340" w14:textId="77777777" w:rsidR="00D36333" w:rsidRDefault="00BE4BA2">
      <w:pPr>
        <w:spacing w:line="360" w:lineRule="auto"/>
        <w:ind w:firstLine="720"/>
        <w:jc w:val="both"/>
        <w:rPr>
          <w:rtl/>
        </w:rPr>
      </w:pPr>
      <w:r>
        <w:rPr>
          <w:rtl/>
        </w:rPr>
        <w:t>עובר למעצרו עבד הנאשם בעבודות מזדמנות והתקשה לפרנס את משפחתו.</w:t>
      </w:r>
    </w:p>
    <w:p w14:paraId="5592D4AD" w14:textId="77777777" w:rsidR="00D36333" w:rsidRDefault="00D36333">
      <w:pPr>
        <w:spacing w:line="360" w:lineRule="auto"/>
        <w:jc w:val="both"/>
        <w:rPr>
          <w:rtl/>
        </w:rPr>
      </w:pPr>
    </w:p>
    <w:p w14:paraId="7CF5D64C" w14:textId="77777777" w:rsidR="00D36333" w:rsidRDefault="00BE4BA2">
      <w:pPr>
        <w:spacing w:line="360" w:lineRule="auto"/>
        <w:ind w:left="720" w:hanging="720"/>
        <w:jc w:val="both"/>
        <w:rPr>
          <w:rtl/>
        </w:rPr>
      </w:pPr>
      <w:r>
        <w:rPr>
          <w:b/>
          <w:bCs/>
          <w:rtl/>
        </w:rPr>
        <w:t>4.</w:t>
      </w:r>
      <w:r>
        <w:rPr>
          <w:rtl/>
        </w:rPr>
        <w:t xml:space="preserve"> </w:t>
      </w:r>
      <w:r>
        <w:rPr>
          <w:rFonts w:hint="cs"/>
          <w:rtl/>
        </w:rPr>
        <w:tab/>
      </w:r>
      <w:r>
        <w:rPr>
          <w:rtl/>
        </w:rPr>
        <w:t>קצינת המבחן התרשמה כי לנאשם מאפייני חשיבה והתנהגות ילדותיים, אשר מהווים סיכון להישנות מעשים דומים בעתיד, כאשר מן הצד השני התרשמה מיכולתו להתבונן באופן ביקורתי ולהפיק לקחים מהתנהגותו. עוד ציינה, כי להתרשמותה הנאשם אינו בעל דפוסי חשיבה מניפולטיביים ועבריינים קבועים.</w:t>
      </w:r>
    </w:p>
    <w:p w14:paraId="7E2B1F8F" w14:textId="77777777" w:rsidR="00D36333" w:rsidRDefault="00BE4BA2">
      <w:pPr>
        <w:spacing w:line="360" w:lineRule="auto"/>
        <w:ind w:left="720"/>
        <w:jc w:val="both"/>
        <w:rPr>
          <w:rtl/>
        </w:rPr>
      </w:pPr>
      <w:r>
        <w:rPr>
          <w:rtl/>
        </w:rPr>
        <w:t>באשר ליחסו של הנאשם לעבירות, התרשמה קצינת המבחן מנטילת אחריות חלקית בלבד, תוך שהנאשם מסביר את ביצוען במניע כלכלי וטוען שלא היה מודע לכך שמדובר בסמים.</w:t>
      </w:r>
    </w:p>
    <w:p w14:paraId="5766BE30" w14:textId="77777777" w:rsidR="00D36333" w:rsidRDefault="00D36333">
      <w:pPr>
        <w:spacing w:line="360" w:lineRule="auto"/>
        <w:jc w:val="both"/>
        <w:rPr>
          <w:rtl/>
        </w:rPr>
      </w:pPr>
    </w:p>
    <w:p w14:paraId="1B9B206A" w14:textId="77777777" w:rsidR="00D36333" w:rsidRDefault="00BE4BA2">
      <w:pPr>
        <w:spacing w:line="360" w:lineRule="auto"/>
        <w:ind w:left="720" w:hanging="720"/>
        <w:jc w:val="both"/>
        <w:rPr>
          <w:rtl/>
        </w:rPr>
      </w:pPr>
      <w:r>
        <w:rPr>
          <w:b/>
          <w:bCs/>
          <w:rtl/>
        </w:rPr>
        <w:t>5.</w:t>
      </w:r>
      <w:r>
        <w:rPr>
          <w:rtl/>
        </w:rPr>
        <w:t xml:space="preserve"> </w:t>
      </w:r>
      <w:r>
        <w:rPr>
          <w:rFonts w:hint="cs"/>
          <w:rtl/>
        </w:rPr>
        <w:tab/>
      </w:r>
      <w:r>
        <w:rPr>
          <w:rtl/>
        </w:rPr>
        <w:t>במהלך שהותו של הנאשם בחלופת מעצר נעשה ניסיון לשלבו בקבוצה טיפולית, אולם הניסיון לא צלח מאחר והנאשם לא הגיע למפגש הקבוצתי שנקבע עמו. בשל הספק הקיים באשר למוטיבציה של הנאשם להשתלב בטיפול, ביקש שירות המבחן לדחות את הדיון בעניינו בחודשיים על מנת לבחון את שיתוף הפעולה שלו.</w:t>
      </w:r>
    </w:p>
    <w:p w14:paraId="29374858" w14:textId="77777777" w:rsidR="00D36333" w:rsidRDefault="00D36333">
      <w:pPr>
        <w:spacing w:line="360" w:lineRule="auto"/>
        <w:jc w:val="both"/>
        <w:rPr>
          <w:rtl/>
        </w:rPr>
      </w:pPr>
    </w:p>
    <w:p w14:paraId="48DF1689" w14:textId="77777777" w:rsidR="00D36333" w:rsidRDefault="00BE4BA2">
      <w:pPr>
        <w:spacing w:line="360" w:lineRule="auto"/>
        <w:ind w:left="720"/>
        <w:jc w:val="both"/>
        <w:rPr>
          <w:rtl/>
        </w:rPr>
      </w:pPr>
      <w:r>
        <w:rPr>
          <w:rtl/>
        </w:rPr>
        <w:t xml:space="preserve">בתקופת הדחייה החל הנאשם להשתתף בקבוצת טיפול המונה עשרה מפגשים. הנאשם הגיע לכל המפגשים, וביטא נכונות רבה להיעזר בקבוצה ולשתף בקשייו ומצוקותיו. כמו כן ביטא הנאשם חרטה בגין מעורבותו בעבירות והבנה באשר למידת חומרתן. </w:t>
      </w:r>
    </w:p>
    <w:p w14:paraId="317052F2" w14:textId="77777777" w:rsidR="00D36333" w:rsidRDefault="00BE4BA2">
      <w:pPr>
        <w:spacing w:line="360" w:lineRule="auto"/>
        <w:ind w:left="720"/>
        <w:jc w:val="both"/>
        <w:rPr>
          <w:rtl/>
        </w:rPr>
      </w:pPr>
      <w:r>
        <w:rPr>
          <w:rtl/>
        </w:rPr>
        <w:t>במהלך תקופה זו התחזקה אצל קצינת המבחן ההתרשמות כי הנאשם אינו בעל מאפיינים עבריינים מופנמים באישיותו, ולכן המליצה להטיל עליו ענישה שיקומית, תוך העמדתו בפיקוח שירות המבחן.</w:t>
      </w:r>
    </w:p>
    <w:p w14:paraId="3D2AEB33" w14:textId="77777777" w:rsidR="00D36333" w:rsidRDefault="00D36333">
      <w:pPr>
        <w:spacing w:line="360" w:lineRule="auto"/>
        <w:jc w:val="both"/>
        <w:rPr>
          <w:rtl/>
        </w:rPr>
      </w:pPr>
    </w:p>
    <w:p w14:paraId="328DE2D6" w14:textId="77777777" w:rsidR="00D36333" w:rsidRDefault="00BE4BA2">
      <w:pPr>
        <w:spacing w:line="360" w:lineRule="auto"/>
        <w:jc w:val="both"/>
        <w:rPr>
          <w:b/>
          <w:bCs/>
          <w:u w:val="single"/>
          <w:rtl/>
        </w:rPr>
      </w:pPr>
      <w:r>
        <w:rPr>
          <w:b/>
          <w:bCs/>
          <w:u w:val="single"/>
          <w:rtl/>
        </w:rPr>
        <w:t>טיעוני המאשימה</w:t>
      </w:r>
    </w:p>
    <w:p w14:paraId="08440762" w14:textId="77777777" w:rsidR="00D36333" w:rsidRDefault="00D36333">
      <w:pPr>
        <w:spacing w:line="360" w:lineRule="auto"/>
        <w:jc w:val="both"/>
        <w:rPr>
          <w:b/>
          <w:bCs/>
          <w:u w:val="single"/>
          <w:rtl/>
        </w:rPr>
      </w:pPr>
    </w:p>
    <w:p w14:paraId="34DBF3B3" w14:textId="77777777" w:rsidR="00D36333" w:rsidRDefault="00BE4BA2">
      <w:pPr>
        <w:spacing w:line="360" w:lineRule="auto"/>
        <w:ind w:left="720" w:hanging="720"/>
        <w:jc w:val="both"/>
        <w:rPr>
          <w:rtl/>
        </w:rPr>
      </w:pPr>
      <w:r>
        <w:rPr>
          <w:b/>
          <w:bCs/>
          <w:rtl/>
        </w:rPr>
        <w:t>6.</w:t>
      </w:r>
      <w:r>
        <w:rPr>
          <w:rtl/>
        </w:rPr>
        <w:t xml:space="preserve"> </w:t>
      </w:r>
      <w:r>
        <w:rPr>
          <w:rFonts w:hint="cs"/>
          <w:rtl/>
        </w:rPr>
        <w:tab/>
      </w:r>
      <w:r>
        <w:rPr>
          <w:rtl/>
        </w:rPr>
        <w:t>בפתח טיעוניה מציינת המאשימה את המסוכנות הרבה הגלומה בהפצתו של סם מסוג הרואין ולתוצאותיו הקשות, תוך שהיא מפנה לדברי בית-המשפט העליון, לפיהם: "מתוך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 המשפט להחמיר בעונשים המוטלים על סוחרים בסמים" (</w:t>
      </w:r>
      <w:hyperlink r:id="rId20" w:history="1">
        <w:r w:rsidR="0007540D" w:rsidRPr="0007540D">
          <w:rPr>
            <w:rStyle w:val="Hyperlink"/>
            <w:rtl/>
          </w:rPr>
          <w:t>ע"פ 6029/03</w:t>
        </w:r>
      </w:hyperlink>
      <w:r>
        <w:rPr>
          <w:rtl/>
        </w:rPr>
        <w:t xml:space="preserve"> </w:t>
      </w:r>
      <w:r>
        <w:rPr>
          <w:b/>
          <w:bCs/>
          <w:rtl/>
        </w:rPr>
        <w:t>מדינת ישראל נ' גולם שמאי</w:t>
      </w:r>
      <w:r>
        <w:rPr>
          <w:rtl/>
        </w:rPr>
        <w:t>).</w:t>
      </w:r>
    </w:p>
    <w:p w14:paraId="7520DD3C" w14:textId="77777777" w:rsidR="00D36333" w:rsidRDefault="00D36333">
      <w:pPr>
        <w:spacing w:line="360" w:lineRule="auto"/>
        <w:jc w:val="both"/>
        <w:rPr>
          <w:rtl/>
        </w:rPr>
      </w:pPr>
    </w:p>
    <w:p w14:paraId="08D44461" w14:textId="77777777" w:rsidR="00D36333" w:rsidRDefault="00BE4BA2">
      <w:pPr>
        <w:spacing w:line="360" w:lineRule="auto"/>
        <w:ind w:left="720"/>
        <w:jc w:val="both"/>
        <w:rPr>
          <w:rtl/>
        </w:rPr>
      </w:pPr>
      <w:r>
        <w:rPr>
          <w:rtl/>
        </w:rPr>
        <w:t>לדבריה, מידת הפגיעה בערך החברתי נגזרת, בין היתר, מכמות הסמים אשר נתפסו, כשבמקרה דנן מדובר בכמות גדולה שיש בה לחשוף מספר רב של אנשים לסכנות הכרוכות בשימוש בסמים.</w:t>
      </w:r>
    </w:p>
    <w:p w14:paraId="52500133" w14:textId="77777777" w:rsidR="00D36333" w:rsidRDefault="00D36333">
      <w:pPr>
        <w:spacing w:line="360" w:lineRule="auto"/>
        <w:jc w:val="both"/>
        <w:rPr>
          <w:rtl/>
        </w:rPr>
      </w:pPr>
    </w:p>
    <w:p w14:paraId="624AD1B3" w14:textId="77777777" w:rsidR="00D36333" w:rsidRDefault="00BE4BA2">
      <w:pPr>
        <w:spacing w:line="360" w:lineRule="auto"/>
        <w:ind w:left="720" w:hanging="720"/>
        <w:jc w:val="both"/>
        <w:rPr>
          <w:rtl/>
        </w:rPr>
      </w:pPr>
      <w:r>
        <w:rPr>
          <w:b/>
          <w:bCs/>
          <w:rtl/>
        </w:rPr>
        <w:t>7.</w:t>
      </w:r>
      <w:r>
        <w:rPr>
          <w:rtl/>
        </w:rPr>
        <w:t xml:space="preserve"> </w:t>
      </w:r>
      <w:r>
        <w:rPr>
          <w:rFonts w:hint="cs"/>
          <w:rtl/>
        </w:rPr>
        <w:tab/>
      </w:r>
      <w:r>
        <w:rPr>
          <w:rtl/>
        </w:rPr>
        <w:t>באשר לנסיבות, המאשימה מציינת כי למעשיו של הנאשם קדם תכנון מוקדם, כי הוא ביצע את השליחות עבור אחר, וכי הנזק שהיה צפוי להיגרם מביצוע העבירה הוא רב, בהינתן, כאמור, כמות הסמים הגדולה. עוד טענה, כי הסיבה שהביאה את הנאשם לבצע את העבירה היא בצע כסף.</w:t>
      </w:r>
    </w:p>
    <w:p w14:paraId="6B5BA780" w14:textId="77777777" w:rsidR="00D36333" w:rsidRDefault="00BE4BA2">
      <w:pPr>
        <w:spacing w:line="360" w:lineRule="auto"/>
        <w:ind w:left="720"/>
        <w:jc w:val="both"/>
        <w:rPr>
          <w:rtl/>
        </w:rPr>
      </w:pPr>
      <w:r>
        <w:rPr>
          <w:rtl/>
        </w:rPr>
        <w:t>בנסיבות אלה, טענה, לאור מדיניות הענישה הנוהגת, מתחם העונש ההולם את חומרת המעשים הנו בין 6 ל-10 שנות מאסר.</w:t>
      </w:r>
    </w:p>
    <w:p w14:paraId="3635D3C9" w14:textId="77777777" w:rsidR="00D36333" w:rsidRDefault="00D36333">
      <w:pPr>
        <w:spacing w:line="360" w:lineRule="auto"/>
        <w:jc w:val="both"/>
        <w:rPr>
          <w:rtl/>
        </w:rPr>
      </w:pPr>
    </w:p>
    <w:p w14:paraId="4A0A8A47" w14:textId="77777777" w:rsidR="00D36333" w:rsidRDefault="00BE4BA2">
      <w:pPr>
        <w:spacing w:line="360" w:lineRule="auto"/>
        <w:ind w:left="720"/>
        <w:jc w:val="both"/>
        <w:rPr>
          <w:rtl/>
        </w:rPr>
      </w:pPr>
      <w:r>
        <w:rPr>
          <w:rtl/>
        </w:rPr>
        <w:t>באשר לעונש הראוי לנאשם, המאשימה סבורה כי לא מתקיימות במקרה זה נסיבות אישיות חריגות המצדיקות הקלה בעונש, פרט לעברו הנקי ולשיתוף הפעולה החלקי עם רשויות האכיפה. עוד נטען, כי הפער בין העונש ההולם את מעשיו של הנאשם לבין המלצות שירות המבחן, הוא בלתי ניתן לגישור ושאין כל מקום לאמץ את המלצות שירות המבחן.</w:t>
      </w:r>
    </w:p>
    <w:p w14:paraId="1167B1D8" w14:textId="77777777" w:rsidR="00D36333" w:rsidRDefault="00D36333">
      <w:pPr>
        <w:spacing w:line="360" w:lineRule="auto"/>
        <w:jc w:val="both"/>
        <w:rPr>
          <w:rtl/>
        </w:rPr>
      </w:pPr>
    </w:p>
    <w:p w14:paraId="521E5C19" w14:textId="77777777" w:rsidR="00D36333" w:rsidRDefault="00BE4BA2">
      <w:pPr>
        <w:spacing w:line="360" w:lineRule="auto"/>
        <w:ind w:left="720" w:hanging="720"/>
        <w:jc w:val="both"/>
        <w:rPr>
          <w:rtl/>
        </w:rPr>
      </w:pPr>
      <w:r>
        <w:rPr>
          <w:b/>
          <w:bCs/>
          <w:rtl/>
        </w:rPr>
        <w:t>8.</w:t>
      </w:r>
      <w:r>
        <w:rPr>
          <w:rtl/>
        </w:rPr>
        <w:t xml:space="preserve"> </w:t>
      </w:r>
      <w:r>
        <w:rPr>
          <w:rFonts w:hint="cs"/>
          <w:rtl/>
        </w:rPr>
        <w:tab/>
      </w:r>
      <w:r>
        <w:rPr>
          <w:rtl/>
        </w:rPr>
        <w:t>המאשימה טוענת כי בעבירות סמים יש לשים דגש מיוחד על השיקול של הרתעת הרבים, מאחר ומדובר בעבירות המבוצעות, על-פי רוב, מתוך מערך שיקולים של סיכון מול תועלת, וזאת להבדיל מעבירות שמקורן ברגש.</w:t>
      </w:r>
    </w:p>
    <w:p w14:paraId="71C0007F" w14:textId="77777777" w:rsidR="00D36333" w:rsidRDefault="00D36333">
      <w:pPr>
        <w:spacing w:line="360" w:lineRule="auto"/>
        <w:jc w:val="both"/>
        <w:rPr>
          <w:rtl/>
        </w:rPr>
      </w:pPr>
    </w:p>
    <w:p w14:paraId="6DE00B09" w14:textId="77777777" w:rsidR="00D36333" w:rsidRDefault="00BE4BA2">
      <w:pPr>
        <w:spacing w:line="360" w:lineRule="auto"/>
        <w:ind w:left="720" w:hanging="720"/>
        <w:jc w:val="both"/>
        <w:rPr>
          <w:rtl/>
        </w:rPr>
      </w:pPr>
      <w:r>
        <w:rPr>
          <w:b/>
          <w:bCs/>
          <w:rtl/>
        </w:rPr>
        <w:t>9.</w:t>
      </w:r>
      <w:r>
        <w:rPr>
          <w:rtl/>
        </w:rPr>
        <w:t xml:space="preserve"> </w:t>
      </w:r>
      <w:r>
        <w:rPr>
          <w:rFonts w:hint="cs"/>
          <w:rtl/>
        </w:rPr>
        <w:tab/>
      </w:r>
      <w:r>
        <w:rPr>
          <w:rtl/>
        </w:rPr>
        <w:t>לסיכום, המאשימה מבקשת להטיל על הנאשם עונש של 7 שנות מאסר בפועל, ולצדו קנס כספי ופסילת רישיון למשך מספר שנים. כמו כן מבקשת המאשימה להכריז כי הנאשם הנו "סוחר סמים" ולחלט את הרכב המוזכר בכתב האישום.</w:t>
      </w:r>
    </w:p>
    <w:p w14:paraId="47143EB2" w14:textId="77777777" w:rsidR="00D36333" w:rsidRDefault="00D36333">
      <w:pPr>
        <w:spacing w:line="360" w:lineRule="auto"/>
        <w:jc w:val="both"/>
        <w:rPr>
          <w:rtl/>
        </w:rPr>
      </w:pPr>
    </w:p>
    <w:p w14:paraId="6EB61830" w14:textId="77777777" w:rsidR="00D36333" w:rsidRDefault="00BE4BA2">
      <w:pPr>
        <w:spacing w:line="360" w:lineRule="auto"/>
        <w:jc w:val="both"/>
        <w:rPr>
          <w:b/>
          <w:bCs/>
          <w:u w:val="single"/>
          <w:rtl/>
        </w:rPr>
      </w:pPr>
      <w:r>
        <w:rPr>
          <w:b/>
          <w:bCs/>
          <w:u w:val="single"/>
          <w:rtl/>
        </w:rPr>
        <w:t>טיעוני הנאשם</w:t>
      </w:r>
    </w:p>
    <w:p w14:paraId="5ACAEE5C" w14:textId="77777777" w:rsidR="00D36333" w:rsidRDefault="00D36333">
      <w:pPr>
        <w:spacing w:line="360" w:lineRule="auto"/>
        <w:jc w:val="both"/>
        <w:rPr>
          <w:b/>
          <w:bCs/>
          <w:u w:val="single"/>
          <w:rtl/>
        </w:rPr>
      </w:pPr>
    </w:p>
    <w:p w14:paraId="36272241" w14:textId="77777777" w:rsidR="00D36333" w:rsidRDefault="00BE4BA2">
      <w:pPr>
        <w:spacing w:line="360" w:lineRule="auto"/>
        <w:ind w:left="720" w:hanging="720"/>
        <w:jc w:val="both"/>
        <w:rPr>
          <w:rtl/>
        </w:rPr>
      </w:pPr>
      <w:r>
        <w:rPr>
          <w:b/>
          <w:bCs/>
          <w:rtl/>
        </w:rPr>
        <w:t>10</w:t>
      </w:r>
      <w:r>
        <w:rPr>
          <w:rtl/>
        </w:rPr>
        <w:t xml:space="preserve">. </w:t>
      </w:r>
      <w:r>
        <w:rPr>
          <w:rFonts w:hint="cs"/>
          <w:rtl/>
        </w:rPr>
        <w:tab/>
      </w:r>
      <w:r>
        <w:rPr>
          <w:rtl/>
        </w:rPr>
        <w:t>הסנגור הדגיש בטיעוניו את התיקון שנעשה בכתב-האישום, שעיקרו - הנאשם טוען כי לא ידע מה אמור היה לקבל במזוודה. לדבריו, העבירה שביצע הנאשם מתחילה מרגע קבלת המזוודה והסכמתו ליטול לידיו את הסם ולשמש בלדר, ואין לייחס לו חלק בתכנון.</w:t>
      </w:r>
    </w:p>
    <w:p w14:paraId="1659E17F" w14:textId="77777777" w:rsidR="00D36333" w:rsidRDefault="00BE4BA2">
      <w:pPr>
        <w:spacing w:line="360" w:lineRule="auto"/>
        <w:ind w:left="720"/>
        <w:jc w:val="both"/>
        <w:rPr>
          <w:rtl/>
        </w:rPr>
      </w:pPr>
      <w:r>
        <w:rPr>
          <w:rtl/>
        </w:rPr>
        <w:t>עוד נטען כי הנאשם, אשר הנו צעיר ללא עבר פלילי, שיתף פעולה עם גורמי האכיפה והודה בביצוע העבירות. במהלך תקופת המשפט עבר הנאשם תהליך ארוך, במסגרת שירות המבחן, אשר בעקבותיו ניתנה לגביו המלצה מרחיקת לכת.</w:t>
      </w:r>
    </w:p>
    <w:p w14:paraId="112C7C5D" w14:textId="77777777" w:rsidR="00D36333" w:rsidRDefault="00BE4BA2">
      <w:pPr>
        <w:spacing w:line="360" w:lineRule="auto"/>
        <w:ind w:left="720"/>
        <w:jc w:val="both"/>
        <w:rPr>
          <w:rtl/>
        </w:rPr>
      </w:pPr>
      <w:r>
        <w:rPr>
          <w:rtl/>
        </w:rPr>
        <w:t>עוד ציין הסנגור, כי הנאשם התגורר כל חייו באזור שפעילות הסמים בו מוגברת, בקו התפר שבין הערים רמלה-לוד, אולם עד למעידה הנוכחית לא לקח חלק בעבר בפעילות עבריינית.</w:t>
      </w:r>
    </w:p>
    <w:p w14:paraId="72ABAA3D" w14:textId="77777777" w:rsidR="00D36333" w:rsidRDefault="00D36333">
      <w:pPr>
        <w:spacing w:line="360" w:lineRule="auto"/>
        <w:jc w:val="both"/>
        <w:rPr>
          <w:rtl/>
        </w:rPr>
      </w:pPr>
    </w:p>
    <w:p w14:paraId="3EAED7AD" w14:textId="77777777" w:rsidR="00D36333" w:rsidRDefault="00BE4BA2">
      <w:pPr>
        <w:spacing w:line="360" w:lineRule="auto"/>
        <w:ind w:firstLine="720"/>
        <w:jc w:val="both"/>
        <w:rPr>
          <w:rtl/>
        </w:rPr>
      </w:pPr>
      <w:r>
        <w:rPr>
          <w:rtl/>
        </w:rPr>
        <w:t>לסיכום, נאמר כי לא ניתן להתעלם מהמלצות שירות המבחן.</w:t>
      </w:r>
    </w:p>
    <w:p w14:paraId="5494E8E1" w14:textId="77777777" w:rsidR="00D36333" w:rsidRDefault="00D36333">
      <w:pPr>
        <w:spacing w:line="360" w:lineRule="auto"/>
        <w:jc w:val="both"/>
        <w:rPr>
          <w:rtl/>
        </w:rPr>
      </w:pPr>
    </w:p>
    <w:p w14:paraId="6FB6E231" w14:textId="77777777" w:rsidR="00D36333" w:rsidRDefault="00BE4BA2">
      <w:pPr>
        <w:spacing w:line="360" w:lineRule="auto"/>
        <w:ind w:left="720" w:hanging="720"/>
        <w:jc w:val="both"/>
        <w:rPr>
          <w:rtl/>
        </w:rPr>
      </w:pPr>
      <w:r>
        <w:rPr>
          <w:b/>
          <w:bCs/>
          <w:rtl/>
        </w:rPr>
        <w:t>11</w:t>
      </w:r>
      <w:r>
        <w:rPr>
          <w:rtl/>
        </w:rPr>
        <w:t xml:space="preserve">. </w:t>
      </w:r>
      <w:r>
        <w:rPr>
          <w:rFonts w:hint="cs"/>
          <w:rtl/>
        </w:rPr>
        <w:tab/>
      </w:r>
      <w:r>
        <w:rPr>
          <w:rtl/>
        </w:rPr>
        <w:t>הנאשם עצמו אמר בבית המשפט כי עשה טעות גדולה. לדבריו: "אני באתי לצפון כדי לקחת משהו, לא ידעתי שמדובר בסמים, רק לאחר שקבלתי את הסמים ידעתי שמדובר בסמים. ...אני מביע צער על מעשי...".</w:t>
      </w:r>
    </w:p>
    <w:p w14:paraId="56106590" w14:textId="77777777" w:rsidR="00D36333" w:rsidRDefault="00D36333">
      <w:pPr>
        <w:spacing w:line="360" w:lineRule="auto"/>
        <w:jc w:val="both"/>
        <w:rPr>
          <w:rtl/>
        </w:rPr>
      </w:pPr>
    </w:p>
    <w:p w14:paraId="4E153794" w14:textId="77777777" w:rsidR="00D36333" w:rsidRDefault="00BE4BA2">
      <w:pPr>
        <w:spacing w:line="360" w:lineRule="auto"/>
        <w:jc w:val="both"/>
        <w:rPr>
          <w:b/>
          <w:bCs/>
          <w:u w:val="single"/>
          <w:rtl/>
        </w:rPr>
      </w:pPr>
      <w:r>
        <w:rPr>
          <w:b/>
          <w:bCs/>
          <w:u w:val="single"/>
          <w:rtl/>
        </w:rPr>
        <w:t>דיון והכרעה</w:t>
      </w:r>
    </w:p>
    <w:p w14:paraId="1F0202AF" w14:textId="77777777" w:rsidR="00D36333" w:rsidRDefault="00BE4BA2">
      <w:pPr>
        <w:spacing w:line="360" w:lineRule="auto"/>
        <w:jc w:val="both"/>
        <w:rPr>
          <w:u w:val="single"/>
          <w:rtl/>
        </w:rPr>
      </w:pPr>
      <w:r>
        <w:rPr>
          <w:u w:val="single"/>
          <w:rtl/>
        </w:rPr>
        <w:t>הערך החברתי הנפגע</w:t>
      </w:r>
    </w:p>
    <w:p w14:paraId="2B2DA5DA" w14:textId="77777777" w:rsidR="00D36333" w:rsidRDefault="00D36333">
      <w:pPr>
        <w:spacing w:line="360" w:lineRule="auto"/>
        <w:jc w:val="both"/>
        <w:rPr>
          <w:u w:val="single"/>
          <w:rtl/>
        </w:rPr>
      </w:pPr>
    </w:p>
    <w:p w14:paraId="11407178" w14:textId="77777777" w:rsidR="00D36333" w:rsidRDefault="00BE4BA2">
      <w:pPr>
        <w:spacing w:line="360" w:lineRule="auto"/>
        <w:ind w:left="720" w:hanging="720"/>
        <w:jc w:val="both"/>
        <w:rPr>
          <w:rtl/>
        </w:rPr>
      </w:pPr>
      <w:r>
        <w:rPr>
          <w:b/>
          <w:bCs/>
          <w:rtl/>
        </w:rPr>
        <w:t>12</w:t>
      </w:r>
      <w:r>
        <w:rPr>
          <w:rtl/>
        </w:rPr>
        <w:t xml:space="preserve">. </w:t>
      </w:r>
      <w:r>
        <w:rPr>
          <w:rFonts w:hint="cs"/>
          <w:rtl/>
        </w:rPr>
        <w:tab/>
      </w:r>
      <w:r>
        <w:rPr>
          <w:rtl/>
        </w:rPr>
        <w:t>בתי המשפט אשר דנו נאשמים בעבירות לפי פקודת הסמים חזרו והדגישו את הצורך להטיל ענישה מחמירה על מבצעיהן, כצעד מתחייב לשם ביעור נגע הסמים. ההשתתפות במערך ההפצה של סמים מסוכנים, אם באמצעות סחר ואם באמצעות עבודת בלדרות, יש בה משום "תרומה" להרס חייהם של משתמשי הסמים, של משפחותיהם ושל החברה בכללותה, המשלמת מחיר כבד עקב ההשפעה שיש להתרחבות מעגל המשתמשים בסם על חייהם של בניה, ובכלל זה התגברות עבירות הרכוש, המלוות לעיתים באלימות.</w:t>
      </w:r>
    </w:p>
    <w:p w14:paraId="704DB0D4" w14:textId="77777777" w:rsidR="00D36333" w:rsidRDefault="00D36333">
      <w:pPr>
        <w:spacing w:line="360" w:lineRule="auto"/>
        <w:jc w:val="both"/>
        <w:rPr>
          <w:rtl/>
        </w:rPr>
      </w:pPr>
    </w:p>
    <w:p w14:paraId="6F85A39B" w14:textId="77777777" w:rsidR="00D36333" w:rsidRDefault="00BE4BA2">
      <w:pPr>
        <w:spacing w:line="360" w:lineRule="auto"/>
        <w:ind w:left="720"/>
        <w:jc w:val="both"/>
        <w:rPr>
          <w:rtl/>
        </w:rPr>
      </w:pPr>
      <w:r>
        <w:rPr>
          <w:rtl/>
        </w:rPr>
        <w:t>לפיכך, מצווים בתי המשפט להעביר מסר ברור וחד משמעי של הוקעת עבירות הסמים, בין היתר, באמצעות הטלת עונשי מאסר ממושכים על מבצעי העבירות. בתי-המשפט ביטאו שוב ושוב את שאט הנפש והחומרה שבהן יש לראות את עבירות הסחר בסמים, לרבות מעורבות בהפצתם, המשחיתות כל חלקה טובה ופוגעות באופן אנוש באושיות החברה (</w:t>
      </w:r>
      <w:hyperlink r:id="rId21" w:history="1">
        <w:r w:rsidR="0007540D" w:rsidRPr="0007540D">
          <w:rPr>
            <w:rStyle w:val="Hyperlink"/>
            <w:rtl/>
          </w:rPr>
          <w:t>ע"פ 10228/05</w:t>
        </w:r>
      </w:hyperlink>
      <w:r>
        <w:rPr>
          <w:rtl/>
        </w:rPr>
        <w:t xml:space="preserve"> </w:t>
      </w:r>
      <w:r>
        <w:rPr>
          <w:b/>
          <w:bCs/>
          <w:rtl/>
        </w:rPr>
        <w:t>רובאעי נ' מדינת ישראל</w:t>
      </w:r>
      <w:r>
        <w:rPr>
          <w:rtl/>
        </w:rPr>
        <w:t xml:space="preserve"> (26/6/2006); רע"פ </w:t>
      </w:r>
      <w:hyperlink r:id="rId22" w:history="1">
        <w:r w:rsidR="00EA200B" w:rsidRPr="00EA200B">
          <w:rPr>
            <w:color w:val="0000FF"/>
            <w:u w:val="single"/>
            <w:rtl/>
          </w:rPr>
          <w:t>8457</w:t>
        </w:r>
      </w:hyperlink>
      <w:r>
        <w:rPr>
          <w:rtl/>
        </w:rPr>
        <w:t xml:space="preserve"> </w:t>
      </w:r>
      <w:r>
        <w:rPr>
          <w:b/>
          <w:bCs/>
          <w:rtl/>
        </w:rPr>
        <w:t>אבו עיאדה נ' מדינת ישראל</w:t>
      </w:r>
      <w:r>
        <w:rPr>
          <w:rtl/>
        </w:rPr>
        <w:t xml:space="preserve"> (22/12/2008)). כך למשל התבטא בית המשפט העליון ב</w:t>
      </w:r>
      <w:hyperlink r:id="rId23" w:history="1">
        <w:r w:rsidR="0007540D" w:rsidRPr="0007540D">
          <w:rPr>
            <w:rStyle w:val="Hyperlink"/>
            <w:rtl/>
          </w:rPr>
          <w:t>ע"פ 966/94</w:t>
        </w:r>
      </w:hyperlink>
      <w:r>
        <w:rPr>
          <w:rtl/>
        </w:rPr>
        <w:t xml:space="preserve"> </w:t>
      </w:r>
      <w:r>
        <w:rPr>
          <w:b/>
          <w:bCs/>
          <w:rtl/>
        </w:rPr>
        <w:t>אמזלג נ' מדינת ישראל</w:t>
      </w:r>
      <w:r>
        <w:rPr>
          <w:rtl/>
        </w:rPr>
        <w:t xml:space="preserve"> (12/12/1995):</w:t>
      </w:r>
    </w:p>
    <w:p w14:paraId="74E27567" w14:textId="77777777" w:rsidR="00D36333" w:rsidRDefault="00D36333">
      <w:pPr>
        <w:spacing w:line="360" w:lineRule="auto"/>
        <w:jc w:val="both"/>
        <w:rPr>
          <w:rtl/>
        </w:rPr>
      </w:pPr>
    </w:p>
    <w:p w14:paraId="2EBEF99D" w14:textId="77777777" w:rsidR="00D36333" w:rsidRDefault="00BE4BA2">
      <w:pPr>
        <w:spacing w:line="360" w:lineRule="auto"/>
        <w:ind w:left="720"/>
        <w:jc w:val="both"/>
        <w:rPr>
          <w:rtl/>
        </w:rPr>
      </w:pPr>
      <w:r>
        <w:rPr>
          <w:rtl/>
        </w:rPr>
        <w:t>"</w:t>
      </w:r>
      <w:r>
        <w:rPr>
          <w:b/>
          <w:bCs/>
          <w:rtl/>
        </w:rPr>
        <w:t>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tl/>
        </w:rPr>
        <w:t>".</w:t>
      </w:r>
    </w:p>
    <w:p w14:paraId="6F7AC5FD" w14:textId="77777777" w:rsidR="00D36333" w:rsidRDefault="00D36333">
      <w:pPr>
        <w:spacing w:line="360" w:lineRule="auto"/>
        <w:jc w:val="both"/>
        <w:rPr>
          <w:rtl/>
        </w:rPr>
      </w:pPr>
    </w:p>
    <w:p w14:paraId="540A5F77" w14:textId="77777777" w:rsidR="00D36333" w:rsidRDefault="00BE4BA2">
      <w:pPr>
        <w:spacing w:line="360" w:lineRule="auto"/>
        <w:jc w:val="both"/>
        <w:rPr>
          <w:b/>
          <w:bCs/>
          <w:u w:val="single"/>
          <w:rtl/>
        </w:rPr>
      </w:pPr>
      <w:r>
        <w:rPr>
          <w:b/>
          <w:bCs/>
          <w:u w:val="single"/>
          <w:rtl/>
        </w:rPr>
        <w:t>נסיבות ביצוע העבירה</w:t>
      </w:r>
    </w:p>
    <w:p w14:paraId="2CFD2914" w14:textId="77777777" w:rsidR="00D36333" w:rsidRDefault="00D36333">
      <w:pPr>
        <w:spacing w:line="360" w:lineRule="auto"/>
        <w:jc w:val="both"/>
        <w:rPr>
          <w:b/>
          <w:bCs/>
          <w:u w:val="single"/>
          <w:rtl/>
        </w:rPr>
      </w:pPr>
    </w:p>
    <w:p w14:paraId="071DBDBC" w14:textId="77777777" w:rsidR="00D36333" w:rsidRDefault="00BE4BA2">
      <w:pPr>
        <w:spacing w:line="360" w:lineRule="auto"/>
        <w:ind w:left="720" w:hanging="720"/>
        <w:jc w:val="both"/>
        <w:rPr>
          <w:rtl/>
        </w:rPr>
      </w:pPr>
      <w:r>
        <w:rPr>
          <w:b/>
          <w:bCs/>
          <w:rtl/>
        </w:rPr>
        <w:t>13</w:t>
      </w:r>
      <w:r>
        <w:rPr>
          <w:rtl/>
        </w:rPr>
        <w:t xml:space="preserve">. </w:t>
      </w:r>
      <w:r>
        <w:rPr>
          <w:rFonts w:hint="cs"/>
          <w:rtl/>
        </w:rPr>
        <w:tab/>
      </w:r>
      <w:r>
        <w:rPr>
          <w:rtl/>
        </w:rPr>
        <w:t xml:space="preserve">הנאשם בתיק זה הודה בכך שאסף אל רכבו 3 ק"ג הרואין, שהינם כמות מסחרית לא מבוטלת. הנאשם לא מסר גרסה סדורה באשר למטרת נסיעתו ולא הודה כי נטל חלק בתכנון, אולם בשום מקום לא נטען ולא הוכח שהנאשם הגיע למקום האיסוף למטרה כשרה אחרת. אכן, ייתכן ששולחיו של הנאשם לא מסרו לו מפורשות מהי מטרת השליחות, אלא שמהודאתו עולה שהיה מודע לתכולת המזוודה בעת שנמסרה לידיו ואף פעל כדי להסליקה. מכאן, שהנאשם הסכים במודע לקיים את השליחות גם כאשר ידע כי מדובר במעשה אסור. יש לראות בעצם נטילת המזוודה והודאתו של הנאשם כי החזיק בסמים שלא למטרת שימוש עצמי, כראיה לכך שידע והתכוון לקחת חלק במערך הפצתם המסחרית בקרב משתמשי סמים, אם בעצמו ואם באמצעות אחרים. </w:t>
      </w:r>
    </w:p>
    <w:p w14:paraId="1B048421" w14:textId="77777777" w:rsidR="00D36333" w:rsidRDefault="00D36333">
      <w:pPr>
        <w:spacing w:line="360" w:lineRule="auto"/>
        <w:jc w:val="both"/>
        <w:rPr>
          <w:rtl/>
        </w:rPr>
      </w:pPr>
    </w:p>
    <w:p w14:paraId="174DAD9F" w14:textId="77777777" w:rsidR="00D36333" w:rsidRDefault="00BE4BA2">
      <w:pPr>
        <w:spacing w:line="360" w:lineRule="auto"/>
        <w:ind w:left="720" w:hanging="720"/>
        <w:jc w:val="both"/>
        <w:rPr>
          <w:rtl/>
        </w:rPr>
      </w:pPr>
      <w:r>
        <w:rPr>
          <w:b/>
          <w:bCs/>
          <w:rtl/>
        </w:rPr>
        <w:t>14</w:t>
      </w:r>
      <w:r>
        <w:rPr>
          <w:rtl/>
        </w:rPr>
        <w:t xml:space="preserve">. </w:t>
      </w:r>
      <w:r>
        <w:rPr>
          <w:rFonts w:hint="cs"/>
          <w:rtl/>
        </w:rPr>
        <w:tab/>
      </w:r>
      <w:r>
        <w:rPr>
          <w:rtl/>
        </w:rPr>
        <w:t>בהינתן כמות הסמים, ברי, כי הנזק שהיה צפוי ממעשיו של הנאשם, כמו גם הרווח שהיה עתיד לגרוף לכיסו, הנו גדול מאוד. הנזק הצפוי הינו שיקול רלוונטי בעת קביעת מתחם העונש ההולם, כשבהקשר זה יודגש כי מניעת הנזק היא תוצאה של ערנות גורמי האכיפה ולא של חרטת הנאשם.</w:t>
      </w:r>
    </w:p>
    <w:p w14:paraId="1A0A791E" w14:textId="77777777" w:rsidR="00D36333" w:rsidRDefault="00D36333">
      <w:pPr>
        <w:spacing w:line="360" w:lineRule="auto"/>
        <w:jc w:val="both"/>
        <w:rPr>
          <w:rtl/>
        </w:rPr>
      </w:pPr>
    </w:p>
    <w:p w14:paraId="1ED52AE6" w14:textId="77777777" w:rsidR="00D36333" w:rsidRDefault="00BE4BA2">
      <w:pPr>
        <w:spacing w:line="360" w:lineRule="auto"/>
        <w:ind w:left="720"/>
        <w:jc w:val="both"/>
        <w:rPr>
          <w:rtl/>
        </w:rPr>
      </w:pPr>
      <w:r>
        <w:rPr>
          <w:rtl/>
        </w:rPr>
        <w:t>באשר לרלוונטיות של כמות הסמים המוחזקים והקשר בין הכמות למידת הנזק הצפוי, נאמר ב</w:t>
      </w:r>
      <w:hyperlink r:id="rId24" w:history="1">
        <w:r w:rsidR="0007540D" w:rsidRPr="0007540D">
          <w:rPr>
            <w:rStyle w:val="Hyperlink"/>
            <w:rtl/>
          </w:rPr>
          <w:t>ע"פ 5741/11</w:t>
        </w:r>
      </w:hyperlink>
      <w:r>
        <w:rPr>
          <w:rtl/>
        </w:rPr>
        <w:t xml:space="preserve"> </w:t>
      </w:r>
      <w:r>
        <w:rPr>
          <w:b/>
          <w:bCs/>
          <w:rtl/>
        </w:rPr>
        <w:t>סוארכה נ' מדינת ישראל</w:t>
      </w:r>
      <w:r>
        <w:rPr>
          <w:rtl/>
        </w:rPr>
        <w:t xml:space="preserve"> (20.01.13):</w:t>
      </w:r>
    </w:p>
    <w:p w14:paraId="72DB7977" w14:textId="77777777" w:rsidR="00D36333" w:rsidRDefault="00D36333">
      <w:pPr>
        <w:spacing w:line="360" w:lineRule="auto"/>
        <w:jc w:val="both"/>
        <w:rPr>
          <w:rtl/>
        </w:rPr>
      </w:pPr>
    </w:p>
    <w:p w14:paraId="68CFC81C" w14:textId="77777777" w:rsidR="00D36333" w:rsidRDefault="00BE4BA2">
      <w:pPr>
        <w:spacing w:line="360" w:lineRule="auto"/>
        <w:ind w:left="720"/>
        <w:jc w:val="both"/>
        <w:rPr>
          <w:rtl/>
        </w:rPr>
      </w:pPr>
      <w:r>
        <w:rPr>
          <w:rtl/>
        </w:rPr>
        <w:t>"</w:t>
      </w:r>
      <w:r>
        <w:rPr>
          <w:b/>
          <w:bCs/>
          <w:rtl/>
        </w:rPr>
        <w:t>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רלוונטי. ...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r>
        <w:rPr>
          <w:rtl/>
        </w:rPr>
        <w:t>."</w:t>
      </w:r>
    </w:p>
    <w:p w14:paraId="063CBA02" w14:textId="77777777" w:rsidR="00D36333" w:rsidRDefault="00D36333">
      <w:pPr>
        <w:spacing w:line="360" w:lineRule="auto"/>
        <w:jc w:val="both"/>
        <w:rPr>
          <w:rtl/>
        </w:rPr>
      </w:pPr>
    </w:p>
    <w:p w14:paraId="62B89E6A" w14:textId="77777777" w:rsidR="00D36333" w:rsidRDefault="00BE4BA2">
      <w:pPr>
        <w:spacing w:line="360" w:lineRule="auto"/>
        <w:jc w:val="both"/>
        <w:rPr>
          <w:b/>
          <w:bCs/>
          <w:u w:val="single"/>
          <w:rtl/>
        </w:rPr>
      </w:pPr>
      <w:r>
        <w:rPr>
          <w:b/>
          <w:bCs/>
          <w:u w:val="single"/>
          <w:rtl/>
        </w:rPr>
        <w:t>מדיניות הענישה הנוהגת ומתחם העונש ההולם</w:t>
      </w:r>
    </w:p>
    <w:p w14:paraId="5FA2317B" w14:textId="77777777" w:rsidR="00D36333" w:rsidRDefault="00D36333">
      <w:pPr>
        <w:spacing w:line="360" w:lineRule="auto"/>
        <w:jc w:val="both"/>
        <w:rPr>
          <w:rtl/>
        </w:rPr>
      </w:pPr>
    </w:p>
    <w:p w14:paraId="6C5127E1" w14:textId="77777777" w:rsidR="00D36333" w:rsidRDefault="00BE4BA2">
      <w:pPr>
        <w:spacing w:line="360" w:lineRule="auto"/>
        <w:ind w:left="720" w:hanging="720"/>
        <w:jc w:val="both"/>
        <w:rPr>
          <w:u w:val="single"/>
        </w:rPr>
      </w:pPr>
      <w:r>
        <w:rPr>
          <w:b/>
          <w:bCs/>
          <w:rtl/>
        </w:rPr>
        <w:t>15</w:t>
      </w:r>
      <w:r>
        <w:rPr>
          <w:rtl/>
        </w:rPr>
        <w:t xml:space="preserve">. </w:t>
      </w:r>
      <w:r>
        <w:rPr>
          <w:rFonts w:hint="cs"/>
          <w:rtl/>
        </w:rPr>
        <w:tab/>
      </w:r>
      <w:r>
        <w:rPr>
          <w:rtl/>
        </w:rPr>
        <w:t>טווח הענישה הנהוג בעבירות סמים הנו רחב, ותלוי בסוג ובכמות הסם, תדירות העיסוק, ובנסיבות ביצוע העבירות. כאשר עסקינן בהפצת כמויות גדולות של סם, קבע בית-המשפט העליון לא אחת, כי ראוי לגזור על המורשעים ענישה מחמירה ומרתיעה, הקרובה אל העונש המקסימאלי הקבוע בחוק, וכי שיקוליו האישיים של הנאשם נסוגים מפני שיקולי הנזק הכבד שהשימוש בסם מביא על המשתמשים בו (</w:t>
      </w:r>
      <w:hyperlink r:id="rId25" w:history="1">
        <w:r w:rsidR="0007540D" w:rsidRPr="0007540D">
          <w:rPr>
            <w:rStyle w:val="Hyperlink"/>
            <w:rtl/>
          </w:rPr>
          <w:t>ע"פ 6029/03 מדינת ישראל נ' גולן שמאי, פ"ד נח</w:t>
        </w:r>
      </w:hyperlink>
      <w:r>
        <w:rPr>
          <w:rtl/>
        </w:rPr>
        <w:t>(2) 734).</w:t>
      </w:r>
    </w:p>
    <w:p w14:paraId="0073C7AC" w14:textId="77777777" w:rsidR="00D36333" w:rsidRDefault="00D36333">
      <w:pPr>
        <w:spacing w:line="360" w:lineRule="auto"/>
        <w:jc w:val="both"/>
        <w:rPr>
          <w:u w:val="single"/>
          <w:rtl/>
        </w:rPr>
      </w:pPr>
    </w:p>
    <w:p w14:paraId="74BFB85F" w14:textId="77777777" w:rsidR="00D36333" w:rsidRDefault="00BE4BA2">
      <w:pPr>
        <w:spacing w:line="360" w:lineRule="auto"/>
        <w:ind w:left="720" w:hanging="720"/>
        <w:jc w:val="both"/>
        <w:rPr>
          <w:rtl/>
        </w:rPr>
      </w:pPr>
      <w:r>
        <w:rPr>
          <w:b/>
          <w:bCs/>
          <w:rtl/>
        </w:rPr>
        <w:t>16</w:t>
      </w:r>
      <w:r>
        <w:rPr>
          <w:rtl/>
        </w:rPr>
        <w:t xml:space="preserve">. </w:t>
      </w:r>
      <w:r>
        <w:rPr>
          <w:rFonts w:hint="cs"/>
          <w:rtl/>
        </w:rPr>
        <w:tab/>
      </w:r>
      <w:r>
        <w:rPr>
          <w:rtl/>
        </w:rPr>
        <w:t>ב</w:t>
      </w:r>
      <w:hyperlink r:id="rId26" w:history="1">
        <w:r w:rsidR="0007540D" w:rsidRPr="0007540D">
          <w:rPr>
            <w:rStyle w:val="Hyperlink"/>
            <w:rtl/>
          </w:rPr>
          <w:t>ע"פ 1859/02</w:t>
        </w:r>
      </w:hyperlink>
      <w:r>
        <w:rPr>
          <w:rtl/>
        </w:rPr>
        <w:t xml:space="preserve"> </w:t>
      </w:r>
      <w:r>
        <w:rPr>
          <w:b/>
          <w:bCs/>
          <w:rtl/>
        </w:rPr>
        <w:t>מדינת ישראל נ' אמיר רחאל ואח'</w:t>
      </w:r>
      <w:r>
        <w:rPr>
          <w:rtl/>
        </w:rPr>
        <w:t xml:space="preserve"> (08.09.04) אישר בית-המשפט העליון עונש של 7 שנות מאסר בפועל על נאשם אשר נתפס בסמוך לגדר הגבול כשהוא אוסף תיק המכיל</w:t>
      </w:r>
      <w:r>
        <w:rPr>
          <w:b/>
          <w:bCs/>
          <w:color w:val="000000"/>
          <w:rtl/>
        </w:rPr>
        <w:t xml:space="preserve"> </w:t>
      </w:r>
      <w:r>
        <w:rPr>
          <w:rtl/>
        </w:rPr>
        <w:t xml:space="preserve">סם מסוג קוקאין במשקל נטו של 4,888.54 גרם. הנאשם שם, להבדיל מן הנאשם לפניי, הורשע, בין היתר, בעבירות של יבוא סם מסוכן וביצוע עסקה בסם מסוכן, ובדומה למקרה דנן הנאשם שם הודה בעובדות כתב האישום ולא נזקפו לחובתו הרשעות קודמות. יודגש כי </w:t>
      </w:r>
      <w:r>
        <w:rPr>
          <w:u w:val="single"/>
          <w:rtl/>
        </w:rPr>
        <w:t xml:space="preserve">שותפו של הנאשם שם, אשר זוכה מעבירות לפי </w:t>
      </w:r>
      <w:hyperlink r:id="rId27" w:history="1">
        <w:r w:rsidR="00EA200B" w:rsidRPr="00EA200B">
          <w:rPr>
            <w:color w:val="0000FF"/>
            <w:u w:val="single"/>
            <w:rtl/>
          </w:rPr>
          <w:t>סעיפים 13</w:t>
        </w:r>
      </w:hyperlink>
      <w:r>
        <w:rPr>
          <w:u w:val="single"/>
          <w:rtl/>
        </w:rPr>
        <w:t xml:space="preserve"> ו-</w:t>
      </w:r>
      <w:hyperlink r:id="rId28" w:history="1">
        <w:r w:rsidR="00EA200B" w:rsidRPr="00EA200B">
          <w:rPr>
            <w:color w:val="0000FF"/>
            <w:u w:val="single"/>
            <w:rtl/>
          </w:rPr>
          <w:t>19א</w:t>
        </w:r>
      </w:hyperlink>
      <w:r>
        <w:rPr>
          <w:u w:val="single"/>
          <w:rtl/>
        </w:rPr>
        <w:t xml:space="preserve"> לפקודת הסמים והורשע בעבירות של קשירת קשר לביצוע פשע, ניסיון להחזקת סם שלא לצריכה עצמית והפרעה לשוטר במילוי תפקידו, נדון ל-8 שנות מאסר בפועל, וזאת בעיקר בשל עברו הפלילי המכביד.</w:t>
      </w:r>
      <w:r>
        <w:rPr>
          <w:rtl/>
        </w:rPr>
        <w:t xml:space="preserve"> כן הטיל עליו בית המשפט קנס בסך של 15,000₪ ובנוסף פסל אותו מלהחזיק או לקבל רישיון נהיגה מסוג כלשהו למשך 3 שנים מתום ריצוי המאסר בפועל.</w:t>
      </w:r>
    </w:p>
    <w:p w14:paraId="7A10F8C4" w14:textId="77777777" w:rsidR="00D36333" w:rsidRDefault="00D36333">
      <w:pPr>
        <w:spacing w:line="360" w:lineRule="auto"/>
        <w:jc w:val="both"/>
        <w:rPr>
          <w:rtl/>
        </w:rPr>
      </w:pPr>
    </w:p>
    <w:p w14:paraId="78245DED" w14:textId="77777777" w:rsidR="00D36333" w:rsidRDefault="00BE4BA2">
      <w:pPr>
        <w:spacing w:line="360" w:lineRule="auto"/>
        <w:ind w:left="720"/>
        <w:jc w:val="both"/>
        <w:rPr>
          <w:rtl/>
        </w:rPr>
      </w:pPr>
      <w:r>
        <w:rPr>
          <w:rtl/>
        </w:rPr>
        <w:t>ב</w:t>
      </w:r>
      <w:hyperlink r:id="rId29" w:history="1">
        <w:r w:rsidR="0007540D" w:rsidRPr="0007540D">
          <w:rPr>
            <w:rStyle w:val="Hyperlink"/>
            <w:rtl/>
          </w:rPr>
          <w:t>ע"פ 5377/11</w:t>
        </w:r>
      </w:hyperlink>
      <w:r>
        <w:rPr>
          <w:rtl/>
        </w:rPr>
        <w:t xml:space="preserve"> </w:t>
      </w:r>
      <w:r>
        <w:rPr>
          <w:b/>
          <w:bCs/>
          <w:rtl/>
        </w:rPr>
        <w:t>יצחק סויסה נ' מדינת ישראל</w:t>
      </w:r>
      <w:r>
        <w:rPr>
          <w:rtl/>
        </w:rPr>
        <w:t xml:space="preserve"> (03.07.12) אישר בית המשפט העליון עונש של 40 חודשי מאסר בפועל ו-12 חודשי מאסר על תנאי על נאשם שהורשע בעבירה של החזקת סם שלא לצריכה עצמית. באותו מקרה דובר באסיר שפלט מגופו, לאחר ששב מחופשה, 70 גרם הרואין ו-50 גרם חשיש.</w:t>
      </w:r>
    </w:p>
    <w:p w14:paraId="26344E80" w14:textId="77777777" w:rsidR="00D36333" w:rsidRDefault="00D36333">
      <w:pPr>
        <w:spacing w:line="360" w:lineRule="auto"/>
        <w:jc w:val="both"/>
        <w:rPr>
          <w:rtl/>
        </w:rPr>
      </w:pPr>
    </w:p>
    <w:p w14:paraId="3FB452A7" w14:textId="77777777" w:rsidR="00D36333" w:rsidRDefault="00BE4BA2">
      <w:pPr>
        <w:spacing w:line="360" w:lineRule="auto"/>
        <w:ind w:left="720"/>
        <w:jc w:val="both"/>
        <w:rPr>
          <w:rtl/>
        </w:rPr>
      </w:pPr>
      <w:r>
        <w:rPr>
          <w:rtl/>
        </w:rPr>
        <w:t>ב</w:t>
      </w:r>
      <w:hyperlink r:id="rId30" w:history="1">
        <w:r w:rsidR="0007540D" w:rsidRPr="0007540D">
          <w:rPr>
            <w:rStyle w:val="Hyperlink"/>
            <w:rtl/>
          </w:rPr>
          <w:t>ת"פ (מחוזי נצרת) 20534-02-12</w:t>
        </w:r>
      </w:hyperlink>
      <w:r>
        <w:rPr>
          <w:rtl/>
        </w:rPr>
        <w:t xml:space="preserve"> </w:t>
      </w:r>
      <w:r>
        <w:rPr>
          <w:b/>
          <w:bCs/>
          <w:rtl/>
        </w:rPr>
        <w:t>מדינת ישראל נ' עאמר עלי אחמד</w:t>
      </w:r>
      <w:r>
        <w:rPr>
          <w:rtl/>
        </w:rPr>
        <w:t xml:space="preserve"> ( 28.01.13) הטלתי עונש של 6 שנות מאסר בפועל ו-24 חודשי מאסר על תנאי, על נאשם שהורשע בעבירות של החזקת סם שלא לצריכה עצמית, הסתייעות ברכב לביצוע פשע, ובנהיגה ללא רישיון וללא פוליסת ביטוח תקפה. באותו מקרה דובר באיסוף מזוודה המכילה 3.5 ק"ג  הרואין מאזור גדר הגבול ליד מטולה. לציין כי ערעור על גזר-הדין עודנו תלוי ועומד.</w:t>
      </w:r>
    </w:p>
    <w:p w14:paraId="03D39575" w14:textId="77777777" w:rsidR="00D36333" w:rsidRDefault="00D36333">
      <w:pPr>
        <w:spacing w:line="360" w:lineRule="auto"/>
        <w:jc w:val="both"/>
        <w:rPr>
          <w:rtl/>
        </w:rPr>
      </w:pPr>
    </w:p>
    <w:p w14:paraId="6719533D" w14:textId="77777777" w:rsidR="00D36333" w:rsidRDefault="00BE4BA2">
      <w:pPr>
        <w:spacing w:line="360" w:lineRule="auto"/>
        <w:ind w:left="720" w:hanging="720"/>
        <w:jc w:val="both"/>
        <w:rPr>
          <w:rtl/>
        </w:rPr>
      </w:pPr>
      <w:r>
        <w:rPr>
          <w:b/>
          <w:bCs/>
          <w:rtl/>
        </w:rPr>
        <w:t>17</w:t>
      </w:r>
      <w:r>
        <w:rPr>
          <w:rtl/>
        </w:rPr>
        <w:t xml:space="preserve">. </w:t>
      </w:r>
      <w:r>
        <w:rPr>
          <w:rFonts w:hint="cs"/>
          <w:rtl/>
        </w:rPr>
        <w:tab/>
      </w:r>
      <w:r>
        <w:rPr>
          <w:rtl/>
        </w:rPr>
        <w:t xml:space="preserve">מן האמור לעיל מסקנתי היא, כי </w:t>
      </w:r>
      <w:r>
        <w:rPr>
          <w:b/>
          <w:bCs/>
          <w:rtl/>
        </w:rPr>
        <w:t>מתחם העונש ההולם למחזיק של סם מסוכן מסוג הרואין, בכמות המפורטת ובנסיבות המקרה דנן, בהן לא הוכחה מעורבות בתכנון, הינו בטווח שבין 3 ל-7 שנות מאסר בפועל</w:t>
      </w:r>
      <w:r>
        <w:rPr>
          <w:rtl/>
        </w:rPr>
        <w:t xml:space="preserve">. </w:t>
      </w:r>
    </w:p>
    <w:p w14:paraId="519B2BAB" w14:textId="77777777" w:rsidR="00D36333" w:rsidRDefault="00D36333">
      <w:pPr>
        <w:spacing w:line="360" w:lineRule="auto"/>
        <w:jc w:val="both"/>
      </w:pPr>
    </w:p>
    <w:p w14:paraId="48E71729" w14:textId="77777777" w:rsidR="00D36333" w:rsidRDefault="00BE4BA2">
      <w:pPr>
        <w:spacing w:line="360" w:lineRule="auto"/>
        <w:jc w:val="both"/>
        <w:rPr>
          <w:b/>
          <w:bCs/>
          <w:u w:val="single"/>
          <w:rtl/>
        </w:rPr>
      </w:pPr>
      <w:r>
        <w:rPr>
          <w:b/>
          <w:bCs/>
          <w:u w:val="single"/>
          <w:rtl/>
        </w:rPr>
        <w:t>נסיבות העושה וגזירת העונש</w:t>
      </w:r>
    </w:p>
    <w:p w14:paraId="64706A24" w14:textId="77777777" w:rsidR="00D36333" w:rsidRDefault="00D36333">
      <w:pPr>
        <w:spacing w:line="360" w:lineRule="auto"/>
        <w:jc w:val="both"/>
        <w:rPr>
          <w:b/>
          <w:bCs/>
          <w:u w:val="single"/>
          <w:rtl/>
        </w:rPr>
      </w:pPr>
    </w:p>
    <w:p w14:paraId="47A4D6A5" w14:textId="77777777" w:rsidR="00D36333" w:rsidRDefault="00BE4BA2">
      <w:pPr>
        <w:spacing w:line="360" w:lineRule="auto"/>
        <w:ind w:left="720" w:hanging="720"/>
        <w:jc w:val="both"/>
        <w:rPr>
          <w:rtl/>
        </w:rPr>
      </w:pPr>
      <w:r>
        <w:rPr>
          <w:b/>
          <w:bCs/>
          <w:rtl/>
        </w:rPr>
        <w:t>18</w:t>
      </w:r>
      <w:r>
        <w:rPr>
          <w:rtl/>
        </w:rPr>
        <w:t xml:space="preserve">. </w:t>
      </w:r>
      <w:r>
        <w:rPr>
          <w:rFonts w:hint="cs"/>
          <w:rtl/>
        </w:rPr>
        <w:tab/>
      </w:r>
      <w:r>
        <w:rPr>
          <w:rtl/>
        </w:rPr>
        <w:t xml:space="preserve">נסיבותיו של הנאשם, שהינו אדם צעיר ואב לילדים קטנים, אינן יוצאות דופן ואין בהן משום הצדקה להפחתה בעונשו, פרט לעובדה כי הודה בעובדות כתב האישום המתוקן. מודע אני לנזק שצפוי להיגרם לילדיו של הנאשם כתוצאה ממאסרו, וכן לעובדה כי מדובר במאסרו הראשון, אולם אין באלה כדי להוות שיקול להימנעות משליחתו של הנאשם למאסר מאחורי סורג ובריח, וזאת לנוכח חומרת העבירות. </w:t>
      </w:r>
    </w:p>
    <w:p w14:paraId="19CB638B" w14:textId="77777777" w:rsidR="00D36333" w:rsidRDefault="00D36333">
      <w:pPr>
        <w:spacing w:line="360" w:lineRule="auto"/>
        <w:jc w:val="both"/>
        <w:rPr>
          <w:rtl/>
        </w:rPr>
      </w:pPr>
    </w:p>
    <w:p w14:paraId="2AB678AE" w14:textId="77777777" w:rsidR="00D36333" w:rsidRDefault="00BE4BA2">
      <w:pPr>
        <w:spacing w:line="360" w:lineRule="auto"/>
        <w:ind w:left="720"/>
        <w:jc w:val="both"/>
        <w:rPr>
          <w:rtl/>
        </w:rPr>
      </w:pPr>
      <w:r>
        <w:rPr>
          <w:rtl/>
        </w:rPr>
        <w:t>אף לא ראיתי מקום להתחשב במצבו הכלכלי של הנאשם עד כדי הימנעות מהטלת קנס, וזאת הן בשל אופי העבירות והן משום שלא הובאו מטעם הנאשם ראיות משכנעות לתמיכה בטענותיו אלה.</w:t>
      </w:r>
    </w:p>
    <w:p w14:paraId="354072FE" w14:textId="77777777" w:rsidR="00D36333" w:rsidRDefault="00BE4BA2">
      <w:pPr>
        <w:spacing w:line="360" w:lineRule="auto"/>
        <w:ind w:left="720"/>
        <w:jc w:val="both"/>
        <w:rPr>
          <w:rtl/>
        </w:rPr>
      </w:pPr>
      <w:r>
        <w:rPr>
          <w:rtl/>
        </w:rPr>
        <w:t>נתתי דעתי לאמור בתסקיר שירות המבחן, הן באשר לנסיבות חייו של הנאשם והן באשר להיותו אדם נורמטיבי עד להסתבכותו בפרשה זו, כשלדידי יש באלה להביא לגזירת עונשו ברף הנמוך של מתחם הענישה ההולם.</w:t>
      </w:r>
    </w:p>
    <w:p w14:paraId="04885491" w14:textId="77777777" w:rsidR="00D36333" w:rsidRDefault="00D36333">
      <w:pPr>
        <w:spacing w:line="360" w:lineRule="auto"/>
        <w:jc w:val="both"/>
        <w:rPr>
          <w:rtl/>
        </w:rPr>
      </w:pPr>
    </w:p>
    <w:p w14:paraId="7D20ED6D" w14:textId="77777777" w:rsidR="00D36333" w:rsidRDefault="00BE4BA2">
      <w:pPr>
        <w:spacing w:line="360" w:lineRule="auto"/>
        <w:ind w:left="720" w:hanging="720"/>
        <w:jc w:val="both"/>
        <w:rPr>
          <w:rtl/>
        </w:rPr>
      </w:pPr>
      <w:r>
        <w:rPr>
          <w:b/>
          <w:bCs/>
          <w:rtl/>
        </w:rPr>
        <w:t>19</w:t>
      </w:r>
      <w:r>
        <w:rPr>
          <w:rtl/>
        </w:rPr>
        <w:t xml:space="preserve">. </w:t>
      </w:r>
      <w:r>
        <w:rPr>
          <w:rFonts w:hint="cs"/>
          <w:rtl/>
        </w:rPr>
        <w:tab/>
      </w:r>
      <w:r>
        <w:rPr>
          <w:rtl/>
        </w:rPr>
        <w:t>באשר למידת שיתוף הפעולה של הנאשם עם גורמי האכיפה, ניתן להגדירו כחלקי ומוגבל, שכן חרף טענתו כי לא נטל חלק בתכנון הוא לא מסר למשטרה את זהות שולחיו, וזהות מוסר המזוודה, או את גודל הרווח אשר היה צפוי לגרוף לכיסו משליחות זו.</w:t>
      </w:r>
    </w:p>
    <w:p w14:paraId="73417BFC" w14:textId="77777777" w:rsidR="00D36333" w:rsidRDefault="00D36333">
      <w:pPr>
        <w:spacing w:line="360" w:lineRule="auto"/>
        <w:jc w:val="both"/>
        <w:rPr>
          <w:rtl/>
        </w:rPr>
      </w:pPr>
    </w:p>
    <w:p w14:paraId="323E6976" w14:textId="77777777" w:rsidR="00D36333" w:rsidRDefault="00BE4BA2">
      <w:pPr>
        <w:spacing w:line="360" w:lineRule="auto"/>
        <w:jc w:val="both"/>
        <w:rPr>
          <w:rtl/>
        </w:rPr>
      </w:pPr>
      <w:r>
        <w:rPr>
          <w:rFonts w:hint="cs"/>
          <w:b/>
          <w:bCs/>
          <w:rtl/>
        </w:rPr>
        <w:t>20</w:t>
      </w:r>
      <w:r>
        <w:rPr>
          <w:rtl/>
        </w:rPr>
        <w:t xml:space="preserve">.  </w:t>
      </w:r>
      <w:r>
        <w:rPr>
          <w:rFonts w:hint="cs"/>
          <w:rtl/>
        </w:rPr>
        <w:tab/>
      </w:r>
      <w:r>
        <w:rPr>
          <w:rtl/>
        </w:rPr>
        <w:t xml:space="preserve">הנה כי כן, לאחר ששקלתי את כל השיקולים המתבקשים והמתחייבים לענייננו, החלטתי </w:t>
      </w:r>
    </w:p>
    <w:p w14:paraId="1F609189" w14:textId="77777777" w:rsidR="00D36333" w:rsidRDefault="00BE4BA2">
      <w:pPr>
        <w:spacing w:line="360" w:lineRule="auto"/>
        <w:ind w:firstLine="720"/>
        <w:jc w:val="both"/>
        <w:rPr>
          <w:rtl/>
        </w:rPr>
      </w:pPr>
      <w:r>
        <w:rPr>
          <w:rtl/>
        </w:rPr>
        <w:t>להטיל על הנאשם את העונשים הבאים:</w:t>
      </w:r>
    </w:p>
    <w:p w14:paraId="56BBFB0D" w14:textId="77777777" w:rsidR="00D36333" w:rsidRDefault="00D36333">
      <w:pPr>
        <w:spacing w:line="360" w:lineRule="auto"/>
        <w:ind w:firstLine="720"/>
        <w:jc w:val="both"/>
        <w:rPr>
          <w:rtl/>
        </w:rPr>
      </w:pPr>
    </w:p>
    <w:p w14:paraId="049B0A1A" w14:textId="77777777" w:rsidR="00D36333" w:rsidRDefault="00BE4BA2">
      <w:pPr>
        <w:spacing w:line="360" w:lineRule="auto"/>
        <w:ind w:firstLine="720"/>
        <w:jc w:val="both"/>
        <w:rPr>
          <w:rtl/>
        </w:rPr>
      </w:pPr>
      <w:r>
        <w:rPr>
          <w:b/>
          <w:bCs/>
          <w:rtl/>
        </w:rPr>
        <w:t>א</w:t>
      </w:r>
      <w:r>
        <w:rPr>
          <w:rtl/>
        </w:rPr>
        <w:t>.</w:t>
      </w:r>
      <w:r>
        <w:rPr>
          <w:rFonts w:hint="cs"/>
          <w:rtl/>
        </w:rPr>
        <w:tab/>
      </w:r>
      <w:r>
        <w:rPr>
          <w:rtl/>
        </w:rPr>
        <w:t xml:space="preserve"> </w:t>
      </w:r>
      <w:r>
        <w:rPr>
          <w:rFonts w:hint="cs"/>
          <w:rtl/>
        </w:rPr>
        <w:t>ארבע</w:t>
      </w:r>
      <w:r>
        <w:rPr>
          <w:rtl/>
        </w:rPr>
        <w:t xml:space="preserve"> שנות מאסר </w:t>
      </w:r>
      <w:r>
        <w:rPr>
          <w:rFonts w:hint="cs"/>
          <w:rtl/>
        </w:rPr>
        <w:t xml:space="preserve">לריצוי </w:t>
      </w:r>
      <w:r>
        <w:rPr>
          <w:rtl/>
        </w:rPr>
        <w:t>בפועל</w:t>
      </w:r>
      <w:r>
        <w:rPr>
          <w:rFonts w:hint="cs"/>
          <w:rtl/>
        </w:rPr>
        <w:t>,</w:t>
      </w:r>
      <w:r>
        <w:rPr>
          <w:rtl/>
        </w:rPr>
        <w:t xml:space="preserve"> בניכוי ימי מעצרו.</w:t>
      </w:r>
    </w:p>
    <w:p w14:paraId="4ADF3BE5" w14:textId="77777777" w:rsidR="00D36333" w:rsidRDefault="00BE4BA2">
      <w:pPr>
        <w:spacing w:line="360" w:lineRule="auto"/>
        <w:ind w:left="1440" w:hanging="720"/>
        <w:jc w:val="both"/>
        <w:rPr>
          <w:rtl/>
        </w:rPr>
      </w:pPr>
      <w:r>
        <w:rPr>
          <w:b/>
          <w:bCs/>
          <w:rtl/>
        </w:rPr>
        <w:t>ב</w:t>
      </w:r>
      <w:r>
        <w:rPr>
          <w:rtl/>
        </w:rPr>
        <w:t>.</w:t>
      </w:r>
      <w:r>
        <w:rPr>
          <w:rFonts w:hint="cs"/>
          <w:rtl/>
        </w:rPr>
        <w:tab/>
      </w:r>
      <w:r>
        <w:rPr>
          <w:rtl/>
        </w:rPr>
        <w:t xml:space="preserve"> </w:t>
      </w:r>
      <w:r>
        <w:rPr>
          <w:rFonts w:hint="cs"/>
          <w:rtl/>
        </w:rPr>
        <w:t>שמונה עשר</w:t>
      </w:r>
      <w:r>
        <w:rPr>
          <w:rtl/>
        </w:rPr>
        <w:t xml:space="preserve"> חודש</w:t>
      </w:r>
      <w:r>
        <w:rPr>
          <w:rFonts w:hint="cs"/>
          <w:rtl/>
        </w:rPr>
        <w:t>י</w:t>
      </w:r>
      <w:r>
        <w:rPr>
          <w:rtl/>
        </w:rPr>
        <w:t xml:space="preserve"> מאסר על תנאי למשך 3 שנים, והתנאי הוא שהנאשם לא יעבור בפרק זמן זה כל עבירת סמים שיורשע בגינה.</w:t>
      </w:r>
    </w:p>
    <w:p w14:paraId="71099FB9" w14:textId="77777777" w:rsidR="00D36333" w:rsidRDefault="00BE4BA2">
      <w:pPr>
        <w:spacing w:line="360" w:lineRule="auto"/>
        <w:ind w:left="1440" w:hanging="720"/>
        <w:jc w:val="both"/>
        <w:rPr>
          <w:rtl/>
        </w:rPr>
      </w:pPr>
      <w:r>
        <w:rPr>
          <w:b/>
          <w:bCs/>
          <w:rtl/>
        </w:rPr>
        <w:t>ג</w:t>
      </w:r>
      <w:r>
        <w:rPr>
          <w:rtl/>
        </w:rPr>
        <w:t>.</w:t>
      </w:r>
      <w:r>
        <w:rPr>
          <w:rFonts w:hint="cs"/>
          <w:rtl/>
        </w:rPr>
        <w:tab/>
      </w:r>
      <w:r>
        <w:rPr>
          <w:rtl/>
        </w:rPr>
        <w:t xml:space="preserve"> קנס בסך 10,000 ₪ </w:t>
      </w:r>
      <w:r>
        <w:rPr>
          <w:rFonts w:hint="cs"/>
          <w:rtl/>
        </w:rPr>
        <w:t xml:space="preserve">או 3 חודשי מאסר בנוסף לכל מאסר אחר, שהנאשם מרצה. הקנס ישולם בתוך 120 יום מהיום. </w:t>
      </w:r>
    </w:p>
    <w:p w14:paraId="19416CC1" w14:textId="77777777" w:rsidR="00D36333" w:rsidRDefault="00BE4BA2">
      <w:pPr>
        <w:spacing w:line="360" w:lineRule="auto"/>
        <w:ind w:left="1440" w:hanging="720"/>
        <w:jc w:val="both"/>
        <w:rPr>
          <w:rtl/>
        </w:rPr>
      </w:pPr>
      <w:r>
        <w:rPr>
          <w:b/>
          <w:bCs/>
          <w:rtl/>
        </w:rPr>
        <w:t>ד</w:t>
      </w:r>
      <w:r>
        <w:rPr>
          <w:rtl/>
        </w:rPr>
        <w:t xml:space="preserve">. </w:t>
      </w:r>
      <w:r>
        <w:rPr>
          <w:rFonts w:hint="cs"/>
          <w:rtl/>
        </w:rPr>
        <w:tab/>
      </w:r>
      <w:r>
        <w:rPr>
          <w:rtl/>
        </w:rPr>
        <w:t>אני פוסל את הנאשם מלהחזיק או לקבל רישיון נהיגה למשך 12 חודשים מיום שחרורו ממאסר.</w:t>
      </w:r>
    </w:p>
    <w:p w14:paraId="7DF5D4FE" w14:textId="77777777" w:rsidR="00D36333" w:rsidRDefault="00D36333">
      <w:pPr>
        <w:spacing w:line="360" w:lineRule="auto"/>
        <w:jc w:val="both"/>
        <w:rPr>
          <w:rtl/>
        </w:rPr>
      </w:pPr>
    </w:p>
    <w:p w14:paraId="5AF90CE8" w14:textId="77777777" w:rsidR="00D36333" w:rsidRDefault="00BE4BA2">
      <w:pPr>
        <w:spacing w:line="360" w:lineRule="auto"/>
        <w:ind w:left="720" w:hanging="720"/>
        <w:jc w:val="both"/>
        <w:rPr>
          <w:rtl/>
        </w:rPr>
      </w:pPr>
      <w:r>
        <w:rPr>
          <w:b/>
          <w:bCs/>
          <w:rtl/>
        </w:rPr>
        <w:t>21</w:t>
      </w:r>
      <w:r>
        <w:rPr>
          <w:rtl/>
        </w:rPr>
        <w:t xml:space="preserve">. </w:t>
      </w:r>
      <w:r>
        <w:rPr>
          <w:rFonts w:hint="cs"/>
          <w:rtl/>
        </w:rPr>
        <w:tab/>
      </w:r>
      <w:r>
        <w:rPr>
          <w:rtl/>
        </w:rPr>
        <w:t xml:space="preserve">לבקשת המאשימה אני מורה על חילוט רכבו של הנאשם, מ"ר 51-321-50, וזאת מכוח סמכותי לפי </w:t>
      </w:r>
      <w:hyperlink r:id="rId31" w:history="1">
        <w:r w:rsidR="00EA200B" w:rsidRPr="00EA200B">
          <w:rPr>
            <w:color w:val="0000FF"/>
            <w:u w:val="single"/>
            <w:rtl/>
          </w:rPr>
          <w:t>סעיף 36א(א)(1)</w:t>
        </w:r>
      </w:hyperlink>
      <w:r>
        <w:rPr>
          <w:rtl/>
        </w:rPr>
        <w:t xml:space="preserve"> ל</w:t>
      </w:r>
      <w:hyperlink r:id="rId32" w:history="1">
        <w:r w:rsidR="0007540D" w:rsidRPr="0007540D">
          <w:rPr>
            <w:rStyle w:val="Hyperlink"/>
            <w:rtl/>
          </w:rPr>
          <w:t>פקודת הסמים המסוכנים</w:t>
        </w:r>
      </w:hyperlink>
      <w:r>
        <w:rPr>
          <w:rtl/>
        </w:rPr>
        <w:t>.</w:t>
      </w:r>
    </w:p>
    <w:p w14:paraId="1F710B35" w14:textId="77777777" w:rsidR="00D36333" w:rsidRDefault="00D36333">
      <w:pPr>
        <w:spacing w:line="360" w:lineRule="auto"/>
        <w:jc w:val="both"/>
        <w:rPr>
          <w:rtl/>
        </w:rPr>
      </w:pPr>
    </w:p>
    <w:p w14:paraId="4EC7AB72" w14:textId="77777777" w:rsidR="00D36333" w:rsidRDefault="00BE4BA2">
      <w:pPr>
        <w:spacing w:line="360" w:lineRule="auto"/>
        <w:ind w:left="720"/>
        <w:jc w:val="both"/>
      </w:pPr>
      <w:r>
        <w:rPr>
          <w:rtl/>
        </w:rPr>
        <w:t xml:space="preserve">אני דוחה את בקשת המאשימה להכריז על הנאשם כ"סוחר סמים", שכן לא הוכח דבר באשר לרווח שהנאשם היה צפוי להפיק מן העבירות, כדרישת </w:t>
      </w:r>
      <w:hyperlink r:id="rId33" w:history="1">
        <w:r w:rsidR="00EA200B" w:rsidRPr="00EA200B">
          <w:rPr>
            <w:color w:val="0000FF"/>
            <w:u w:val="single"/>
            <w:rtl/>
          </w:rPr>
          <w:t>סעיף 36א(ב)</w:t>
        </w:r>
      </w:hyperlink>
      <w:r>
        <w:rPr>
          <w:rtl/>
        </w:rPr>
        <w:t xml:space="preserve"> ל</w:t>
      </w:r>
      <w:hyperlink r:id="rId34" w:history="1">
        <w:r w:rsidR="0007540D" w:rsidRPr="0007540D">
          <w:rPr>
            <w:rStyle w:val="Hyperlink"/>
            <w:rtl/>
          </w:rPr>
          <w:t>פקודת הסמים המסוכנים</w:t>
        </w:r>
      </w:hyperlink>
      <w:r>
        <w:rPr>
          <w:rtl/>
        </w:rPr>
        <w:t>.</w:t>
      </w:r>
    </w:p>
    <w:p w14:paraId="5D092149" w14:textId="77777777" w:rsidR="00D36333" w:rsidRDefault="00D36333">
      <w:pPr>
        <w:spacing w:line="360" w:lineRule="auto"/>
        <w:jc w:val="both"/>
      </w:pPr>
    </w:p>
    <w:p w14:paraId="424EC470" w14:textId="77777777" w:rsidR="00D36333" w:rsidRDefault="00D36333">
      <w:pPr>
        <w:spacing w:line="360" w:lineRule="auto"/>
        <w:ind w:firstLine="720"/>
        <w:jc w:val="both"/>
        <w:rPr>
          <w:b/>
          <w:bCs/>
          <w:rtl/>
        </w:rPr>
      </w:pPr>
    </w:p>
    <w:p w14:paraId="62D2CB23" w14:textId="77777777" w:rsidR="00D36333" w:rsidRDefault="00D36333">
      <w:pPr>
        <w:spacing w:line="360" w:lineRule="auto"/>
        <w:ind w:firstLine="720"/>
        <w:jc w:val="both"/>
        <w:rPr>
          <w:b/>
          <w:bCs/>
          <w:rtl/>
        </w:rPr>
      </w:pPr>
    </w:p>
    <w:p w14:paraId="4BC7DE5F" w14:textId="77777777" w:rsidR="00D36333" w:rsidRDefault="00D36333">
      <w:pPr>
        <w:spacing w:line="360" w:lineRule="auto"/>
        <w:ind w:firstLine="720"/>
        <w:jc w:val="both"/>
        <w:rPr>
          <w:b/>
          <w:bCs/>
          <w:rtl/>
        </w:rPr>
      </w:pPr>
    </w:p>
    <w:p w14:paraId="4DAAC87D" w14:textId="77777777" w:rsidR="00D36333" w:rsidRDefault="00D36333">
      <w:pPr>
        <w:spacing w:line="360" w:lineRule="auto"/>
        <w:ind w:firstLine="720"/>
        <w:jc w:val="both"/>
        <w:rPr>
          <w:b/>
          <w:bCs/>
          <w:rtl/>
        </w:rPr>
      </w:pPr>
    </w:p>
    <w:p w14:paraId="2BDA456B" w14:textId="77777777" w:rsidR="00D36333" w:rsidRDefault="00BE4BA2">
      <w:pPr>
        <w:spacing w:line="360" w:lineRule="auto"/>
        <w:ind w:firstLine="720"/>
        <w:jc w:val="both"/>
        <w:rPr>
          <w:b/>
          <w:bCs/>
          <w:rtl/>
        </w:rPr>
      </w:pPr>
      <w:r>
        <w:rPr>
          <w:rFonts w:hint="cs"/>
          <w:b/>
          <w:bCs/>
          <w:rtl/>
        </w:rPr>
        <w:t xml:space="preserve">זכות ערעור לבית המשפט העליון בתוך 45 יום. </w:t>
      </w:r>
    </w:p>
    <w:p w14:paraId="6FA5E3D3" w14:textId="77777777" w:rsidR="00D36333" w:rsidRDefault="00BE4BA2">
      <w:pPr>
        <w:spacing w:line="360" w:lineRule="auto"/>
        <w:jc w:val="both"/>
        <w:rPr>
          <w:sz w:val="6"/>
          <w:szCs w:val="6"/>
          <w:rtl/>
        </w:rPr>
      </w:pPr>
      <w:r>
        <w:rPr>
          <w:sz w:val="6"/>
          <w:szCs w:val="6"/>
          <w:rtl/>
        </w:rPr>
        <w:t>&lt;#3#&gt;</w:t>
      </w:r>
    </w:p>
    <w:p w14:paraId="4A21FA35" w14:textId="77777777" w:rsidR="00D36333" w:rsidRDefault="00D36333">
      <w:pPr>
        <w:jc w:val="right"/>
        <w:rPr>
          <w:rtl/>
        </w:rPr>
      </w:pPr>
    </w:p>
    <w:p w14:paraId="1488941B" w14:textId="77777777" w:rsidR="00D36333" w:rsidRDefault="00BE4BA2">
      <w:pPr>
        <w:spacing w:line="360" w:lineRule="auto"/>
        <w:rPr>
          <w:rtl/>
        </w:rPr>
      </w:pPr>
      <w:r>
        <w:rPr>
          <w:rFonts w:hint="cs"/>
          <w:b/>
          <w:bCs/>
          <w:rtl/>
        </w:rPr>
        <w:t xml:space="preserve">ניתן והודע היום </w:t>
      </w:r>
      <w:r>
        <w:rPr>
          <w:rFonts w:hint="cs"/>
          <w:rtl/>
        </w:rPr>
        <w:t>י"ב תשרי תשע"ד</w:t>
      </w:r>
      <w:r>
        <w:rPr>
          <w:rFonts w:hint="cs"/>
          <w:b/>
          <w:bCs/>
          <w:rtl/>
        </w:rPr>
        <w:t xml:space="preserve">, </w:t>
      </w:r>
      <w:r>
        <w:rPr>
          <w:rFonts w:hint="cs"/>
          <w:rtl/>
        </w:rPr>
        <w:t>16/09/2013</w:t>
      </w:r>
      <w:r>
        <w:rPr>
          <w:rFonts w:hint="cs"/>
          <w:b/>
          <w:bCs/>
          <w:rtl/>
        </w:rPr>
        <w:t xml:space="preserve"> במעמד הנאשם, בא כוחו וב"כ המאשימה. </w:t>
      </w:r>
    </w:p>
    <w:p w14:paraId="56A682E9" w14:textId="77777777" w:rsidR="00D36333" w:rsidRDefault="00D36333">
      <w:pPr>
        <w:jc w:val="center"/>
        <w:rPr>
          <w:rtl/>
        </w:rPr>
      </w:pPr>
    </w:p>
    <w:p w14:paraId="4CF8F9D6" w14:textId="77777777" w:rsidR="00D36333" w:rsidRDefault="00D36333">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36333" w14:paraId="2193A774" w14:textId="77777777">
        <w:trPr>
          <w:trHeight w:val="364"/>
          <w:jc w:val="right"/>
        </w:trPr>
        <w:tc>
          <w:tcPr>
            <w:tcW w:w="3708" w:type="dxa"/>
          </w:tcPr>
          <w:p w14:paraId="069574BE" w14:textId="77777777" w:rsidR="00D36333" w:rsidRDefault="00D36333">
            <w:pPr>
              <w:jc w:val="center"/>
              <w:rPr>
                <w:rFonts w:ascii="Times New Roman" w:eastAsia="Times New Roman" w:hAnsi="Times New Roman" w:cs="Times New Roman"/>
              </w:rPr>
            </w:pPr>
          </w:p>
          <w:p w14:paraId="2EAC4303" w14:textId="77777777" w:rsidR="00D36333" w:rsidRDefault="00D36333">
            <w:pPr>
              <w:jc w:val="center"/>
              <w:rPr>
                <w:rFonts w:ascii="Times New Roman" w:eastAsia="Times New Roman" w:hAnsi="Times New Roman" w:cs="Times New Roman"/>
                <w:rtl/>
              </w:rPr>
            </w:pPr>
          </w:p>
        </w:tc>
      </w:tr>
      <w:tr w:rsidR="00D36333" w14:paraId="6646699A" w14:textId="77777777">
        <w:trPr>
          <w:trHeight w:val="415"/>
          <w:jc w:val="right"/>
        </w:trPr>
        <w:tc>
          <w:tcPr>
            <w:tcW w:w="3708" w:type="dxa"/>
          </w:tcPr>
          <w:p w14:paraId="388BCD0E" w14:textId="77777777" w:rsidR="00D36333" w:rsidRDefault="00BE4BA2">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364E18C8" w14:textId="77777777" w:rsidR="00D36333" w:rsidRDefault="00D36333">
      <w:pPr>
        <w:rPr>
          <w:rtl/>
        </w:rPr>
      </w:pPr>
    </w:p>
    <w:p w14:paraId="6D197058" w14:textId="77777777" w:rsidR="00D36333" w:rsidRDefault="00BE4BA2">
      <w:pPr>
        <w:spacing w:line="360" w:lineRule="auto"/>
        <w:jc w:val="both"/>
        <w:rPr>
          <w:sz w:val="6"/>
          <w:szCs w:val="6"/>
          <w:rtl/>
        </w:rPr>
      </w:pPr>
      <w:r>
        <w:rPr>
          <w:sz w:val="6"/>
          <w:szCs w:val="6"/>
          <w:rtl/>
        </w:rPr>
        <w:t>&lt;#7#&gt;</w:t>
      </w:r>
    </w:p>
    <w:p w14:paraId="03F7C8F3" w14:textId="77777777" w:rsidR="00D36333" w:rsidRDefault="00BE4BA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3E4B1D2" w14:textId="77777777" w:rsidR="00D36333" w:rsidRDefault="00D36333">
      <w:pPr>
        <w:spacing w:line="360" w:lineRule="auto"/>
        <w:jc w:val="both"/>
        <w:rPr>
          <w:rtl/>
        </w:rPr>
      </w:pPr>
    </w:p>
    <w:p w14:paraId="0786B131" w14:textId="77777777" w:rsidR="00D36333" w:rsidRDefault="00BE4BA2">
      <w:pPr>
        <w:spacing w:line="360" w:lineRule="auto"/>
        <w:jc w:val="both"/>
        <w:rPr>
          <w:rtl/>
        </w:rPr>
      </w:pPr>
      <w:r>
        <w:rPr>
          <w:rFonts w:hint="cs"/>
          <w:rtl/>
        </w:rPr>
        <w:t xml:space="preserve">אני מורה על עיכוב ביצוע גזר הדין למשך 20 יום מהיום, על מנת לאפשר לנאשם להתארגן לריצוי מאסרו ועל מנת לאפשר לנאשם לעבור את הליך המיון באזור המרכז, בהתאם לבקשתו של הסנגור. </w:t>
      </w:r>
    </w:p>
    <w:p w14:paraId="5548477E" w14:textId="77777777" w:rsidR="00D36333" w:rsidRDefault="00D36333">
      <w:pPr>
        <w:spacing w:line="360" w:lineRule="auto"/>
        <w:jc w:val="both"/>
        <w:rPr>
          <w:rtl/>
        </w:rPr>
      </w:pPr>
    </w:p>
    <w:p w14:paraId="50EB8A6F" w14:textId="77777777" w:rsidR="00D36333" w:rsidRDefault="00BE4BA2">
      <w:pPr>
        <w:spacing w:line="360" w:lineRule="auto"/>
        <w:jc w:val="both"/>
        <w:rPr>
          <w:rtl/>
        </w:rPr>
      </w:pPr>
      <w:r>
        <w:rPr>
          <w:rFonts w:hint="cs"/>
          <w:rtl/>
        </w:rPr>
        <w:t xml:space="preserve">תנאי השחרור בהם נתון הנאשם יישארו על כנם. </w:t>
      </w:r>
    </w:p>
    <w:p w14:paraId="772AA01C" w14:textId="77777777" w:rsidR="00D36333" w:rsidRDefault="00D36333">
      <w:pPr>
        <w:spacing w:line="360" w:lineRule="auto"/>
        <w:jc w:val="both"/>
        <w:rPr>
          <w:rtl/>
        </w:rPr>
      </w:pPr>
    </w:p>
    <w:p w14:paraId="394D3F91" w14:textId="77777777" w:rsidR="00D36333" w:rsidRDefault="00BE4BA2">
      <w:pPr>
        <w:jc w:val="center"/>
        <w:rPr>
          <w:rtl/>
        </w:rPr>
      </w:pPr>
      <w:r w:rsidRPr="00BE4BA2">
        <w:rPr>
          <w:b/>
          <w:bCs/>
          <w:color w:val="FFFFFF"/>
          <w:sz w:val="2"/>
          <w:szCs w:val="2"/>
          <w:rtl/>
        </w:rPr>
        <w:t>5129371</w:t>
      </w:r>
      <w:r>
        <w:rPr>
          <w:b/>
          <w:bCs/>
          <w:rtl/>
        </w:rPr>
        <w:t xml:space="preserve">ניתן והודע היום י"ב תשרי תשע"ד, 16/09/2013 במעמד הנאשם, בא כוחו וב"כ המאשימה.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36333" w14:paraId="06583496" w14:textId="77777777">
        <w:trPr>
          <w:trHeight w:val="364"/>
          <w:jc w:val="right"/>
        </w:trPr>
        <w:tc>
          <w:tcPr>
            <w:tcW w:w="3708" w:type="dxa"/>
          </w:tcPr>
          <w:p w14:paraId="638C7F01" w14:textId="77777777" w:rsidR="00D36333" w:rsidRPr="00BE4BA2" w:rsidRDefault="00BE4BA2">
            <w:pPr>
              <w:jc w:val="center"/>
              <w:rPr>
                <w:rFonts w:ascii="Times New Roman" w:eastAsia="Times New Roman" w:hAnsi="Times New Roman" w:cs="Times New Roman"/>
                <w:color w:val="FFFFFF"/>
                <w:sz w:val="2"/>
                <w:szCs w:val="2"/>
              </w:rPr>
            </w:pPr>
            <w:r w:rsidRPr="00BE4BA2">
              <w:rPr>
                <w:rFonts w:ascii="Times New Roman" w:eastAsia="Times New Roman" w:hAnsi="Times New Roman" w:cs="Times New Roman"/>
                <w:color w:val="FFFFFF"/>
                <w:sz w:val="2"/>
                <w:szCs w:val="2"/>
                <w:rtl/>
              </w:rPr>
              <w:t>54678313</w:t>
            </w:r>
          </w:p>
          <w:p w14:paraId="1FF147B2" w14:textId="77777777" w:rsidR="00D36333" w:rsidRDefault="00D36333">
            <w:pPr>
              <w:jc w:val="center"/>
              <w:rPr>
                <w:rFonts w:ascii="Times New Roman" w:eastAsia="Times New Roman" w:hAnsi="Times New Roman" w:cs="Times New Roman"/>
                <w:rtl/>
              </w:rPr>
            </w:pPr>
          </w:p>
        </w:tc>
      </w:tr>
      <w:tr w:rsidR="00D36333" w14:paraId="136C1E5E" w14:textId="77777777">
        <w:trPr>
          <w:trHeight w:val="415"/>
          <w:jc w:val="right"/>
        </w:trPr>
        <w:tc>
          <w:tcPr>
            <w:tcW w:w="3708" w:type="dxa"/>
          </w:tcPr>
          <w:p w14:paraId="00E60576" w14:textId="77777777" w:rsidR="00D36333" w:rsidRDefault="00BE4BA2">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35D5ACDB" w14:textId="77777777" w:rsidR="00D36333" w:rsidRPr="00D23D83" w:rsidRDefault="00D23D83">
      <w:pPr>
        <w:spacing w:line="360" w:lineRule="auto"/>
        <w:jc w:val="both"/>
        <w:rPr>
          <w:color w:val="FFFFFF"/>
          <w:sz w:val="2"/>
          <w:szCs w:val="2"/>
          <w:rtl/>
        </w:rPr>
      </w:pPr>
      <w:bookmarkStart w:id="8" w:name="_GoBack"/>
      <w:bookmarkEnd w:id="8"/>
      <w:r w:rsidRPr="00D23D83">
        <w:rPr>
          <w:color w:val="FFFFFF"/>
          <w:sz w:val="2"/>
          <w:szCs w:val="2"/>
          <w:rtl/>
        </w:rPr>
        <w:t>5129371</w:t>
      </w:r>
    </w:p>
    <w:p w14:paraId="61550F15" w14:textId="77777777" w:rsidR="00BE4BA2" w:rsidRPr="00D23D83" w:rsidRDefault="00D23D83" w:rsidP="00BE4BA2">
      <w:pPr>
        <w:keepNext/>
        <w:rPr>
          <w:color w:val="FFFFFF"/>
          <w:sz w:val="2"/>
          <w:szCs w:val="2"/>
          <w:rtl/>
        </w:rPr>
      </w:pPr>
      <w:r w:rsidRPr="00D23D83">
        <w:rPr>
          <w:color w:val="FFFFFF"/>
          <w:sz w:val="2"/>
          <w:szCs w:val="2"/>
          <w:rtl/>
        </w:rPr>
        <w:t>54678313</w:t>
      </w:r>
    </w:p>
    <w:p w14:paraId="17307FBC" w14:textId="77777777" w:rsidR="00BE4BA2" w:rsidRDefault="00BE4BA2" w:rsidP="00BE4BA2">
      <w:pPr>
        <w:rPr>
          <w:rtl/>
        </w:rPr>
      </w:pPr>
    </w:p>
    <w:p w14:paraId="3AA10060" w14:textId="77777777" w:rsidR="00BE4BA2" w:rsidRDefault="00BE4BA2" w:rsidP="00BE4BA2">
      <w:pPr>
        <w:jc w:val="center"/>
        <w:rPr>
          <w:color w:val="0000FF"/>
          <w:u w:val="single"/>
        </w:rPr>
      </w:pPr>
      <w:r w:rsidRPr="00CF60BE">
        <w:rPr>
          <w:color w:val="000000"/>
          <w:rtl/>
        </w:rPr>
        <w:t>בעניין עריכה ושינויים במסמכי פסיקה, חקיקה ועוד באתר נבו – הקש כאן</w:t>
      </w:r>
    </w:p>
    <w:p w14:paraId="4D983BBD" w14:textId="77777777" w:rsidR="00D23D83" w:rsidRPr="00D23D83" w:rsidRDefault="00D23D83" w:rsidP="00D23D83">
      <w:pPr>
        <w:keepNext/>
        <w:rPr>
          <w:color w:val="000000"/>
          <w:sz w:val="22"/>
          <w:szCs w:val="22"/>
          <w:rtl/>
        </w:rPr>
      </w:pPr>
    </w:p>
    <w:p w14:paraId="6438ABD5" w14:textId="77777777" w:rsidR="00D23D83" w:rsidRPr="00D23D83" w:rsidRDefault="00D23D83" w:rsidP="00D23D83">
      <w:pPr>
        <w:keepNext/>
        <w:rPr>
          <w:color w:val="000000"/>
          <w:sz w:val="22"/>
          <w:szCs w:val="22"/>
          <w:rtl/>
        </w:rPr>
      </w:pPr>
      <w:r w:rsidRPr="00D23D83">
        <w:rPr>
          <w:color w:val="000000"/>
          <w:sz w:val="22"/>
          <w:szCs w:val="22"/>
          <w:rtl/>
        </w:rPr>
        <w:t>תאופיק כתילי 54678313-/</w:t>
      </w:r>
    </w:p>
    <w:p w14:paraId="6D24F2FA" w14:textId="77777777" w:rsidR="00D36333" w:rsidRPr="00BE4BA2" w:rsidRDefault="00D23D83" w:rsidP="00D23D83">
      <w:pPr>
        <w:rPr>
          <w:color w:val="0000FF"/>
          <w:u w:val="single"/>
        </w:rPr>
      </w:pPr>
      <w:r w:rsidRPr="00D23D83">
        <w:rPr>
          <w:color w:val="000000"/>
          <w:u w:val="single"/>
          <w:rtl/>
        </w:rPr>
        <w:t>נוסח מסמך זה כפוף לשינויי ניסוח ועריכה</w:t>
      </w:r>
    </w:p>
    <w:sectPr w:rsidR="00D36333" w:rsidRPr="00BE4BA2" w:rsidSect="00D23D83">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85B72" w14:textId="77777777" w:rsidR="00852605" w:rsidRPr="006F3CCA" w:rsidRDefault="00852605">
      <w:pPr>
        <w:rPr>
          <w:rFonts w:cs="Arial"/>
          <w:szCs w:val="20"/>
        </w:rPr>
      </w:pPr>
      <w:r>
        <w:separator/>
      </w:r>
    </w:p>
  </w:endnote>
  <w:endnote w:type="continuationSeparator" w:id="0">
    <w:p w14:paraId="76A5A47C" w14:textId="77777777" w:rsidR="00852605" w:rsidRPr="006F3CCA" w:rsidRDefault="0085260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93E75" w14:textId="77777777" w:rsidR="00596B71" w:rsidRDefault="00596B71" w:rsidP="00D23D8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ADE964" w14:textId="77777777" w:rsidR="00596B71" w:rsidRPr="00D23D83" w:rsidRDefault="00596B71" w:rsidP="00D23D83">
    <w:pPr>
      <w:pStyle w:val="a4"/>
      <w:pBdr>
        <w:top w:val="single" w:sz="4" w:space="1" w:color="auto"/>
        <w:between w:val="single" w:sz="4" w:space="0" w:color="auto"/>
      </w:pBdr>
      <w:spacing w:after="60"/>
      <w:jc w:val="center"/>
      <w:rPr>
        <w:rFonts w:ascii="FrankRuehl" w:hAnsi="FrankRuehl" w:cs="FrankRuehl"/>
        <w:color w:val="000000"/>
      </w:rPr>
    </w:pPr>
    <w:r w:rsidRPr="00D23D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ABC70" w14:textId="77777777" w:rsidR="00596B71" w:rsidRDefault="00596B71" w:rsidP="00D23D8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6FBF">
      <w:rPr>
        <w:rFonts w:ascii="FrankRuehl" w:hAnsi="FrankRuehl" w:cs="FrankRuehl"/>
        <w:noProof/>
        <w:rtl/>
      </w:rPr>
      <w:t>1</w:t>
    </w:r>
    <w:r>
      <w:rPr>
        <w:rFonts w:ascii="FrankRuehl" w:hAnsi="FrankRuehl" w:cs="FrankRuehl"/>
        <w:rtl/>
      </w:rPr>
      <w:fldChar w:fldCharType="end"/>
    </w:r>
  </w:p>
  <w:p w14:paraId="6FCBE828" w14:textId="77777777" w:rsidR="00596B71" w:rsidRPr="00D23D83" w:rsidRDefault="00596B71" w:rsidP="00D23D83">
    <w:pPr>
      <w:pStyle w:val="a4"/>
      <w:pBdr>
        <w:top w:val="single" w:sz="4" w:space="1" w:color="auto"/>
        <w:between w:val="single" w:sz="4" w:space="0" w:color="auto"/>
      </w:pBdr>
      <w:spacing w:after="60"/>
      <w:jc w:val="center"/>
      <w:rPr>
        <w:rFonts w:ascii="FrankRuehl" w:hAnsi="FrankRuehl" w:cs="FrankRuehl"/>
        <w:color w:val="000000"/>
      </w:rPr>
    </w:pPr>
    <w:r w:rsidRPr="00D23D83">
      <w:rPr>
        <w:rFonts w:ascii="FrankRuehl" w:hAnsi="FrankRuehl" w:cs="FrankRuehl"/>
        <w:color w:val="000000"/>
      </w:rPr>
      <w:pict w14:anchorId="2C739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09160" w14:textId="77777777" w:rsidR="00852605" w:rsidRPr="006F3CCA" w:rsidRDefault="00852605">
      <w:pPr>
        <w:rPr>
          <w:rFonts w:cs="Arial"/>
          <w:szCs w:val="20"/>
        </w:rPr>
      </w:pPr>
      <w:r>
        <w:separator/>
      </w:r>
    </w:p>
  </w:footnote>
  <w:footnote w:type="continuationSeparator" w:id="0">
    <w:p w14:paraId="7E514E25" w14:textId="77777777" w:rsidR="00852605" w:rsidRPr="006F3CCA" w:rsidRDefault="0085260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A0DB" w14:textId="77777777" w:rsidR="00596B71" w:rsidRPr="00D23D83" w:rsidRDefault="00596B71" w:rsidP="00D23D8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42712-02-12</w:t>
    </w:r>
    <w:r>
      <w:rPr>
        <w:color w:val="000000"/>
        <w:sz w:val="22"/>
        <w:szCs w:val="22"/>
        <w:rtl/>
      </w:rPr>
      <w:tab/>
      <w:t xml:space="preserve"> מדינת ישראל נ' חאלד אנטילי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7AE7A" w14:textId="77777777" w:rsidR="00596B71" w:rsidRPr="00D23D83" w:rsidRDefault="00596B71" w:rsidP="00D23D8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42712-02-12</w:t>
    </w:r>
    <w:r>
      <w:rPr>
        <w:color w:val="000000"/>
        <w:sz w:val="22"/>
        <w:szCs w:val="22"/>
        <w:rtl/>
      </w:rPr>
      <w:tab/>
      <w:t xml:space="preserve"> מדינת ישראל נ' חאלד אנטילי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6333"/>
    <w:rsid w:val="0004588D"/>
    <w:rsid w:val="0007540D"/>
    <w:rsid w:val="003464E3"/>
    <w:rsid w:val="00596B71"/>
    <w:rsid w:val="00636FBF"/>
    <w:rsid w:val="00852605"/>
    <w:rsid w:val="00B72B46"/>
    <w:rsid w:val="00BE4BA2"/>
    <w:rsid w:val="00CB64BB"/>
    <w:rsid w:val="00CF60BE"/>
    <w:rsid w:val="00D23D83"/>
    <w:rsid w:val="00D36333"/>
    <w:rsid w:val="00D55D0A"/>
    <w:rsid w:val="00EA200B"/>
    <w:rsid w:val="00F814B3"/>
    <w:rsid w:val="00FF4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B36F07"/>
  <w15:chartTrackingRefBased/>
  <w15:docId w15:val="{5B47DABB-8D4F-4730-8873-8BFD86EA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633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36333"/>
    <w:pPr>
      <w:tabs>
        <w:tab w:val="center" w:pos="4153"/>
        <w:tab w:val="right" w:pos="8306"/>
      </w:tabs>
    </w:pPr>
  </w:style>
  <w:style w:type="paragraph" w:styleId="a4">
    <w:name w:val="footer"/>
    <w:basedOn w:val="a"/>
    <w:rsid w:val="00D36333"/>
    <w:pPr>
      <w:tabs>
        <w:tab w:val="center" w:pos="4153"/>
        <w:tab w:val="right" w:pos="8306"/>
      </w:tabs>
    </w:pPr>
  </w:style>
  <w:style w:type="character" w:styleId="a5">
    <w:name w:val="page number"/>
    <w:basedOn w:val="a0"/>
    <w:rsid w:val="00D36333"/>
  </w:style>
  <w:style w:type="character" w:styleId="a6">
    <w:name w:val="line number"/>
    <w:basedOn w:val="a0"/>
    <w:rsid w:val="00D36333"/>
  </w:style>
  <w:style w:type="character" w:styleId="Hyperlink">
    <w:name w:val="Hyperlink"/>
    <w:rsid w:val="00BE4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5227/43" TargetMode="External"/><Relationship Id="rId26" Type="http://schemas.openxmlformats.org/officeDocument/2006/relationships/hyperlink" Target="http://www.nevo.co.il/case/5796585" TargetMode="External"/><Relationship Id="rId39" Type="http://schemas.openxmlformats.org/officeDocument/2006/relationships/fontTable" Target="fontTable.xml"/><Relationship Id="rId21" Type="http://schemas.openxmlformats.org/officeDocument/2006/relationships/hyperlink" Target="http://www.nevo.co.il/case/6166988"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86821" TargetMode="External"/><Relationship Id="rId33" Type="http://schemas.openxmlformats.org/officeDocument/2006/relationships/hyperlink" Target="http://www.nevo.co.il/law/4216/36a.b"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600893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36a.a.1" TargetMode="External"/><Relationship Id="rId24" Type="http://schemas.openxmlformats.org/officeDocument/2006/relationships/hyperlink" Target="http://www.nevo.co.il/case/6030418"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17932979" TargetMode="External"/><Relationship Id="rId28" Type="http://schemas.openxmlformats.org/officeDocument/2006/relationships/hyperlink" Target="http://www.nevo.co.il/law/4216/19a"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law/5227" TargetMode="External"/><Relationship Id="rId31" Type="http://schemas.openxmlformats.org/officeDocument/2006/relationships/hyperlink" Target="http://www.nevo.co.il/law/4216/36a.a.1"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5227/43" TargetMode="External"/><Relationship Id="rId22" Type="http://schemas.openxmlformats.org/officeDocument/2006/relationships/hyperlink" Target="http://www.nevo.co.il/case/6129929" TargetMode="External"/><Relationship Id="rId27" Type="http://schemas.openxmlformats.org/officeDocument/2006/relationships/hyperlink" Target="http://www.nevo.co.il/law/4216/13" TargetMode="External"/><Relationship Id="rId30" Type="http://schemas.openxmlformats.org/officeDocument/2006/relationships/hyperlink" Target="http://www.nevo.co.il/case/4812164"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2248</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13466</CharactersWithSpaces>
  <SharedDoc>false</SharedDoc>
  <HLinks>
    <vt:vector size="174" baseType="variant">
      <vt:variant>
        <vt:i4>8257637</vt:i4>
      </vt:variant>
      <vt:variant>
        <vt:i4>84</vt:i4>
      </vt:variant>
      <vt:variant>
        <vt:i4>0</vt:i4>
      </vt:variant>
      <vt:variant>
        <vt:i4>5</vt:i4>
      </vt:variant>
      <vt:variant>
        <vt:lpwstr>http://www.nevo.co.il/law/4216</vt:lpwstr>
      </vt:variant>
      <vt:variant>
        <vt:lpwstr/>
      </vt:variant>
      <vt:variant>
        <vt:i4>5111890</vt:i4>
      </vt:variant>
      <vt:variant>
        <vt:i4>81</vt:i4>
      </vt:variant>
      <vt:variant>
        <vt:i4>0</vt:i4>
      </vt:variant>
      <vt:variant>
        <vt:i4>5</vt:i4>
      </vt:variant>
      <vt:variant>
        <vt:lpwstr>http://www.nevo.co.il/law/4216/36a.b</vt:lpwstr>
      </vt:variant>
      <vt:variant>
        <vt:lpwstr/>
      </vt:variant>
      <vt:variant>
        <vt:i4>8257637</vt:i4>
      </vt:variant>
      <vt:variant>
        <vt:i4>78</vt:i4>
      </vt:variant>
      <vt:variant>
        <vt:i4>0</vt:i4>
      </vt:variant>
      <vt:variant>
        <vt:i4>5</vt:i4>
      </vt:variant>
      <vt:variant>
        <vt:lpwstr>http://www.nevo.co.il/law/4216</vt:lpwstr>
      </vt:variant>
      <vt:variant>
        <vt:lpwstr/>
      </vt:variant>
      <vt:variant>
        <vt:i4>8126588</vt:i4>
      </vt:variant>
      <vt:variant>
        <vt:i4>75</vt:i4>
      </vt:variant>
      <vt:variant>
        <vt:i4>0</vt:i4>
      </vt:variant>
      <vt:variant>
        <vt:i4>5</vt:i4>
      </vt:variant>
      <vt:variant>
        <vt:lpwstr>http://www.nevo.co.il/law/4216/36a.a.1</vt:lpwstr>
      </vt:variant>
      <vt:variant>
        <vt:lpwstr/>
      </vt:variant>
      <vt:variant>
        <vt:i4>3145848</vt:i4>
      </vt:variant>
      <vt:variant>
        <vt:i4>72</vt:i4>
      </vt:variant>
      <vt:variant>
        <vt:i4>0</vt:i4>
      </vt:variant>
      <vt:variant>
        <vt:i4>5</vt:i4>
      </vt:variant>
      <vt:variant>
        <vt:lpwstr>http://www.nevo.co.il/case/4812164</vt:lpwstr>
      </vt:variant>
      <vt:variant>
        <vt:lpwstr/>
      </vt:variant>
      <vt:variant>
        <vt:i4>3932287</vt:i4>
      </vt:variant>
      <vt:variant>
        <vt:i4>69</vt:i4>
      </vt:variant>
      <vt:variant>
        <vt:i4>0</vt:i4>
      </vt:variant>
      <vt:variant>
        <vt:i4>5</vt:i4>
      </vt:variant>
      <vt:variant>
        <vt:lpwstr>http://www.nevo.co.il/case/6008933</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3932285</vt:i4>
      </vt:variant>
      <vt:variant>
        <vt:i4>60</vt:i4>
      </vt:variant>
      <vt:variant>
        <vt:i4>0</vt:i4>
      </vt:variant>
      <vt:variant>
        <vt:i4>5</vt:i4>
      </vt:variant>
      <vt:variant>
        <vt:lpwstr>http://www.nevo.co.il/case/5796585</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3735669</vt:i4>
      </vt:variant>
      <vt:variant>
        <vt:i4>54</vt:i4>
      </vt:variant>
      <vt:variant>
        <vt:i4>0</vt:i4>
      </vt:variant>
      <vt:variant>
        <vt:i4>5</vt:i4>
      </vt:variant>
      <vt:variant>
        <vt:lpwstr>http://www.nevo.co.il/case/6030418</vt:lpwstr>
      </vt:variant>
      <vt:variant>
        <vt:lpwstr/>
      </vt:variant>
      <vt:variant>
        <vt:i4>3997817</vt:i4>
      </vt:variant>
      <vt:variant>
        <vt:i4>51</vt:i4>
      </vt:variant>
      <vt:variant>
        <vt:i4>0</vt:i4>
      </vt:variant>
      <vt:variant>
        <vt:i4>5</vt:i4>
      </vt:variant>
      <vt:variant>
        <vt:lpwstr>http://www.nevo.co.il/case/17932979</vt:lpwstr>
      </vt:variant>
      <vt:variant>
        <vt:lpwstr/>
      </vt:variant>
      <vt:variant>
        <vt:i4>3407998</vt:i4>
      </vt:variant>
      <vt:variant>
        <vt:i4>48</vt:i4>
      </vt:variant>
      <vt:variant>
        <vt:i4>0</vt:i4>
      </vt:variant>
      <vt:variant>
        <vt:i4>5</vt:i4>
      </vt:variant>
      <vt:variant>
        <vt:lpwstr>http://www.nevo.co.il/case/6129929</vt:lpwstr>
      </vt:variant>
      <vt:variant>
        <vt:lpwstr/>
      </vt:variant>
      <vt:variant>
        <vt:i4>3211387</vt:i4>
      </vt:variant>
      <vt:variant>
        <vt:i4>45</vt:i4>
      </vt:variant>
      <vt:variant>
        <vt:i4>0</vt:i4>
      </vt:variant>
      <vt:variant>
        <vt:i4>5</vt:i4>
      </vt:variant>
      <vt:variant>
        <vt:lpwstr>http://www.nevo.co.il/case/6166988</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8126588</vt:i4>
      </vt:variant>
      <vt:variant>
        <vt:i4>15</vt:i4>
      </vt:variant>
      <vt:variant>
        <vt:i4>0</vt:i4>
      </vt:variant>
      <vt:variant>
        <vt:i4>5</vt:i4>
      </vt:variant>
      <vt:variant>
        <vt:lpwstr>http://www.nevo.co.il/law/4216/36a.a.1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2025-04-22T20:21:00Z</dcterms:created>
  <dcterms:modified xsi:type="dcterms:W3CDTF">2025-04-22T20:21:00Z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42712</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חאלד אנטילי</vt:lpwstr>
  </property>
  <property fmtid="{D5CDD505-2E9C-101B-9397-08002B2CF9AE}" pid="10" name="LAWYER">
    <vt:lpwstr>סופי גרניט;אבנון</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20130916</vt:lpwstr>
  </property>
  <property fmtid="{D5CDD505-2E9C-101B-9397-08002B2CF9AE}" pid="14" name="TYPE_N_DATE">
    <vt:lpwstr>39020130916</vt:lpwstr>
  </property>
  <property fmtid="{D5CDD505-2E9C-101B-9397-08002B2CF9AE}" pid="15" name="WORDNUMPAGES">
    <vt:lpwstr>7</vt:lpwstr>
  </property>
  <property fmtid="{D5CDD505-2E9C-101B-9397-08002B2CF9AE}" pid="16" name="TYPE_ABS_DATE">
    <vt:lpwstr>390020130916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5786821:2;6166988;17932979;6030418;5796585;6008933;4812164</vt:lpwstr>
  </property>
  <property fmtid="{D5CDD505-2E9C-101B-9397-08002B2CF9AE}" pid="36" name="LAWLISTTMP1">
    <vt:lpwstr>4216/007.a;007.c;013;019a;036a.a.1;036a.b</vt:lpwstr>
  </property>
  <property fmtid="{D5CDD505-2E9C-101B-9397-08002B2CF9AE}" pid="37" name="LAWLISTTMP2">
    <vt:lpwstr>5227/043</vt:lpwstr>
  </property>
</Properties>
</file>