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4A0" w:firstRow="1" w:lastRow="0" w:firstColumn="1" w:lastColumn="0" w:noHBand="0" w:noVBand="1"/>
      </w:tblPr>
      <w:tblGrid>
        <w:gridCol w:w="5041"/>
        <w:gridCol w:w="3679"/>
      </w:tblGrid>
      <w:tr w:rsidR="006E6ED5" w:rsidRPr="00E349F5" w14:paraId="7B48FD91" w14:textId="77777777">
        <w:trPr>
          <w:trHeight w:val="801"/>
          <w:jc w:val="center"/>
        </w:trPr>
        <w:tc>
          <w:tcPr>
            <w:tcW w:w="8720" w:type="dxa"/>
            <w:gridSpan w:val="2"/>
          </w:tcPr>
          <w:p w14:paraId="640ED936" w14:textId="77777777" w:rsidR="006E6ED5" w:rsidRPr="00E349F5" w:rsidRDefault="00E349F5">
            <w:pPr>
              <w:pStyle w:val="a3"/>
              <w:jc w:val="center"/>
              <w:rPr>
                <w:rFonts w:ascii="Tahoma" w:hAnsi="Tahoma" w:cs="Tahoma"/>
                <w:b/>
                <w:bCs/>
                <w:color w:val="000080"/>
                <w:sz w:val="20"/>
                <w:szCs w:val="20"/>
                <w:rtl/>
              </w:rPr>
            </w:pPr>
            <w:bookmarkStart w:id="0" w:name="LastJudge"/>
            <w:r w:rsidRPr="00E349F5">
              <w:rPr>
                <w:rFonts w:ascii="Tahoma" w:hAnsi="Tahoma" w:cs="Tahoma"/>
                <w:b/>
                <w:bCs/>
                <w:color w:val="000080"/>
                <w:sz w:val="20"/>
                <w:szCs w:val="20"/>
                <w:rtl/>
              </w:rPr>
              <w:t>בית המשפט המחוזי בירושלים</w:t>
            </w:r>
          </w:p>
          <w:p w14:paraId="28AFCC9A" w14:textId="77777777" w:rsidR="006E6ED5" w:rsidRPr="00E349F5" w:rsidRDefault="00E349F5">
            <w:pPr>
              <w:pStyle w:val="a3"/>
              <w:jc w:val="center"/>
              <w:rPr>
                <w:rFonts w:ascii="Tahoma" w:hAnsi="Tahoma" w:cs="Tahoma"/>
                <w:b/>
                <w:bCs/>
                <w:color w:val="000080"/>
                <w:sz w:val="20"/>
                <w:szCs w:val="20"/>
              </w:rPr>
            </w:pPr>
            <w:r w:rsidRPr="00E349F5">
              <w:rPr>
                <w:rFonts w:ascii="Tahoma" w:hAnsi="Tahoma" w:cs="Tahoma" w:hint="cs"/>
                <w:b/>
                <w:bCs/>
                <w:color w:val="000080"/>
                <w:sz w:val="20"/>
                <w:szCs w:val="20"/>
                <w:rtl/>
              </w:rPr>
              <w:t>לפ</w:t>
            </w:r>
            <w:r w:rsidRPr="00E349F5">
              <w:rPr>
                <w:rFonts w:ascii="Tahoma" w:hAnsi="Tahoma" w:cs="Tahoma"/>
                <w:b/>
                <w:bCs/>
                <w:color w:val="000080"/>
                <w:sz w:val="20"/>
                <w:szCs w:val="20"/>
                <w:rtl/>
              </w:rPr>
              <w:t>ני כב' השופטת אורית אפעל-גבאי</w:t>
            </w:r>
          </w:p>
        </w:tc>
      </w:tr>
      <w:tr w:rsidR="006E6ED5" w:rsidRPr="00E349F5" w14:paraId="5562738A" w14:textId="77777777">
        <w:trPr>
          <w:trHeight w:val="337"/>
          <w:jc w:val="center"/>
        </w:trPr>
        <w:tc>
          <w:tcPr>
            <w:tcW w:w="5041" w:type="dxa"/>
          </w:tcPr>
          <w:p w14:paraId="3A34AAC6" w14:textId="77777777" w:rsidR="006E6ED5" w:rsidRPr="00E349F5" w:rsidRDefault="00E349F5">
            <w:pPr>
              <w:rPr>
                <w:rFonts w:ascii="David" w:hAnsi="David"/>
                <w:b/>
                <w:bCs/>
                <w:sz w:val="26"/>
                <w:szCs w:val="26"/>
                <w:rtl/>
              </w:rPr>
            </w:pPr>
            <w:r w:rsidRPr="00E349F5">
              <w:rPr>
                <w:rFonts w:hint="cs"/>
                <w:b/>
                <w:bCs/>
                <w:sz w:val="26"/>
                <w:szCs w:val="26"/>
                <w:rtl/>
              </w:rPr>
              <w:t>ת"פ 39807-03-12 מדינת ישראל נ' אבו פארה</w:t>
            </w:r>
          </w:p>
          <w:p w14:paraId="11883497" w14:textId="77777777" w:rsidR="006E6ED5" w:rsidRPr="00E349F5" w:rsidRDefault="006E6ED5">
            <w:pPr>
              <w:pStyle w:val="a3"/>
              <w:jc w:val="right"/>
              <w:rPr>
                <w:b/>
                <w:bCs/>
                <w:sz w:val="26"/>
                <w:szCs w:val="26"/>
              </w:rPr>
            </w:pPr>
          </w:p>
        </w:tc>
        <w:tc>
          <w:tcPr>
            <w:tcW w:w="3679" w:type="dxa"/>
          </w:tcPr>
          <w:p w14:paraId="31564359" w14:textId="77777777" w:rsidR="006E6ED5" w:rsidRPr="00E349F5" w:rsidRDefault="006E6ED5">
            <w:pPr>
              <w:pStyle w:val="a3"/>
              <w:tabs>
                <w:tab w:val="clear" w:pos="4153"/>
              </w:tabs>
              <w:jc w:val="right"/>
              <w:rPr>
                <w:b/>
                <w:bCs/>
                <w:sz w:val="26"/>
                <w:szCs w:val="26"/>
              </w:rPr>
            </w:pPr>
          </w:p>
        </w:tc>
      </w:tr>
    </w:tbl>
    <w:p w14:paraId="3CF7568A" w14:textId="77777777" w:rsidR="006E6ED5" w:rsidRPr="00E349F5" w:rsidRDefault="006E6ED5">
      <w:pPr>
        <w:pStyle w:val="a3"/>
      </w:pPr>
    </w:p>
    <w:tbl>
      <w:tblPr>
        <w:bidiVisual/>
        <w:tblW w:w="8802" w:type="dxa"/>
        <w:tblInd w:w="-28" w:type="dxa"/>
        <w:tblLook w:val="01E0" w:firstRow="1" w:lastRow="1" w:firstColumn="1" w:lastColumn="1" w:noHBand="0" w:noVBand="0"/>
      </w:tblPr>
      <w:tblGrid>
        <w:gridCol w:w="2880"/>
        <w:gridCol w:w="5922"/>
      </w:tblGrid>
      <w:tr w:rsidR="006E6ED5" w:rsidRPr="00E349F5" w14:paraId="3F7226DB" w14:textId="77777777">
        <w:tc>
          <w:tcPr>
            <w:tcW w:w="2880" w:type="dxa"/>
          </w:tcPr>
          <w:p w14:paraId="77BFCB10" w14:textId="77777777" w:rsidR="006E6ED5" w:rsidRPr="00E349F5" w:rsidRDefault="00E349F5">
            <w:pPr>
              <w:spacing w:line="360" w:lineRule="auto"/>
              <w:ind w:left="26"/>
              <w:jc w:val="both"/>
              <w:rPr>
                <w:b/>
                <w:bCs/>
                <w:sz w:val="26"/>
                <w:szCs w:val="26"/>
              </w:rPr>
            </w:pPr>
            <w:bookmarkStart w:id="1" w:name="_GoBack"/>
            <w:bookmarkStart w:id="2" w:name="FirstAppellant"/>
            <w:bookmarkStart w:id="3" w:name="FirstLawyer"/>
            <w:bookmarkEnd w:id="1"/>
            <w:r w:rsidRPr="00E349F5">
              <w:rPr>
                <w:rFonts w:hint="cs"/>
                <w:b/>
                <w:bCs/>
                <w:sz w:val="26"/>
                <w:szCs w:val="26"/>
                <w:rtl/>
              </w:rPr>
              <w:t>המאשימה</w:t>
            </w:r>
          </w:p>
        </w:tc>
        <w:tc>
          <w:tcPr>
            <w:tcW w:w="5922" w:type="dxa"/>
          </w:tcPr>
          <w:p w14:paraId="13DE2A56" w14:textId="77777777" w:rsidR="006E6ED5" w:rsidRPr="00E349F5" w:rsidRDefault="00E349F5">
            <w:pPr>
              <w:rPr>
                <w:b/>
                <w:bCs/>
                <w:sz w:val="26"/>
                <w:szCs w:val="26"/>
                <w:rtl/>
              </w:rPr>
            </w:pPr>
            <w:r w:rsidRPr="00E349F5">
              <w:rPr>
                <w:rFonts w:hint="cs"/>
                <w:b/>
                <w:bCs/>
                <w:sz w:val="26"/>
                <w:szCs w:val="26"/>
                <w:rtl/>
              </w:rPr>
              <w:t>מדינת ישראל</w:t>
            </w:r>
          </w:p>
          <w:p w14:paraId="4D0AF318" w14:textId="77777777" w:rsidR="006E6ED5" w:rsidRPr="00E349F5" w:rsidRDefault="00E349F5">
            <w:pPr>
              <w:rPr>
                <w:sz w:val="26"/>
                <w:szCs w:val="26"/>
                <w:rtl/>
              </w:rPr>
            </w:pPr>
            <w:r w:rsidRPr="00E349F5">
              <w:rPr>
                <w:rFonts w:hint="cs"/>
                <w:sz w:val="26"/>
                <w:szCs w:val="26"/>
                <w:rtl/>
              </w:rPr>
              <w:t xml:space="preserve">באמצעות פרקליטות מחוז ירושלים – פלילי </w:t>
            </w:r>
          </w:p>
          <w:p w14:paraId="381CAEFE" w14:textId="77777777" w:rsidR="006E6ED5" w:rsidRPr="00E349F5" w:rsidRDefault="00E349F5">
            <w:pPr>
              <w:rPr>
                <w:b/>
                <w:bCs/>
                <w:sz w:val="26"/>
                <w:szCs w:val="26"/>
              </w:rPr>
            </w:pPr>
            <w:r w:rsidRPr="00E349F5">
              <w:rPr>
                <w:rFonts w:hint="cs"/>
                <w:sz w:val="26"/>
                <w:szCs w:val="26"/>
                <w:rtl/>
              </w:rPr>
              <w:t xml:space="preserve">ע"י ב"כ עו"ד עינת יריב </w:t>
            </w:r>
          </w:p>
        </w:tc>
      </w:tr>
      <w:bookmarkEnd w:id="2"/>
      <w:bookmarkEnd w:id="3"/>
      <w:tr w:rsidR="006E6ED5" w:rsidRPr="00E349F5" w14:paraId="7617E895" w14:textId="77777777">
        <w:tc>
          <w:tcPr>
            <w:tcW w:w="8802" w:type="dxa"/>
            <w:gridSpan w:val="2"/>
          </w:tcPr>
          <w:p w14:paraId="19497E92" w14:textId="77777777" w:rsidR="006E6ED5" w:rsidRPr="00E349F5" w:rsidRDefault="006E6ED5">
            <w:pPr>
              <w:jc w:val="both"/>
              <w:rPr>
                <w:rFonts w:ascii="Arial" w:hAnsi="Arial"/>
                <w:b/>
                <w:bCs/>
                <w:sz w:val="26"/>
                <w:szCs w:val="26"/>
                <w:rtl/>
              </w:rPr>
            </w:pPr>
          </w:p>
          <w:p w14:paraId="338966CE" w14:textId="77777777" w:rsidR="006E6ED5" w:rsidRPr="00E349F5" w:rsidRDefault="00E349F5">
            <w:pPr>
              <w:jc w:val="center"/>
              <w:rPr>
                <w:rFonts w:ascii="Arial" w:hAnsi="Arial"/>
                <w:b/>
                <w:bCs/>
                <w:sz w:val="26"/>
                <w:szCs w:val="26"/>
                <w:rtl/>
              </w:rPr>
            </w:pPr>
            <w:r w:rsidRPr="00E349F5">
              <w:rPr>
                <w:rFonts w:ascii="Arial" w:hAnsi="Arial" w:hint="cs"/>
                <w:b/>
                <w:bCs/>
                <w:sz w:val="26"/>
                <w:szCs w:val="26"/>
                <w:rtl/>
              </w:rPr>
              <w:t>נגד</w:t>
            </w:r>
          </w:p>
          <w:p w14:paraId="3939B66B" w14:textId="77777777" w:rsidR="006E6ED5" w:rsidRPr="00E349F5" w:rsidRDefault="006E6ED5">
            <w:pPr>
              <w:jc w:val="center"/>
              <w:rPr>
                <w:rFonts w:ascii="Arial" w:hAnsi="Arial"/>
                <w:b/>
                <w:bCs/>
                <w:sz w:val="26"/>
                <w:szCs w:val="26"/>
              </w:rPr>
            </w:pPr>
          </w:p>
        </w:tc>
      </w:tr>
      <w:tr w:rsidR="006E6ED5" w:rsidRPr="00E349F5" w14:paraId="5DA73877" w14:textId="77777777">
        <w:trPr>
          <w:trHeight w:val="355"/>
        </w:trPr>
        <w:tc>
          <w:tcPr>
            <w:tcW w:w="2880" w:type="dxa"/>
          </w:tcPr>
          <w:p w14:paraId="0E42816F" w14:textId="77777777" w:rsidR="006E6ED5" w:rsidRPr="00E349F5" w:rsidRDefault="00E349F5">
            <w:pPr>
              <w:ind w:left="26"/>
              <w:rPr>
                <w:b/>
                <w:bCs/>
                <w:sz w:val="26"/>
                <w:szCs w:val="26"/>
              </w:rPr>
            </w:pPr>
            <w:r w:rsidRPr="00E349F5">
              <w:rPr>
                <w:rFonts w:hint="cs"/>
                <w:b/>
                <w:bCs/>
                <w:sz w:val="26"/>
                <w:szCs w:val="26"/>
                <w:rtl/>
              </w:rPr>
              <w:t xml:space="preserve">הנאשם </w:t>
            </w:r>
          </w:p>
        </w:tc>
        <w:tc>
          <w:tcPr>
            <w:tcW w:w="5922" w:type="dxa"/>
          </w:tcPr>
          <w:p w14:paraId="286C48FB" w14:textId="77777777" w:rsidR="006E6ED5" w:rsidRPr="00E349F5" w:rsidRDefault="00E349F5">
            <w:pPr>
              <w:rPr>
                <w:b/>
                <w:bCs/>
                <w:sz w:val="26"/>
                <w:szCs w:val="26"/>
                <w:rtl/>
              </w:rPr>
            </w:pPr>
            <w:r w:rsidRPr="00E349F5">
              <w:rPr>
                <w:rFonts w:hint="cs"/>
                <w:b/>
                <w:bCs/>
                <w:sz w:val="26"/>
                <w:szCs w:val="26"/>
                <w:rtl/>
              </w:rPr>
              <w:t>לואי אבו פארה</w:t>
            </w:r>
          </w:p>
          <w:p w14:paraId="5D388DDD" w14:textId="77777777" w:rsidR="006E6ED5" w:rsidRPr="00E349F5" w:rsidRDefault="00E349F5">
            <w:pPr>
              <w:rPr>
                <w:sz w:val="26"/>
                <w:szCs w:val="26"/>
              </w:rPr>
            </w:pPr>
            <w:r w:rsidRPr="00E349F5">
              <w:rPr>
                <w:rFonts w:hint="cs"/>
                <w:sz w:val="26"/>
                <w:szCs w:val="26"/>
                <w:rtl/>
              </w:rPr>
              <w:t xml:space="preserve">ע"י ב"כ עו"ד מחמוד רבאח </w:t>
            </w:r>
          </w:p>
        </w:tc>
      </w:tr>
    </w:tbl>
    <w:p w14:paraId="732E1D9F" w14:textId="77777777" w:rsidR="00C46189" w:rsidRDefault="00C46189">
      <w:pPr>
        <w:rPr>
          <w:sz w:val="26"/>
          <w:szCs w:val="26"/>
          <w:rtl/>
        </w:rPr>
      </w:pPr>
      <w:bookmarkStart w:id="4" w:name="LawTable"/>
      <w:bookmarkEnd w:id="4"/>
    </w:p>
    <w:p w14:paraId="4B334849" w14:textId="77777777" w:rsidR="00C46189" w:rsidRPr="00C46189" w:rsidRDefault="00C46189" w:rsidP="00C46189">
      <w:pPr>
        <w:spacing w:after="120" w:line="240" w:lineRule="exact"/>
        <w:ind w:left="283" w:hanging="283"/>
        <w:jc w:val="both"/>
        <w:rPr>
          <w:rFonts w:ascii="FrankRuehl" w:hAnsi="FrankRuehl" w:cs="FrankRuehl"/>
          <w:rtl/>
        </w:rPr>
      </w:pPr>
    </w:p>
    <w:p w14:paraId="0968E52D" w14:textId="77777777" w:rsidR="00C46189" w:rsidRPr="00C46189" w:rsidRDefault="00C46189" w:rsidP="00C46189">
      <w:pPr>
        <w:spacing w:after="120" w:line="240" w:lineRule="exact"/>
        <w:ind w:left="283" w:hanging="283"/>
        <w:jc w:val="both"/>
        <w:rPr>
          <w:rFonts w:ascii="FrankRuehl" w:hAnsi="FrankRuehl" w:cs="FrankRuehl"/>
          <w:rtl/>
        </w:rPr>
      </w:pPr>
      <w:r w:rsidRPr="00C46189">
        <w:rPr>
          <w:rFonts w:ascii="FrankRuehl" w:hAnsi="FrankRuehl" w:cs="FrankRuehl"/>
          <w:rtl/>
        </w:rPr>
        <w:t xml:space="preserve">חקיקה שאוזכרה: </w:t>
      </w:r>
    </w:p>
    <w:p w14:paraId="182C9BDC" w14:textId="77777777" w:rsidR="00C46189" w:rsidRPr="00C46189" w:rsidRDefault="00C46189" w:rsidP="00C46189">
      <w:pPr>
        <w:spacing w:after="120" w:line="240" w:lineRule="exact"/>
        <w:ind w:left="283" w:hanging="283"/>
        <w:jc w:val="both"/>
        <w:rPr>
          <w:rFonts w:ascii="FrankRuehl" w:hAnsi="FrankRuehl" w:cs="FrankRuehl"/>
          <w:rtl/>
        </w:rPr>
      </w:pPr>
      <w:hyperlink r:id="rId6" w:history="1">
        <w:r w:rsidRPr="00C46189">
          <w:rPr>
            <w:rFonts w:ascii="FrankRuehl" w:hAnsi="FrankRuehl" w:cs="FrankRuehl"/>
            <w:color w:val="0000FF"/>
            <w:u w:val="single"/>
            <w:rtl/>
          </w:rPr>
          <w:t>חוק העונשין, תשל"ז-1977</w:t>
        </w:r>
      </w:hyperlink>
      <w:r w:rsidRPr="00C46189">
        <w:rPr>
          <w:rFonts w:ascii="FrankRuehl" w:hAnsi="FrankRuehl" w:cs="FrankRuehl"/>
          <w:rtl/>
        </w:rPr>
        <w:t xml:space="preserve">: סע'  </w:t>
      </w:r>
      <w:hyperlink r:id="rId7" w:history="1">
        <w:r w:rsidRPr="00C46189">
          <w:rPr>
            <w:rFonts w:ascii="FrankRuehl" w:hAnsi="FrankRuehl" w:cs="FrankRuehl"/>
            <w:color w:val="0000FF"/>
            <w:u w:val="single"/>
            <w:rtl/>
          </w:rPr>
          <w:t>40ב</w:t>
        </w:r>
      </w:hyperlink>
      <w:r w:rsidRPr="00C46189">
        <w:rPr>
          <w:rFonts w:ascii="FrankRuehl" w:hAnsi="FrankRuehl" w:cs="FrankRuehl"/>
          <w:rtl/>
        </w:rPr>
        <w:t xml:space="preserve">, </w:t>
      </w:r>
      <w:hyperlink r:id="rId8" w:history="1">
        <w:r w:rsidRPr="00C46189">
          <w:rPr>
            <w:rFonts w:ascii="FrankRuehl" w:hAnsi="FrankRuehl" w:cs="FrankRuehl"/>
            <w:color w:val="0000FF"/>
            <w:u w:val="single"/>
            <w:rtl/>
          </w:rPr>
          <w:t>40ג(א)</w:t>
        </w:r>
      </w:hyperlink>
      <w:r w:rsidRPr="00C46189">
        <w:rPr>
          <w:rFonts w:ascii="FrankRuehl" w:hAnsi="FrankRuehl" w:cs="FrankRuehl"/>
          <w:rtl/>
        </w:rPr>
        <w:t xml:space="preserve">, </w:t>
      </w:r>
      <w:hyperlink r:id="rId9" w:history="1">
        <w:r w:rsidRPr="00C46189">
          <w:rPr>
            <w:rFonts w:ascii="FrankRuehl" w:hAnsi="FrankRuehl" w:cs="FrankRuehl"/>
            <w:color w:val="0000FF"/>
            <w:u w:val="single"/>
            <w:rtl/>
          </w:rPr>
          <w:t>40ד</w:t>
        </w:r>
      </w:hyperlink>
      <w:r w:rsidRPr="00C46189">
        <w:rPr>
          <w:rFonts w:ascii="FrankRuehl" w:hAnsi="FrankRuehl" w:cs="FrankRuehl"/>
          <w:rtl/>
        </w:rPr>
        <w:t xml:space="preserve">, </w:t>
      </w:r>
      <w:hyperlink r:id="rId10" w:history="1">
        <w:r w:rsidRPr="00C46189">
          <w:rPr>
            <w:rFonts w:ascii="FrankRuehl" w:hAnsi="FrankRuehl" w:cs="FrankRuehl"/>
            <w:color w:val="0000FF"/>
            <w:u w:val="single"/>
            <w:rtl/>
          </w:rPr>
          <w:t>40ה</w:t>
        </w:r>
      </w:hyperlink>
      <w:r w:rsidRPr="00C46189">
        <w:rPr>
          <w:rFonts w:ascii="FrankRuehl" w:hAnsi="FrankRuehl" w:cs="FrankRuehl"/>
          <w:rtl/>
        </w:rPr>
        <w:t xml:space="preserve">, </w:t>
      </w:r>
      <w:hyperlink r:id="rId11" w:history="1">
        <w:r w:rsidRPr="00C46189">
          <w:rPr>
            <w:rFonts w:ascii="FrankRuehl" w:hAnsi="FrankRuehl" w:cs="FrankRuehl"/>
            <w:color w:val="0000FF"/>
            <w:u w:val="single"/>
            <w:rtl/>
          </w:rPr>
          <w:t>40ו</w:t>
        </w:r>
      </w:hyperlink>
      <w:r w:rsidRPr="00C46189">
        <w:rPr>
          <w:rFonts w:ascii="FrankRuehl" w:hAnsi="FrankRuehl" w:cs="FrankRuehl"/>
          <w:rtl/>
        </w:rPr>
        <w:t xml:space="preserve">, </w:t>
      </w:r>
      <w:hyperlink r:id="rId12" w:history="1">
        <w:r w:rsidRPr="00C46189">
          <w:rPr>
            <w:rFonts w:ascii="FrankRuehl" w:hAnsi="FrankRuehl" w:cs="FrankRuehl"/>
            <w:color w:val="0000FF"/>
            <w:u w:val="single"/>
            <w:rtl/>
          </w:rPr>
          <w:t>40ז</w:t>
        </w:r>
      </w:hyperlink>
      <w:r w:rsidRPr="00C46189">
        <w:rPr>
          <w:rFonts w:ascii="FrankRuehl" w:hAnsi="FrankRuehl" w:cs="FrankRuehl"/>
          <w:rtl/>
        </w:rPr>
        <w:t xml:space="preserve">, </w:t>
      </w:r>
      <w:hyperlink r:id="rId13" w:history="1">
        <w:r w:rsidRPr="00C46189">
          <w:rPr>
            <w:rFonts w:ascii="FrankRuehl" w:hAnsi="FrankRuehl" w:cs="FrankRuehl"/>
            <w:color w:val="0000FF"/>
            <w:u w:val="single"/>
            <w:rtl/>
          </w:rPr>
          <w:t>40ט</w:t>
        </w:r>
      </w:hyperlink>
      <w:r w:rsidRPr="00C46189">
        <w:rPr>
          <w:rFonts w:ascii="FrankRuehl" w:hAnsi="FrankRuehl" w:cs="FrankRuehl"/>
          <w:rtl/>
        </w:rPr>
        <w:t xml:space="preserve">, </w:t>
      </w:r>
      <w:hyperlink r:id="rId14" w:history="1">
        <w:r w:rsidRPr="00C46189">
          <w:rPr>
            <w:rFonts w:ascii="FrankRuehl" w:hAnsi="FrankRuehl" w:cs="FrankRuehl"/>
            <w:color w:val="0000FF"/>
            <w:u w:val="single"/>
            <w:rtl/>
          </w:rPr>
          <w:t>275</w:t>
        </w:r>
      </w:hyperlink>
      <w:r w:rsidRPr="00C46189">
        <w:rPr>
          <w:rFonts w:ascii="FrankRuehl" w:hAnsi="FrankRuehl" w:cs="FrankRuehl"/>
          <w:rtl/>
        </w:rPr>
        <w:t xml:space="preserve">, </w:t>
      </w:r>
      <w:hyperlink r:id="rId15" w:history="1">
        <w:r w:rsidRPr="00C46189">
          <w:rPr>
            <w:rFonts w:ascii="FrankRuehl" w:hAnsi="FrankRuehl" w:cs="FrankRuehl"/>
            <w:color w:val="0000FF"/>
            <w:u w:val="single"/>
            <w:rtl/>
          </w:rPr>
          <w:t>332</w:t>
        </w:r>
      </w:hyperlink>
      <w:r w:rsidRPr="00C46189">
        <w:rPr>
          <w:rFonts w:ascii="FrankRuehl" w:hAnsi="FrankRuehl" w:cs="FrankRuehl"/>
          <w:rtl/>
        </w:rPr>
        <w:t xml:space="preserve">, </w:t>
      </w:r>
      <w:hyperlink r:id="rId16" w:history="1">
        <w:r w:rsidRPr="00C46189">
          <w:rPr>
            <w:rFonts w:ascii="FrankRuehl" w:hAnsi="FrankRuehl" w:cs="FrankRuehl"/>
            <w:color w:val="0000FF"/>
            <w:u w:val="single"/>
            <w:rtl/>
          </w:rPr>
          <w:t>338(א)(1)</w:t>
        </w:r>
      </w:hyperlink>
      <w:r w:rsidRPr="00C46189">
        <w:rPr>
          <w:rFonts w:ascii="FrankRuehl" w:hAnsi="FrankRuehl" w:cs="FrankRuehl"/>
          <w:rtl/>
        </w:rPr>
        <w:t xml:space="preserve">, </w:t>
      </w:r>
      <w:hyperlink r:id="rId17" w:history="1">
        <w:r w:rsidRPr="00C46189">
          <w:rPr>
            <w:rFonts w:ascii="FrankRuehl" w:hAnsi="FrankRuehl" w:cs="FrankRuehl"/>
            <w:color w:val="0000FF"/>
            <w:u w:val="single"/>
            <w:rtl/>
          </w:rPr>
          <w:t>40יא</w:t>
        </w:r>
      </w:hyperlink>
      <w:r w:rsidRPr="00C46189">
        <w:rPr>
          <w:rFonts w:ascii="FrankRuehl" w:hAnsi="FrankRuehl" w:cs="FrankRuehl"/>
          <w:rtl/>
        </w:rPr>
        <w:t xml:space="preserve">, </w:t>
      </w:r>
      <w:hyperlink r:id="rId18" w:history="1">
        <w:r w:rsidRPr="00C46189">
          <w:rPr>
            <w:rFonts w:ascii="FrankRuehl" w:hAnsi="FrankRuehl" w:cs="FrankRuehl"/>
            <w:color w:val="0000FF"/>
            <w:u w:val="single"/>
            <w:rtl/>
          </w:rPr>
          <w:t>40יג(א)</w:t>
        </w:r>
      </w:hyperlink>
    </w:p>
    <w:p w14:paraId="0263F65B" w14:textId="77777777" w:rsidR="00C46189" w:rsidRPr="00C46189" w:rsidRDefault="00C46189" w:rsidP="00C46189">
      <w:pPr>
        <w:spacing w:after="120" w:line="240" w:lineRule="exact"/>
        <w:ind w:left="283" w:hanging="283"/>
        <w:jc w:val="both"/>
        <w:rPr>
          <w:rFonts w:ascii="FrankRuehl" w:hAnsi="FrankRuehl" w:cs="FrankRuehl"/>
          <w:rtl/>
        </w:rPr>
      </w:pPr>
      <w:hyperlink r:id="rId19" w:history="1">
        <w:r w:rsidRPr="00C46189">
          <w:rPr>
            <w:rFonts w:ascii="FrankRuehl" w:hAnsi="FrankRuehl" w:cs="FrankRuehl"/>
            <w:color w:val="0000FF"/>
            <w:u w:val="single"/>
            <w:rtl/>
          </w:rPr>
          <w:t>פקודת התעבורה [נוסח חדש]</w:t>
        </w:r>
      </w:hyperlink>
      <w:r w:rsidRPr="00C46189">
        <w:rPr>
          <w:rFonts w:ascii="FrankRuehl" w:hAnsi="FrankRuehl" w:cs="FrankRuehl"/>
          <w:rtl/>
        </w:rPr>
        <w:t xml:space="preserve">: סע'  </w:t>
      </w:r>
      <w:hyperlink r:id="rId20" w:history="1">
        <w:r w:rsidRPr="00C46189">
          <w:rPr>
            <w:rFonts w:ascii="FrankRuehl" w:hAnsi="FrankRuehl" w:cs="FrankRuehl"/>
            <w:color w:val="0000FF"/>
            <w:u w:val="single"/>
            <w:rtl/>
          </w:rPr>
          <w:t>62(3)</w:t>
        </w:r>
      </w:hyperlink>
      <w:r w:rsidRPr="00C46189">
        <w:rPr>
          <w:rFonts w:ascii="FrankRuehl" w:hAnsi="FrankRuehl" w:cs="FrankRuehl"/>
          <w:rtl/>
        </w:rPr>
        <w:t xml:space="preserve">, </w:t>
      </w:r>
      <w:hyperlink r:id="rId21" w:history="1">
        <w:r w:rsidRPr="00C46189">
          <w:rPr>
            <w:rFonts w:ascii="FrankRuehl" w:hAnsi="FrankRuehl" w:cs="FrankRuehl"/>
            <w:color w:val="0000FF"/>
            <w:u w:val="single"/>
            <w:rtl/>
          </w:rPr>
          <w:t>64ב</w:t>
        </w:r>
      </w:hyperlink>
      <w:r w:rsidRPr="00C46189">
        <w:rPr>
          <w:rFonts w:ascii="FrankRuehl" w:hAnsi="FrankRuehl" w:cs="FrankRuehl"/>
          <w:rtl/>
        </w:rPr>
        <w:t xml:space="preserve">, </w:t>
      </w:r>
      <w:hyperlink r:id="rId22" w:history="1">
        <w:r w:rsidRPr="00C46189">
          <w:rPr>
            <w:rFonts w:ascii="FrankRuehl" w:hAnsi="FrankRuehl" w:cs="FrankRuehl"/>
            <w:color w:val="0000FF"/>
            <w:u w:val="single"/>
            <w:rtl/>
          </w:rPr>
          <w:t>67</w:t>
        </w:r>
      </w:hyperlink>
    </w:p>
    <w:p w14:paraId="4FEEB3B6" w14:textId="77777777" w:rsidR="00C46189" w:rsidRPr="00C46189" w:rsidRDefault="00C46189" w:rsidP="00C46189">
      <w:pPr>
        <w:spacing w:after="120" w:line="240" w:lineRule="exact"/>
        <w:ind w:left="283" w:hanging="283"/>
        <w:jc w:val="both"/>
        <w:rPr>
          <w:rFonts w:ascii="FrankRuehl" w:hAnsi="FrankRuehl" w:cs="FrankRuehl"/>
          <w:rtl/>
        </w:rPr>
      </w:pPr>
      <w:hyperlink r:id="rId23" w:history="1">
        <w:r w:rsidRPr="00C46189">
          <w:rPr>
            <w:rFonts w:ascii="FrankRuehl" w:hAnsi="FrankRuehl" w:cs="FrankRuehl"/>
            <w:color w:val="0000FF"/>
            <w:u w:val="single"/>
            <w:rtl/>
          </w:rPr>
          <w:t>פקודת הסמים המסוכנים [נוסח חדש], תשל"ג-1973</w:t>
        </w:r>
      </w:hyperlink>
      <w:r w:rsidRPr="00C46189">
        <w:rPr>
          <w:rFonts w:ascii="FrankRuehl" w:hAnsi="FrankRuehl" w:cs="FrankRuehl"/>
          <w:rtl/>
        </w:rPr>
        <w:t xml:space="preserve">: סע'  </w:t>
      </w:r>
      <w:hyperlink r:id="rId24" w:history="1">
        <w:r w:rsidRPr="00C46189">
          <w:rPr>
            <w:rFonts w:ascii="FrankRuehl" w:hAnsi="FrankRuehl" w:cs="FrankRuehl"/>
            <w:color w:val="0000FF"/>
            <w:u w:val="single"/>
            <w:rtl/>
          </w:rPr>
          <w:t>7(א)</w:t>
        </w:r>
      </w:hyperlink>
      <w:r w:rsidRPr="00C46189">
        <w:rPr>
          <w:rFonts w:ascii="FrankRuehl" w:hAnsi="FrankRuehl" w:cs="FrankRuehl"/>
          <w:rtl/>
        </w:rPr>
        <w:t xml:space="preserve">, </w:t>
      </w:r>
      <w:hyperlink r:id="rId25" w:history="1">
        <w:r w:rsidRPr="00C46189">
          <w:rPr>
            <w:rFonts w:ascii="FrankRuehl" w:hAnsi="FrankRuehl" w:cs="FrankRuehl"/>
            <w:color w:val="0000FF"/>
            <w:u w:val="single"/>
            <w:rtl/>
          </w:rPr>
          <w:t>7(ג)</w:t>
        </w:r>
      </w:hyperlink>
    </w:p>
    <w:p w14:paraId="13711EDF" w14:textId="77777777" w:rsidR="00C46189" w:rsidRPr="00C46189" w:rsidRDefault="00C46189" w:rsidP="00C46189">
      <w:pPr>
        <w:spacing w:after="120" w:line="240" w:lineRule="exact"/>
        <w:ind w:left="283" w:hanging="283"/>
        <w:jc w:val="both"/>
        <w:rPr>
          <w:rFonts w:ascii="FrankRuehl" w:hAnsi="FrankRuehl" w:cs="FrankRuehl"/>
          <w:rtl/>
        </w:rPr>
      </w:pPr>
    </w:p>
    <w:p w14:paraId="75B9FBA5" w14:textId="77777777" w:rsidR="00C46189" w:rsidRPr="00C46189" w:rsidRDefault="00C46189">
      <w:pPr>
        <w:rPr>
          <w:sz w:val="26"/>
          <w:szCs w:val="26"/>
          <w:rtl/>
        </w:rPr>
      </w:pPr>
      <w:bookmarkStart w:id="5" w:name="LawTable_End"/>
      <w:bookmarkEnd w:id="5"/>
    </w:p>
    <w:p w14:paraId="7AF7D057" w14:textId="77777777" w:rsidR="00DC4E30" w:rsidRPr="00DC4E30" w:rsidRDefault="00DC4E30">
      <w:pPr>
        <w:rPr>
          <w:sz w:val="26"/>
          <w:szCs w:val="26"/>
          <w:rtl/>
        </w:rPr>
      </w:pPr>
    </w:p>
    <w:p w14:paraId="10008CEC" w14:textId="77777777" w:rsidR="00DC4E30" w:rsidRPr="00DC4E30" w:rsidRDefault="00DC4E30">
      <w:pPr>
        <w:rPr>
          <w:sz w:val="26"/>
          <w:szCs w:val="26"/>
          <w:rtl/>
        </w:rPr>
      </w:pPr>
    </w:p>
    <w:p w14:paraId="002B0232" w14:textId="77777777" w:rsidR="006E6ED5" w:rsidRPr="00DC4E30" w:rsidRDefault="006E6ED5">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E6ED5" w14:paraId="074FD4CF" w14:textId="77777777">
        <w:trPr>
          <w:trHeight w:val="355"/>
          <w:jc w:val="center"/>
        </w:trPr>
        <w:tc>
          <w:tcPr>
            <w:tcW w:w="8820" w:type="dxa"/>
            <w:tcBorders>
              <w:top w:val="nil"/>
              <w:left w:val="nil"/>
              <w:bottom w:val="nil"/>
              <w:right w:val="nil"/>
            </w:tcBorders>
          </w:tcPr>
          <w:p w14:paraId="0CFFDE15" w14:textId="77777777" w:rsidR="00E349F5" w:rsidRPr="00E349F5" w:rsidRDefault="00E349F5" w:rsidP="00E349F5">
            <w:pPr>
              <w:jc w:val="center"/>
              <w:rPr>
                <w:rFonts w:ascii="Arial" w:hAnsi="Arial"/>
                <w:b/>
                <w:bCs/>
                <w:sz w:val="30"/>
                <w:szCs w:val="30"/>
                <w:u w:val="single"/>
                <w:rtl/>
              </w:rPr>
            </w:pPr>
            <w:bookmarkStart w:id="6" w:name="PsakDin" w:colFirst="0" w:colLast="0"/>
            <w:bookmarkEnd w:id="0"/>
            <w:r w:rsidRPr="00E349F5">
              <w:rPr>
                <w:rFonts w:ascii="Arial" w:hAnsi="Arial"/>
                <w:b/>
                <w:bCs/>
                <w:sz w:val="30"/>
                <w:szCs w:val="30"/>
                <w:u w:val="single"/>
                <w:rtl/>
              </w:rPr>
              <w:t>גזר דין</w:t>
            </w:r>
          </w:p>
          <w:p w14:paraId="4EF77BA9" w14:textId="77777777" w:rsidR="006E6ED5" w:rsidRPr="00E349F5" w:rsidRDefault="006E6ED5" w:rsidP="00E349F5">
            <w:pPr>
              <w:jc w:val="center"/>
              <w:rPr>
                <w:rFonts w:ascii="Arial" w:hAnsi="Arial"/>
                <w:bCs/>
                <w:sz w:val="30"/>
                <w:szCs w:val="30"/>
                <w:u w:val="single"/>
                <w:rtl/>
              </w:rPr>
            </w:pPr>
          </w:p>
        </w:tc>
      </w:tr>
      <w:bookmarkEnd w:id="6"/>
    </w:tbl>
    <w:p w14:paraId="1CA3CC43" w14:textId="77777777" w:rsidR="006E6ED5" w:rsidRDefault="006E6ED5">
      <w:pPr>
        <w:spacing w:line="360" w:lineRule="auto"/>
        <w:jc w:val="both"/>
        <w:rPr>
          <w:sz w:val="26"/>
          <w:szCs w:val="26"/>
          <w:rtl/>
        </w:rPr>
      </w:pPr>
    </w:p>
    <w:p w14:paraId="52DFEF9E" w14:textId="77777777" w:rsidR="006E6ED5" w:rsidRDefault="00E349F5">
      <w:pPr>
        <w:spacing w:line="360" w:lineRule="auto"/>
        <w:jc w:val="both"/>
        <w:rPr>
          <w:sz w:val="26"/>
          <w:szCs w:val="26"/>
          <w:rtl/>
        </w:rPr>
      </w:pPr>
      <w:r>
        <w:rPr>
          <w:sz w:val="26"/>
          <w:szCs w:val="26"/>
          <w:rtl/>
        </w:rPr>
        <w:t>1.</w:t>
      </w:r>
      <w:r>
        <w:rPr>
          <w:sz w:val="26"/>
          <w:szCs w:val="26"/>
          <w:rtl/>
        </w:rPr>
        <w:tab/>
      </w:r>
      <w:bookmarkStart w:id="7" w:name="ABSTRACT_START"/>
      <w:bookmarkEnd w:id="7"/>
      <w:r>
        <w:rPr>
          <w:sz w:val="26"/>
          <w:szCs w:val="26"/>
          <w:rtl/>
        </w:rPr>
        <w:t xml:space="preserve">הנאשם הורשע על יסוד הודאתו במסגרת הסדר טיעון בעבירות הבאות: פזיזות ורשלנות, לפי </w:t>
      </w:r>
      <w:hyperlink r:id="rId26" w:history="1">
        <w:r w:rsidR="00C46189" w:rsidRPr="00C46189">
          <w:rPr>
            <w:color w:val="0000FF"/>
            <w:sz w:val="26"/>
            <w:szCs w:val="26"/>
            <w:u w:val="single"/>
            <w:rtl/>
          </w:rPr>
          <w:t>סעיף 338(א)(1)</w:t>
        </w:r>
      </w:hyperlink>
      <w:r>
        <w:rPr>
          <w:sz w:val="26"/>
          <w:szCs w:val="26"/>
          <w:rtl/>
        </w:rPr>
        <w:t xml:space="preserve"> ל</w:t>
      </w:r>
      <w:hyperlink r:id="rId27" w:history="1">
        <w:r w:rsidR="00DC4E30" w:rsidRPr="00DC4E30">
          <w:rPr>
            <w:rStyle w:val="Hyperlink"/>
            <w:sz w:val="26"/>
            <w:szCs w:val="26"/>
            <w:rtl/>
          </w:rPr>
          <w:t>חוק העונשין</w:t>
        </w:r>
      </w:hyperlink>
      <w:r>
        <w:rPr>
          <w:sz w:val="26"/>
          <w:szCs w:val="26"/>
          <w:rtl/>
        </w:rPr>
        <w:t xml:space="preserve"> התשל"ז-1977 (להלן: </w:t>
      </w:r>
      <w:r>
        <w:rPr>
          <w:b/>
          <w:bCs/>
          <w:sz w:val="26"/>
          <w:szCs w:val="26"/>
          <w:rtl/>
        </w:rPr>
        <w:t>חוק</w:t>
      </w:r>
      <w:r>
        <w:rPr>
          <w:sz w:val="26"/>
          <w:szCs w:val="26"/>
          <w:rtl/>
        </w:rPr>
        <w:t xml:space="preserve"> </w:t>
      </w:r>
      <w:r>
        <w:rPr>
          <w:b/>
          <w:bCs/>
          <w:sz w:val="26"/>
          <w:szCs w:val="26"/>
          <w:rtl/>
        </w:rPr>
        <w:t>העונשין</w:t>
      </w:r>
      <w:r>
        <w:rPr>
          <w:sz w:val="26"/>
          <w:szCs w:val="26"/>
          <w:rtl/>
        </w:rPr>
        <w:t xml:space="preserve">); הפרעה לשוטר בעת מילוי תפקידו, לפי </w:t>
      </w:r>
      <w:hyperlink r:id="rId28" w:history="1">
        <w:r w:rsidR="00C46189" w:rsidRPr="00C46189">
          <w:rPr>
            <w:color w:val="0000FF"/>
            <w:sz w:val="26"/>
            <w:szCs w:val="26"/>
            <w:u w:val="single"/>
            <w:rtl/>
          </w:rPr>
          <w:t>סעיף 275</w:t>
        </w:r>
      </w:hyperlink>
      <w:r>
        <w:rPr>
          <w:sz w:val="26"/>
          <w:szCs w:val="26"/>
          <w:rtl/>
        </w:rPr>
        <w:t xml:space="preserve"> לחוק; נהיגה בשכרות, לפי </w:t>
      </w:r>
      <w:hyperlink r:id="rId29" w:history="1">
        <w:r w:rsidR="00C46189" w:rsidRPr="00C46189">
          <w:rPr>
            <w:color w:val="0000FF"/>
            <w:sz w:val="26"/>
            <w:szCs w:val="26"/>
            <w:u w:val="single"/>
            <w:rtl/>
          </w:rPr>
          <w:t>סעיפים 62(3)</w:t>
        </w:r>
      </w:hyperlink>
      <w:r>
        <w:rPr>
          <w:sz w:val="26"/>
          <w:szCs w:val="26"/>
          <w:rtl/>
        </w:rPr>
        <w:t xml:space="preserve"> ו-</w:t>
      </w:r>
      <w:hyperlink r:id="rId30" w:history="1">
        <w:r w:rsidR="00C46189" w:rsidRPr="00C46189">
          <w:rPr>
            <w:color w:val="0000FF"/>
            <w:sz w:val="26"/>
            <w:szCs w:val="26"/>
            <w:u w:val="single"/>
            <w:rtl/>
          </w:rPr>
          <w:t>64ב</w:t>
        </w:r>
      </w:hyperlink>
      <w:r>
        <w:rPr>
          <w:sz w:val="26"/>
          <w:szCs w:val="26"/>
          <w:rtl/>
        </w:rPr>
        <w:t xml:space="preserve"> ל</w:t>
      </w:r>
      <w:hyperlink r:id="rId31" w:history="1">
        <w:r w:rsidR="00DC4E30" w:rsidRPr="00DC4E30">
          <w:rPr>
            <w:rStyle w:val="Hyperlink"/>
            <w:sz w:val="26"/>
            <w:szCs w:val="26"/>
            <w:rtl/>
          </w:rPr>
          <w:t>פקודת התעבורה</w:t>
        </w:r>
      </w:hyperlink>
      <w:r>
        <w:rPr>
          <w:sz w:val="26"/>
          <w:szCs w:val="26"/>
          <w:rtl/>
        </w:rPr>
        <w:t xml:space="preserve"> [נוסח חדש] (להלן: </w:t>
      </w:r>
      <w:r>
        <w:rPr>
          <w:b/>
          <w:bCs/>
          <w:sz w:val="26"/>
          <w:szCs w:val="26"/>
          <w:rtl/>
        </w:rPr>
        <w:t>הפקודה</w:t>
      </w:r>
      <w:r>
        <w:rPr>
          <w:sz w:val="26"/>
          <w:szCs w:val="26"/>
          <w:rtl/>
        </w:rPr>
        <w:t xml:space="preserve">); נהיגה בזמן פסילה, לפי </w:t>
      </w:r>
      <w:hyperlink r:id="rId32" w:history="1">
        <w:r w:rsidR="00C46189" w:rsidRPr="00C46189">
          <w:rPr>
            <w:color w:val="0000FF"/>
            <w:sz w:val="26"/>
            <w:szCs w:val="26"/>
            <w:u w:val="single"/>
            <w:rtl/>
          </w:rPr>
          <w:t>סעיף 67</w:t>
        </w:r>
      </w:hyperlink>
      <w:r>
        <w:rPr>
          <w:sz w:val="26"/>
          <w:szCs w:val="26"/>
          <w:rtl/>
        </w:rPr>
        <w:t xml:space="preserve"> לפקודה; והחזקת סם לשימוש עצמי, לפי </w:t>
      </w:r>
      <w:hyperlink r:id="rId33" w:history="1">
        <w:r w:rsidR="00C46189" w:rsidRPr="00C46189">
          <w:rPr>
            <w:color w:val="0000FF"/>
            <w:sz w:val="26"/>
            <w:szCs w:val="26"/>
            <w:u w:val="single"/>
            <w:rtl/>
          </w:rPr>
          <w:t>סעיפים 7(א)</w:t>
        </w:r>
      </w:hyperlink>
      <w:r>
        <w:rPr>
          <w:sz w:val="26"/>
          <w:szCs w:val="26"/>
          <w:rtl/>
        </w:rPr>
        <w:t xml:space="preserve"> ו-</w:t>
      </w:r>
      <w:hyperlink r:id="rId34" w:history="1">
        <w:r w:rsidR="00C46189" w:rsidRPr="00C46189">
          <w:rPr>
            <w:color w:val="0000FF"/>
            <w:sz w:val="26"/>
            <w:szCs w:val="26"/>
            <w:u w:val="single"/>
            <w:rtl/>
          </w:rPr>
          <w:t>7(ג)</w:t>
        </w:r>
      </w:hyperlink>
      <w:r>
        <w:rPr>
          <w:sz w:val="26"/>
          <w:szCs w:val="26"/>
          <w:rtl/>
        </w:rPr>
        <w:t xml:space="preserve"> ל</w:t>
      </w:r>
      <w:hyperlink r:id="rId35" w:history="1">
        <w:bookmarkStart w:id="8" w:name="ABSTRACT_END"/>
        <w:bookmarkEnd w:id="8"/>
        <w:r w:rsidR="00DC4E30" w:rsidRPr="00DC4E30">
          <w:rPr>
            <w:rStyle w:val="Hyperlink"/>
            <w:sz w:val="26"/>
            <w:szCs w:val="26"/>
            <w:rtl/>
          </w:rPr>
          <w:t>פקודת הסמים המסוכנים</w:t>
        </w:r>
      </w:hyperlink>
      <w:r>
        <w:rPr>
          <w:sz w:val="26"/>
          <w:szCs w:val="26"/>
          <w:rtl/>
        </w:rPr>
        <w:t xml:space="preserve">. </w:t>
      </w:r>
    </w:p>
    <w:p w14:paraId="73F872F6" w14:textId="77777777" w:rsidR="006E6ED5" w:rsidRDefault="006E6ED5">
      <w:pPr>
        <w:spacing w:line="360" w:lineRule="auto"/>
        <w:jc w:val="both"/>
        <w:rPr>
          <w:sz w:val="26"/>
          <w:szCs w:val="26"/>
          <w:rtl/>
        </w:rPr>
      </w:pPr>
    </w:p>
    <w:p w14:paraId="1D5F3D28" w14:textId="77777777" w:rsidR="006E6ED5" w:rsidRDefault="00E349F5">
      <w:pPr>
        <w:spacing w:line="360" w:lineRule="auto"/>
        <w:jc w:val="both"/>
        <w:rPr>
          <w:sz w:val="26"/>
          <w:szCs w:val="26"/>
          <w:rtl/>
        </w:rPr>
      </w:pPr>
      <w:r>
        <w:rPr>
          <w:sz w:val="26"/>
          <w:szCs w:val="26"/>
          <w:rtl/>
        </w:rPr>
        <w:t xml:space="preserve">על פי האמור בכתב האישום המתוקן, בשנת 2006 נפסל רשיונו של הנאשם ומאז לא הופקד. ביום 16.3.12 נהג הנאשם ברכב לאחר שעישן סמים מסוג חשיש. הנאשם לא נענה לפניית שוטר לעצור והמשיך לנסוע ברכב במהירות. ניידת משטרה פתחה במרדף אחריו, אך הנאשם לא עצר והמשיך לנסוע תוך שהוא מחליק עם הרכב על הכביש. בשתי הזדמנויות עקף הנאשם ניידת שחסמה את נתיב נסיעתו והמשיך בנסיעה. הוא עקף מספר כלי רכב וחצה קו </w:t>
      </w:r>
      <w:r>
        <w:rPr>
          <w:sz w:val="26"/>
          <w:szCs w:val="26"/>
          <w:rtl/>
        </w:rPr>
        <w:lastRenderedPageBreak/>
        <w:t xml:space="preserve">הפרדה לבן באופן שאילץ את הנהגים בנתיב הנגדי לסטות ממסלולם לשולי הדרך. הנאשם אף חצה פעמיים רמזור אדום במהירות העולה על </w:t>
      </w:r>
      <w:smartTag w:uri="urn:schemas-microsoft-com:office:smarttags" w:element="place">
        <w:smartTagPr>
          <w:attr w:name="ProductID" w:val="120 קמ&quot;ש"/>
        </w:smartTagPr>
        <w:r>
          <w:rPr>
            <w:sz w:val="26"/>
            <w:szCs w:val="26"/>
            <w:rtl/>
          </w:rPr>
          <w:t>120 קמ"ש</w:t>
        </w:r>
      </w:smartTag>
      <w:r>
        <w:rPr>
          <w:sz w:val="26"/>
          <w:szCs w:val="26"/>
          <w:rtl/>
        </w:rPr>
        <w:t>. סופו של דבר, איבד הנאשם שליטה על רכבו ופגע בתמרור. הנאשם ברח ברגל מן המקום, ולאחר מכן נעצר כשבכליו סם מסוג חשיש.</w:t>
      </w:r>
    </w:p>
    <w:p w14:paraId="69B9EFAF" w14:textId="77777777" w:rsidR="006E6ED5" w:rsidRDefault="00E349F5">
      <w:pPr>
        <w:bidi w:val="0"/>
        <w:rPr>
          <w:sz w:val="26"/>
          <w:szCs w:val="26"/>
        </w:rPr>
      </w:pPr>
      <w:r>
        <w:rPr>
          <w:sz w:val="26"/>
          <w:szCs w:val="26"/>
          <w:rtl/>
        </w:rPr>
        <w:br w:type="page"/>
      </w:r>
    </w:p>
    <w:p w14:paraId="1D2D09B5" w14:textId="77777777" w:rsidR="006E6ED5" w:rsidRDefault="006E6ED5">
      <w:pPr>
        <w:spacing w:line="360" w:lineRule="auto"/>
        <w:jc w:val="both"/>
        <w:rPr>
          <w:sz w:val="26"/>
          <w:szCs w:val="26"/>
          <w:rtl/>
        </w:rPr>
      </w:pPr>
    </w:p>
    <w:p w14:paraId="63DA2544" w14:textId="77777777" w:rsidR="006E6ED5" w:rsidRDefault="00E349F5">
      <w:pPr>
        <w:spacing w:line="360" w:lineRule="auto"/>
        <w:jc w:val="both"/>
        <w:rPr>
          <w:sz w:val="26"/>
          <w:szCs w:val="26"/>
          <w:rtl/>
        </w:rPr>
      </w:pPr>
      <w:r>
        <w:rPr>
          <w:sz w:val="26"/>
          <w:szCs w:val="26"/>
          <w:rtl/>
        </w:rPr>
        <w:t>2.</w:t>
      </w:r>
      <w:r>
        <w:rPr>
          <w:sz w:val="26"/>
          <w:szCs w:val="26"/>
          <w:rtl/>
        </w:rPr>
        <w:tab/>
        <w:t>על פי המוסכם בין הצדדים, ערך שירות המבחן תסקיר אודות הנאשם.</w:t>
      </w:r>
    </w:p>
    <w:p w14:paraId="42D48A9A" w14:textId="77777777" w:rsidR="006E6ED5" w:rsidRDefault="006E6ED5">
      <w:pPr>
        <w:spacing w:line="360" w:lineRule="auto"/>
        <w:jc w:val="both"/>
        <w:rPr>
          <w:sz w:val="26"/>
          <w:szCs w:val="26"/>
          <w:rtl/>
        </w:rPr>
      </w:pPr>
    </w:p>
    <w:p w14:paraId="6ED61B2C" w14:textId="77777777" w:rsidR="006E6ED5" w:rsidRDefault="00E349F5">
      <w:pPr>
        <w:spacing w:line="360" w:lineRule="auto"/>
        <w:jc w:val="both"/>
        <w:rPr>
          <w:sz w:val="26"/>
          <w:szCs w:val="26"/>
          <w:rtl/>
        </w:rPr>
      </w:pPr>
      <w:r>
        <w:rPr>
          <w:sz w:val="26"/>
          <w:szCs w:val="26"/>
          <w:rtl/>
        </w:rPr>
        <w:t>על פי האמור בתסקיר מיום 22.11.12, הנאשם הוא בן 35, גרוש ואב לילדה בת חמש. הנאשם עובד באופן קבוע בעבודות בניין ובשיפוצים בבית שמש ומתגורר שם בדירה השייכת למעסיקו. הנאשם סובל מכאבים ברגלו השמאלית עקב תאונה קשה שעבר כשהיה ילד, בגינה נקבעו לו 35% נכות והוא נמצא במעקב רפואי מתמיד. שירות המבחן, המכיר את הנאשם מחקירה קודמת בשנת 2009, התרשם כי מדובר במי שמצוי במצב רוח דכאוני וירוד, טעון בתחושות קשות של נטישה, אכזבה ותסכול, ומבטא עייפות נפשית מן המשברים הרגשיים והכלכליים שחווה בשנים האחרונות. מדובר באדם אינטליגנטי, בעל יכולות חשיבה וביטוי טובות ומודעות למצבו. בבסיסו, הנאשם הוא בעל כוחות ורצון לנהל אורח חיים תקין ונורמטיבי, במיוחד לנוכח היותו מפרנס יחיד ואב חד הורי. שירות המבחן לא התרשם כי קיימים אצל הנאשם קווי אישיות או דפוסי התנהגות עברייניים, ואולם לנוכח מצבי לחץ או משבר הוא נוטה להתנהג בצורה פזיזה וחסרת אחריות. מהשיחה עימו עלה כי לעיתים רחוקות הוא משתמש בסמים, כאמצעי לשחרור מלחצים במצבים של מצוקה רגשית, אך אינו סובל מבעיות התמכרות. שירות המבחן התייחס בתסקירו גם למשפחת המוצא של הנאשם – משפחה בעייתית שאופיינה בעזובה חינוכית ורגשית – וראה ברקע המשפחתי של הנאשם כסיבה למצבו הנוכחי. אשר למשפחה שהקים הנאשם, גרושתו גדלה אף היא במשפחה בעייתית וחיה תקופות ארוכות בפנימיות ובמקלטים. מערכת היחסים בין השניים היתה מתוחה ובעייתית, ולאחר שהתגרשו קיבל הנאשם את המשמורת על בתם של בני הזוג. בפועל, מתגוררת הבת בבית הסבתא בצור-באחר והנאשם קשור אליה ומשתדל לספק את כל צרכיה. הנאשם אף מסייע באופן קבוע להוריו ותומך בהם מבחינה כלכלית.</w:t>
      </w:r>
    </w:p>
    <w:p w14:paraId="26DD5009" w14:textId="77777777" w:rsidR="006E6ED5" w:rsidRDefault="006E6ED5">
      <w:pPr>
        <w:spacing w:line="360" w:lineRule="auto"/>
        <w:jc w:val="both"/>
        <w:rPr>
          <w:sz w:val="26"/>
          <w:szCs w:val="26"/>
          <w:rtl/>
        </w:rPr>
      </w:pPr>
    </w:p>
    <w:p w14:paraId="13543639" w14:textId="77777777" w:rsidR="006E6ED5" w:rsidRDefault="00E349F5">
      <w:pPr>
        <w:spacing w:line="360" w:lineRule="auto"/>
        <w:jc w:val="both"/>
        <w:rPr>
          <w:sz w:val="26"/>
          <w:szCs w:val="26"/>
          <w:rtl/>
        </w:rPr>
      </w:pPr>
      <w:r>
        <w:rPr>
          <w:rFonts w:hint="cs"/>
          <w:sz w:val="26"/>
          <w:szCs w:val="26"/>
          <w:rtl/>
        </w:rPr>
        <w:t xml:space="preserve">ביחס </w:t>
      </w:r>
      <w:r>
        <w:rPr>
          <w:sz w:val="26"/>
          <w:szCs w:val="26"/>
          <w:rtl/>
        </w:rPr>
        <w:t>לעבירה, הנאשם קיבל אחריות חלקית על מעשיו והביע צער וחרטה, אשר שירות המבחן התרשם מאמיתותם. הנאשם מסר כי בעת ביצוע העבירות התנהלו הליכי הגירושין בינו לבין אשתו, ועל רקע זה נקלע למצוקה נפשית קשה. הנאשם הביע בושה וצער לנוכח המעשים המתוארים בכתב האישום וציין כי כיום הוא זהיר ומקפיד על התנהגותו ומנסה לפתור את קשייו בצורה בשלה יותר.</w:t>
      </w:r>
    </w:p>
    <w:p w14:paraId="20B0F117" w14:textId="77777777" w:rsidR="006E6ED5" w:rsidRDefault="006E6ED5">
      <w:pPr>
        <w:spacing w:line="360" w:lineRule="auto"/>
        <w:jc w:val="both"/>
        <w:rPr>
          <w:sz w:val="26"/>
          <w:szCs w:val="26"/>
          <w:rtl/>
        </w:rPr>
      </w:pPr>
    </w:p>
    <w:p w14:paraId="3F1DC4AA" w14:textId="77777777" w:rsidR="006E6ED5" w:rsidRDefault="00E349F5">
      <w:pPr>
        <w:spacing w:line="360" w:lineRule="auto"/>
        <w:jc w:val="both"/>
        <w:rPr>
          <w:sz w:val="26"/>
          <w:szCs w:val="26"/>
          <w:rtl/>
        </w:rPr>
      </w:pPr>
      <w:r>
        <w:rPr>
          <w:sz w:val="26"/>
          <w:szCs w:val="26"/>
          <w:rtl/>
        </w:rPr>
        <w:t>אשר להמלצה, שירות המבחן סובר כי יש להימנע מהטלת מאסר בפועל על הנאשם, ולחלופין להטיל עליו מאסר לתקופה קצרה לריצוי בעבודות שירות. זאת, לנוכח היותו אב חד הורי המפרנס את בתו ומטפל בה; היותו אדם חיובי ובעל רצון לנהל אורח חיים תקין ונורמטיבי; השתלבותו בעבודה קבועה וסיועו לפרנסת הוריו; ומודעותו לקשייו ונסיונו לטפל בבעיותיו.</w:t>
      </w:r>
    </w:p>
    <w:p w14:paraId="740E8845" w14:textId="77777777" w:rsidR="006E6ED5" w:rsidRDefault="006E6ED5">
      <w:pPr>
        <w:spacing w:line="360" w:lineRule="auto"/>
        <w:jc w:val="both"/>
        <w:rPr>
          <w:sz w:val="26"/>
          <w:szCs w:val="26"/>
          <w:rtl/>
        </w:rPr>
      </w:pPr>
    </w:p>
    <w:p w14:paraId="6C8EA916" w14:textId="77777777" w:rsidR="006E6ED5" w:rsidRDefault="00E349F5">
      <w:pPr>
        <w:spacing w:line="360" w:lineRule="auto"/>
        <w:jc w:val="both"/>
        <w:rPr>
          <w:sz w:val="26"/>
          <w:szCs w:val="26"/>
          <w:rtl/>
        </w:rPr>
      </w:pPr>
      <w:r>
        <w:rPr>
          <w:sz w:val="26"/>
          <w:szCs w:val="26"/>
          <w:rtl/>
        </w:rPr>
        <w:t>3.</w:t>
      </w:r>
      <w:r>
        <w:rPr>
          <w:sz w:val="26"/>
          <w:szCs w:val="26"/>
          <w:rtl/>
        </w:rPr>
        <w:tab/>
        <w:t xml:space="preserve">לחובתו של הנאשם שתי הרשעות קודמות: </w:t>
      </w:r>
      <w:r>
        <w:rPr>
          <w:b/>
          <w:bCs/>
          <w:sz w:val="26"/>
          <w:szCs w:val="26"/>
          <w:rtl/>
        </w:rPr>
        <w:t>האחת</w:t>
      </w:r>
      <w:r>
        <w:rPr>
          <w:sz w:val="26"/>
          <w:szCs w:val="26"/>
          <w:rtl/>
        </w:rPr>
        <w:t xml:space="preserve">, משנת 2009 בגין עבירה של הסעת שב"ח, בגינה נדון למאסר למשך 30 ימים לריצוי בעבודות שירות ולמאסר על תנאי; </w:t>
      </w:r>
      <w:r>
        <w:rPr>
          <w:b/>
          <w:bCs/>
          <w:sz w:val="26"/>
          <w:szCs w:val="26"/>
          <w:rtl/>
        </w:rPr>
        <w:t>והשניה</w:t>
      </w:r>
      <w:r>
        <w:rPr>
          <w:sz w:val="26"/>
          <w:szCs w:val="26"/>
          <w:rtl/>
        </w:rPr>
        <w:t>, משנת 1999 בגין גניבה, בגינה נדון למאסר על תנאי.</w:t>
      </w:r>
    </w:p>
    <w:p w14:paraId="37F9B218" w14:textId="77777777" w:rsidR="006E6ED5" w:rsidRDefault="006E6ED5">
      <w:pPr>
        <w:spacing w:line="360" w:lineRule="auto"/>
        <w:jc w:val="both"/>
        <w:rPr>
          <w:sz w:val="26"/>
          <w:szCs w:val="26"/>
          <w:rtl/>
        </w:rPr>
      </w:pPr>
    </w:p>
    <w:p w14:paraId="01321B5D" w14:textId="77777777" w:rsidR="006E6ED5" w:rsidRDefault="00E349F5">
      <w:pPr>
        <w:spacing w:line="360" w:lineRule="auto"/>
        <w:jc w:val="both"/>
        <w:rPr>
          <w:sz w:val="26"/>
          <w:szCs w:val="26"/>
          <w:rtl/>
        </w:rPr>
      </w:pPr>
      <w:r>
        <w:rPr>
          <w:sz w:val="26"/>
          <w:szCs w:val="26"/>
          <w:rtl/>
        </w:rPr>
        <w:t>4.</w:t>
      </w:r>
      <w:r>
        <w:rPr>
          <w:sz w:val="26"/>
          <w:szCs w:val="26"/>
          <w:rtl/>
        </w:rPr>
        <w:tab/>
        <w:t>ב"כ המאשימה טענה כי מתחם הענישה ההולם את מעשי העבירה הוא מאסר בפועל בין שבעה ל-18 חודשים וכן קנס ופסילה. זאת, בשים לב לערכים המוגנים שנפגעו בכך שהנאשם נהג בזמן פסילה ולאחר שעישן סם מסוג חשיש, נמלט מניידת משטרה, נהג בפזיזות וברשלנות, ולבסוף ברח ברגל מן השוטר. בכל אחת מן העבירות מגולמים, כך נטען, זלזול בחוק, באנשי החוק ובחיי אדם. אשר לקביעת העונש בתוך מתחם הענישה, אמנם הנאשם הודה והביע צער על מעשיו, אך מדובר במי שלחובתו עבר פלילי, אשר – כמפורט בתסקיר – נוהג להגיב באימפולסיביות ובחוסר אחריות לנוכח מצבי לחץ ומשבר. בנוגע לנסיבות העבירה, מדובר במי שאיבד שליטה על רכבו ורק בדרך נס לא גרם בהתנהגותו לתוצאות קשות יותר. במצב דברים זה, קיימת חשיבות גם להרתעת הנאשם וגם להרתעתם של עבריינים פוטנציאליים. לפיכך, העונש הראוי לנאשם מצוי ברף הגבוה של מתחם הענישה הנ"ל.</w:t>
      </w:r>
    </w:p>
    <w:p w14:paraId="7A506DB0" w14:textId="77777777" w:rsidR="006E6ED5" w:rsidRDefault="006E6ED5">
      <w:pPr>
        <w:spacing w:line="360" w:lineRule="auto"/>
        <w:jc w:val="both"/>
        <w:rPr>
          <w:sz w:val="26"/>
          <w:szCs w:val="26"/>
          <w:rtl/>
        </w:rPr>
      </w:pPr>
    </w:p>
    <w:p w14:paraId="7A8CEDE6" w14:textId="77777777" w:rsidR="006E6ED5" w:rsidRDefault="00E349F5">
      <w:pPr>
        <w:spacing w:line="360" w:lineRule="auto"/>
        <w:jc w:val="both"/>
        <w:rPr>
          <w:sz w:val="26"/>
          <w:szCs w:val="26"/>
          <w:rtl/>
        </w:rPr>
      </w:pPr>
      <w:r>
        <w:rPr>
          <w:sz w:val="26"/>
          <w:szCs w:val="26"/>
          <w:rtl/>
        </w:rPr>
        <w:t xml:space="preserve">ב"כ הנאשם טען, לעומת זאת, כי לנוכח רמת הענישה הנוהגת, כמובא בגזרי הדין שהגיש, מצוי מתחם הענישה בין מאסר בעבודות שירות לבין מאסר לריצוי בפועל שיכול להגיע גם ל-18 חודשי מאסר. בענייננו, מדובר במי שהודה לאחר שכתב האישום שהוגש נגדו תוקן באורח משמעותי, כך שהעבירה המקורית בה הואשם, שהעונש הצפוי בגינה הוא למשך שנים רבות, הומרה בעבירה של פזיזות ורשלנות שהעונש המקסימלי בגינה עומד על שלוש שנות מאסר. במצב דברים זה, אין זה סביר שהרף התחתון של מתחם הענישה יועמד על שבעה חודשי מאסר לריצוי בפועל. </w:t>
      </w:r>
    </w:p>
    <w:p w14:paraId="0B8F8AC4" w14:textId="77777777" w:rsidR="006E6ED5" w:rsidRDefault="006E6ED5">
      <w:pPr>
        <w:spacing w:line="360" w:lineRule="auto"/>
        <w:jc w:val="both"/>
        <w:rPr>
          <w:sz w:val="26"/>
          <w:szCs w:val="26"/>
          <w:rtl/>
        </w:rPr>
      </w:pPr>
    </w:p>
    <w:p w14:paraId="1CCB3E92" w14:textId="77777777" w:rsidR="006E6ED5" w:rsidRDefault="00E349F5">
      <w:pPr>
        <w:spacing w:line="360" w:lineRule="auto"/>
        <w:jc w:val="both"/>
        <w:rPr>
          <w:sz w:val="26"/>
          <w:szCs w:val="26"/>
          <w:rtl/>
        </w:rPr>
      </w:pPr>
      <w:r>
        <w:rPr>
          <w:sz w:val="26"/>
          <w:szCs w:val="26"/>
          <w:rtl/>
        </w:rPr>
        <w:t>אשר לנסיבותיו האישיות של הנאשם, על פי האמור בתסקיר מדובר במי שנסיבות חייו קשות. הנאשם עבר בילדותו תאונה קשה ממנה הוא סובל עד היום; פרנסת הוריו ובתו עליו; הוא עבר משבר זוגי קשה וכיום הוא מגדל לבד את בתו. הנאשם קיבל אחריות מלאה על מעשיו והוא מבטא חרטה וצער כנים. מאז ביצוע העבירות ועד היום לא נפתח נגדו כל תיק וגם הרשעותיו הקודמות אינן מן החמורות. כפי שנאמר בתסקיר, מדובר באדם טוב ונורמטיבי ביסודו אשר כשל על רקע משבר אישי קשה. מיד לאחר שנעצר, היה הנאשם נתון במעצר בית מלא בבית מעסיקו, אשר הופיע בבית המשפט וחלק לנאשם שבחים, ומאז 20.6.12 הוא נתון במעצר בית חלקי המאפשר לו לעבוד. סופו של דבר, עתר ב"כ הנאשם לאימוץ המלצת שירות המבחן בדבר מאסר קצר לריצוי בעבודות שירות.</w:t>
      </w:r>
    </w:p>
    <w:p w14:paraId="3C2C37D0" w14:textId="77777777" w:rsidR="006E6ED5" w:rsidRDefault="006E6ED5">
      <w:pPr>
        <w:spacing w:line="360" w:lineRule="auto"/>
        <w:jc w:val="both"/>
        <w:rPr>
          <w:sz w:val="26"/>
          <w:szCs w:val="26"/>
          <w:rtl/>
        </w:rPr>
      </w:pPr>
    </w:p>
    <w:p w14:paraId="0765F910" w14:textId="77777777" w:rsidR="006E6ED5" w:rsidRDefault="00E349F5">
      <w:pPr>
        <w:spacing w:line="360" w:lineRule="auto"/>
        <w:jc w:val="both"/>
        <w:rPr>
          <w:sz w:val="26"/>
          <w:szCs w:val="26"/>
          <w:rtl/>
        </w:rPr>
      </w:pPr>
      <w:r>
        <w:rPr>
          <w:sz w:val="26"/>
          <w:szCs w:val="26"/>
          <w:rtl/>
        </w:rPr>
        <w:t>5.</w:t>
      </w:r>
      <w:r>
        <w:rPr>
          <w:sz w:val="26"/>
          <w:szCs w:val="26"/>
          <w:rtl/>
        </w:rPr>
        <w:tab/>
        <w:t>הנאשם בדברו האחרון אמר כי הוא יודע שעשה טעות והוא מצטער על כך. הנאשם הוסיף, כי הוא טרוד בימים אלה בטיפול בהוריו החולים ובבתו. לדבריו, הוא סובל בחייו מגיל צעיר ומתוך לחץ ו"</w:t>
      </w:r>
      <w:r>
        <w:rPr>
          <w:b/>
          <w:bCs/>
          <w:sz w:val="26"/>
          <w:szCs w:val="26"/>
          <w:rtl/>
        </w:rPr>
        <w:t>עצבים</w:t>
      </w:r>
      <w:r>
        <w:rPr>
          <w:sz w:val="26"/>
          <w:szCs w:val="26"/>
          <w:rtl/>
        </w:rPr>
        <w:t>" נהג בטיפשות, אך הוא אינו רוצה לעשות עוד טעויות כדי שבתו לא תסבול לעולם. לדברי הנאשם, הוא התנצל בפני השוטרים מהם ברח וביקש את סליחתם, שכן הוא "</w:t>
      </w:r>
      <w:r>
        <w:rPr>
          <w:b/>
          <w:bCs/>
          <w:sz w:val="26"/>
          <w:szCs w:val="26"/>
          <w:rtl/>
        </w:rPr>
        <w:t>לא שונא אף אדם ולא מסוגל לסכן אנשים</w:t>
      </w:r>
      <w:r>
        <w:rPr>
          <w:sz w:val="26"/>
          <w:szCs w:val="26"/>
          <w:rtl/>
        </w:rPr>
        <w:t>".</w:t>
      </w:r>
    </w:p>
    <w:p w14:paraId="6E108DC3" w14:textId="77777777" w:rsidR="006E6ED5" w:rsidRDefault="006E6ED5">
      <w:pPr>
        <w:spacing w:line="360" w:lineRule="auto"/>
        <w:jc w:val="both"/>
        <w:rPr>
          <w:sz w:val="26"/>
          <w:szCs w:val="26"/>
          <w:rtl/>
        </w:rPr>
      </w:pPr>
    </w:p>
    <w:p w14:paraId="0C1B5F77" w14:textId="77777777" w:rsidR="006E6ED5" w:rsidRDefault="00E349F5">
      <w:pPr>
        <w:spacing w:line="360" w:lineRule="auto"/>
        <w:jc w:val="both"/>
        <w:rPr>
          <w:sz w:val="26"/>
          <w:szCs w:val="26"/>
          <w:rtl/>
        </w:rPr>
      </w:pPr>
      <w:r>
        <w:rPr>
          <w:sz w:val="26"/>
          <w:szCs w:val="26"/>
          <w:rtl/>
        </w:rPr>
        <w:t>עד כאן טענות הצדדים והראיות לעונש.</w:t>
      </w:r>
    </w:p>
    <w:p w14:paraId="112A01D2" w14:textId="77777777" w:rsidR="006E6ED5" w:rsidRDefault="006E6ED5">
      <w:pPr>
        <w:spacing w:line="360" w:lineRule="auto"/>
        <w:jc w:val="both"/>
        <w:rPr>
          <w:sz w:val="26"/>
          <w:szCs w:val="26"/>
          <w:rtl/>
        </w:rPr>
      </w:pPr>
    </w:p>
    <w:p w14:paraId="13948180" w14:textId="77777777" w:rsidR="006E6ED5" w:rsidRDefault="00E349F5">
      <w:pPr>
        <w:spacing w:line="360" w:lineRule="auto"/>
        <w:jc w:val="both"/>
        <w:rPr>
          <w:sz w:val="26"/>
          <w:szCs w:val="26"/>
          <w:rtl/>
        </w:rPr>
      </w:pPr>
      <w:r>
        <w:rPr>
          <w:sz w:val="26"/>
          <w:szCs w:val="26"/>
          <w:rtl/>
        </w:rPr>
        <w:t>6.</w:t>
      </w:r>
      <w:r>
        <w:rPr>
          <w:sz w:val="26"/>
          <w:szCs w:val="26"/>
          <w:rtl/>
        </w:rPr>
        <w:tab/>
        <w:t>עונשו של הנאשם ייגזר על פי הוראות תיקון מס' 113 ל</w:t>
      </w:r>
      <w:hyperlink r:id="rId36" w:history="1">
        <w:r w:rsidR="00DC4E30" w:rsidRPr="00DC4E30">
          <w:rPr>
            <w:rStyle w:val="Hyperlink"/>
            <w:sz w:val="26"/>
            <w:szCs w:val="26"/>
            <w:rtl/>
          </w:rPr>
          <w:t>חוק העונשין</w:t>
        </w:r>
      </w:hyperlink>
      <w:r>
        <w:rPr>
          <w:sz w:val="26"/>
          <w:szCs w:val="26"/>
          <w:rtl/>
        </w:rPr>
        <w:t xml:space="preserve"> בדבר הבניית שיקול הדעת השיפוטי בענישה, החל בענייננו. על פי הוראת </w:t>
      </w:r>
      <w:hyperlink r:id="rId37" w:history="1">
        <w:r w:rsidR="00C46189" w:rsidRPr="00C46189">
          <w:rPr>
            <w:color w:val="0000FF"/>
            <w:sz w:val="26"/>
            <w:szCs w:val="26"/>
            <w:u w:val="single"/>
            <w:rtl/>
          </w:rPr>
          <w:t>סעיף 40ב</w:t>
        </w:r>
      </w:hyperlink>
      <w:r>
        <w:rPr>
          <w:sz w:val="26"/>
          <w:szCs w:val="26"/>
          <w:rtl/>
        </w:rPr>
        <w:t xml:space="preserve"> ל</w:t>
      </w:r>
      <w:hyperlink r:id="rId38" w:history="1">
        <w:r w:rsidR="00DC4E30" w:rsidRPr="00DC4E30">
          <w:rPr>
            <w:rStyle w:val="Hyperlink"/>
            <w:sz w:val="26"/>
            <w:szCs w:val="26"/>
            <w:rtl/>
          </w:rPr>
          <w:t>חוק העונשין</w:t>
        </w:r>
      </w:hyperlink>
      <w:r>
        <w:rPr>
          <w:sz w:val="26"/>
          <w:szCs w:val="26"/>
          <w:rtl/>
        </w:rPr>
        <w:t xml:space="preserve">, עקרון העל בענישה הוא עקרון ההלימה, היינו קיומו של יחס הולם בין חומרת מעשה העבירה בנסיבותיו ואשמתו של הנאשם לבין סוג העונש שמוטל עליו ומידתו. הוראות </w:t>
      </w:r>
      <w:hyperlink r:id="rId39" w:history="1">
        <w:r w:rsidR="00C46189" w:rsidRPr="00C46189">
          <w:rPr>
            <w:color w:val="0000FF"/>
            <w:sz w:val="26"/>
            <w:szCs w:val="26"/>
            <w:u w:val="single"/>
            <w:rtl/>
          </w:rPr>
          <w:t>סעיף 40ג(א)</w:t>
        </w:r>
      </w:hyperlink>
      <w:r>
        <w:rPr>
          <w:sz w:val="26"/>
          <w:szCs w:val="26"/>
          <w:rtl/>
        </w:rPr>
        <w:t xml:space="preserve"> מורות </w:t>
      </w:r>
      <w:r>
        <w:rPr>
          <w:b/>
          <w:bCs/>
          <w:sz w:val="26"/>
          <w:szCs w:val="26"/>
          <w:rtl/>
        </w:rPr>
        <w:t>ראשית</w:t>
      </w:r>
      <w:r>
        <w:rPr>
          <w:sz w:val="26"/>
          <w:szCs w:val="26"/>
          <w:rtl/>
        </w:rPr>
        <w:t xml:space="preserve">, כי יש לקבוע את מתחם הענישה ההולם את מעשה העבירה שביצע הנאשם, בהתחשב בערך החברתי שנפגע מביצוע העבירה, מידת הפגיעה בו, מדיניות הענישה הנוהגת והנסיבות הקשורות לביצוע העבירה, כמפורט </w:t>
      </w:r>
      <w:hyperlink r:id="rId40" w:history="1">
        <w:r w:rsidR="00C46189" w:rsidRPr="00C46189">
          <w:rPr>
            <w:color w:val="0000FF"/>
            <w:sz w:val="26"/>
            <w:szCs w:val="26"/>
            <w:u w:val="single"/>
            <w:rtl/>
          </w:rPr>
          <w:t>בסעיף 40ט</w:t>
        </w:r>
      </w:hyperlink>
      <w:r>
        <w:rPr>
          <w:sz w:val="26"/>
          <w:szCs w:val="26"/>
          <w:rtl/>
        </w:rPr>
        <w:t xml:space="preserve"> ל</w:t>
      </w:r>
      <w:hyperlink r:id="rId41" w:history="1">
        <w:r w:rsidR="00DC4E30" w:rsidRPr="00DC4E30">
          <w:rPr>
            <w:rStyle w:val="Hyperlink"/>
            <w:sz w:val="26"/>
            <w:szCs w:val="26"/>
            <w:rtl/>
          </w:rPr>
          <w:t>חוק העונשין</w:t>
        </w:r>
      </w:hyperlink>
      <w:r>
        <w:rPr>
          <w:sz w:val="26"/>
          <w:szCs w:val="26"/>
          <w:rtl/>
        </w:rPr>
        <w:t xml:space="preserve">. </w:t>
      </w:r>
      <w:r>
        <w:rPr>
          <w:b/>
          <w:bCs/>
          <w:sz w:val="26"/>
          <w:szCs w:val="26"/>
          <w:rtl/>
        </w:rPr>
        <w:t>שנית</w:t>
      </w:r>
      <w:r>
        <w:rPr>
          <w:sz w:val="26"/>
          <w:szCs w:val="26"/>
          <w:rtl/>
        </w:rPr>
        <w:t>, כי בית המשפט יבחן אם ראוי לחרוג ממתחם הענישה לקולא בשל שיקולי שיקום (</w:t>
      </w:r>
      <w:hyperlink r:id="rId42" w:history="1">
        <w:r w:rsidR="00C46189" w:rsidRPr="00C46189">
          <w:rPr>
            <w:color w:val="0000FF"/>
            <w:sz w:val="26"/>
            <w:szCs w:val="26"/>
            <w:u w:val="single"/>
            <w:rtl/>
          </w:rPr>
          <w:t>סעיף 40ד</w:t>
        </w:r>
      </w:hyperlink>
      <w:r>
        <w:rPr>
          <w:sz w:val="26"/>
          <w:szCs w:val="26"/>
          <w:rtl/>
        </w:rPr>
        <w:t xml:space="preserve"> לחוק) או לחומרה לשם הגנה על שלום הציבור (</w:t>
      </w:r>
      <w:hyperlink r:id="rId43" w:history="1">
        <w:r w:rsidR="00C46189" w:rsidRPr="00C46189">
          <w:rPr>
            <w:color w:val="0000FF"/>
            <w:sz w:val="26"/>
            <w:szCs w:val="26"/>
            <w:u w:val="single"/>
            <w:rtl/>
          </w:rPr>
          <w:t>סעיף 40ה</w:t>
        </w:r>
      </w:hyperlink>
      <w:r>
        <w:rPr>
          <w:sz w:val="26"/>
          <w:szCs w:val="26"/>
          <w:rtl/>
        </w:rPr>
        <w:t xml:space="preserve"> לחוק). </w:t>
      </w:r>
      <w:r>
        <w:rPr>
          <w:b/>
          <w:bCs/>
          <w:sz w:val="26"/>
          <w:szCs w:val="26"/>
          <w:rtl/>
        </w:rPr>
        <w:t>שלישית</w:t>
      </w:r>
      <w:r>
        <w:rPr>
          <w:sz w:val="26"/>
          <w:szCs w:val="26"/>
          <w:rtl/>
        </w:rPr>
        <w:t>, כי שיקולי הרתעה אישית או הרתעת הרבים משמשים לקביעת העונש בתוך המתחם, אך אינם מצדיקים חריגה ממנו (</w:t>
      </w:r>
      <w:hyperlink r:id="rId44" w:history="1">
        <w:r w:rsidR="00C46189" w:rsidRPr="00C46189">
          <w:rPr>
            <w:color w:val="0000FF"/>
            <w:sz w:val="26"/>
            <w:szCs w:val="26"/>
            <w:u w:val="single"/>
            <w:rtl/>
          </w:rPr>
          <w:t>סעיפים 40ו</w:t>
        </w:r>
      </w:hyperlink>
      <w:r>
        <w:rPr>
          <w:sz w:val="26"/>
          <w:szCs w:val="26"/>
          <w:rtl/>
        </w:rPr>
        <w:t xml:space="preserve"> ו-</w:t>
      </w:r>
      <w:hyperlink r:id="rId45" w:history="1">
        <w:r w:rsidR="00C46189" w:rsidRPr="00C46189">
          <w:rPr>
            <w:color w:val="0000FF"/>
            <w:sz w:val="26"/>
            <w:szCs w:val="26"/>
            <w:u w:val="single"/>
            <w:rtl/>
          </w:rPr>
          <w:t>40ז</w:t>
        </w:r>
      </w:hyperlink>
      <w:r>
        <w:rPr>
          <w:sz w:val="26"/>
          <w:szCs w:val="26"/>
          <w:rtl/>
        </w:rPr>
        <w:t xml:space="preserve"> לחוק). הוא הדין בנסיבות שאינן קשורות בביצוע העבירה, כגון נסיבותיו האישיות של הנאשם, המשמשות לגזירת העונש המתאים בתוך מתחם הענישה (</w:t>
      </w:r>
      <w:hyperlink r:id="rId46" w:history="1">
        <w:r w:rsidR="00C46189" w:rsidRPr="00C46189">
          <w:rPr>
            <w:color w:val="0000FF"/>
            <w:sz w:val="26"/>
            <w:szCs w:val="26"/>
            <w:u w:val="single"/>
            <w:rtl/>
          </w:rPr>
          <w:t>סעיף 40יא</w:t>
        </w:r>
      </w:hyperlink>
      <w:r>
        <w:rPr>
          <w:sz w:val="26"/>
          <w:szCs w:val="26"/>
          <w:rtl/>
        </w:rPr>
        <w:t xml:space="preserve"> לחוק). הוראה נוספת הרלבנטית לענייננו מצויה </w:t>
      </w:r>
      <w:hyperlink r:id="rId47" w:history="1">
        <w:r w:rsidR="00C46189" w:rsidRPr="00C46189">
          <w:rPr>
            <w:color w:val="0000FF"/>
            <w:sz w:val="26"/>
            <w:szCs w:val="26"/>
            <w:u w:val="single"/>
            <w:rtl/>
          </w:rPr>
          <w:t>בסעיף 40יג(א)</w:t>
        </w:r>
      </w:hyperlink>
      <w:r>
        <w:rPr>
          <w:sz w:val="26"/>
          <w:szCs w:val="26"/>
          <w:rtl/>
        </w:rPr>
        <w:t xml:space="preserve"> ל</w:t>
      </w:r>
      <w:hyperlink r:id="rId48" w:history="1">
        <w:r w:rsidR="00DC4E30" w:rsidRPr="00DC4E30">
          <w:rPr>
            <w:rStyle w:val="Hyperlink"/>
            <w:sz w:val="26"/>
            <w:szCs w:val="26"/>
            <w:rtl/>
          </w:rPr>
          <w:t>חוק העונשין</w:t>
        </w:r>
      </w:hyperlink>
      <w:r>
        <w:rPr>
          <w:sz w:val="26"/>
          <w:szCs w:val="26"/>
          <w:rtl/>
        </w:rPr>
        <w:t>, לפיה מקום שנאשם הורשע במספר עבירות המהוות אירוע אחד, כמו במקרה שלפנינו, ייקבע מתחם עונש הולם לאירוע כולו וייגזר עונש כולל לכל העבירות בשל אותו אירוע.</w:t>
      </w:r>
    </w:p>
    <w:p w14:paraId="4338C56B" w14:textId="77777777" w:rsidR="006E6ED5" w:rsidRDefault="006E6ED5">
      <w:pPr>
        <w:spacing w:line="360" w:lineRule="auto"/>
        <w:jc w:val="both"/>
        <w:rPr>
          <w:sz w:val="26"/>
          <w:szCs w:val="26"/>
          <w:rtl/>
        </w:rPr>
      </w:pPr>
    </w:p>
    <w:p w14:paraId="73FA835E" w14:textId="77777777" w:rsidR="006E6ED5" w:rsidRDefault="00E349F5">
      <w:pPr>
        <w:spacing w:line="360" w:lineRule="auto"/>
        <w:jc w:val="both"/>
        <w:rPr>
          <w:sz w:val="26"/>
          <w:szCs w:val="26"/>
          <w:rtl/>
        </w:rPr>
      </w:pPr>
      <w:r>
        <w:rPr>
          <w:sz w:val="26"/>
          <w:szCs w:val="26"/>
          <w:rtl/>
        </w:rPr>
        <w:t>7.</w:t>
      </w:r>
      <w:r>
        <w:rPr>
          <w:sz w:val="26"/>
          <w:szCs w:val="26"/>
          <w:rtl/>
        </w:rPr>
        <w:tab/>
        <w:t>מן הכלל אל הפרט.</w:t>
      </w:r>
    </w:p>
    <w:p w14:paraId="6C8EA3C2" w14:textId="77777777" w:rsidR="006E6ED5" w:rsidRDefault="006E6ED5">
      <w:pPr>
        <w:spacing w:line="360" w:lineRule="auto"/>
        <w:jc w:val="both"/>
        <w:rPr>
          <w:sz w:val="26"/>
          <w:szCs w:val="26"/>
          <w:rtl/>
        </w:rPr>
      </w:pPr>
    </w:p>
    <w:p w14:paraId="372D37FF" w14:textId="77777777" w:rsidR="006E6ED5" w:rsidRDefault="00E349F5">
      <w:pPr>
        <w:spacing w:line="360" w:lineRule="auto"/>
        <w:jc w:val="both"/>
        <w:rPr>
          <w:sz w:val="26"/>
          <w:szCs w:val="26"/>
          <w:rtl/>
        </w:rPr>
      </w:pPr>
      <w:r>
        <w:rPr>
          <w:sz w:val="26"/>
          <w:szCs w:val="26"/>
          <w:rtl/>
        </w:rPr>
        <w:t xml:space="preserve">אשר לקביעת מתחם הענישה, הנאשם נהג לאחר שעישן סם מסוג חשיש ובתקופת פסילה, ובנהיגתו פעל בפזיזות וברשלנות בכל הנוגע לבטחונם של המשתמשים בדרך, בין היתר בכך שחצה קו הפרדה ורמזור אדום ונהג במהירות. כל זאת, כשהוא נמלט מניידת משטרה הדולקת בעקבותיו. לאחר שהרכב בו נהג נעצר, הנאשם אף ברח מן השוטרים עד שנתפס. במעשיו – הן בעצם נהיגתו בפסילה ולאחר עישון סם והן באופן הנהיגה – גילה הנאשם זלזול – גם בציבור המשתמשים בדרך וגם בחוק ובגוף האמון על אכיפתו, היא המשטרה. בהקשר זה יש לציין, כי בנסיבות העניין מהווים מעשיו של הנאשם עבירה של נהיגה נמהרת ורשלנית לפי </w:t>
      </w:r>
      <w:hyperlink r:id="rId49" w:history="1">
        <w:r w:rsidR="00C46189" w:rsidRPr="00C46189">
          <w:rPr>
            <w:color w:val="0000FF"/>
            <w:sz w:val="26"/>
            <w:szCs w:val="26"/>
            <w:u w:val="single"/>
            <w:rtl/>
          </w:rPr>
          <w:t>סעיף 338(א)(1)</w:t>
        </w:r>
      </w:hyperlink>
      <w:r>
        <w:rPr>
          <w:sz w:val="26"/>
          <w:szCs w:val="26"/>
          <w:rtl/>
        </w:rPr>
        <w:t xml:space="preserve"> ל</w:t>
      </w:r>
      <w:hyperlink r:id="rId50" w:history="1">
        <w:r w:rsidR="00DC4E30" w:rsidRPr="00DC4E30">
          <w:rPr>
            <w:rStyle w:val="Hyperlink"/>
            <w:sz w:val="26"/>
            <w:szCs w:val="26"/>
            <w:rtl/>
          </w:rPr>
          <w:t>חוק העונשין</w:t>
        </w:r>
      </w:hyperlink>
      <w:r>
        <w:rPr>
          <w:sz w:val="26"/>
          <w:szCs w:val="26"/>
          <w:rtl/>
        </w:rPr>
        <w:t xml:space="preserve">, שהיא עבירה קלה יותר מזו הקבועה, למשל, </w:t>
      </w:r>
      <w:hyperlink r:id="rId51" w:history="1">
        <w:r w:rsidR="00C46189" w:rsidRPr="00C46189">
          <w:rPr>
            <w:color w:val="0000FF"/>
            <w:sz w:val="26"/>
            <w:szCs w:val="26"/>
            <w:u w:val="single"/>
            <w:rtl/>
          </w:rPr>
          <w:t>בסעיף 332</w:t>
        </w:r>
      </w:hyperlink>
      <w:r>
        <w:rPr>
          <w:sz w:val="26"/>
          <w:szCs w:val="26"/>
          <w:rtl/>
        </w:rPr>
        <w:t xml:space="preserve"> לחוק העונשין בדבר סיכון חיי אנשים במזיד בנתיב תחבורה. העונש הראוי בנסיבות העניין, וזו גם מדיניות הענישה הנוהגת, הוא עונש מאסר, ואולם שלא כסברת ב"כ המאשימה, אני מוצאת כי טווח הענישה כולל גם מאסר לריצוי בעבודות שירות. בשים לב לכל אלה, אני קובעת כי מתחם הענישה ההולם את מעשי העבירה שביצע הנאשם הוא מאסר בטווח שבין חמישה עד 18 חודשים וכן קנס ופסילה.</w:t>
      </w:r>
    </w:p>
    <w:p w14:paraId="5CCA087A" w14:textId="77777777" w:rsidR="006E6ED5" w:rsidRDefault="006E6ED5">
      <w:pPr>
        <w:spacing w:line="360" w:lineRule="auto"/>
        <w:jc w:val="both"/>
        <w:rPr>
          <w:sz w:val="26"/>
          <w:szCs w:val="26"/>
          <w:rtl/>
        </w:rPr>
      </w:pPr>
    </w:p>
    <w:p w14:paraId="4DB41E2A" w14:textId="77777777" w:rsidR="006E6ED5" w:rsidRDefault="00E349F5">
      <w:pPr>
        <w:spacing w:line="360" w:lineRule="auto"/>
        <w:jc w:val="both"/>
        <w:rPr>
          <w:sz w:val="26"/>
          <w:szCs w:val="26"/>
          <w:rtl/>
        </w:rPr>
      </w:pPr>
      <w:r>
        <w:rPr>
          <w:sz w:val="26"/>
          <w:szCs w:val="26"/>
          <w:rtl/>
        </w:rPr>
        <w:t>אשר לקביעת עונשו של הנאשם בתוך מתחם הענישה, איני סבורה כי יש לגזור את העונש ברף הגבוה של המתחם. זאת, בשים לב להודאתו של הנאשם ולחרטתו הכנה; נסיבות חייו כמפורט בתסקיר שירות המבחן ובמיוחד היותו הורה יחיד לבתו הקטנה; התרשמות שירות המבחן מאישיותו החיובית והמלצתו לענישה מקלה. נתתי דעתי גם להרשעותיו הקודמות, ואולם אין מדובר בעבר מכביד שיש בו כדי להוות נסיבה משמעותית לחומרה. עוד אציין, כי הנאשם לא ריצה מעולם עונש מאסר. בסך הכל, למרות נסיבות חייו הקשות, הצליח הנאשם</w:t>
      </w:r>
      <w:r>
        <w:rPr>
          <w:rFonts w:hint="cs"/>
          <w:sz w:val="26"/>
          <w:szCs w:val="26"/>
          <w:rtl/>
        </w:rPr>
        <w:t xml:space="preserve"> </w:t>
      </w:r>
      <w:r>
        <w:rPr>
          <w:sz w:val="26"/>
          <w:szCs w:val="26"/>
          <w:rtl/>
        </w:rPr>
        <w:t>בדרך כלל לקיים אורח חיים נורמטיבי והוא עובד באופן קבוע מאז בגר. לצד הנסיבות שאינן קשורות בביצוע העבירה, המטות את העונש לקולא, יש לתת את הדעת לשיקולים בדבר הרתעת היחיד והרבים, שלהם רלבנטיות רבה בענייננו, הן באשר לנאשם עצמו והן באשר לעבריינים בכוח. שיקולים אלה מטים את הכף לחומרה. מאחר שסברתי כי אין לחסום לפני הנאשם את האפשרות לרצות עונש מאסר בעבודות שרות, הוא הופנה לממונה על עבודות השרות לשם קבלת חוות דעת. דא עקא, הנאשם לא התייצב לראיון לאחר שניתנו לו שתי הזדמנויות לעשות כן</w:t>
      </w:r>
      <w:r>
        <w:rPr>
          <w:rFonts w:hint="cs"/>
          <w:sz w:val="26"/>
          <w:szCs w:val="26"/>
          <w:rtl/>
        </w:rPr>
        <w:t>.</w:t>
      </w:r>
      <w:r>
        <w:rPr>
          <w:sz w:val="26"/>
          <w:szCs w:val="26"/>
          <w:rtl/>
        </w:rPr>
        <w:t xml:space="preserve"> </w:t>
      </w:r>
      <w:r>
        <w:rPr>
          <w:rFonts w:hint="cs"/>
          <w:sz w:val="26"/>
          <w:szCs w:val="26"/>
          <w:rtl/>
        </w:rPr>
        <w:t xml:space="preserve">הממונה על עבודות השרות התרשם כי מדובר במועמד חסר מוטיבציה ולא המליץ על השמתו במסגרת עבודות שירות. בנסיבות אלה, </w:t>
      </w:r>
      <w:r>
        <w:rPr>
          <w:sz w:val="26"/>
          <w:szCs w:val="26"/>
          <w:rtl/>
        </w:rPr>
        <w:t>יש לראות</w:t>
      </w:r>
      <w:r>
        <w:rPr>
          <w:rFonts w:hint="cs"/>
          <w:sz w:val="26"/>
          <w:szCs w:val="26"/>
          <w:rtl/>
        </w:rPr>
        <w:t xml:space="preserve"> את הנאשם </w:t>
      </w:r>
      <w:r>
        <w:rPr>
          <w:sz w:val="26"/>
          <w:szCs w:val="26"/>
          <w:rtl/>
        </w:rPr>
        <w:t xml:space="preserve">כמי שאינו </w:t>
      </w:r>
      <w:r>
        <w:rPr>
          <w:rFonts w:hint="cs"/>
          <w:sz w:val="26"/>
          <w:szCs w:val="26"/>
          <w:rtl/>
        </w:rPr>
        <w:t>מתאים לריצוי עונש מאסר בעבודות שירות</w:t>
      </w:r>
      <w:r>
        <w:rPr>
          <w:sz w:val="26"/>
          <w:szCs w:val="26"/>
          <w:rtl/>
        </w:rPr>
        <w:t>.</w:t>
      </w:r>
    </w:p>
    <w:p w14:paraId="11F6160A" w14:textId="77777777" w:rsidR="006E6ED5" w:rsidRDefault="006E6ED5">
      <w:pPr>
        <w:spacing w:line="360" w:lineRule="auto"/>
        <w:jc w:val="both"/>
        <w:rPr>
          <w:sz w:val="26"/>
          <w:szCs w:val="26"/>
          <w:rtl/>
        </w:rPr>
      </w:pPr>
    </w:p>
    <w:p w14:paraId="28B83CE0" w14:textId="77777777" w:rsidR="006E6ED5" w:rsidRDefault="00E349F5">
      <w:pPr>
        <w:spacing w:line="360" w:lineRule="auto"/>
        <w:jc w:val="both"/>
        <w:rPr>
          <w:sz w:val="26"/>
          <w:szCs w:val="26"/>
          <w:rtl/>
        </w:rPr>
      </w:pPr>
      <w:r>
        <w:rPr>
          <w:sz w:val="26"/>
          <w:szCs w:val="26"/>
          <w:rtl/>
        </w:rPr>
        <w:t>8.</w:t>
      </w:r>
      <w:r>
        <w:rPr>
          <w:sz w:val="26"/>
          <w:szCs w:val="26"/>
          <w:rtl/>
        </w:rPr>
        <w:tab/>
        <w:t>על יסוד כל האמור לעיל ולאחר שנתתי דעתי למכלול השיקולים, אני מחליטה לגזור את עונשו של הנאשם כדלקמן:</w:t>
      </w:r>
    </w:p>
    <w:p w14:paraId="3F041C8A" w14:textId="77777777" w:rsidR="006E6ED5" w:rsidRDefault="006E6ED5">
      <w:pPr>
        <w:spacing w:line="360" w:lineRule="auto"/>
        <w:jc w:val="both"/>
        <w:rPr>
          <w:sz w:val="26"/>
          <w:szCs w:val="26"/>
          <w:rtl/>
        </w:rPr>
      </w:pPr>
    </w:p>
    <w:p w14:paraId="1BC7B8B2" w14:textId="77777777" w:rsidR="006E6ED5" w:rsidRDefault="00E349F5">
      <w:pPr>
        <w:spacing w:line="360" w:lineRule="auto"/>
        <w:ind w:left="720"/>
        <w:jc w:val="both"/>
        <w:rPr>
          <w:sz w:val="26"/>
          <w:szCs w:val="26"/>
          <w:rtl/>
        </w:rPr>
      </w:pPr>
      <w:r>
        <w:rPr>
          <w:sz w:val="26"/>
          <w:szCs w:val="26"/>
          <w:rtl/>
        </w:rPr>
        <w:t>א.</w:t>
      </w:r>
      <w:r>
        <w:rPr>
          <w:sz w:val="26"/>
          <w:szCs w:val="26"/>
          <w:rtl/>
        </w:rPr>
        <w:tab/>
        <w:t xml:space="preserve">מאסר למשך </w:t>
      </w:r>
      <w:r>
        <w:rPr>
          <w:rFonts w:hint="cs"/>
          <w:sz w:val="26"/>
          <w:szCs w:val="26"/>
          <w:rtl/>
        </w:rPr>
        <w:t>שישה</w:t>
      </w:r>
      <w:r>
        <w:rPr>
          <w:sz w:val="26"/>
          <w:szCs w:val="26"/>
          <w:rtl/>
        </w:rPr>
        <w:t xml:space="preserve"> חודשים</w:t>
      </w:r>
      <w:r>
        <w:rPr>
          <w:rFonts w:hint="cs"/>
          <w:sz w:val="26"/>
          <w:szCs w:val="26"/>
          <w:rtl/>
        </w:rPr>
        <w:t xml:space="preserve"> ויום אחד</w:t>
      </w:r>
      <w:r>
        <w:rPr>
          <w:sz w:val="26"/>
          <w:szCs w:val="26"/>
          <w:rtl/>
        </w:rPr>
        <w:t xml:space="preserve"> לריצוי בפועל.</w:t>
      </w:r>
    </w:p>
    <w:p w14:paraId="580540FB" w14:textId="77777777" w:rsidR="006E6ED5" w:rsidRDefault="00E349F5">
      <w:pPr>
        <w:spacing w:line="360" w:lineRule="auto"/>
        <w:ind w:left="1440" w:hanging="720"/>
        <w:jc w:val="both"/>
        <w:rPr>
          <w:sz w:val="26"/>
          <w:szCs w:val="26"/>
          <w:rtl/>
        </w:rPr>
      </w:pPr>
      <w:r>
        <w:rPr>
          <w:sz w:val="26"/>
          <w:szCs w:val="26"/>
          <w:rtl/>
        </w:rPr>
        <w:t>ב.</w:t>
      </w:r>
      <w:r>
        <w:rPr>
          <w:sz w:val="26"/>
          <w:szCs w:val="26"/>
          <w:rtl/>
        </w:rPr>
        <w:tab/>
        <w:t>מאסר על תנאי למשך ארבעה חודשים, והתנאי הוא שתוך שלוש שנים מיום שחרורו מן המאסר לא יעבור הנאשם עבירה מן העבירות בהן הורשע.</w:t>
      </w:r>
    </w:p>
    <w:p w14:paraId="5C9ABF7D" w14:textId="77777777" w:rsidR="006E6ED5" w:rsidRDefault="00E349F5">
      <w:pPr>
        <w:spacing w:line="360" w:lineRule="auto"/>
        <w:ind w:left="720"/>
        <w:jc w:val="both"/>
        <w:rPr>
          <w:sz w:val="26"/>
          <w:szCs w:val="26"/>
          <w:rtl/>
        </w:rPr>
      </w:pPr>
      <w:r>
        <w:rPr>
          <w:sz w:val="26"/>
          <w:szCs w:val="26"/>
          <w:rtl/>
        </w:rPr>
        <w:t>ג.</w:t>
      </w:r>
      <w:r>
        <w:rPr>
          <w:sz w:val="26"/>
          <w:szCs w:val="26"/>
          <w:rtl/>
        </w:rPr>
        <w:tab/>
        <w:t>פסילה מלהחזיק ר</w:t>
      </w:r>
      <w:r>
        <w:rPr>
          <w:rFonts w:hint="cs"/>
          <w:sz w:val="26"/>
          <w:szCs w:val="26"/>
          <w:rtl/>
        </w:rPr>
        <w:t>י</w:t>
      </w:r>
      <w:r>
        <w:rPr>
          <w:sz w:val="26"/>
          <w:szCs w:val="26"/>
          <w:rtl/>
        </w:rPr>
        <w:t>שיון נהיגה למשך ארבע שנים, החל מהיום.</w:t>
      </w:r>
    </w:p>
    <w:p w14:paraId="37B1043D" w14:textId="77777777" w:rsidR="006E6ED5" w:rsidRDefault="00E349F5">
      <w:pPr>
        <w:spacing w:line="360" w:lineRule="auto"/>
        <w:ind w:left="720"/>
        <w:jc w:val="both"/>
        <w:rPr>
          <w:sz w:val="26"/>
          <w:szCs w:val="26"/>
          <w:rtl/>
        </w:rPr>
      </w:pPr>
      <w:r>
        <w:rPr>
          <w:sz w:val="26"/>
          <w:szCs w:val="26"/>
          <w:rtl/>
        </w:rPr>
        <w:t>ד.</w:t>
      </w:r>
      <w:r>
        <w:rPr>
          <w:sz w:val="26"/>
          <w:szCs w:val="26"/>
          <w:rtl/>
        </w:rPr>
        <w:tab/>
        <w:t>בנסיבות הענין ולנוכח מצבו הכלכלי של הנאשם, איני גוזרת עונש של קנס.</w:t>
      </w:r>
    </w:p>
    <w:p w14:paraId="1CFC6C3B" w14:textId="77777777" w:rsidR="006E6ED5" w:rsidRDefault="006E6ED5">
      <w:pPr>
        <w:spacing w:line="360" w:lineRule="auto"/>
        <w:ind w:left="720"/>
        <w:jc w:val="both"/>
        <w:rPr>
          <w:sz w:val="26"/>
          <w:szCs w:val="26"/>
          <w:rtl/>
        </w:rPr>
      </w:pPr>
    </w:p>
    <w:p w14:paraId="1AD0E5A2" w14:textId="77777777" w:rsidR="006E6ED5" w:rsidRDefault="00E349F5">
      <w:pPr>
        <w:spacing w:line="360" w:lineRule="auto"/>
        <w:jc w:val="both"/>
        <w:rPr>
          <w:b/>
          <w:bCs/>
          <w:sz w:val="26"/>
          <w:szCs w:val="26"/>
          <w:rtl/>
        </w:rPr>
      </w:pPr>
      <w:r>
        <w:rPr>
          <w:b/>
          <w:bCs/>
          <w:sz w:val="26"/>
          <w:szCs w:val="26"/>
          <w:rtl/>
        </w:rPr>
        <w:t>זכות ערעור לבית המשפט העליון תוך 45 יום מהיום.</w:t>
      </w:r>
    </w:p>
    <w:p w14:paraId="5B06354B" w14:textId="77777777" w:rsidR="006E6ED5" w:rsidRDefault="00E349F5">
      <w:pPr>
        <w:spacing w:line="360" w:lineRule="auto"/>
        <w:jc w:val="both"/>
        <w:rPr>
          <w:b/>
          <w:bCs/>
          <w:sz w:val="26"/>
          <w:szCs w:val="26"/>
          <w:rtl/>
        </w:rPr>
      </w:pPr>
      <w:r>
        <w:rPr>
          <w:b/>
          <w:bCs/>
          <w:sz w:val="26"/>
          <w:szCs w:val="26"/>
          <w:rtl/>
        </w:rPr>
        <w:t>המזכירות תשלח העתקים לשירות המבחן ולממונה על עבודות השירות.</w:t>
      </w:r>
    </w:p>
    <w:p w14:paraId="183755FD" w14:textId="77777777" w:rsidR="006E6ED5" w:rsidRDefault="00E349F5">
      <w:pPr>
        <w:spacing w:line="360" w:lineRule="auto"/>
        <w:jc w:val="both"/>
        <w:rPr>
          <w:rFonts w:ascii="Arial" w:hAnsi="Arial"/>
          <w:b/>
          <w:bCs/>
          <w:sz w:val="26"/>
          <w:szCs w:val="26"/>
        </w:rPr>
      </w:pPr>
      <w:r>
        <w:rPr>
          <w:rFonts w:ascii="Arial" w:hAnsi="Arial"/>
          <w:b/>
          <w:bCs/>
          <w:sz w:val="26"/>
          <w:szCs w:val="26"/>
          <w:rtl/>
        </w:rPr>
        <w:t>ניתן היום,</w:t>
      </w:r>
      <w:r>
        <w:rPr>
          <w:rFonts w:ascii="Arial" w:hAnsi="Arial" w:hint="cs"/>
          <w:b/>
          <w:bCs/>
          <w:sz w:val="26"/>
          <w:szCs w:val="26"/>
          <w:rtl/>
        </w:rPr>
        <w:t xml:space="preserve"> </w:t>
      </w:r>
      <w:r>
        <w:rPr>
          <w:rFonts w:hint="cs"/>
          <w:b/>
          <w:bCs/>
          <w:sz w:val="26"/>
          <w:szCs w:val="26"/>
          <w:rtl/>
        </w:rPr>
        <w:t>ג' באדר תשע"ג</w:t>
      </w:r>
      <w:r>
        <w:rPr>
          <w:rFonts w:ascii="Arial" w:hAnsi="Arial"/>
          <w:b/>
          <w:bCs/>
          <w:sz w:val="26"/>
          <w:szCs w:val="26"/>
          <w:rtl/>
        </w:rPr>
        <w:t xml:space="preserve">, </w:t>
      </w:r>
      <w:r>
        <w:rPr>
          <w:rFonts w:hint="cs"/>
          <w:b/>
          <w:bCs/>
          <w:sz w:val="26"/>
          <w:szCs w:val="26"/>
          <w:rtl/>
        </w:rPr>
        <w:t>13 בפברואר 2013</w:t>
      </w:r>
      <w:r>
        <w:rPr>
          <w:rFonts w:ascii="Arial" w:hAnsi="Arial"/>
          <w:b/>
          <w:bCs/>
          <w:sz w:val="26"/>
          <w:szCs w:val="26"/>
          <w:rtl/>
        </w:rPr>
        <w:t xml:space="preserve">, </w:t>
      </w:r>
      <w:r>
        <w:rPr>
          <w:rFonts w:ascii="Arial" w:hAnsi="Arial" w:hint="cs"/>
          <w:b/>
          <w:bCs/>
          <w:sz w:val="26"/>
          <w:szCs w:val="26"/>
          <w:rtl/>
        </w:rPr>
        <w:t xml:space="preserve">במעמד ב"כ המאשימה, הנאשם ובא כוחו. </w:t>
      </w:r>
    </w:p>
    <w:tbl>
      <w:tblPr>
        <w:bidiVisual/>
        <w:tblW w:w="8820" w:type="dxa"/>
        <w:tblLook w:val="01E0" w:firstRow="1" w:lastRow="1" w:firstColumn="1" w:lastColumn="1" w:noHBand="0" w:noVBand="0"/>
      </w:tblPr>
      <w:tblGrid>
        <w:gridCol w:w="5040"/>
        <w:gridCol w:w="3352"/>
        <w:gridCol w:w="428"/>
      </w:tblGrid>
      <w:tr w:rsidR="006E6ED5" w14:paraId="4C075F35" w14:textId="77777777">
        <w:trPr>
          <w:gridBefore w:val="1"/>
          <w:gridAfter w:val="1"/>
          <w:wBefore w:w="5040" w:type="dxa"/>
          <w:wAfter w:w="428" w:type="dxa"/>
        </w:trPr>
        <w:tc>
          <w:tcPr>
            <w:tcW w:w="3352" w:type="dxa"/>
            <w:tcBorders>
              <w:top w:val="nil"/>
              <w:left w:val="nil"/>
              <w:bottom w:val="single" w:sz="4" w:space="0" w:color="auto"/>
              <w:right w:val="nil"/>
            </w:tcBorders>
            <w:vAlign w:val="center"/>
          </w:tcPr>
          <w:p w14:paraId="1DEA994A" w14:textId="77777777" w:rsidR="006E6ED5" w:rsidRDefault="006E6ED5">
            <w:pPr>
              <w:jc w:val="center"/>
              <w:rPr>
                <w:rFonts w:ascii="Courier New" w:hAnsi="Courier New"/>
                <w:b/>
                <w:bCs/>
              </w:rPr>
            </w:pPr>
          </w:p>
        </w:tc>
      </w:tr>
      <w:tr w:rsidR="006E6ED5" w14:paraId="0E1C8455" w14:textId="77777777">
        <w:trPr>
          <w:gridBefore w:val="1"/>
          <w:gridAfter w:val="1"/>
          <w:wBefore w:w="5040" w:type="dxa"/>
          <w:wAfter w:w="428" w:type="dxa"/>
        </w:trPr>
        <w:tc>
          <w:tcPr>
            <w:tcW w:w="3352" w:type="dxa"/>
            <w:tcBorders>
              <w:top w:val="single" w:sz="4" w:space="0" w:color="auto"/>
              <w:left w:val="nil"/>
              <w:bottom w:val="nil"/>
              <w:right w:val="nil"/>
            </w:tcBorders>
            <w:vAlign w:val="center"/>
          </w:tcPr>
          <w:p w14:paraId="51DC5E5A" w14:textId="77777777" w:rsidR="006E6ED5" w:rsidRDefault="00E349F5">
            <w:pPr>
              <w:jc w:val="center"/>
              <w:rPr>
                <w:rFonts w:ascii="Arial" w:hAnsi="Arial"/>
                <w:b/>
                <w:bCs/>
                <w:sz w:val="26"/>
                <w:szCs w:val="26"/>
              </w:rPr>
            </w:pPr>
            <w:r>
              <w:rPr>
                <w:rFonts w:ascii="Arial" w:hAnsi="Arial" w:hint="cs"/>
                <w:b/>
                <w:bCs/>
                <w:sz w:val="26"/>
                <w:szCs w:val="26"/>
                <w:rtl/>
              </w:rPr>
              <w:t>אורית אפעל גבאי, שופטת</w:t>
            </w:r>
          </w:p>
        </w:tc>
      </w:tr>
      <w:tr w:rsidR="006E6ED5" w14:paraId="55F57E11" w14:textId="7777777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5"/>
          <w:jc w:val="center"/>
        </w:trPr>
        <w:tc>
          <w:tcPr>
            <w:tcW w:w="8820" w:type="dxa"/>
            <w:gridSpan w:val="3"/>
            <w:tcBorders>
              <w:top w:val="nil"/>
              <w:left w:val="nil"/>
              <w:bottom w:val="nil"/>
              <w:right w:val="nil"/>
            </w:tcBorders>
          </w:tcPr>
          <w:p w14:paraId="770D57FD" w14:textId="77777777" w:rsidR="006E6ED5" w:rsidRDefault="00E349F5">
            <w:pPr>
              <w:jc w:val="center"/>
              <w:rPr>
                <w:rFonts w:ascii="Arial" w:hAnsi="Arial"/>
                <w:sz w:val="30"/>
                <w:szCs w:val="30"/>
                <w:u w:val="single"/>
                <w:rtl/>
              </w:rPr>
            </w:pPr>
            <w:r>
              <w:rPr>
                <w:rFonts w:ascii="Arial" w:hAnsi="Arial" w:hint="cs"/>
                <w:b/>
                <w:bCs/>
                <w:sz w:val="30"/>
                <w:szCs w:val="30"/>
                <w:u w:val="single"/>
                <w:rtl/>
              </w:rPr>
              <w:t>החלטה</w:t>
            </w:r>
          </w:p>
        </w:tc>
      </w:tr>
    </w:tbl>
    <w:p w14:paraId="45F24770" w14:textId="77777777" w:rsidR="006E6ED5" w:rsidRDefault="006E6ED5">
      <w:pPr>
        <w:pStyle w:val="David"/>
        <w:rPr>
          <w:sz w:val="26"/>
          <w:szCs w:val="26"/>
          <w:rtl/>
        </w:rPr>
      </w:pPr>
    </w:p>
    <w:p w14:paraId="7AAB77CA" w14:textId="77777777" w:rsidR="006E6ED5" w:rsidRDefault="00E349F5">
      <w:pPr>
        <w:pStyle w:val="David"/>
        <w:rPr>
          <w:sz w:val="26"/>
          <w:szCs w:val="26"/>
          <w:rtl/>
        </w:rPr>
      </w:pPr>
      <w:r>
        <w:rPr>
          <w:rFonts w:hint="cs"/>
          <w:sz w:val="26"/>
          <w:szCs w:val="26"/>
          <w:rtl/>
        </w:rPr>
        <w:t xml:space="preserve">כמבוקש בענין אי הפקדת רשיונו של הנאשם. </w:t>
      </w:r>
    </w:p>
    <w:p w14:paraId="1F1F7400" w14:textId="77777777" w:rsidR="006E6ED5" w:rsidRDefault="006E6ED5">
      <w:pPr>
        <w:pStyle w:val="David"/>
        <w:rPr>
          <w:sz w:val="26"/>
          <w:szCs w:val="26"/>
          <w:rtl/>
        </w:rPr>
      </w:pPr>
    </w:p>
    <w:p w14:paraId="14B1E1F8" w14:textId="77777777" w:rsidR="006E6ED5" w:rsidRDefault="00E349F5">
      <w:pPr>
        <w:pStyle w:val="David"/>
        <w:rPr>
          <w:sz w:val="26"/>
          <w:szCs w:val="26"/>
          <w:rtl/>
        </w:rPr>
      </w:pPr>
      <w:r>
        <w:rPr>
          <w:rFonts w:hint="cs"/>
          <w:sz w:val="26"/>
          <w:szCs w:val="26"/>
          <w:rtl/>
        </w:rPr>
        <w:t xml:space="preserve">בנסיבות הענין אני קובעת כי הנאשם יתייצב לריצוי העונש ביום 12.5.2013. ככל שיחפוץ הנאשם בעיכוב ביצוע העונש מעבר לכך, ואם יוגש ערעור, כי אז תוגש בקשה מתאימה לערכאת הערעור. </w:t>
      </w:r>
    </w:p>
    <w:p w14:paraId="0736A2E4" w14:textId="77777777" w:rsidR="006E6ED5" w:rsidRDefault="006E6ED5">
      <w:pPr>
        <w:pStyle w:val="David"/>
        <w:rPr>
          <w:sz w:val="26"/>
          <w:szCs w:val="26"/>
          <w:rtl/>
        </w:rPr>
      </w:pPr>
    </w:p>
    <w:p w14:paraId="5613B65B" w14:textId="77777777" w:rsidR="007954E9" w:rsidRPr="007954E9" w:rsidRDefault="007954E9" w:rsidP="007954E9">
      <w:pPr>
        <w:keepNext/>
        <w:spacing w:line="360" w:lineRule="auto"/>
        <w:rPr>
          <w:rFonts w:ascii="David" w:hAnsi="David"/>
          <w:color w:val="000000"/>
          <w:sz w:val="22"/>
          <w:szCs w:val="22"/>
          <w:rtl/>
        </w:rPr>
      </w:pPr>
      <w:r w:rsidRPr="007954E9">
        <w:rPr>
          <w:rFonts w:ascii="David" w:hAnsi="David"/>
          <w:color w:val="000000"/>
          <w:sz w:val="22"/>
          <w:szCs w:val="22"/>
          <w:rtl/>
        </w:rPr>
        <w:t>אורית אפעל גבאי 54678313-/</w:t>
      </w:r>
    </w:p>
    <w:p w14:paraId="4D479D5F" w14:textId="77777777" w:rsidR="006E6ED5" w:rsidRDefault="007954E9">
      <w:pPr>
        <w:spacing w:line="360" w:lineRule="auto"/>
        <w:jc w:val="both"/>
        <w:rPr>
          <w:rFonts w:ascii="Arial" w:hAnsi="Arial"/>
          <w:b/>
          <w:bCs/>
          <w:sz w:val="26"/>
          <w:szCs w:val="26"/>
          <w:rtl/>
        </w:rPr>
      </w:pPr>
      <w:r w:rsidRPr="007954E9">
        <w:rPr>
          <w:rFonts w:ascii="Arial" w:hAnsi="Arial"/>
          <w:b/>
          <w:bCs/>
          <w:color w:val="FFFFFF"/>
          <w:sz w:val="2"/>
          <w:szCs w:val="2"/>
          <w:rtl/>
        </w:rPr>
        <w:t>5129371</w:t>
      </w:r>
      <w:r w:rsidR="00E349F5" w:rsidRPr="00E349F5">
        <w:rPr>
          <w:rFonts w:ascii="Arial" w:hAnsi="Arial"/>
          <w:b/>
          <w:bCs/>
          <w:color w:val="FFFFFF"/>
          <w:sz w:val="2"/>
          <w:szCs w:val="2"/>
          <w:rtl/>
        </w:rPr>
        <w:t>5129371</w:t>
      </w:r>
      <w:r w:rsidR="00E349F5">
        <w:rPr>
          <w:rFonts w:ascii="Arial" w:hAnsi="Arial"/>
          <w:b/>
          <w:bCs/>
          <w:sz w:val="26"/>
          <w:szCs w:val="26"/>
          <w:rtl/>
        </w:rPr>
        <w:t xml:space="preserve">ניתנה היום, ג' באדר תשע"ג, 13 בפברואר 2013, במעמד ב"כ המאשימה, הנאשם ובא </w:t>
      </w:r>
      <w:r w:rsidR="00E349F5">
        <w:rPr>
          <w:rFonts w:ascii="Arial" w:hAnsi="Arial" w:hint="cs"/>
          <w:b/>
          <w:bCs/>
          <w:sz w:val="26"/>
          <w:szCs w:val="26"/>
          <w:rtl/>
        </w:rPr>
        <w:t xml:space="preserve">כוחו. </w:t>
      </w:r>
    </w:p>
    <w:tbl>
      <w:tblPr>
        <w:bidiVisual/>
        <w:tblW w:w="0" w:type="auto"/>
        <w:tblInd w:w="5040" w:type="dxa"/>
        <w:tblLook w:val="01E0" w:firstRow="1" w:lastRow="1" w:firstColumn="1" w:lastColumn="1" w:noHBand="0" w:noVBand="0"/>
      </w:tblPr>
      <w:tblGrid>
        <w:gridCol w:w="3352"/>
      </w:tblGrid>
      <w:tr w:rsidR="006E6ED5" w14:paraId="27169FDA" w14:textId="77777777">
        <w:tc>
          <w:tcPr>
            <w:tcW w:w="3352" w:type="dxa"/>
            <w:tcBorders>
              <w:top w:val="nil"/>
              <w:left w:val="nil"/>
              <w:bottom w:val="single" w:sz="4" w:space="0" w:color="auto"/>
              <w:right w:val="nil"/>
            </w:tcBorders>
            <w:vAlign w:val="center"/>
          </w:tcPr>
          <w:p w14:paraId="4F6D16F5" w14:textId="77777777" w:rsidR="006E6ED5" w:rsidRPr="00E349F5" w:rsidRDefault="007954E9">
            <w:pPr>
              <w:jc w:val="center"/>
              <w:rPr>
                <w:rFonts w:ascii="Courier New" w:hAnsi="Courier New"/>
                <w:b/>
                <w:bCs/>
                <w:color w:val="FFFFFF"/>
                <w:sz w:val="2"/>
                <w:szCs w:val="2"/>
              </w:rPr>
            </w:pPr>
            <w:r w:rsidRPr="007954E9">
              <w:rPr>
                <w:rFonts w:ascii="Courier New" w:hAnsi="Courier New"/>
                <w:b/>
                <w:bCs/>
                <w:color w:val="FFFFFF"/>
                <w:sz w:val="2"/>
                <w:szCs w:val="2"/>
                <w:rtl/>
              </w:rPr>
              <w:t>54678313</w:t>
            </w:r>
            <w:r w:rsidR="00E349F5" w:rsidRPr="00E349F5">
              <w:rPr>
                <w:rFonts w:ascii="Courier New" w:hAnsi="Courier New"/>
                <w:b/>
                <w:bCs/>
                <w:color w:val="FFFFFF"/>
                <w:sz w:val="2"/>
                <w:szCs w:val="2"/>
                <w:rtl/>
              </w:rPr>
              <w:t>54678313</w:t>
            </w:r>
          </w:p>
        </w:tc>
      </w:tr>
      <w:tr w:rsidR="006E6ED5" w14:paraId="419811A6" w14:textId="77777777">
        <w:tc>
          <w:tcPr>
            <w:tcW w:w="3352" w:type="dxa"/>
            <w:tcBorders>
              <w:top w:val="single" w:sz="4" w:space="0" w:color="auto"/>
              <w:left w:val="nil"/>
              <w:bottom w:val="nil"/>
              <w:right w:val="nil"/>
            </w:tcBorders>
            <w:vAlign w:val="center"/>
          </w:tcPr>
          <w:p w14:paraId="29FF48C9" w14:textId="77777777" w:rsidR="006E6ED5" w:rsidRDefault="00E349F5">
            <w:pPr>
              <w:jc w:val="center"/>
              <w:rPr>
                <w:rFonts w:ascii="Arial" w:hAnsi="Arial"/>
                <w:b/>
                <w:bCs/>
                <w:sz w:val="26"/>
                <w:szCs w:val="26"/>
              </w:rPr>
            </w:pPr>
            <w:r>
              <w:rPr>
                <w:rFonts w:ascii="Arial" w:hAnsi="Arial" w:hint="cs"/>
                <w:b/>
                <w:bCs/>
                <w:sz w:val="26"/>
                <w:szCs w:val="26"/>
                <w:rtl/>
              </w:rPr>
              <w:t>אורית אפעל גבאי, שופטת</w:t>
            </w:r>
          </w:p>
        </w:tc>
      </w:tr>
    </w:tbl>
    <w:p w14:paraId="01E9E3DA" w14:textId="77777777" w:rsidR="00E349F5" w:rsidRDefault="00E349F5" w:rsidP="00E349F5">
      <w:r w:rsidRPr="00E349F5">
        <w:rPr>
          <w:color w:val="000000"/>
          <w:rtl/>
        </w:rPr>
        <w:t>נוסח מסמך זה כפוף לשינויי ניסוח ועריכה</w:t>
      </w:r>
    </w:p>
    <w:p w14:paraId="04D6CDCF" w14:textId="77777777" w:rsidR="00E349F5" w:rsidRDefault="00E349F5" w:rsidP="00E349F5">
      <w:pPr>
        <w:rPr>
          <w:rtl/>
        </w:rPr>
      </w:pPr>
    </w:p>
    <w:p w14:paraId="3FA226BD" w14:textId="77777777" w:rsidR="00E349F5" w:rsidRDefault="00E349F5" w:rsidP="00E349F5">
      <w:pPr>
        <w:jc w:val="center"/>
        <w:rPr>
          <w:color w:val="0000FF"/>
          <w:u w:val="single"/>
        </w:rPr>
      </w:pPr>
      <w:r w:rsidRPr="005001CD">
        <w:rPr>
          <w:color w:val="000000"/>
          <w:rtl/>
        </w:rPr>
        <w:t>בעניין עריכה ושינויים במסמכי פסיקה, חקיקה ועוד באתר נבו – הקש כאן</w:t>
      </w:r>
    </w:p>
    <w:sectPr w:rsidR="00E349F5" w:rsidSect="007954E9">
      <w:headerReference w:type="even" r:id="rId52"/>
      <w:headerReference w:type="default" r:id="rId53"/>
      <w:footerReference w:type="even" r:id="rId54"/>
      <w:footerReference w:type="default" r:id="rId5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2AFEBE" w14:textId="77777777" w:rsidR="005A4E1B" w:rsidRPr="00142B43" w:rsidRDefault="005A4E1B">
      <w:pPr>
        <w:rPr>
          <w:rFonts w:cs="Arial"/>
          <w:szCs w:val="20"/>
        </w:rPr>
      </w:pPr>
      <w:r>
        <w:separator/>
      </w:r>
    </w:p>
  </w:endnote>
  <w:endnote w:type="continuationSeparator" w:id="0">
    <w:p w14:paraId="3C628D76" w14:textId="77777777" w:rsidR="005A4E1B" w:rsidRPr="00142B43" w:rsidRDefault="005A4E1B">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E06D5" w14:textId="77777777" w:rsidR="00DB1674" w:rsidRDefault="00DB1674" w:rsidP="007954E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E590E31" w14:textId="77777777" w:rsidR="00DB1674" w:rsidRPr="007954E9" w:rsidRDefault="00DB1674" w:rsidP="007954E9">
    <w:pPr>
      <w:pStyle w:val="a5"/>
      <w:pBdr>
        <w:top w:val="single" w:sz="4" w:space="1" w:color="auto"/>
        <w:between w:val="single" w:sz="4" w:space="0" w:color="auto"/>
      </w:pBdr>
      <w:spacing w:after="60"/>
      <w:jc w:val="center"/>
      <w:rPr>
        <w:rFonts w:ascii="FrankRuehl" w:hAnsi="FrankRuehl" w:cs="FrankRuehl"/>
        <w:color w:val="000000"/>
      </w:rPr>
    </w:pPr>
    <w:r w:rsidRPr="007954E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8C47B" w14:textId="77777777" w:rsidR="00DB1674" w:rsidRDefault="00DB1674" w:rsidP="007954E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360D6">
      <w:rPr>
        <w:rFonts w:ascii="FrankRuehl" w:hAnsi="FrankRuehl" w:cs="FrankRuehl"/>
        <w:noProof/>
        <w:rtl/>
      </w:rPr>
      <w:t>1</w:t>
    </w:r>
    <w:r>
      <w:rPr>
        <w:rFonts w:ascii="FrankRuehl" w:hAnsi="FrankRuehl" w:cs="FrankRuehl"/>
        <w:rtl/>
      </w:rPr>
      <w:fldChar w:fldCharType="end"/>
    </w:r>
  </w:p>
  <w:p w14:paraId="666684B0" w14:textId="77777777" w:rsidR="00DB1674" w:rsidRPr="007954E9" w:rsidRDefault="00DB1674" w:rsidP="007954E9">
    <w:pPr>
      <w:pStyle w:val="a5"/>
      <w:pBdr>
        <w:top w:val="single" w:sz="4" w:space="1" w:color="auto"/>
        <w:between w:val="single" w:sz="4" w:space="0" w:color="auto"/>
      </w:pBdr>
      <w:spacing w:after="60"/>
      <w:jc w:val="center"/>
      <w:rPr>
        <w:rFonts w:ascii="FrankRuehl" w:hAnsi="FrankRuehl" w:cs="FrankRuehl"/>
        <w:color w:val="000000"/>
      </w:rPr>
    </w:pPr>
    <w:r w:rsidRPr="007954E9">
      <w:rPr>
        <w:rFonts w:ascii="FrankRuehl" w:hAnsi="FrankRuehl" w:cs="FrankRuehl"/>
        <w:color w:val="000000"/>
      </w:rPr>
      <w:pict w14:anchorId="396680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36FEF5" w14:textId="77777777" w:rsidR="005A4E1B" w:rsidRPr="00142B43" w:rsidRDefault="005A4E1B">
      <w:pPr>
        <w:rPr>
          <w:rFonts w:cs="Arial"/>
          <w:szCs w:val="20"/>
        </w:rPr>
      </w:pPr>
      <w:r>
        <w:separator/>
      </w:r>
    </w:p>
  </w:footnote>
  <w:footnote w:type="continuationSeparator" w:id="0">
    <w:p w14:paraId="4CE0E094" w14:textId="77777777" w:rsidR="005A4E1B" w:rsidRPr="00142B43" w:rsidRDefault="005A4E1B">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8051D" w14:textId="77777777" w:rsidR="00DB1674" w:rsidRPr="007954E9" w:rsidRDefault="00DB1674" w:rsidP="007954E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39807-03-12</w:t>
    </w:r>
    <w:r>
      <w:rPr>
        <w:rFonts w:ascii="David" w:hAnsi="David"/>
        <w:color w:val="000000"/>
        <w:sz w:val="22"/>
        <w:szCs w:val="22"/>
        <w:rtl/>
      </w:rPr>
      <w:tab/>
      <w:t xml:space="preserve"> מדינת ישראל נ' לואי אבו פארה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8FABC" w14:textId="77777777" w:rsidR="00DB1674" w:rsidRPr="007954E9" w:rsidRDefault="00DB1674" w:rsidP="007954E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39807-03-12</w:t>
    </w:r>
    <w:r>
      <w:rPr>
        <w:rFonts w:ascii="David" w:hAnsi="David"/>
        <w:color w:val="000000"/>
        <w:sz w:val="22"/>
        <w:szCs w:val="22"/>
        <w:rtl/>
      </w:rPr>
      <w:tab/>
      <w:t xml:space="preserve"> מדינת ישראל נ' לואי אבו פארה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E6ED5"/>
    <w:rsid w:val="001826D3"/>
    <w:rsid w:val="001A4107"/>
    <w:rsid w:val="002A06E8"/>
    <w:rsid w:val="005001CD"/>
    <w:rsid w:val="005A4E1B"/>
    <w:rsid w:val="005C691C"/>
    <w:rsid w:val="00636C38"/>
    <w:rsid w:val="006E6ED5"/>
    <w:rsid w:val="007954E9"/>
    <w:rsid w:val="008A2B71"/>
    <w:rsid w:val="00A429E0"/>
    <w:rsid w:val="00C46189"/>
    <w:rsid w:val="00DB1674"/>
    <w:rsid w:val="00DC4E30"/>
    <w:rsid w:val="00E349F5"/>
    <w:rsid w:val="00F360D6"/>
    <w:rsid w:val="00F676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1"/>
    </o:shapelayout>
  </w:shapeDefaults>
  <w:decimalSymbol w:val="."/>
  <w:listSeparator w:val=","/>
  <w14:docId w14:val="6A4E21DC"/>
  <w15:chartTrackingRefBased/>
  <w15:docId w15:val="{093FDD1B-056E-40B5-878C-2AF151BC7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E6ED5"/>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6E6ED5"/>
    <w:pPr>
      <w:tabs>
        <w:tab w:val="center" w:pos="4153"/>
        <w:tab w:val="right" w:pos="8306"/>
      </w:tabs>
    </w:pPr>
  </w:style>
  <w:style w:type="paragraph" w:styleId="a5">
    <w:name w:val="footer"/>
    <w:basedOn w:val="a"/>
    <w:rsid w:val="006E6ED5"/>
    <w:pPr>
      <w:tabs>
        <w:tab w:val="center" w:pos="4153"/>
        <w:tab w:val="right" w:pos="8306"/>
      </w:tabs>
    </w:pPr>
  </w:style>
  <w:style w:type="character" w:styleId="a6">
    <w:name w:val="page number"/>
    <w:basedOn w:val="a0"/>
    <w:rsid w:val="006E6ED5"/>
  </w:style>
  <w:style w:type="character" w:customStyle="1" w:styleId="a4">
    <w:name w:val="כותרת עליונה תו"/>
    <w:link w:val="a3"/>
    <w:rsid w:val="006E6ED5"/>
    <w:rPr>
      <w:rFonts w:cs="David"/>
      <w:sz w:val="24"/>
      <w:szCs w:val="24"/>
      <w:lang w:val="en-US" w:eastAsia="en-US" w:bidi="he-IL"/>
    </w:rPr>
  </w:style>
  <w:style w:type="paragraph" w:customStyle="1" w:styleId="David">
    <w:name w:val="סגנון (עברית ושפות אחרות) David מיושר לשני הצדדים מרווח בין שורות..."/>
    <w:basedOn w:val="a"/>
    <w:rsid w:val="006E6ED5"/>
    <w:pPr>
      <w:spacing w:line="360" w:lineRule="auto"/>
      <w:jc w:val="both"/>
    </w:pPr>
  </w:style>
  <w:style w:type="character" w:styleId="Hyperlink">
    <w:name w:val="Hyperlink"/>
    <w:rsid w:val="00E349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70301/40jc.a" TargetMode="External"/><Relationship Id="rId26" Type="http://schemas.openxmlformats.org/officeDocument/2006/relationships/hyperlink" Target="http://www.nevo.co.il/law/70301/338.a.1" TargetMode="External"/><Relationship Id="rId39" Type="http://schemas.openxmlformats.org/officeDocument/2006/relationships/hyperlink" Target="http://www.nevo.co.il/law/70301/40c.a" TargetMode="External"/><Relationship Id="rId21" Type="http://schemas.openxmlformats.org/officeDocument/2006/relationships/hyperlink" Target="http://www.nevo.co.il/law/5227/64b" TargetMode="External"/><Relationship Id="rId34" Type="http://schemas.openxmlformats.org/officeDocument/2006/relationships/hyperlink" Target="http://www.nevo.co.il/law/4216/7.c" TargetMode="External"/><Relationship Id="rId42" Type="http://schemas.openxmlformats.org/officeDocument/2006/relationships/hyperlink" Target="http://www.nevo.co.il/law/70301/40d" TargetMode="External"/><Relationship Id="rId47" Type="http://schemas.openxmlformats.org/officeDocument/2006/relationships/hyperlink" Target="http://www.nevo.co.il/law/70301/40jc.a" TargetMode="External"/><Relationship Id="rId50" Type="http://schemas.openxmlformats.org/officeDocument/2006/relationships/hyperlink" Target="http://www.nevo.co.il/law/70301" TargetMode="External"/><Relationship Id="rId55" Type="http://schemas.openxmlformats.org/officeDocument/2006/relationships/footer" Target="footer2.xml"/><Relationship Id="rId7" Type="http://schemas.openxmlformats.org/officeDocument/2006/relationships/hyperlink" Target="http://www.nevo.co.il/law/70301/40b" TargetMode="External"/><Relationship Id="rId2" Type="http://schemas.openxmlformats.org/officeDocument/2006/relationships/settings" Target="settings.xml"/><Relationship Id="rId16" Type="http://schemas.openxmlformats.org/officeDocument/2006/relationships/hyperlink" Target="http://www.nevo.co.il/law/70301/338.a.1" TargetMode="External"/><Relationship Id="rId29" Type="http://schemas.openxmlformats.org/officeDocument/2006/relationships/hyperlink" Target="http://www.nevo.co.il/law/5227/62.3" TargetMode="External"/><Relationship Id="rId11" Type="http://schemas.openxmlformats.org/officeDocument/2006/relationships/hyperlink" Target="http://www.nevo.co.il/law/70301/40f" TargetMode="External"/><Relationship Id="rId24" Type="http://schemas.openxmlformats.org/officeDocument/2006/relationships/hyperlink" Target="http://www.nevo.co.il/law/4216/7.a" TargetMode="External"/><Relationship Id="rId32" Type="http://schemas.openxmlformats.org/officeDocument/2006/relationships/hyperlink" Target="http://www.nevo.co.il/law/5227/67" TargetMode="External"/><Relationship Id="rId37" Type="http://schemas.openxmlformats.org/officeDocument/2006/relationships/hyperlink" Target="http://www.nevo.co.il/law/70301/40b" TargetMode="External"/><Relationship Id="rId40" Type="http://schemas.openxmlformats.org/officeDocument/2006/relationships/hyperlink" Target="http://www.nevo.co.il/law/70301/40i" TargetMode="External"/><Relationship Id="rId45" Type="http://schemas.openxmlformats.org/officeDocument/2006/relationships/hyperlink" Target="http://www.nevo.co.il/law/70301/40g" TargetMode="External"/><Relationship Id="rId53" Type="http://schemas.openxmlformats.org/officeDocument/2006/relationships/header" Target="header2.xml"/><Relationship Id="rId5" Type="http://schemas.openxmlformats.org/officeDocument/2006/relationships/endnotes" Target="endnotes.xml"/><Relationship Id="rId19" Type="http://schemas.openxmlformats.org/officeDocument/2006/relationships/hyperlink" Target="http://www.nevo.co.il/law/5227" TargetMode="External"/><Relationship Id="rId4" Type="http://schemas.openxmlformats.org/officeDocument/2006/relationships/footnotes" Target="footnotes.xml"/><Relationship Id="rId9" Type="http://schemas.openxmlformats.org/officeDocument/2006/relationships/hyperlink" Target="http://www.nevo.co.il/law/70301/40d" TargetMode="External"/><Relationship Id="rId14" Type="http://schemas.openxmlformats.org/officeDocument/2006/relationships/hyperlink" Target="http://www.nevo.co.il/law/70301/275" TargetMode="External"/><Relationship Id="rId22" Type="http://schemas.openxmlformats.org/officeDocument/2006/relationships/hyperlink" Target="http://www.nevo.co.il/law/5227/67" TargetMode="External"/><Relationship Id="rId27" Type="http://schemas.openxmlformats.org/officeDocument/2006/relationships/hyperlink" Target="http://www.nevo.co.il/law/70301" TargetMode="External"/><Relationship Id="rId30" Type="http://schemas.openxmlformats.org/officeDocument/2006/relationships/hyperlink" Target="http://www.nevo.co.il/law/5227/64b" TargetMode="External"/><Relationship Id="rId35" Type="http://schemas.openxmlformats.org/officeDocument/2006/relationships/hyperlink" Target="http://www.nevo.co.il/law/4216" TargetMode="External"/><Relationship Id="rId43" Type="http://schemas.openxmlformats.org/officeDocument/2006/relationships/hyperlink" Target="http://www.nevo.co.il/law/70301/40e" TargetMode="External"/><Relationship Id="rId48" Type="http://schemas.openxmlformats.org/officeDocument/2006/relationships/hyperlink" Target="http://www.nevo.co.il/law/70301" TargetMode="External"/><Relationship Id="rId56" Type="http://schemas.openxmlformats.org/officeDocument/2006/relationships/fontTable" Target="fontTable.xml"/><Relationship Id="rId8" Type="http://schemas.openxmlformats.org/officeDocument/2006/relationships/hyperlink" Target="http://www.nevo.co.il/law/70301/40c.a" TargetMode="External"/><Relationship Id="rId51" Type="http://schemas.openxmlformats.org/officeDocument/2006/relationships/hyperlink" Target="http://www.nevo.co.il/law/70301/332" TargetMode="External"/><Relationship Id="rId3" Type="http://schemas.openxmlformats.org/officeDocument/2006/relationships/webSettings" Target="webSettings.xml"/><Relationship Id="rId12" Type="http://schemas.openxmlformats.org/officeDocument/2006/relationships/hyperlink" Target="http://www.nevo.co.il/law/70301/40g"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law/4216/7.c" TargetMode="External"/><Relationship Id="rId33" Type="http://schemas.openxmlformats.org/officeDocument/2006/relationships/hyperlink" Target="http://www.nevo.co.il/law/4216/7.a"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40ja" TargetMode="External"/><Relationship Id="rId20" Type="http://schemas.openxmlformats.org/officeDocument/2006/relationships/hyperlink" Target="http://www.nevo.co.il/law/5227/62.3" TargetMode="External"/><Relationship Id="rId41" Type="http://schemas.openxmlformats.org/officeDocument/2006/relationships/hyperlink" Target="http://www.nevo.co.il/law/70301" TargetMode="External"/><Relationship Id="rId54"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32" TargetMode="External"/><Relationship Id="rId23" Type="http://schemas.openxmlformats.org/officeDocument/2006/relationships/hyperlink" Target="http://www.nevo.co.il/law/4216" TargetMode="External"/><Relationship Id="rId28" Type="http://schemas.openxmlformats.org/officeDocument/2006/relationships/hyperlink" Target="http://www.nevo.co.il/law/70301/275" TargetMode="External"/><Relationship Id="rId36" Type="http://schemas.openxmlformats.org/officeDocument/2006/relationships/hyperlink" Target="http://www.nevo.co.il/law/70301" TargetMode="External"/><Relationship Id="rId49" Type="http://schemas.openxmlformats.org/officeDocument/2006/relationships/hyperlink" Target="http://www.nevo.co.il/law/70301/338.a.1" TargetMode="External"/><Relationship Id="rId57" Type="http://schemas.openxmlformats.org/officeDocument/2006/relationships/theme" Target="theme/theme1.xml"/><Relationship Id="rId10" Type="http://schemas.openxmlformats.org/officeDocument/2006/relationships/hyperlink" Target="http://www.nevo.co.il/law/70301/40e" TargetMode="External"/><Relationship Id="rId31" Type="http://schemas.openxmlformats.org/officeDocument/2006/relationships/hyperlink" Target="http://www.nevo.co.il/law/5227" TargetMode="External"/><Relationship Id="rId44" Type="http://schemas.openxmlformats.org/officeDocument/2006/relationships/hyperlink" Target="http://www.nevo.co.il/law/70301/40f"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2152</Words>
  <Characters>10765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12892</CharactersWithSpaces>
  <SharedDoc>false</SharedDoc>
  <HLinks>
    <vt:vector size="276" baseType="variant">
      <vt:variant>
        <vt:i4>6684774</vt:i4>
      </vt:variant>
      <vt:variant>
        <vt:i4>135</vt:i4>
      </vt:variant>
      <vt:variant>
        <vt:i4>0</vt:i4>
      </vt:variant>
      <vt:variant>
        <vt:i4>5</vt:i4>
      </vt:variant>
      <vt:variant>
        <vt:lpwstr>http://www.nevo.co.il/law/70301/332</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6684735</vt:i4>
      </vt:variant>
      <vt:variant>
        <vt:i4>129</vt:i4>
      </vt:variant>
      <vt:variant>
        <vt:i4>0</vt:i4>
      </vt:variant>
      <vt:variant>
        <vt:i4>5</vt:i4>
      </vt:variant>
      <vt:variant>
        <vt:lpwstr>http://www.nevo.co.il/law/70301/338.a.1</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6750245</vt:i4>
      </vt:variant>
      <vt:variant>
        <vt:i4>123</vt:i4>
      </vt:variant>
      <vt:variant>
        <vt:i4>0</vt:i4>
      </vt:variant>
      <vt:variant>
        <vt:i4>5</vt:i4>
      </vt:variant>
      <vt:variant>
        <vt:lpwstr>http://www.nevo.co.il/law/70301/40jc.a</vt:lpwstr>
      </vt:variant>
      <vt:variant>
        <vt:lpwstr/>
      </vt:variant>
      <vt:variant>
        <vt:i4>262155</vt:i4>
      </vt:variant>
      <vt:variant>
        <vt:i4>120</vt:i4>
      </vt:variant>
      <vt:variant>
        <vt:i4>0</vt:i4>
      </vt:variant>
      <vt:variant>
        <vt:i4>5</vt:i4>
      </vt:variant>
      <vt:variant>
        <vt:lpwstr>http://www.nevo.co.il/law/70301/40ja</vt:lpwstr>
      </vt:variant>
      <vt:variant>
        <vt:lpwstr/>
      </vt:variant>
      <vt:variant>
        <vt:i4>6619233</vt:i4>
      </vt:variant>
      <vt:variant>
        <vt:i4>117</vt:i4>
      </vt:variant>
      <vt:variant>
        <vt:i4>0</vt:i4>
      </vt:variant>
      <vt:variant>
        <vt:i4>5</vt:i4>
      </vt:variant>
      <vt:variant>
        <vt:lpwstr>http://www.nevo.co.il/law/70301/40g</vt:lpwstr>
      </vt:variant>
      <vt:variant>
        <vt:lpwstr/>
      </vt:variant>
      <vt:variant>
        <vt:i4>6619233</vt:i4>
      </vt:variant>
      <vt:variant>
        <vt:i4>114</vt:i4>
      </vt:variant>
      <vt:variant>
        <vt:i4>0</vt:i4>
      </vt:variant>
      <vt:variant>
        <vt:i4>5</vt:i4>
      </vt:variant>
      <vt:variant>
        <vt:lpwstr>http://www.nevo.co.il/law/70301/40f</vt:lpwstr>
      </vt:variant>
      <vt:variant>
        <vt:lpwstr/>
      </vt:variant>
      <vt:variant>
        <vt:i4>6619233</vt:i4>
      </vt:variant>
      <vt:variant>
        <vt:i4>111</vt:i4>
      </vt:variant>
      <vt:variant>
        <vt:i4>0</vt:i4>
      </vt:variant>
      <vt:variant>
        <vt:i4>5</vt:i4>
      </vt:variant>
      <vt:variant>
        <vt:lpwstr>http://www.nevo.co.il/law/70301/40e</vt:lpwstr>
      </vt:variant>
      <vt:variant>
        <vt:lpwstr/>
      </vt:variant>
      <vt:variant>
        <vt:i4>6619233</vt:i4>
      </vt:variant>
      <vt:variant>
        <vt:i4>108</vt:i4>
      </vt:variant>
      <vt:variant>
        <vt:i4>0</vt:i4>
      </vt:variant>
      <vt:variant>
        <vt:i4>5</vt:i4>
      </vt:variant>
      <vt:variant>
        <vt:lpwstr>http://www.nevo.co.il/law/70301/40d</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6619233</vt:i4>
      </vt:variant>
      <vt:variant>
        <vt:i4>102</vt:i4>
      </vt:variant>
      <vt:variant>
        <vt:i4>0</vt:i4>
      </vt:variant>
      <vt:variant>
        <vt:i4>5</vt:i4>
      </vt:variant>
      <vt:variant>
        <vt:lpwstr>http://www.nevo.co.il/law/70301/40i</vt:lpwstr>
      </vt:variant>
      <vt:variant>
        <vt:lpwstr/>
      </vt:variant>
      <vt:variant>
        <vt:i4>4915202</vt:i4>
      </vt:variant>
      <vt:variant>
        <vt:i4>99</vt:i4>
      </vt:variant>
      <vt:variant>
        <vt:i4>0</vt:i4>
      </vt:variant>
      <vt:variant>
        <vt:i4>5</vt:i4>
      </vt:variant>
      <vt:variant>
        <vt:lpwstr>http://www.nevo.co.il/law/70301/40c.a</vt:lpwstr>
      </vt:variant>
      <vt:variant>
        <vt:lpwstr/>
      </vt:variant>
      <vt:variant>
        <vt:i4>7995492</vt:i4>
      </vt:variant>
      <vt:variant>
        <vt:i4>96</vt:i4>
      </vt:variant>
      <vt:variant>
        <vt:i4>0</vt:i4>
      </vt:variant>
      <vt:variant>
        <vt:i4>5</vt:i4>
      </vt:variant>
      <vt:variant>
        <vt:lpwstr>http://www.nevo.co.il/law/70301</vt:lpwstr>
      </vt:variant>
      <vt:variant>
        <vt:lpwstr/>
      </vt:variant>
      <vt:variant>
        <vt:i4>6619233</vt:i4>
      </vt:variant>
      <vt:variant>
        <vt:i4>93</vt:i4>
      </vt:variant>
      <vt:variant>
        <vt:i4>0</vt:i4>
      </vt:variant>
      <vt:variant>
        <vt:i4>5</vt:i4>
      </vt:variant>
      <vt:variant>
        <vt:lpwstr>http://www.nevo.co.il/law/70301/40b</vt:lpwstr>
      </vt:variant>
      <vt:variant>
        <vt:lpwstr/>
      </vt:variant>
      <vt:variant>
        <vt:i4>7995492</vt:i4>
      </vt:variant>
      <vt:variant>
        <vt:i4>90</vt:i4>
      </vt:variant>
      <vt:variant>
        <vt:i4>0</vt:i4>
      </vt:variant>
      <vt:variant>
        <vt:i4>5</vt:i4>
      </vt:variant>
      <vt:variant>
        <vt:lpwstr>http://www.nevo.co.il/law/70301</vt:lpwstr>
      </vt:variant>
      <vt:variant>
        <vt:lpwstr/>
      </vt:variant>
      <vt:variant>
        <vt:i4>8257637</vt:i4>
      </vt:variant>
      <vt:variant>
        <vt:i4>87</vt:i4>
      </vt:variant>
      <vt:variant>
        <vt:i4>0</vt:i4>
      </vt:variant>
      <vt:variant>
        <vt:i4>5</vt:i4>
      </vt:variant>
      <vt:variant>
        <vt:lpwstr>http://www.nevo.co.il/law/4216</vt:lpwstr>
      </vt:variant>
      <vt:variant>
        <vt:lpwstr/>
      </vt:variant>
      <vt:variant>
        <vt:i4>2752612</vt:i4>
      </vt:variant>
      <vt:variant>
        <vt:i4>84</vt:i4>
      </vt:variant>
      <vt:variant>
        <vt:i4>0</vt:i4>
      </vt:variant>
      <vt:variant>
        <vt:i4>5</vt:i4>
      </vt:variant>
      <vt:variant>
        <vt:lpwstr>http://www.nevo.co.il/law/4216/7.c</vt:lpwstr>
      </vt:variant>
      <vt:variant>
        <vt:lpwstr/>
      </vt:variant>
      <vt:variant>
        <vt:i4>2621540</vt:i4>
      </vt:variant>
      <vt:variant>
        <vt:i4>81</vt:i4>
      </vt:variant>
      <vt:variant>
        <vt:i4>0</vt:i4>
      </vt:variant>
      <vt:variant>
        <vt:i4>5</vt:i4>
      </vt:variant>
      <vt:variant>
        <vt:lpwstr>http://www.nevo.co.il/law/4216/7.a</vt:lpwstr>
      </vt:variant>
      <vt:variant>
        <vt:lpwstr/>
      </vt:variant>
      <vt:variant>
        <vt:i4>4784200</vt:i4>
      </vt:variant>
      <vt:variant>
        <vt:i4>78</vt:i4>
      </vt:variant>
      <vt:variant>
        <vt:i4>0</vt:i4>
      </vt:variant>
      <vt:variant>
        <vt:i4>5</vt:i4>
      </vt:variant>
      <vt:variant>
        <vt:lpwstr>http://www.nevo.co.il/law/5227/67</vt:lpwstr>
      </vt:variant>
      <vt:variant>
        <vt:lpwstr/>
      </vt:variant>
      <vt:variant>
        <vt:i4>8323175</vt:i4>
      </vt:variant>
      <vt:variant>
        <vt:i4>75</vt:i4>
      </vt:variant>
      <vt:variant>
        <vt:i4>0</vt:i4>
      </vt:variant>
      <vt:variant>
        <vt:i4>5</vt:i4>
      </vt:variant>
      <vt:variant>
        <vt:lpwstr>http://www.nevo.co.il/law/5227</vt:lpwstr>
      </vt:variant>
      <vt:variant>
        <vt:lpwstr/>
      </vt:variant>
      <vt:variant>
        <vt:i4>2818172</vt:i4>
      </vt:variant>
      <vt:variant>
        <vt:i4>72</vt:i4>
      </vt:variant>
      <vt:variant>
        <vt:i4>0</vt:i4>
      </vt:variant>
      <vt:variant>
        <vt:i4>5</vt:i4>
      </vt:variant>
      <vt:variant>
        <vt:lpwstr>http://www.nevo.co.il/law/5227/64b</vt:lpwstr>
      </vt:variant>
      <vt:variant>
        <vt:lpwstr/>
      </vt:variant>
      <vt:variant>
        <vt:i4>6750330</vt:i4>
      </vt:variant>
      <vt:variant>
        <vt:i4>69</vt:i4>
      </vt:variant>
      <vt:variant>
        <vt:i4>0</vt:i4>
      </vt:variant>
      <vt:variant>
        <vt:i4>5</vt:i4>
      </vt:variant>
      <vt:variant>
        <vt:lpwstr>http://www.nevo.co.il/law/5227/62.3</vt:lpwstr>
      </vt:variant>
      <vt:variant>
        <vt:lpwstr/>
      </vt:variant>
      <vt:variant>
        <vt:i4>6422631</vt:i4>
      </vt:variant>
      <vt:variant>
        <vt:i4>66</vt:i4>
      </vt:variant>
      <vt:variant>
        <vt:i4>0</vt:i4>
      </vt:variant>
      <vt:variant>
        <vt:i4>5</vt:i4>
      </vt:variant>
      <vt:variant>
        <vt:lpwstr>http://www.nevo.co.il/law/70301/275</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6684735</vt:i4>
      </vt:variant>
      <vt:variant>
        <vt:i4>60</vt:i4>
      </vt:variant>
      <vt:variant>
        <vt:i4>0</vt:i4>
      </vt:variant>
      <vt:variant>
        <vt:i4>5</vt:i4>
      </vt:variant>
      <vt:variant>
        <vt:lpwstr>http://www.nevo.co.il/law/70301/338.a.1</vt:lpwstr>
      </vt:variant>
      <vt:variant>
        <vt:lpwstr/>
      </vt:variant>
      <vt:variant>
        <vt:i4>2752612</vt:i4>
      </vt:variant>
      <vt:variant>
        <vt:i4>57</vt:i4>
      </vt:variant>
      <vt:variant>
        <vt:i4>0</vt:i4>
      </vt:variant>
      <vt:variant>
        <vt:i4>5</vt:i4>
      </vt:variant>
      <vt:variant>
        <vt:lpwstr>http://www.nevo.co.il/law/4216/7.c</vt:lpwstr>
      </vt:variant>
      <vt:variant>
        <vt:lpwstr/>
      </vt:variant>
      <vt:variant>
        <vt:i4>2621540</vt:i4>
      </vt:variant>
      <vt:variant>
        <vt:i4>54</vt:i4>
      </vt:variant>
      <vt:variant>
        <vt:i4>0</vt:i4>
      </vt:variant>
      <vt:variant>
        <vt:i4>5</vt:i4>
      </vt:variant>
      <vt:variant>
        <vt:lpwstr>http://www.nevo.co.il/law/4216/7.a</vt:lpwstr>
      </vt:variant>
      <vt:variant>
        <vt:lpwstr/>
      </vt:variant>
      <vt:variant>
        <vt:i4>8257637</vt:i4>
      </vt:variant>
      <vt:variant>
        <vt:i4>51</vt:i4>
      </vt:variant>
      <vt:variant>
        <vt:i4>0</vt:i4>
      </vt:variant>
      <vt:variant>
        <vt:i4>5</vt:i4>
      </vt:variant>
      <vt:variant>
        <vt:lpwstr>http://www.nevo.co.il/law/4216</vt:lpwstr>
      </vt:variant>
      <vt:variant>
        <vt:lpwstr/>
      </vt:variant>
      <vt:variant>
        <vt:i4>4784200</vt:i4>
      </vt:variant>
      <vt:variant>
        <vt:i4>48</vt:i4>
      </vt:variant>
      <vt:variant>
        <vt:i4>0</vt:i4>
      </vt:variant>
      <vt:variant>
        <vt:i4>5</vt:i4>
      </vt:variant>
      <vt:variant>
        <vt:lpwstr>http://www.nevo.co.il/law/5227/67</vt:lpwstr>
      </vt:variant>
      <vt:variant>
        <vt:lpwstr/>
      </vt:variant>
      <vt:variant>
        <vt:i4>2818172</vt:i4>
      </vt:variant>
      <vt:variant>
        <vt:i4>45</vt:i4>
      </vt:variant>
      <vt:variant>
        <vt:i4>0</vt:i4>
      </vt:variant>
      <vt:variant>
        <vt:i4>5</vt:i4>
      </vt:variant>
      <vt:variant>
        <vt:lpwstr>http://www.nevo.co.il/law/5227/64b</vt:lpwstr>
      </vt:variant>
      <vt:variant>
        <vt:lpwstr/>
      </vt:variant>
      <vt:variant>
        <vt:i4>6750330</vt:i4>
      </vt:variant>
      <vt:variant>
        <vt:i4>42</vt:i4>
      </vt:variant>
      <vt:variant>
        <vt:i4>0</vt:i4>
      </vt:variant>
      <vt:variant>
        <vt:i4>5</vt:i4>
      </vt:variant>
      <vt:variant>
        <vt:lpwstr>http://www.nevo.co.il/law/5227/62.3</vt:lpwstr>
      </vt:variant>
      <vt:variant>
        <vt:lpwstr/>
      </vt:variant>
      <vt:variant>
        <vt:i4>8323175</vt:i4>
      </vt:variant>
      <vt:variant>
        <vt:i4>39</vt:i4>
      </vt:variant>
      <vt:variant>
        <vt:i4>0</vt:i4>
      </vt:variant>
      <vt:variant>
        <vt:i4>5</vt:i4>
      </vt:variant>
      <vt:variant>
        <vt:lpwstr>http://www.nevo.co.il/law/5227</vt:lpwstr>
      </vt:variant>
      <vt:variant>
        <vt:lpwstr/>
      </vt:variant>
      <vt:variant>
        <vt:i4>6750245</vt:i4>
      </vt:variant>
      <vt:variant>
        <vt:i4>36</vt:i4>
      </vt:variant>
      <vt:variant>
        <vt:i4>0</vt:i4>
      </vt:variant>
      <vt:variant>
        <vt:i4>5</vt:i4>
      </vt:variant>
      <vt:variant>
        <vt:lpwstr>http://www.nevo.co.il/law/70301/40jc.a</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6684735</vt:i4>
      </vt:variant>
      <vt:variant>
        <vt:i4>30</vt:i4>
      </vt:variant>
      <vt:variant>
        <vt:i4>0</vt:i4>
      </vt:variant>
      <vt:variant>
        <vt:i4>5</vt:i4>
      </vt:variant>
      <vt:variant>
        <vt:lpwstr>http://www.nevo.co.il/law/70301/338.a.1</vt:lpwstr>
      </vt:variant>
      <vt:variant>
        <vt:lpwstr/>
      </vt:variant>
      <vt:variant>
        <vt:i4>6684774</vt:i4>
      </vt:variant>
      <vt:variant>
        <vt:i4>27</vt:i4>
      </vt:variant>
      <vt:variant>
        <vt:i4>0</vt:i4>
      </vt:variant>
      <vt:variant>
        <vt:i4>5</vt:i4>
      </vt:variant>
      <vt:variant>
        <vt:lpwstr>http://www.nevo.co.il/law/70301/332</vt:lpwstr>
      </vt:variant>
      <vt:variant>
        <vt:lpwstr/>
      </vt:variant>
      <vt:variant>
        <vt:i4>6422631</vt:i4>
      </vt:variant>
      <vt:variant>
        <vt:i4>24</vt:i4>
      </vt:variant>
      <vt:variant>
        <vt:i4>0</vt:i4>
      </vt:variant>
      <vt:variant>
        <vt:i4>5</vt:i4>
      </vt:variant>
      <vt:variant>
        <vt:lpwstr>http://www.nevo.co.il/law/70301/275</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6619233</vt:i4>
      </vt:variant>
      <vt:variant>
        <vt:i4>18</vt:i4>
      </vt:variant>
      <vt:variant>
        <vt:i4>0</vt:i4>
      </vt:variant>
      <vt:variant>
        <vt:i4>5</vt:i4>
      </vt:variant>
      <vt:variant>
        <vt:lpwstr>http://www.nevo.co.il/law/70301/40g</vt:lpwstr>
      </vt:variant>
      <vt:variant>
        <vt:lpwstr/>
      </vt:variant>
      <vt:variant>
        <vt:i4>6619233</vt:i4>
      </vt:variant>
      <vt:variant>
        <vt:i4>15</vt:i4>
      </vt:variant>
      <vt:variant>
        <vt:i4>0</vt:i4>
      </vt:variant>
      <vt:variant>
        <vt:i4>5</vt:i4>
      </vt:variant>
      <vt:variant>
        <vt:lpwstr>http://www.nevo.co.il/law/70301/40f</vt:lpwstr>
      </vt:variant>
      <vt:variant>
        <vt:lpwstr/>
      </vt:variant>
      <vt:variant>
        <vt:i4>6619233</vt:i4>
      </vt:variant>
      <vt:variant>
        <vt:i4>12</vt:i4>
      </vt:variant>
      <vt:variant>
        <vt:i4>0</vt:i4>
      </vt:variant>
      <vt:variant>
        <vt:i4>5</vt:i4>
      </vt:variant>
      <vt:variant>
        <vt:lpwstr>http://www.nevo.co.il/law/70301/40e</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2025-04-22T20:21:00Z</dcterms:created>
  <dcterms:modified xsi:type="dcterms:W3CDTF">2025-04-22T20:21:00Z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39807</vt:lpwstr>
  </property>
  <property fmtid="{D5CDD505-2E9C-101B-9397-08002B2CF9AE}" pid="6" name="NEWPARTB">
    <vt:lpwstr>03</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לואי אבו פארה</vt:lpwstr>
  </property>
  <property fmtid="{D5CDD505-2E9C-101B-9397-08002B2CF9AE}" pid="10" name="LAWYER">
    <vt:lpwstr>מחמוד רבאח;עינת יריב</vt:lpwstr>
  </property>
  <property fmtid="{D5CDD505-2E9C-101B-9397-08002B2CF9AE}" pid="11" name="JUDGE">
    <vt:lpwstr>אורית אפעל גבאי</vt:lpwstr>
  </property>
  <property fmtid="{D5CDD505-2E9C-101B-9397-08002B2CF9AE}" pid="12" name="CITY">
    <vt:lpwstr>י-ם</vt:lpwstr>
  </property>
  <property fmtid="{D5CDD505-2E9C-101B-9397-08002B2CF9AE}" pid="13" name="DATE">
    <vt:lpwstr>20130213</vt:lpwstr>
  </property>
  <property fmtid="{D5CDD505-2E9C-101B-9397-08002B2CF9AE}" pid="14" name="TYPE_N_DATE">
    <vt:lpwstr>39020130213</vt:lpwstr>
  </property>
  <property fmtid="{D5CDD505-2E9C-101B-9397-08002B2CF9AE}" pid="15" name="WORDNUMPAGES">
    <vt:lpwstr>6</vt:lpwstr>
  </property>
  <property fmtid="{D5CDD505-2E9C-101B-9397-08002B2CF9AE}" pid="16" name="TYPE_ABS_DATE">
    <vt:lpwstr>390020130213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70301/338.a.1:2;275;040b;040c.a;040i;040d;040e;040f;040g;40ja;40jc.a;332</vt:lpwstr>
  </property>
  <property fmtid="{D5CDD505-2E9C-101B-9397-08002B2CF9AE}" pid="36" name="LAWLISTTMP2">
    <vt:lpwstr>5227/062.3;064b;067</vt:lpwstr>
  </property>
  <property fmtid="{D5CDD505-2E9C-101B-9397-08002B2CF9AE}" pid="37" name="LAWLISTTMP3">
    <vt:lpwstr>4216/007.a;007.c</vt:lpwstr>
  </property>
</Properties>
</file>