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C21195" w:rsidRPr="00BE2B02" w14:paraId="555DE9B3" w14:textId="77777777">
        <w:trPr>
          <w:trHeight w:hRule="exact" w:val="418"/>
          <w:jc w:val="center"/>
        </w:trPr>
        <w:tc>
          <w:tcPr>
            <w:tcW w:w="8721" w:type="dxa"/>
            <w:gridSpan w:val="2"/>
          </w:tcPr>
          <w:p w14:paraId="05C4437E" w14:textId="77777777" w:rsidR="00C21195" w:rsidRPr="00BE2B02" w:rsidRDefault="00BE2B02">
            <w:pPr>
              <w:pStyle w:val="a3"/>
              <w:jc w:val="center"/>
              <w:rPr>
                <w:rFonts w:ascii="Tahoma" w:hAnsi="Tahoma" w:cs="Tahoma"/>
                <w:color w:val="000080"/>
                <w:rtl/>
              </w:rPr>
            </w:pPr>
            <w:bookmarkStart w:id="0" w:name="LastJudge"/>
            <w:r w:rsidRPr="00BE2B02">
              <w:rPr>
                <w:rFonts w:ascii="Tahoma" w:hAnsi="Tahoma" w:cs="Tahoma"/>
                <w:b/>
                <w:bCs/>
                <w:color w:val="000080"/>
                <w:rtl/>
              </w:rPr>
              <w:t>בית המשפט המחוזי בתל אביב - יפו</w:t>
            </w:r>
          </w:p>
        </w:tc>
      </w:tr>
      <w:tr w:rsidR="00C21195" w:rsidRPr="00BE2B02" w14:paraId="2A3231F5" w14:textId="77777777">
        <w:trPr>
          <w:trHeight w:val="337"/>
          <w:jc w:val="center"/>
        </w:trPr>
        <w:tc>
          <w:tcPr>
            <w:tcW w:w="5049" w:type="dxa"/>
          </w:tcPr>
          <w:p w14:paraId="0EDB6952" w14:textId="77777777" w:rsidR="00C21195" w:rsidRPr="00D4672A" w:rsidRDefault="00BE2B02" w:rsidP="00D4672A">
            <w:pPr>
              <w:rPr>
                <w:rFonts w:cs="FrankRuehl" w:hint="cs"/>
                <w:sz w:val="28"/>
                <w:szCs w:val="28"/>
              </w:rPr>
            </w:pPr>
            <w:r w:rsidRPr="00BE2B02">
              <w:rPr>
                <w:rFonts w:cs="FrankRuehl"/>
                <w:sz w:val="28"/>
                <w:szCs w:val="28"/>
                <w:rtl/>
              </w:rPr>
              <w:t>ת"פ</w:t>
            </w:r>
            <w:r w:rsidRPr="00BE2B02">
              <w:rPr>
                <w:rFonts w:cs="FrankRuehl" w:hint="cs"/>
                <w:sz w:val="28"/>
                <w:szCs w:val="28"/>
                <w:rtl/>
              </w:rPr>
              <w:t xml:space="preserve"> </w:t>
            </w:r>
            <w:r w:rsidRPr="00BE2B02">
              <w:rPr>
                <w:rFonts w:cs="FrankRuehl"/>
                <w:sz w:val="28"/>
                <w:szCs w:val="28"/>
                <w:rtl/>
              </w:rPr>
              <w:t>6231-03-12</w:t>
            </w:r>
            <w:r w:rsidRPr="00BE2B02">
              <w:rPr>
                <w:rFonts w:cs="FrankRuehl" w:hint="cs"/>
                <w:sz w:val="28"/>
                <w:szCs w:val="28"/>
                <w:rtl/>
              </w:rPr>
              <w:t xml:space="preserve"> </w:t>
            </w:r>
            <w:r w:rsidRPr="00BE2B02">
              <w:rPr>
                <w:rFonts w:cs="FrankRuehl"/>
                <w:sz w:val="28"/>
                <w:szCs w:val="28"/>
                <w:rtl/>
              </w:rPr>
              <w:t>מדינת ישראל נ' כהן</w:t>
            </w:r>
          </w:p>
        </w:tc>
        <w:tc>
          <w:tcPr>
            <w:tcW w:w="3672" w:type="dxa"/>
          </w:tcPr>
          <w:p w14:paraId="12643AD8" w14:textId="77777777" w:rsidR="00C21195" w:rsidRPr="00BE2B02" w:rsidRDefault="00BE2B02">
            <w:pPr>
              <w:pStyle w:val="a3"/>
              <w:jc w:val="right"/>
              <w:rPr>
                <w:rFonts w:cs="FrankRuehl"/>
                <w:sz w:val="28"/>
                <w:szCs w:val="28"/>
                <w:rtl/>
              </w:rPr>
            </w:pPr>
            <w:r w:rsidRPr="00BE2B02">
              <w:rPr>
                <w:rFonts w:cs="FrankRuehl"/>
                <w:sz w:val="28"/>
                <w:szCs w:val="28"/>
                <w:rtl/>
              </w:rPr>
              <w:t>02 ינואר 2013</w:t>
            </w:r>
          </w:p>
        </w:tc>
      </w:tr>
    </w:tbl>
    <w:p w14:paraId="62B35466" w14:textId="77777777" w:rsidR="00C21195" w:rsidRPr="00BE2B02" w:rsidRDefault="00BE2B02">
      <w:pPr>
        <w:pStyle w:val="a3"/>
        <w:rPr>
          <w:rtl/>
        </w:rPr>
      </w:pPr>
      <w:r w:rsidRPr="00BE2B0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21195" w:rsidRPr="00BE2B02" w14:paraId="3E775745" w14:textId="77777777">
        <w:trPr>
          <w:trHeight w:val="295"/>
          <w:jc w:val="center"/>
        </w:trPr>
        <w:tc>
          <w:tcPr>
            <w:tcW w:w="923" w:type="dxa"/>
            <w:tcBorders>
              <w:top w:val="nil"/>
              <w:left w:val="nil"/>
              <w:bottom w:val="nil"/>
              <w:right w:val="nil"/>
            </w:tcBorders>
          </w:tcPr>
          <w:p w14:paraId="14B9C970" w14:textId="77777777" w:rsidR="00C21195" w:rsidRPr="00BE2B02" w:rsidRDefault="00BE2B02">
            <w:pPr>
              <w:jc w:val="both"/>
              <w:rPr>
                <w:rFonts w:ascii="Arial" w:hAnsi="Arial"/>
                <w:b/>
                <w:bCs/>
                <w:sz w:val="26"/>
                <w:szCs w:val="26"/>
              </w:rPr>
            </w:pPr>
            <w:r w:rsidRPr="00BE2B02">
              <w:rPr>
                <w:rFonts w:ascii="Arial" w:hAnsi="Arial" w:hint="cs"/>
                <w:b/>
                <w:bCs/>
                <w:sz w:val="26"/>
                <w:szCs w:val="26"/>
                <w:rtl/>
              </w:rPr>
              <w:t>ב</w:t>
            </w:r>
            <w:r w:rsidRPr="00BE2B02">
              <w:rPr>
                <w:rFonts w:ascii="Arial" w:hAnsi="Arial"/>
                <w:b/>
                <w:bCs/>
                <w:sz w:val="26"/>
                <w:szCs w:val="26"/>
                <w:rtl/>
              </w:rPr>
              <w:t xml:space="preserve">פני </w:t>
            </w:r>
          </w:p>
        </w:tc>
        <w:tc>
          <w:tcPr>
            <w:tcW w:w="7897" w:type="dxa"/>
            <w:gridSpan w:val="2"/>
            <w:tcBorders>
              <w:top w:val="nil"/>
              <w:left w:val="nil"/>
              <w:bottom w:val="nil"/>
              <w:right w:val="nil"/>
            </w:tcBorders>
          </w:tcPr>
          <w:p w14:paraId="3671953F" w14:textId="77777777" w:rsidR="00C21195" w:rsidRPr="00BE2B02" w:rsidRDefault="00BE2B02">
            <w:pPr>
              <w:jc w:val="both"/>
              <w:rPr>
                <w:rFonts w:ascii="Arial" w:hAnsi="Arial"/>
                <w:b/>
                <w:bCs/>
                <w:sz w:val="26"/>
                <w:szCs w:val="26"/>
              </w:rPr>
            </w:pPr>
            <w:r w:rsidRPr="00BE2B02">
              <w:rPr>
                <w:rFonts w:ascii="Arial" w:hAnsi="Arial" w:hint="cs"/>
                <w:b/>
                <w:bCs/>
                <w:sz w:val="26"/>
                <w:szCs w:val="26"/>
                <w:rtl/>
              </w:rPr>
              <w:t>כב' ה</w:t>
            </w:r>
            <w:r w:rsidRPr="00BE2B02">
              <w:rPr>
                <w:rFonts w:hint="cs"/>
                <w:b/>
                <w:bCs/>
                <w:sz w:val="26"/>
                <w:szCs w:val="26"/>
                <w:rtl/>
              </w:rPr>
              <w:t>שופט</w:t>
            </w:r>
            <w:r w:rsidRPr="00BE2B02">
              <w:rPr>
                <w:rFonts w:ascii="Arial" w:hAnsi="Arial" w:hint="cs"/>
                <w:b/>
                <w:bCs/>
                <w:sz w:val="26"/>
                <w:szCs w:val="26"/>
                <w:rtl/>
              </w:rPr>
              <w:t xml:space="preserve">  </w:t>
            </w:r>
            <w:r w:rsidRPr="00BE2B02">
              <w:rPr>
                <w:rFonts w:hint="cs"/>
                <w:b/>
                <w:bCs/>
                <w:sz w:val="26"/>
                <w:szCs w:val="26"/>
                <w:rtl/>
              </w:rPr>
              <w:t>דוד רוזן</w:t>
            </w:r>
          </w:p>
        </w:tc>
      </w:tr>
      <w:tr w:rsidR="00C21195" w:rsidRPr="00BE2B02" w14:paraId="728F51DB" w14:textId="77777777">
        <w:trPr>
          <w:trHeight w:val="355"/>
          <w:jc w:val="center"/>
        </w:trPr>
        <w:tc>
          <w:tcPr>
            <w:tcW w:w="923" w:type="dxa"/>
            <w:tcBorders>
              <w:top w:val="nil"/>
              <w:left w:val="nil"/>
              <w:bottom w:val="nil"/>
              <w:right w:val="nil"/>
            </w:tcBorders>
          </w:tcPr>
          <w:p w14:paraId="035BD38D" w14:textId="77777777" w:rsidR="00C21195" w:rsidRPr="00BE2B02" w:rsidRDefault="00C21195">
            <w:pPr>
              <w:jc w:val="both"/>
              <w:rPr>
                <w:rFonts w:ascii="Arial" w:hAnsi="Arial"/>
                <w:b/>
                <w:bCs/>
                <w:sz w:val="26"/>
                <w:szCs w:val="26"/>
                <w:rtl/>
              </w:rPr>
            </w:pPr>
            <w:bookmarkStart w:id="1" w:name="FirstAppellant"/>
            <w:bookmarkStart w:id="2" w:name="FirstLawyer"/>
          </w:p>
          <w:p w14:paraId="74CF87C2" w14:textId="77777777" w:rsidR="00C21195" w:rsidRPr="00BE2B02" w:rsidRDefault="00BE2B02">
            <w:pPr>
              <w:jc w:val="both"/>
              <w:rPr>
                <w:rFonts w:ascii="Arial" w:hAnsi="Arial"/>
                <w:b/>
                <w:bCs/>
                <w:sz w:val="26"/>
                <w:szCs w:val="26"/>
              </w:rPr>
            </w:pPr>
            <w:r w:rsidRPr="00BE2B02">
              <w:rPr>
                <w:rFonts w:ascii="Arial" w:hAnsi="Arial" w:hint="cs"/>
                <w:b/>
                <w:bCs/>
                <w:sz w:val="26"/>
                <w:szCs w:val="26"/>
                <w:rtl/>
              </w:rPr>
              <w:t>בעניין:</w:t>
            </w:r>
          </w:p>
        </w:tc>
        <w:tc>
          <w:tcPr>
            <w:tcW w:w="4126" w:type="dxa"/>
            <w:tcBorders>
              <w:top w:val="nil"/>
              <w:left w:val="nil"/>
              <w:bottom w:val="nil"/>
              <w:right w:val="nil"/>
            </w:tcBorders>
          </w:tcPr>
          <w:p w14:paraId="58981EE0" w14:textId="77777777" w:rsidR="00C21195" w:rsidRPr="00BE2B02" w:rsidRDefault="00C21195">
            <w:pPr>
              <w:jc w:val="both"/>
              <w:rPr>
                <w:rFonts w:ascii="Arial" w:hAnsi="Arial"/>
                <w:b/>
                <w:bCs/>
                <w:sz w:val="26"/>
                <w:szCs w:val="26"/>
                <w:rtl/>
              </w:rPr>
            </w:pPr>
          </w:p>
          <w:p w14:paraId="5EE56BE3" w14:textId="77777777" w:rsidR="00C21195" w:rsidRPr="00BE2B02" w:rsidRDefault="00BE2B02">
            <w:pPr>
              <w:jc w:val="both"/>
              <w:rPr>
                <w:b/>
                <w:bCs/>
                <w:sz w:val="26"/>
                <w:szCs w:val="26"/>
                <w:rtl/>
              </w:rPr>
            </w:pPr>
            <w:r w:rsidRPr="00BE2B02">
              <w:rPr>
                <w:rFonts w:hint="cs"/>
                <w:b/>
                <w:bCs/>
                <w:sz w:val="26"/>
                <w:szCs w:val="26"/>
                <w:rtl/>
              </w:rPr>
              <w:t>מדינת ישראל</w:t>
            </w:r>
          </w:p>
          <w:p w14:paraId="2268CE9D" w14:textId="77777777" w:rsidR="00C21195" w:rsidRPr="00BE2B02" w:rsidRDefault="00BE2B02">
            <w:pPr>
              <w:jc w:val="both"/>
              <w:rPr>
                <w:rFonts w:ascii="Arial" w:hAnsi="Arial"/>
                <w:b/>
                <w:bCs/>
                <w:sz w:val="26"/>
                <w:szCs w:val="26"/>
              </w:rPr>
            </w:pPr>
            <w:r w:rsidRPr="00BE2B02">
              <w:rPr>
                <w:rFonts w:hint="cs"/>
                <w:b/>
                <w:bCs/>
                <w:sz w:val="26"/>
                <w:szCs w:val="26"/>
                <w:rtl/>
              </w:rPr>
              <w:t>ע"י ב"כ עו"ד שירה לייטרסדורף-שקדי</w:t>
            </w:r>
          </w:p>
        </w:tc>
        <w:tc>
          <w:tcPr>
            <w:tcW w:w="3771" w:type="dxa"/>
            <w:tcBorders>
              <w:top w:val="nil"/>
              <w:left w:val="nil"/>
              <w:bottom w:val="nil"/>
              <w:right w:val="nil"/>
            </w:tcBorders>
          </w:tcPr>
          <w:p w14:paraId="29CB2D23" w14:textId="77777777" w:rsidR="00C21195" w:rsidRPr="00BE2B02" w:rsidRDefault="00C21195">
            <w:pPr>
              <w:jc w:val="both"/>
              <w:rPr>
                <w:rFonts w:ascii="Arial" w:hAnsi="Arial"/>
                <w:b/>
                <w:bCs/>
                <w:sz w:val="26"/>
                <w:szCs w:val="26"/>
              </w:rPr>
            </w:pPr>
          </w:p>
        </w:tc>
      </w:tr>
      <w:bookmarkEnd w:id="1"/>
      <w:bookmarkEnd w:id="2"/>
      <w:tr w:rsidR="00C21195" w:rsidRPr="00BE2B02" w14:paraId="21659261" w14:textId="77777777">
        <w:trPr>
          <w:trHeight w:val="355"/>
          <w:jc w:val="center"/>
        </w:trPr>
        <w:tc>
          <w:tcPr>
            <w:tcW w:w="923" w:type="dxa"/>
            <w:tcBorders>
              <w:top w:val="nil"/>
              <w:left w:val="nil"/>
              <w:bottom w:val="nil"/>
              <w:right w:val="nil"/>
            </w:tcBorders>
          </w:tcPr>
          <w:p w14:paraId="7F443CF6" w14:textId="77777777" w:rsidR="00C21195" w:rsidRPr="00BE2B02" w:rsidRDefault="00C21195">
            <w:pPr>
              <w:jc w:val="both"/>
              <w:rPr>
                <w:rFonts w:ascii="Arial" w:hAnsi="Arial"/>
                <w:b/>
                <w:bCs/>
                <w:sz w:val="26"/>
                <w:szCs w:val="26"/>
                <w:rtl/>
              </w:rPr>
            </w:pPr>
          </w:p>
        </w:tc>
        <w:tc>
          <w:tcPr>
            <w:tcW w:w="4126" w:type="dxa"/>
            <w:tcBorders>
              <w:top w:val="nil"/>
              <w:left w:val="nil"/>
              <w:bottom w:val="nil"/>
              <w:right w:val="nil"/>
            </w:tcBorders>
          </w:tcPr>
          <w:p w14:paraId="77E393B0" w14:textId="77777777" w:rsidR="00C21195" w:rsidRPr="00BE2B02" w:rsidRDefault="00C21195">
            <w:pPr>
              <w:jc w:val="both"/>
              <w:rPr>
                <w:b/>
                <w:bCs/>
                <w:sz w:val="26"/>
                <w:szCs w:val="26"/>
                <w:rtl/>
              </w:rPr>
            </w:pPr>
          </w:p>
        </w:tc>
        <w:tc>
          <w:tcPr>
            <w:tcW w:w="3771" w:type="dxa"/>
            <w:tcBorders>
              <w:top w:val="nil"/>
              <w:left w:val="nil"/>
              <w:bottom w:val="nil"/>
              <w:right w:val="nil"/>
            </w:tcBorders>
          </w:tcPr>
          <w:p w14:paraId="70A5BD8C" w14:textId="77777777" w:rsidR="00C21195" w:rsidRPr="00BE2B02" w:rsidRDefault="00BE2B02">
            <w:pPr>
              <w:ind w:left="1379"/>
              <w:jc w:val="both"/>
              <w:rPr>
                <w:rFonts w:ascii="Arial" w:hAnsi="Arial"/>
                <w:b/>
                <w:bCs/>
                <w:sz w:val="26"/>
                <w:szCs w:val="26"/>
                <w:rtl/>
              </w:rPr>
            </w:pPr>
            <w:r w:rsidRPr="00BE2B02">
              <w:rPr>
                <w:rFonts w:ascii="Arial" w:hAnsi="Arial" w:hint="cs"/>
                <w:b/>
                <w:bCs/>
                <w:sz w:val="26"/>
                <w:szCs w:val="26"/>
                <w:rtl/>
              </w:rPr>
              <w:t>ה</w:t>
            </w:r>
            <w:r w:rsidRPr="00BE2B02">
              <w:rPr>
                <w:rFonts w:hint="cs"/>
                <w:b/>
                <w:bCs/>
                <w:sz w:val="26"/>
                <w:szCs w:val="26"/>
                <w:rtl/>
              </w:rPr>
              <w:t>מאשימה</w:t>
            </w:r>
          </w:p>
        </w:tc>
      </w:tr>
      <w:tr w:rsidR="00C21195" w:rsidRPr="00BE2B02" w14:paraId="482BC144" w14:textId="77777777">
        <w:trPr>
          <w:trHeight w:val="355"/>
          <w:jc w:val="center"/>
        </w:trPr>
        <w:tc>
          <w:tcPr>
            <w:tcW w:w="923" w:type="dxa"/>
            <w:tcBorders>
              <w:top w:val="nil"/>
              <w:left w:val="nil"/>
              <w:bottom w:val="nil"/>
              <w:right w:val="nil"/>
            </w:tcBorders>
          </w:tcPr>
          <w:p w14:paraId="50AD6A14" w14:textId="77777777" w:rsidR="00C21195" w:rsidRPr="00BE2B02" w:rsidRDefault="00C21195">
            <w:pPr>
              <w:jc w:val="both"/>
              <w:rPr>
                <w:rFonts w:ascii="Arial" w:hAnsi="Arial"/>
                <w:b/>
                <w:bCs/>
                <w:sz w:val="26"/>
                <w:szCs w:val="26"/>
                <w:rtl/>
              </w:rPr>
            </w:pPr>
          </w:p>
        </w:tc>
        <w:tc>
          <w:tcPr>
            <w:tcW w:w="7897" w:type="dxa"/>
            <w:gridSpan w:val="2"/>
            <w:tcBorders>
              <w:top w:val="nil"/>
              <w:left w:val="nil"/>
              <w:bottom w:val="nil"/>
              <w:right w:val="nil"/>
            </w:tcBorders>
          </w:tcPr>
          <w:p w14:paraId="27CB6F1D" w14:textId="77777777" w:rsidR="00C21195" w:rsidRPr="00BE2B02" w:rsidRDefault="00C21195">
            <w:pPr>
              <w:jc w:val="both"/>
              <w:rPr>
                <w:rFonts w:ascii="Arial" w:hAnsi="Arial"/>
                <w:b/>
                <w:bCs/>
                <w:sz w:val="26"/>
                <w:szCs w:val="26"/>
                <w:rtl/>
              </w:rPr>
            </w:pPr>
          </w:p>
          <w:p w14:paraId="427269F3" w14:textId="77777777" w:rsidR="00C21195" w:rsidRPr="00BE2B02" w:rsidRDefault="00BE2B02">
            <w:pPr>
              <w:jc w:val="center"/>
              <w:rPr>
                <w:rFonts w:ascii="Arial" w:hAnsi="Arial"/>
                <w:b/>
                <w:bCs/>
                <w:sz w:val="26"/>
                <w:szCs w:val="26"/>
                <w:rtl/>
              </w:rPr>
            </w:pPr>
            <w:r w:rsidRPr="00BE2B02">
              <w:rPr>
                <w:rFonts w:ascii="Arial" w:hAnsi="Arial"/>
                <w:b/>
                <w:bCs/>
                <w:sz w:val="26"/>
                <w:szCs w:val="26"/>
                <w:rtl/>
              </w:rPr>
              <w:t>נגד</w:t>
            </w:r>
          </w:p>
          <w:p w14:paraId="3A5774E1" w14:textId="77777777" w:rsidR="00C21195" w:rsidRPr="00BE2B02" w:rsidRDefault="00C21195">
            <w:pPr>
              <w:jc w:val="both"/>
              <w:rPr>
                <w:rFonts w:ascii="Arial" w:hAnsi="Arial"/>
                <w:b/>
                <w:bCs/>
                <w:sz w:val="26"/>
                <w:szCs w:val="26"/>
              </w:rPr>
            </w:pPr>
          </w:p>
        </w:tc>
      </w:tr>
      <w:tr w:rsidR="00C21195" w:rsidRPr="00BE2B02" w14:paraId="6414846D" w14:textId="77777777">
        <w:trPr>
          <w:trHeight w:val="355"/>
          <w:jc w:val="center"/>
        </w:trPr>
        <w:tc>
          <w:tcPr>
            <w:tcW w:w="923" w:type="dxa"/>
            <w:tcBorders>
              <w:top w:val="nil"/>
              <w:left w:val="nil"/>
              <w:bottom w:val="nil"/>
              <w:right w:val="nil"/>
            </w:tcBorders>
          </w:tcPr>
          <w:p w14:paraId="51A22C43" w14:textId="77777777" w:rsidR="00C21195" w:rsidRPr="00BE2B02" w:rsidRDefault="00C21195">
            <w:pPr>
              <w:jc w:val="both"/>
              <w:rPr>
                <w:rFonts w:ascii="Arial" w:hAnsi="Arial"/>
                <w:b/>
                <w:bCs/>
                <w:sz w:val="26"/>
                <w:szCs w:val="26"/>
                <w:rtl/>
              </w:rPr>
            </w:pPr>
          </w:p>
        </w:tc>
        <w:tc>
          <w:tcPr>
            <w:tcW w:w="4126" w:type="dxa"/>
            <w:tcBorders>
              <w:top w:val="nil"/>
              <w:left w:val="nil"/>
              <w:bottom w:val="nil"/>
              <w:right w:val="nil"/>
            </w:tcBorders>
          </w:tcPr>
          <w:p w14:paraId="5588E905" w14:textId="77777777" w:rsidR="00C21195" w:rsidRPr="00BE2B02" w:rsidRDefault="00BE2B02">
            <w:pPr>
              <w:jc w:val="both"/>
              <w:rPr>
                <w:b/>
                <w:bCs/>
                <w:sz w:val="26"/>
                <w:szCs w:val="26"/>
                <w:rtl/>
              </w:rPr>
            </w:pPr>
            <w:r w:rsidRPr="00BE2B02">
              <w:rPr>
                <w:rFonts w:hint="cs"/>
                <w:b/>
                <w:bCs/>
                <w:sz w:val="26"/>
                <w:szCs w:val="26"/>
                <w:rtl/>
              </w:rPr>
              <w:t>סמדר כהן</w:t>
            </w:r>
          </w:p>
          <w:p w14:paraId="00604720" w14:textId="77777777" w:rsidR="00C21195" w:rsidRPr="00BE2B02" w:rsidRDefault="00BE2B02">
            <w:pPr>
              <w:jc w:val="both"/>
              <w:rPr>
                <w:b/>
                <w:bCs/>
                <w:sz w:val="26"/>
                <w:szCs w:val="26"/>
                <w:rtl/>
              </w:rPr>
            </w:pPr>
            <w:r w:rsidRPr="00BE2B02">
              <w:rPr>
                <w:rFonts w:hint="cs"/>
                <w:b/>
                <w:bCs/>
                <w:sz w:val="26"/>
                <w:szCs w:val="26"/>
                <w:rtl/>
              </w:rPr>
              <w:t>ע"י ב"כ עו"ד בנצי קבלר</w:t>
            </w:r>
          </w:p>
        </w:tc>
        <w:tc>
          <w:tcPr>
            <w:tcW w:w="3771" w:type="dxa"/>
            <w:tcBorders>
              <w:top w:val="nil"/>
              <w:left w:val="nil"/>
              <w:bottom w:val="nil"/>
              <w:right w:val="nil"/>
            </w:tcBorders>
          </w:tcPr>
          <w:p w14:paraId="08955618" w14:textId="77777777" w:rsidR="00C21195" w:rsidRPr="00BE2B02" w:rsidRDefault="00C21195">
            <w:pPr>
              <w:jc w:val="both"/>
              <w:rPr>
                <w:rFonts w:ascii="Arial" w:hAnsi="Arial"/>
                <w:b/>
                <w:bCs/>
                <w:sz w:val="26"/>
                <w:szCs w:val="26"/>
              </w:rPr>
            </w:pPr>
          </w:p>
        </w:tc>
      </w:tr>
      <w:tr w:rsidR="00C21195" w:rsidRPr="00BE2B02" w14:paraId="290AC44D" w14:textId="77777777">
        <w:trPr>
          <w:trHeight w:val="355"/>
          <w:jc w:val="center"/>
        </w:trPr>
        <w:tc>
          <w:tcPr>
            <w:tcW w:w="923" w:type="dxa"/>
            <w:tcBorders>
              <w:top w:val="nil"/>
              <w:left w:val="nil"/>
              <w:bottom w:val="nil"/>
              <w:right w:val="nil"/>
            </w:tcBorders>
          </w:tcPr>
          <w:p w14:paraId="02292A2D" w14:textId="77777777" w:rsidR="00C21195" w:rsidRPr="00BE2B02" w:rsidRDefault="00C21195">
            <w:pPr>
              <w:jc w:val="both"/>
              <w:rPr>
                <w:rFonts w:ascii="Arial" w:hAnsi="Arial"/>
                <w:b/>
                <w:bCs/>
                <w:sz w:val="26"/>
                <w:szCs w:val="26"/>
                <w:rtl/>
              </w:rPr>
            </w:pPr>
          </w:p>
        </w:tc>
        <w:tc>
          <w:tcPr>
            <w:tcW w:w="4126" w:type="dxa"/>
            <w:tcBorders>
              <w:top w:val="nil"/>
              <w:left w:val="nil"/>
              <w:bottom w:val="nil"/>
              <w:right w:val="nil"/>
            </w:tcBorders>
          </w:tcPr>
          <w:p w14:paraId="0043A9B6" w14:textId="77777777" w:rsidR="00C21195" w:rsidRPr="00BE2B02" w:rsidRDefault="00C21195">
            <w:pPr>
              <w:jc w:val="both"/>
              <w:rPr>
                <w:b/>
                <w:bCs/>
                <w:sz w:val="26"/>
                <w:szCs w:val="26"/>
                <w:rtl/>
              </w:rPr>
            </w:pPr>
          </w:p>
        </w:tc>
        <w:tc>
          <w:tcPr>
            <w:tcW w:w="3771" w:type="dxa"/>
            <w:tcBorders>
              <w:top w:val="nil"/>
              <w:left w:val="nil"/>
              <w:bottom w:val="nil"/>
              <w:right w:val="nil"/>
            </w:tcBorders>
          </w:tcPr>
          <w:p w14:paraId="3ED268C9" w14:textId="77777777" w:rsidR="00C21195" w:rsidRPr="00BE2B02" w:rsidRDefault="00BE2B02">
            <w:pPr>
              <w:ind w:left="1238"/>
              <w:jc w:val="both"/>
              <w:rPr>
                <w:rFonts w:ascii="Arial" w:hAnsi="Arial"/>
                <w:b/>
                <w:bCs/>
                <w:sz w:val="26"/>
                <w:szCs w:val="26"/>
              </w:rPr>
            </w:pPr>
            <w:r w:rsidRPr="00BE2B02">
              <w:rPr>
                <w:rFonts w:ascii="Arial" w:hAnsi="Arial" w:hint="cs"/>
                <w:b/>
                <w:bCs/>
                <w:sz w:val="26"/>
                <w:szCs w:val="26"/>
                <w:rtl/>
              </w:rPr>
              <w:t>ה</w:t>
            </w:r>
            <w:r w:rsidRPr="00BE2B02">
              <w:rPr>
                <w:rFonts w:hint="cs"/>
                <w:b/>
                <w:bCs/>
                <w:sz w:val="26"/>
                <w:szCs w:val="26"/>
                <w:rtl/>
              </w:rPr>
              <w:t>נאשמת</w:t>
            </w:r>
          </w:p>
        </w:tc>
      </w:tr>
    </w:tbl>
    <w:p w14:paraId="1D198D06" w14:textId="77777777" w:rsidR="00BD6BBC" w:rsidRDefault="00BD6BBC">
      <w:pPr>
        <w:jc w:val="both"/>
        <w:rPr>
          <w:sz w:val="26"/>
          <w:szCs w:val="26"/>
          <w:rtl/>
        </w:rPr>
      </w:pPr>
      <w:bookmarkStart w:id="3" w:name="LawTable"/>
      <w:bookmarkEnd w:id="3"/>
    </w:p>
    <w:p w14:paraId="7843EADB" w14:textId="77777777" w:rsidR="00BD6BBC" w:rsidRPr="00BD6BBC" w:rsidRDefault="00BD6BBC" w:rsidP="00BD6BBC">
      <w:pPr>
        <w:spacing w:after="120" w:line="240" w:lineRule="exact"/>
        <w:ind w:left="283" w:hanging="283"/>
        <w:jc w:val="both"/>
        <w:rPr>
          <w:rFonts w:ascii="FrankRuehl" w:hAnsi="FrankRuehl" w:cs="FrankRuehl"/>
          <w:rtl/>
        </w:rPr>
      </w:pPr>
    </w:p>
    <w:p w14:paraId="6095BEEE" w14:textId="77777777" w:rsidR="00BD6BBC" w:rsidRPr="00BD6BBC" w:rsidRDefault="00BD6BBC" w:rsidP="00BD6BBC">
      <w:pPr>
        <w:spacing w:after="120" w:line="240" w:lineRule="exact"/>
        <w:ind w:left="283" w:hanging="283"/>
        <w:jc w:val="both"/>
        <w:rPr>
          <w:rFonts w:ascii="FrankRuehl" w:hAnsi="FrankRuehl" w:cs="FrankRuehl"/>
          <w:rtl/>
        </w:rPr>
      </w:pPr>
      <w:r w:rsidRPr="00BD6BBC">
        <w:rPr>
          <w:rFonts w:ascii="FrankRuehl" w:hAnsi="FrankRuehl" w:cs="FrankRuehl"/>
          <w:rtl/>
        </w:rPr>
        <w:t xml:space="preserve">חקיקה שאוזכרה: </w:t>
      </w:r>
    </w:p>
    <w:p w14:paraId="6BCA9589" w14:textId="77777777" w:rsidR="00BD6BBC" w:rsidRPr="00BD6BBC" w:rsidRDefault="00BD6BBC" w:rsidP="00BD6BBC">
      <w:pPr>
        <w:spacing w:after="120" w:line="240" w:lineRule="exact"/>
        <w:ind w:left="283" w:hanging="283"/>
        <w:jc w:val="both"/>
        <w:rPr>
          <w:rFonts w:ascii="FrankRuehl" w:hAnsi="FrankRuehl" w:cs="FrankRuehl"/>
          <w:rtl/>
        </w:rPr>
      </w:pPr>
      <w:hyperlink r:id="rId6" w:history="1">
        <w:r w:rsidRPr="00BD6BBC">
          <w:rPr>
            <w:rFonts w:ascii="FrankRuehl" w:hAnsi="FrankRuehl" w:cs="FrankRuehl"/>
            <w:color w:val="0000FF"/>
            <w:u w:val="single"/>
            <w:rtl/>
          </w:rPr>
          <w:t>פקודת הסמים המסוכנים [נוסח חדש], תשל"ג-1973</w:t>
        </w:r>
      </w:hyperlink>
      <w:r w:rsidRPr="00BD6BBC">
        <w:rPr>
          <w:rFonts w:ascii="FrankRuehl" w:hAnsi="FrankRuehl" w:cs="FrankRuehl"/>
          <w:rtl/>
        </w:rPr>
        <w:t xml:space="preserve">: סע'  </w:t>
      </w:r>
      <w:hyperlink r:id="rId7" w:history="1">
        <w:r w:rsidRPr="00BD6BBC">
          <w:rPr>
            <w:rFonts w:ascii="FrankRuehl" w:hAnsi="FrankRuehl" w:cs="FrankRuehl"/>
            <w:color w:val="0000FF"/>
            <w:u w:val="single"/>
            <w:rtl/>
          </w:rPr>
          <w:t>7(א)</w:t>
        </w:r>
      </w:hyperlink>
      <w:r w:rsidRPr="00BD6BBC">
        <w:rPr>
          <w:rFonts w:ascii="FrankRuehl" w:hAnsi="FrankRuehl" w:cs="FrankRuehl"/>
          <w:rtl/>
        </w:rPr>
        <w:t xml:space="preserve">, </w:t>
      </w:r>
      <w:hyperlink r:id="rId8" w:history="1">
        <w:r w:rsidRPr="00BD6BBC">
          <w:rPr>
            <w:rFonts w:ascii="FrankRuehl" w:hAnsi="FrankRuehl" w:cs="FrankRuehl"/>
            <w:color w:val="0000FF"/>
            <w:u w:val="single"/>
            <w:rtl/>
          </w:rPr>
          <w:t>7(ג)</w:t>
        </w:r>
      </w:hyperlink>
      <w:r w:rsidRPr="00BD6BBC">
        <w:rPr>
          <w:rFonts w:ascii="FrankRuehl" w:hAnsi="FrankRuehl" w:cs="FrankRuehl"/>
          <w:rtl/>
        </w:rPr>
        <w:t xml:space="preserve">, </w:t>
      </w:r>
      <w:hyperlink r:id="rId9" w:history="1">
        <w:r w:rsidRPr="00BD6BBC">
          <w:rPr>
            <w:rFonts w:ascii="FrankRuehl" w:hAnsi="FrankRuehl" w:cs="FrankRuehl"/>
            <w:color w:val="0000FF"/>
            <w:u w:val="single"/>
            <w:rtl/>
          </w:rPr>
          <w:t>13</w:t>
        </w:r>
      </w:hyperlink>
    </w:p>
    <w:p w14:paraId="55D7AA3F" w14:textId="77777777" w:rsidR="00BD6BBC" w:rsidRPr="00BD6BBC" w:rsidRDefault="00BD6BBC" w:rsidP="00BD6BBC">
      <w:pPr>
        <w:spacing w:after="120" w:line="240" w:lineRule="exact"/>
        <w:ind w:left="283" w:hanging="283"/>
        <w:jc w:val="both"/>
        <w:rPr>
          <w:rFonts w:ascii="FrankRuehl" w:hAnsi="FrankRuehl" w:cs="FrankRuehl"/>
          <w:rtl/>
        </w:rPr>
      </w:pPr>
      <w:hyperlink r:id="rId10" w:history="1">
        <w:r w:rsidRPr="00BD6BBC">
          <w:rPr>
            <w:rFonts w:ascii="FrankRuehl" w:hAnsi="FrankRuehl" w:cs="FrankRuehl"/>
            <w:color w:val="0000FF"/>
            <w:u w:val="single"/>
            <w:rtl/>
          </w:rPr>
          <w:t>חוק העונשין, תשל"ז-1977</w:t>
        </w:r>
      </w:hyperlink>
      <w:r w:rsidRPr="00BD6BBC">
        <w:rPr>
          <w:rFonts w:ascii="FrankRuehl" w:hAnsi="FrankRuehl" w:cs="FrankRuehl"/>
          <w:rtl/>
        </w:rPr>
        <w:t xml:space="preserve">: סע'  </w:t>
      </w:r>
      <w:hyperlink r:id="rId11" w:history="1">
        <w:r w:rsidRPr="00BD6BBC">
          <w:rPr>
            <w:rFonts w:ascii="FrankRuehl" w:hAnsi="FrankRuehl" w:cs="FrankRuehl"/>
            <w:color w:val="0000FF"/>
            <w:u w:val="single"/>
            <w:rtl/>
          </w:rPr>
          <w:t>31</w:t>
        </w:r>
      </w:hyperlink>
    </w:p>
    <w:p w14:paraId="4DAB07EE" w14:textId="77777777" w:rsidR="00BD6BBC" w:rsidRPr="00BD6BBC" w:rsidRDefault="00BD6BBC" w:rsidP="00BD6BBC">
      <w:pPr>
        <w:spacing w:after="120" w:line="240" w:lineRule="exact"/>
        <w:ind w:left="283" w:hanging="283"/>
        <w:jc w:val="both"/>
        <w:rPr>
          <w:rFonts w:ascii="FrankRuehl" w:hAnsi="FrankRuehl" w:cs="FrankRuehl"/>
          <w:rtl/>
        </w:rPr>
      </w:pPr>
    </w:p>
    <w:p w14:paraId="355C1585" w14:textId="77777777" w:rsidR="00BD6BBC" w:rsidRPr="00BD6BBC" w:rsidRDefault="00BD6BBC">
      <w:pPr>
        <w:jc w:val="both"/>
        <w:rPr>
          <w:sz w:val="26"/>
          <w:szCs w:val="26"/>
          <w:rtl/>
        </w:rPr>
      </w:pPr>
      <w:bookmarkStart w:id="4" w:name="LawTable_End"/>
      <w:bookmarkEnd w:id="4"/>
    </w:p>
    <w:p w14:paraId="28B263EA" w14:textId="77777777" w:rsidR="004B1A22" w:rsidRPr="004B1A22" w:rsidRDefault="004B1A22">
      <w:pPr>
        <w:jc w:val="both"/>
        <w:rPr>
          <w:sz w:val="26"/>
          <w:szCs w:val="26"/>
          <w:rtl/>
        </w:rPr>
      </w:pPr>
    </w:p>
    <w:p w14:paraId="5EAFBE41" w14:textId="77777777" w:rsidR="004B1A22" w:rsidRPr="004B1A22" w:rsidRDefault="004B1A22">
      <w:pPr>
        <w:jc w:val="both"/>
        <w:rPr>
          <w:sz w:val="26"/>
          <w:szCs w:val="26"/>
          <w:rtl/>
        </w:rPr>
      </w:pPr>
    </w:p>
    <w:p w14:paraId="1722B0F0" w14:textId="77777777" w:rsidR="00C21195" w:rsidRPr="004B1A22" w:rsidRDefault="00C21195">
      <w:pPr>
        <w:jc w:val="both"/>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1195" w14:paraId="64FA6395" w14:textId="77777777">
        <w:trPr>
          <w:trHeight w:val="355"/>
          <w:jc w:val="center"/>
        </w:trPr>
        <w:tc>
          <w:tcPr>
            <w:tcW w:w="8820" w:type="dxa"/>
            <w:tcBorders>
              <w:top w:val="nil"/>
              <w:left w:val="nil"/>
              <w:bottom w:val="nil"/>
              <w:right w:val="nil"/>
            </w:tcBorders>
          </w:tcPr>
          <w:p w14:paraId="28EA9B31" w14:textId="77777777" w:rsidR="00BE2B02" w:rsidRPr="00BE2B02" w:rsidRDefault="00BE2B02" w:rsidP="00BE2B02">
            <w:pPr>
              <w:jc w:val="center"/>
              <w:rPr>
                <w:rFonts w:ascii="Arial" w:hAnsi="Arial"/>
                <w:b/>
                <w:bCs/>
                <w:sz w:val="36"/>
                <w:szCs w:val="36"/>
                <w:u w:val="single"/>
                <w:rtl/>
              </w:rPr>
            </w:pPr>
            <w:bookmarkStart w:id="5" w:name="PsakDin" w:colFirst="0" w:colLast="0"/>
            <w:bookmarkEnd w:id="0"/>
            <w:r w:rsidRPr="00BE2B02">
              <w:rPr>
                <w:rFonts w:ascii="Arial" w:hAnsi="Arial"/>
                <w:b/>
                <w:bCs/>
                <w:sz w:val="36"/>
                <w:szCs w:val="36"/>
                <w:u w:val="single"/>
                <w:rtl/>
              </w:rPr>
              <w:t>גזר - דין</w:t>
            </w:r>
          </w:p>
          <w:p w14:paraId="4B505C86" w14:textId="77777777" w:rsidR="00C21195" w:rsidRPr="00BE2B02" w:rsidRDefault="00C21195" w:rsidP="00BE2B02">
            <w:pPr>
              <w:jc w:val="center"/>
              <w:rPr>
                <w:rFonts w:ascii="Arial" w:hAnsi="Arial"/>
                <w:bCs/>
                <w:sz w:val="36"/>
                <w:szCs w:val="36"/>
                <w:u w:val="single"/>
                <w:rtl/>
              </w:rPr>
            </w:pPr>
          </w:p>
        </w:tc>
      </w:tr>
      <w:bookmarkEnd w:id="5"/>
    </w:tbl>
    <w:p w14:paraId="74CB4256" w14:textId="77777777" w:rsidR="00C21195" w:rsidRDefault="00C21195">
      <w:pPr>
        <w:jc w:val="both"/>
        <w:rPr>
          <w:rFonts w:ascii="Arial" w:hAnsi="Arial"/>
          <w:sz w:val="26"/>
          <w:szCs w:val="26"/>
          <w:rtl/>
        </w:rPr>
      </w:pPr>
    </w:p>
    <w:p w14:paraId="34BCDD12" w14:textId="77777777" w:rsidR="00C21195" w:rsidRDefault="00BE2B02">
      <w:pPr>
        <w:spacing w:line="360" w:lineRule="auto"/>
        <w:jc w:val="both"/>
        <w:rPr>
          <w:rFonts w:ascii="Arial" w:hAnsi="Arial"/>
          <w:sz w:val="26"/>
          <w:szCs w:val="26"/>
          <w:u w:val="single"/>
          <w:rtl/>
        </w:rPr>
      </w:pPr>
      <w:r>
        <w:rPr>
          <w:rFonts w:ascii="Arial" w:hAnsi="Arial" w:hint="cs"/>
          <w:sz w:val="26"/>
          <w:szCs w:val="26"/>
          <w:u w:val="single"/>
          <w:rtl/>
        </w:rPr>
        <w:t>פתח דבר:</w:t>
      </w:r>
    </w:p>
    <w:p w14:paraId="4C79D0E2" w14:textId="77777777" w:rsidR="00C21195" w:rsidRDefault="00C21195">
      <w:pPr>
        <w:spacing w:line="360" w:lineRule="auto"/>
        <w:jc w:val="both"/>
        <w:rPr>
          <w:rFonts w:ascii="Arial" w:hAnsi="Arial"/>
          <w:sz w:val="26"/>
          <w:szCs w:val="26"/>
          <w:u w:val="single"/>
          <w:rtl/>
        </w:rPr>
      </w:pPr>
    </w:p>
    <w:p w14:paraId="784F43AB" w14:textId="77777777" w:rsidR="00C21195" w:rsidRDefault="00BE2B02">
      <w:pPr>
        <w:spacing w:line="360" w:lineRule="auto"/>
        <w:jc w:val="both"/>
        <w:rPr>
          <w:rFonts w:ascii="Arial" w:hAnsi="Arial"/>
          <w:sz w:val="26"/>
          <w:szCs w:val="26"/>
          <w:rtl/>
        </w:rPr>
      </w:pPr>
      <w:bookmarkStart w:id="6" w:name="ABSTRACT_START"/>
      <w:bookmarkEnd w:id="6"/>
      <w:r>
        <w:rPr>
          <w:rFonts w:ascii="Arial" w:hAnsi="Arial" w:hint="cs"/>
          <w:sz w:val="26"/>
          <w:szCs w:val="26"/>
          <w:rtl/>
        </w:rPr>
        <w:t xml:space="preserve">הנאשמת הורשעה, על פי הודאתה, במסגרת הסדר טיעון, בעבירה לפי </w:t>
      </w:r>
      <w:hyperlink r:id="rId12" w:history="1">
        <w:r w:rsidR="00BD6BBC" w:rsidRPr="00BD6BBC">
          <w:rPr>
            <w:rFonts w:ascii="Arial" w:hAnsi="Arial"/>
            <w:color w:val="0000FF"/>
            <w:sz w:val="26"/>
            <w:szCs w:val="26"/>
            <w:u w:val="single"/>
            <w:rtl/>
          </w:rPr>
          <w:t>סעיף 13</w:t>
        </w:r>
      </w:hyperlink>
      <w:r>
        <w:rPr>
          <w:rFonts w:ascii="Arial" w:hAnsi="Arial" w:hint="cs"/>
          <w:sz w:val="26"/>
          <w:szCs w:val="26"/>
          <w:rtl/>
        </w:rPr>
        <w:t xml:space="preserve"> ל</w:t>
      </w:r>
      <w:hyperlink r:id="rId13" w:history="1">
        <w:r w:rsidR="004B1A22" w:rsidRPr="004B1A22">
          <w:rPr>
            <w:rStyle w:val="Hyperlink"/>
            <w:rFonts w:ascii="Arial" w:hAnsi="Arial"/>
            <w:sz w:val="26"/>
            <w:szCs w:val="26"/>
            <w:rtl/>
          </w:rPr>
          <w:t>פקודת הסמים המסוכנים</w:t>
        </w:r>
      </w:hyperlink>
      <w:r>
        <w:rPr>
          <w:rFonts w:ascii="Arial" w:hAnsi="Arial" w:hint="cs"/>
          <w:sz w:val="26"/>
          <w:szCs w:val="26"/>
          <w:rtl/>
        </w:rPr>
        <w:t xml:space="preserve"> (נוסח חדש), התשל"ג </w:t>
      </w:r>
      <w:r>
        <w:rPr>
          <w:rFonts w:ascii="Arial" w:hAnsi="Arial"/>
          <w:sz w:val="26"/>
          <w:szCs w:val="26"/>
          <w:rtl/>
        </w:rPr>
        <w:t>–</w:t>
      </w:r>
      <w:r>
        <w:rPr>
          <w:rFonts w:ascii="Arial" w:hAnsi="Arial" w:hint="cs"/>
          <w:sz w:val="26"/>
          <w:szCs w:val="26"/>
          <w:rtl/>
        </w:rPr>
        <w:t xml:space="preserve"> 1977, ביחד עם </w:t>
      </w:r>
      <w:hyperlink r:id="rId14" w:history="1">
        <w:r w:rsidR="00BD6BBC" w:rsidRPr="00BD6BBC">
          <w:rPr>
            <w:rFonts w:ascii="Arial" w:hAnsi="Arial"/>
            <w:color w:val="0000FF"/>
            <w:sz w:val="26"/>
            <w:szCs w:val="26"/>
            <w:u w:val="single"/>
            <w:rtl/>
          </w:rPr>
          <w:t>סעיף 31</w:t>
        </w:r>
      </w:hyperlink>
      <w:r>
        <w:rPr>
          <w:rFonts w:ascii="Arial" w:hAnsi="Arial" w:hint="cs"/>
          <w:sz w:val="26"/>
          <w:szCs w:val="26"/>
          <w:rtl/>
        </w:rPr>
        <w:t xml:space="preserve"> ל</w:t>
      </w:r>
      <w:hyperlink r:id="rId15" w:history="1">
        <w:r w:rsidR="004B1A22" w:rsidRPr="004B1A22">
          <w:rPr>
            <w:rStyle w:val="Hyperlink"/>
            <w:rFonts w:ascii="Arial" w:hAnsi="Arial"/>
            <w:sz w:val="26"/>
            <w:szCs w:val="26"/>
            <w:rtl/>
          </w:rPr>
          <w:t>חוק העונשין</w:t>
        </w:r>
      </w:hyperlink>
      <w:r>
        <w:rPr>
          <w:rFonts w:ascii="Arial" w:hAnsi="Arial" w:hint="cs"/>
          <w:sz w:val="26"/>
          <w:szCs w:val="26"/>
          <w:rtl/>
        </w:rPr>
        <w:t xml:space="preserve">, התשל"ז </w:t>
      </w:r>
      <w:r>
        <w:rPr>
          <w:rFonts w:ascii="Arial" w:hAnsi="Arial"/>
          <w:sz w:val="26"/>
          <w:szCs w:val="26"/>
          <w:rtl/>
        </w:rPr>
        <w:t>–</w:t>
      </w:r>
      <w:r>
        <w:rPr>
          <w:rFonts w:ascii="Arial" w:hAnsi="Arial" w:hint="cs"/>
          <w:sz w:val="26"/>
          <w:szCs w:val="26"/>
          <w:rtl/>
        </w:rPr>
        <w:t xml:space="preserve"> 1977 ובעבירה לפי </w:t>
      </w:r>
      <w:hyperlink r:id="rId16" w:history="1">
        <w:r w:rsidR="00BD6BBC" w:rsidRPr="00BD6BBC">
          <w:rPr>
            <w:rFonts w:ascii="Arial" w:hAnsi="Arial"/>
            <w:color w:val="0000FF"/>
            <w:sz w:val="26"/>
            <w:szCs w:val="26"/>
            <w:u w:val="single"/>
            <w:rtl/>
          </w:rPr>
          <w:t>סעיף 7(א)</w:t>
        </w:r>
      </w:hyperlink>
      <w:r>
        <w:rPr>
          <w:rFonts w:ascii="Arial" w:hAnsi="Arial" w:hint="cs"/>
          <w:sz w:val="26"/>
          <w:szCs w:val="26"/>
          <w:rtl/>
        </w:rPr>
        <w:t xml:space="preserve"> ו- </w:t>
      </w:r>
      <w:hyperlink r:id="rId17" w:history="1">
        <w:r w:rsidR="00BD6BBC" w:rsidRPr="00BD6BBC">
          <w:rPr>
            <w:rFonts w:ascii="Arial" w:hAnsi="Arial"/>
            <w:color w:val="0000FF"/>
            <w:sz w:val="26"/>
            <w:szCs w:val="26"/>
            <w:u w:val="single"/>
            <w:rtl/>
          </w:rPr>
          <w:t>7(ג)</w:t>
        </w:r>
      </w:hyperlink>
      <w:r>
        <w:rPr>
          <w:rFonts w:ascii="Arial" w:hAnsi="Arial" w:hint="cs"/>
          <w:sz w:val="26"/>
          <w:szCs w:val="26"/>
          <w:rtl/>
        </w:rPr>
        <w:t xml:space="preserve"> רישא לפקודת הסמים המסוכנים (נוסח חדש), התשל"ג </w:t>
      </w:r>
      <w:r>
        <w:rPr>
          <w:rFonts w:ascii="Arial" w:hAnsi="Arial"/>
          <w:sz w:val="26"/>
          <w:szCs w:val="26"/>
          <w:rtl/>
        </w:rPr>
        <w:t>–</w:t>
      </w:r>
      <w:r>
        <w:rPr>
          <w:rFonts w:ascii="Arial" w:hAnsi="Arial" w:hint="cs"/>
          <w:sz w:val="26"/>
          <w:szCs w:val="26"/>
          <w:rtl/>
        </w:rPr>
        <w:t xml:space="preserve"> 1977. </w:t>
      </w:r>
    </w:p>
    <w:p w14:paraId="13E3E199" w14:textId="77777777" w:rsidR="00C21195" w:rsidRDefault="00C21195">
      <w:pPr>
        <w:spacing w:line="360" w:lineRule="auto"/>
        <w:jc w:val="both"/>
        <w:rPr>
          <w:rFonts w:ascii="Arial" w:hAnsi="Arial"/>
          <w:sz w:val="26"/>
          <w:szCs w:val="26"/>
          <w:rtl/>
        </w:rPr>
      </w:pPr>
      <w:bookmarkStart w:id="7" w:name="ABSTRACT_END"/>
      <w:bookmarkEnd w:id="7"/>
    </w:p>
    <w:p w14:paraId="28526268" w14:textId="77777777" w:rsidR="00C21195" w:rsidRDefault="00BE2B02">
      <w:pPr>
        <w:spacing w:line="360" w:lineRule="auto"/>
        <w:jc w:val="both"/>
        <w:rPr>
          <w:rFonts w:ascii="Arial" w:hAnsi="Arial"/>
          <w:sz w:val="26"/>
          <w:szCs w:val="26"/>
          <w:rtl/>
        </w:rPr>
      </w:pPr>
      <w:r>
        <w:rPr>
          <w:rFonts w:ascii="Arial" w:hAnsi="Arial" w:hint="cs"/>
          <w:sz w:val="26"/>
          <w:szCs w:val="26"/>
          <w:rtl/>
        </w:rPr>
        <w:t>על פי עובדות כתב האישום המתוקן (</w:t>
      </w:r>
      <w:r>
        <w:rPr>
          <w:rFonts w:ascii="Arial" w:hAnsi="Arial" w:hint="cs"/>
          <w:b/>
          <w:bCs/>
          <w:sz w:val="26"/>
          <w:szCs w:val="26"/>
          <w:rtl/>
        </w:rPr>
        <w:t>ב.מ.1</w:t>
      </w:r>
      <w:r>
        <w:rPr>
          <w:rFonts w:ascii="Arial" w:hAnsi="Arial" w:hint="cs"/>
          <w:sz w:val="26"/>
          <w:szCs w:val="26"/>
          <w:rtl/>
        </w:rPr>
        <w:t xml:space="preserve">), עובר ליום 20.05.2011, קשרו קשר שלושה (להלן: </w:t>
      </w:r>
      <w:r>
        <w:rPr>
          <w:rFonts w:ascii="Arial" w:hAnsi="Arial" w:hint="cs"/>
          <w:b/>
          <w:bCs/>
          <w:sz w:val="26"/>
          <w:szCs w:val="26"/>
          <w:rtl/>
        </w:rPr>
        <w:t>"השלושה"</w:t>
      </w:r>
      <w:r>
        <w:rPr>
          <w:rFonts w:ascii="Arial" w:hAnsi="Arial" w:hint="cs"/>
          <w:sz w:val="26"/>
          <w:szCs w:val="26"/>
          <w:rtl/>
        </w:rPr>
        <w:t xml:space="preserve">), וביניהם בן זוגה של הנאשמת באותה עת ואחיו, לייצוא כ- 35,000 כדורי </w:t>
      </w:r>
      <w:r>
        <w:rPr>
          <w:rFonts w:ascii="Arial" w:hAnsi="Arial"/>
          <w:sz w:val="26"/>
          <w:szCs w:val="26"/>
        </w:rPr>
        <w:t>M.D.M.A</w:t>
      </w:r>
      <w:r>
        <w:rPr>
          <w:rFonts w:ascii="Arial" w:hAnsi="Arial" w:hint="cs"/>
          <w:sz w:val="26"/>
          <w:szCs w:val="26"/>
          <w:rtl/>
        </w:rPr>
        <w:t xml:space="preserve"> (להלן: </w:t>
      </w:r>
      <w:r>
        <w:rPr>
          <w:rFonts w:ascii="Arial" w:hAnsi="Arial" w:hint="cs"/>
          <w:b/>
          <w:bCs/>
          <w:sz w:val="26"/>
          <w:szCs w:val="26"/>
          <w:rtl/>
        </w:rPr>
        <w:t>"אקסטזי"</w:t>
      </w:r>
      <w:r>
        <w:rPr>
          <w:rFonts w:ascii="Arial" w:hAnsi="Arial" w:hint="cs"/>
          <w:sz w:val="26"/>
          <w:szCs w:val="26"/>
          <w:rtl/>
        </w:rPr>
        <w:t xml:space="preserve">) מאוסטריה לטאיוואן. אלו הוסלקו בתוך פחיות הנחזות להיראות כמכילות מזון לחיות ונשלחו בחבילה מאוסטריה לטאיוואן. במהלך </w:t>
      </w:r>
      <w:r>
        <w:rPr>
          <w:rFonts w:ascii="Arial" w:hAnsi="Arial" w:hint="cs"/>
          <w:sz w:val="26"/>
          <w:szCs w:val="26"/>
          <w:rtl/>
        </w:rPr>
        <w:lastRenderedPageBreak/>
        <w:t xml:space="preserve">החודשים מאי 2011 </w:t>
      </w:r>
      <w:r>
        <w:rPr>
          <w:rFonts w:ascii="Arial" w:hAnsi="Arial"/>
          <w:sz w:val="26"/>
          <w:szCs w:val="26"/>
          <w:rtl/>
        </w:rPr>
        <w:t>–</w:t>
      </w:r>
      <w:r>
        <w:rPr>
          <w:rFonts w:ascii="Arial" w:hAnsi="Arial" w:hint="cs"/>
          <w:sz w:val="26"/>
          <w:szCs w:val="26"/>
          <w:rtl/>
        </w:rPr>
        <w:t xml:space="preserve"> יוני 2011, עקבו השלושה, מישראל, אחר משלוח החבילה ובין היתר, באמצעות בדיקה באתר האינטרנט של הדואר, במחשב. הנאשמת סייעה לשלושה לעשות כן ובמהלך החודשים מאי 2011 </w:t>
      </w:r>
      <w:r>
        <w:rPr>
          <w:rFonts w:ascii="Arial" w:hAnsi="Arial"/>
          <w:sz w:val="26"/>
          <w:szCs w:val="26"/>
          <w:rtl/>
        </w:rPr>
        <w:t>–</w:t>
      </w:r>
      <w:r>
        <w:rPr>
          <w:rFonts w:ascii="Arial" w:hAnsi="Arial" w:hint="cs"/>
          <w:sz w:val="26"/>
          <w:szCs w:val="26"/>
          <w:rtl/>
        </w:rPr>
        <w:t xml:space="preserve"> יוני 2011 כאמור, בדקה מספר פעמים מישראל, באמצעות גלישה באתר האינטרנט של הדואר, את סטאטוס המשלוח ודיווחה זאת לבן זוגה דאז ולאחיו. מספר פעמים אף נעזרה הנאשמת בבתה לשם ביצוע בדיקות אלו. במסגרת שיחותיה של הנאשמת עם השניים האמורים אודות סטאטוס משלוח החבילה, עשו שימוש במספר מילות קוד וכינויים שונים לחבילה. השלושה ניסו להוציא החבילה מן המכס בטאיוואן ומשלא צלחו, פעלו לשם השבתה של החבילה לאוסטריה וקבלתה לידיהם. לשם כך, קשרו השלושה קשר עם אחר (להלן: </w:t>
      </w:r>
      <w:r>
        <w:rPr>
          <w:rFonts w:ascii="Arial" w:hAnsi="Arial" w:hint="cs"/>
          <w:b/>
          <w:bCs/>
          <w:sz w:val="26"/>
          <w:szCs w:val="26"/>
          <w:rtl/>
        </w:rPr>
        <w:t>"האחר"</w:t>
      </w:r>
      <w:r>
        <w:rPr>
          <w:rFonts w:ascii="Arial" w:hAnsi="Arial" w:hint="cs"/>
          <w:sz w:val="26"/>
          <w:szCs w:val="26"/>
          <w:rtl/>
        </w:rPr>
        <w:t xml:space="preserve">) ובמהלך חודש יולי 2011, נסע האחר לאוסטריה, ביחד עם בן זוגה דאז. במהלך חודש יולי 2011, סייעה הנאשמת לפעולות בן זוגה דאז והאחר, בניסיונותיהם להשבת החבילה, באמצעות הפקדת כספים לחשבון בנק המתנהל בבנק לאומי על שם האחר וביום 01.08.2011, ביקשה הנאשמת מאחיו של בן זוגה דאז שיעדכן את בן זוגה דאז על הפקדת כספים זו. </w:t>
      </w:r>
    </w:p>
    <w:p w14:paraId="7B95EF9E" w14:textId="77777777" w:rsidR="00C21195" w:rsidRDefault="00C21195">
      <w:pPr>
        <w:spacing w:line="360" w:lineRule="auto"/>
        <w:jc w:val="both"/>
        <w:rPr>
          <w:rFonts w:ascii="Arial" w:hAnsi="Arial"/>
          <w:sz w:val="26"/>
          <w:szCs w:val="26"/>
          <w:u w:val="single"/>
          <w:rtl/>
        </w:rPr>
      </w:pPr>
    </w:p>
    <w:p w14:paraId="4216774F" w14:textId="77777777" w:rsidR="00C21195" w:rsidRDefault="00BE2B02">
      <w:pPr>
        <w:spacing w:line="360" w:lineRule="auto"/>
        <w:jc w:val="both"/>
        <w:rPr>
          <w:rFonts w:ascii="Arial" w:hAnsi="Arial"/>
          <w:sz w:val="26"/>
          <w:szCs w:val="26"/>
          <w:u w:val="single"/>
          <w:rtl/>
        </w:rPr>
      </w:pPr>
      <w:r>
        <w:rPr>
          <w:rFonts w:ascii="Arial" w:hAnsi="Arial" w:hint="cs"/>
          <w:sz w:val="26"/>
          <w:szCs w:val="26"/>
          <w:u w:val="single"/>
          <w:rtl/>
        </w:rPr>
        <w:t>הסדר הטיעון:</w:t>
      </w:r>
    </w:p>
    <w:p w14:paraId="72EBF5BA" w14:textId="77777777" w:rsidR="00C21195" w:rsidRDefault="00C21195">
      <w:pPr>
        <w:spacing w:line="360" w:lineRule="auto"/>
        <w:jc w:val="both"/>
        <w:rPr>
          <w:rFonts w:ascii="Arial" w:hAnsi="Arial"/>
          <w:sz w:val="26"/>
          <w:szCs w:val="26"/>
          <w:u w:val="single"/>
          <w:rtl/>
        </w:rPr>
      </w:pPr>
    </w:p>
    <w:p w14:paraId="613ECD37" w14:textId="77777777" w:rsidR="00C21195" w:rsidRDefault="00BE2B02">
      <w:pPr>
        <w:spacing w:line="360" w:lineRule="auto"/>
        <w:jc w:val="both"/>
        <w:rPr>
          <w:rFonts w:ascii="Arial" w:hAnsi="Arial"/>
          <w:sz w:val="26"/>
          <w:szCs w:val="26"/>
          <w:rtl/>
        </w:rPr>
      </w:pPr>
      <w:r>
        <w:rPr>
          <w:rFonts w:ascii="Arial" w:hAnsi="Arial" w:hint="cs"/>
          <w:sz w:val="26"/>
          <w:szCs w:val="26"/>
          <w:rtl/>
        </w:rPr>
        <w:t xml:space="preserve">על פי הסדר הטיעון אליו הגיעו באי כח הצדדים, הודתה הנאשמת והורשעה בעבירות אשר יוחסו לה בכתב האישום המתוקן. הנאשמת נשלחה לשירות המבחן לצורך עריכת תסקיר. בהתאם להסדר הטיעון, התביעה עתרה לעונש של שנתיים מאסר בפועל, מאסר מותנה וקנס ואילו, ההגנה עתרה לעונש מאסר החופף תקופת מעצרה של הנאשמת. </w:t>
      </w:r>
    </w:p>
    <w:p w14:paraId="41539F81" w14:textId="77777777" w:rsidR="00C21195" w:rsidRDefault="00C21195">
      <w:pPr>
        <w:spacing w:line="360" w:lineRule="auto"/>
        <w:jc w:val="both"/>
        <w:rPr>
          <w:rFonts w:ascii="Arial" w:hAnsi="Arial"/>
          <w:sz w:val="26"/>
          <w:szCs w:val="26"/>
          <w:rtl/>
        </w:rPr>
      </w:pPr>
    </w:p>
    <w:p w14:paraId="401B009D" w14:textId="77777777" w:rsidR="00C21195" w:rsidRDefault="00BE2B02">
      <w:pPr>
        <w:spacing w:line="360" w:lineRule="auto"/>
        <w:jc w:val="both"/>
        <w:rPr>
          <w:rFonts w:ascii="Arial" w:hAnsi="Arial"/>
          <w:sz w:val="26"/>
          <w:szCs w:val="26"/>
          <w:u w:val="single"/>
          <w:rtl/>
        </w:rPr>
      </w:pPr>
      <w:r>
        <w:rPr>
          <w:rFonts w:ascii="Arial" w:hAnsi="Arial" w:hint="cs"/>
          <w:sz w:val="26"/>
          <w:szCs w:val="26"/>
          <w:u w:val="single"/>
          <w:rtl/>
        </w:rPr>
        <w:t>טיעוני המאשימה:</w:t>
      </w:r>
    </w:p>
    <w:p w14:paraId="66F35E53" w14:textId="77777777" w:rsidR="00C21195" w:rsidRDefault="00C21195">
      <w:pPr>
        <w:spacing w:line="360" w:lineRule="auto"/>
        <w:jc w:val="both"/>
        <w:rPr>
          <w:rFonts w:ascii="Arial" w:hAnsi="Arial"/>
          <w:sz w:val="26"/>
          <w:szCs w:val="26"/>
          <w:rtl/>
        </w:rPr>
      </w:pPr>
    </w:p>
    <w:p w14:paraId="21768772" w14:textId="77777777" w:rsidR="00C21195" w:rsidRDefault="00BE2B02">
      <w:pPr>
        <w:spacing w:line="360" w:lineRule="auto"/>
        <w:jc w:val="both"/>
        <w:rPr>
          <w:rFonts w:ascii="Arial" w:hAnsi="Arial"/>
          <w:sz w:val="26"/>
          <w:szCs w:val="26"/>
          <w:rtl/>
        </w:rPr>
      </w:pPr>
      <w:r>
        <w:rPr>
          <w:rFonts w:ascii="Arial" w:hAnsi="Arial" w:hint="cs"/>
          <w:sz w:val="26"/>
          <w:szCs w:val="26"/>
          <w:rtl/>
        </w:rPr>
        <w:t xml:space="preserve">התובעת המלומדת, עו"ד שירה לייטרסדורף-שקדי, ציינה בטיעוניה לעונש חומרת מעשיה של הנאשמת, אשר הורשעה בהחזקת סם שלא לצריכה עצמית ובסיוע לייצוא/ייבוא סם מסוכן. הנאשמת נעדרת עבר פלילי רלוונטי. התובעת המלומדת הדגישה כי הסדר הטיעון ראוי ומאזן בין השיקולים הציבוריים לבין נסיבותיה האישיות הקשות של הנאשמת, חלקה בפרשה והעובדה כי הודאתה חסכה זמן שיפוטי יקר. התובעת המלומדת עתרה לרף העליון של הסדר הטיעון. התובעת הדגישה הצורך בלחימה בנגע הסמים ובענישת כל חוליה בשרשרת הפצת הסם. </w:t>
      </w:r>
      <w:r>
        <w:rPr>
          <w:rFonts w:hint="cs"/>
          <w:sz w:val="26"/>
          <w:szCs w:val="26"/>
          <w:rtl/>
        </w:rPr>
        <w:t>כמו כן,</w:t>
      </w:r>
      <w:r>
        <w:rPr>
          <w:sz w:val="26"/>
          <w:szCs w:val="26"/>
          <w:rtl/>
        </w:rPr>
        <w:t xml:space="preserve"> יש לתת בכורה לשיקולים הציבוריים בעת גזירת עונשם של אלו המהווים חלק משרשרת הפצת הסם</w:t>
      </w:r>
      <w:r>
        <w:rPr>
          <w:rFonts w:hint="cs"/>
          <w:sz w:val="26"/>
          <w:szCs w:val="26"/>
          <w:rtl/>
        </w:rPr>
        <w:t xml:space="preserve">. </w:t>
      </w:r>
      <w:r>
        <w:rPr>
          <w:sz w:val="26"/>
          <w:szCs w:val="26"/>
          <w:rtl/>
        </w:rPr>
        <w:t>הנאשמת היא מסייעת מסדר שני, המהווה חלק משרשרת הפצת הסם</w:t>
      </w:r>
      <w:r>
        <w:rPr>
          <w:rFonts w:hint="cs"/>
          <w:sz w:val="26"/>
          <w:szCs w:val="26"/>
          <w:rtl/>
        </w:rPr>
        <w:t xml:space="preserve">. </w:t>
      </w:r>
      <w:r>
        <w:rPr>
          <w:rFonts w:ascii="Arial" w:hAnsi="Arial" w:hint="cs"/>
          <w:sz w:val="26"/>
          <w:szCs w:val="26"/>
          <w:rtl/>
        </w:rPr>
        <w:t xml:space="preserve">התובעת המלומדת טענה כי אין קשר בין נסיבות חייה הקשות של הנאשמת לבין ביצוע העבירות וכי הנאשמת לא פעלה מתוך כורח או איום כלשהו שהופעל </w:t>
      </w:r>
      <w:r>
        <w:rPr>
          <w:rFonts w:ascii="Arial" w:hAnsi="Arial" w:hint="cs"/>
          <w:sz w:val="26"/>
          <w:szCs w:val="26"/>
          <w:rtl/>
        </w:rPr>
        <w:lastRenderedPageBreak/>
        <w:t xml:space="preserve">עליה. עוד טענה כי שירות המבחן מתייחס לבעייתיות בלקיחת האחריות של הנאשמת שטענה שלא ידעה כלל במה מדובר והבינה מה טיב החבילה רק בשלב מאוחר. התובעת המלומדת תמכה עתירתה בפסיקה שיצאה מלפני בתי המשפט. </w:t>
      </w:r>
    </w:p>
    <w:p w14:paraId="5B36EC77" w14:textId="77777777" w:rsidR="00C21195" w:rsidRDefault="00C21195">
      <w:pPr>
        <w:spacing w:line="360" w:lineRule="auto"/>
        <w:jc w:val="both"/>
        <w:rPr>
          <w:rFonts w:ascii="Arial" w:hAnsi="Arial"/>
          <w:sz w:val="26"/>
          <w:szCs w:val="26"/>
          <w:u w:val="single"/>
          <w:rtl/>
        </w:rPr>
      </w:pPr>
    </w:p>
    <w:p w14:paraId="651A7914" w14:textId="77777777" w:rsidR="00C21195" w:rsidRDefault="00BE2B02">
      <w:pPr>
        <w:spacing w:line="360" w:lineRule="auto"/>
        <w:jc w:val="both"/>
        <w:rPr>
          <w:rFonts w:ascii="Arial" w:hAnsi="Arial"/>
          <w:sz w:val="26"/>
          <w:szCs w:val="26"/>
          <w:u w:val="single"/>
          <w:rtl/>
        </w:rPr>
      </w:pPr>
      <w:r>
        <w:rPr>
          <w:rFonts w:ascii="Arial" w:hAnsi="Arial" w:hint="cs"/>
          <w:sz w:val="26"/>
          <w:szCs w:val="26"/>
          <w:u w:val="single"/>
          <w:rtl/>
        </w:rPr>
        <w:t>טיעוני ההגנה:</w:t>
      </w:r>
    </w:p>
    <w:p w14:paraId="43A3EB07" w14:textId="77777777" w:rsidR="00C21195" w:rsidRDefault="00C21195">
      <w:pPr>
        <w:spacing w:line="360" w:lineRule="auto"/>
        <w:jc w:val="both"/>
        <w:rPr>
          <w:rFonts w:ascii="Arial" w:hAnsi="Arial"/>
          <w:sz w:val="26"/>
          <w:szCs w:val="26"/>
          <w:u w:val="single"/>
          <w:rtl/>
        </w:rPr>
      </w:pPr>
    </w:p>
    <w:p w14:paraId="027C4191" w14:textId="77777777" w:rsidR="00C21195" w:rsidRDefault="00BE2B02">
      <w:pPr>
        <w:spacing w:line="360" w:lineRule="auto"/>
        <w:jc w:val="both"/>
        <w:rPr>
          <w:rFonts w:ascii="Arial" w:hAnsi="Arial"/>
          <w:sz w:val="26"/>
          <w:szCs w:val="26"/>
          <w:rtl/>
        </w:rPr>
      </w:pPr>
      <w:r>
        <w:rPr>
          <w:rFonts w:ascii="Arial" w:hAnsi="Arial" w:hint="cs"/>
          <w:sz w:val="26"/>
          <w:szCs w:val="26"/>
          <w:rtl/>
        </w:rPr>
        <w:t xml:space="preserve">סנגורה המלומד של הנאשמת, עו"ד בנצי קבלר, הדגיש בטיעוניו לעונש את נסיבותיה המיוחדות של הנאשמת בעת ביצוע העבירות </w:t>
      </w:r>
      <w:r>
        <w:rPr>
          <w:rFonts w:ascii="Arial" w:hAnsi="Arial"/>
          <w:sz w:val="26"/>
          <w:szCs w:val="26"/>
          <w:rtl/>
        </w:rPr>
        <w:t>–</w:t>
      </w:r>
      <w:r>
        <w:rPr>
          <w:rFonts w:ascii="Arial" w:hAnsi="Arial" w:hint="cs"/>
          <w:sz w:val="26"/>
          <w:szCs w:val="26"/>
          <w:rtl/>
        </w:rPr>
        <w:t xml:space="preserve"> היותה בת זוגו של אחד ממשתפי הפרשה ואת חלקה המינורי בפרשה. תיקון כתב האישום בא ללמד על חלקה המינורי של הנאשמת והסיבה להחריג את הנאשמת מרף העונשים הניתן בדרך כלל בעבירות סמים. </w:t>
      </w:r>
    </w:p>
    <w:p w14:paraId="73EBF8DE" w14:textId="77777777" w:rsidR="00C21195" w:rsidRDefault="00BE2B02">
      <w:pPr>
        <w:spacing w:line="360" w:lineRule="auto"/>
        <w:jc w:val="both"/>
        <w:rPr>
          <w:rFonts w:ascii="Arial" w:hAnsi="Arial"/>
          <w:sz w:val="26"/>
          <w:szCs w:val="26"/>
          <w:rtl/>
        </w:rPr>
      </w:pPr>
      <w:r>
        <w:rPr>
          <w:rFonts w:ascii="Arial" w:hAnsi="Arial" w:hint="cs"/>
          <w:sz w:val="26"/>
          <w:szCs w:val="26"/>
          <w:rtl/>
        </w:rPr>
        <w:t xml:space="preserve">הסנגור המלומד ציין את הצעדים המשמעותיים שעשתה הנאשמת בשנים האחרונות על מנת לשקם את חייה. לגישת הסנגור המלומד ראוי לגזור על הנאשמת עונש של לא יותר מ- 45 ימים אשר יקוזזו מימי מעצרה וכן, שעות של"צ כפי שהומלץ על ידי שירות המבחן. </w:t>
      </w:r>
    </w:p>
    <w:p w14:paraId="3EB74866" w14:textId="77777777" w:rsidR="00C21195" w:rsidRDefault="00C21195">
      <w:pPr>
        <w:spacing w:line="360" w:lineRule="auto"/>
        <w:jc w:val="both"/>
        <w:rPr>
          <w:rFonts w:ascii="Arial" w:hAnsi="Arial"/>
          <w:sz w:val="26"/>
          <w:szCs w:val="26"/>
          <w:rtl/>
        </w:rPr>
      </w:pPr>
    </w:p>
    <w:p w14:paraId="18614341" w14:textId="77777777" w:rsidR="00C21195" w:rsidRDefault="00BE2B02">
      <w:pPr>
        <w:spacing w:line="360" w:lineRule="auto"/>
        <w:jc w:val="both"/>
        <w:rPr>
          <w:rFonts w:ascii="Arial" w:hAnsi="Arial"/>
          <w:sz w:val="26"/>
          <w:szCs w:val="26"/>
          <w:rtl/>
        </w:rPr>
      </w:pPr>
      <w:r>
        <w:rPr>
          <w:rFonts w:ascii="Arial" w:hAnsi="Arial" w:hint="cs"/>
          <w:sz w:val="26"/>
          <w:szCs w:val="26"/>
          <w:rtl/>
        </w:rPr>
        <w:t>גב' אילנית טרבלסי, עובדת סוציאלית במקלט לנשים מוכות בראשון לציון אשר בו עבדה הנאשמת כאם בית, סיפרה בבית המשפט על תפקודה של הנאשמת בעבודתה במקלט, כן על תקופת שהותה כאשה מוכה במקלט ועל נסיבות חייה. עוד סיפרה על תהליך השיקום וההתקדמות שמנסה הנאשמת לעבור בחייה.</w:t>
      </w:r>
    </w:p>
    <w:p w14:paraId="665DD20D" w14:textId="77777777" w:rsidR="00C21195" w:rsidRDefault="00C21195">
      <w:pPr>
        <w:spacing w:line="360" w:lineRule="auto"/>
        <w:jc w:val="both"/>
        <w:rPr>
          <w:rFonts w:ascii="Arial" w:hAnsi="Arial"/>
          <w:sz w:val="26"/>
          <w:szCs w:val="26"/>
          <w:rtl/>
        </w:rPr>
      </w:pPr>
    </w:p>
    <w:p w14:paraId="38503AD4" w14:textId="77777777" w:rsidR="00C21195" w:rsidRDefault="00BE2B02">
      <w:pPr>
        <w:spacing w:line="360" w:lineRule="auto"/>
        <w:jc w:val="both"/>
        <w:rPr>
          <w:rFonts w:ascii="Arial" w:hAnsi="Arial"/>
          <w:sz w:val="26"/>
          <w:szCs w:val="26"/>
          <w:rtl/>
        </w:rPr>
      </w:pPr>
      <w:r>
        <w:rPr>
          <w:rFonts w:ascii="Arial" w:hAnsi="Arial" w:hint="cs"/>
          <w:sz w:val="26"/>
          <w:szCs w:val="26"/>
          <w:rtl/>
        </w:rPr>
        <w:t>גב' רות רזניק, מייסדת ויו"ר עמותת ל.א. לחימה באלימות נגד נשים וגב' חיה בורשטיין, מנהלת המקלט לנשים מוכות בראשון לציון, תיארו, כל אחת במכתבה, את נסיבות חייה של הנאשמת ואת עבודתה המסורה במקלט.</w:t>
      </w:r>
    </w:p>
    <w:p w14:paraId="78EDA563" w14:textId="77777777" w:rsidR="00C21195" w:rsidRDefault="00C21195">
      <w:pPr>
        <w:spacing w:line="360" w:lineRule="auto"/>
        <w:jc w:val="both"/>
        <w:rPr>
          <w:rFonts w:ascii="Arial" w:hAnsi="Arial"/>
          <w:sz w:val="26"/>
          <w:szCs w:val="26"/>
          <w:rtl/>
        </w:rPr>
      </w:pPr>
    </w:p>
    <w:p w14:paraId="4FEEC704" w14:textId="77777777" w:rsidR="00C21195" w:rsidRDefault="00BE2B02">
      <w:pPr>
        <w:spacing w:line="360" w:lineRule="auto"/>
        <w:jc w:val="both"/>
        <w:rPr>
          <w:rFonts w:ascii="Arial" w:hAnsi="Arial"/>
          <w:sz w:val="26"/>
          <w:szCs w:val="26"/>
          <w:u w:val="single"/>
          <w:rtl/>
        </w:rPr>
      </w:pPr>
      <w:r>
        <w:rPr>
          <w:rFonts w:ascii="Arial" w:hAnsi="Arial" w:hint="cs"/>
          <w:sz w:val="26"/>
          <w:szCs w:val="26"/>
          <w:u w:val="single"/>
          <w:rtl/>
        </w:rPr>
        <w:t>שירות המבחן:</w:t>
      </w:r>
    </w:p>
    <w:p w14:paraId="1655CEA1" w14:textId="77777777" w:rsidR="00C21195" w:rsidRDefault="00C21195">
      <w:pPr>
        <w:spacing w:line="360" w:lineRule="auto"/>
        <w:jc w:val="both"/>
        <w:rPr>
          <w:rFonts w:ascii="Arial" w:hAnsi="Arial"/>
          <w:sz w:val="26"/>
          <w:szCs w:val="26"/>
          <w:u w:val="single"/>
          <w:rtl/>
        </w:rPr>
      </w:pPr>
    </w:p>
    <w:p w14:paraId="74E4B8B9" w14:textId="77777777" w:rsidR="00C21195" w:rsidRDefault="00BE2B02">
      <w:pPr>
        <w:spacing w:line="360" w:lineRule="auto"/>
        <w:jc w:val="both"/>
        <w:rPr>
          <w:rFonts w:ascii="Arial" w:hAnsi="Arial"/>
          <w:sz w:val="26"/>
          <w:szCs w:val="26"/>
          <w:rtl/>
        </w:rPr>
      </w:pPr>
      <w:r>
        <w:rPr>
          <w:rFonts w:ascii="Arial" w:hAnsi="Arial" w:hint="cs"/>
          <w:sz w:val="26"/>
          <w:szCs w:val="26"/>
          <w:rtl/>
        </w:rPr>
        <w:t xml:space="preserve">תסקיר שירות המבחן מיום 31.12.2012 מגולל קורות חייה של הנאשמת. הנאשמת בת 47 שנים, גרושה, אם לארבעה ילדים וסבתא לארבעה נכדים. כיום, במסגרת חלופת מעצר, מתגוררת בבית בתה בעיר אילת עם שני ילדיה, בני 15 שנים ו- 22 שנים. נולדה וגדלה בבית שאן, בוגרת 11 שנות לימוד, לא שירתה בצה"ל עקב נישואיה. נישאה לבן זוגה הראשון בהיותה בת 16.5 שנים בהיותה הרה וזאת, בניגוד לעמדת בני משפחתה אשר ניתקו עמה קשר. בן זוגה דאז הפעיל כלפיה אלימות קשה במהלך השנים, כשהוא מקיים אורח חיים התמכרותי. כיום, מרצה בן הזוג עונש מאסר ארוך בגין עבירות אלימות קשות כלפיה וצפוי להשתחרר בעוד כשנתיים. הנאשמת חוששת מפניו וציינה בפני שירות המבחן כי הוא ממשיך לאיים עליה גם ממאסרו. עקב האלימות הקשה והמתמשכת שהפעיל כלפיה בן זוגה דאז, שהתה הנאשמת, לפני כ- 10 שנים במקלט לנשים מוכות ובשנים האחרונות שולבה בעבודה במקלט כאם בית מחליפה וכן, בפעילויות הסברה של המקלט בפני נשים מוכות אחרות. בעבר, נטלה טיפול תרופתי  נגד חרדה, אך, כיום, בשל מעצר הבית בו נתונה, אינה יכולה לפנות לטיפול נפשי ולכן, אינה מטופלת תרופתית, למרות מצבה החרדתי. הנאשמת מודה בביצוע העבירות המיוחסות לה, אך לטענתה, לא ידעה כי סייעה לדבר עבירה ורק מאוחר יותר, החלה לחשוד כי נקלעה למעורבות בעסקת סמים. על רקע חשדות אלו, יזמה הנאשמת את הפרידה מבן זוגה וניתקה עמו כל קשר. </w:t>
      </w:r>
    </w:p>
    <w:p w14:paraId="058F80EE" w14:textId="77777777" w:rsidR="00C21195" w:rsidRDefault="00BE2B02">
      <w:pPr>
        <w:spacing w:line="360" w:lineRule="auto"/>
        <w:jc w:val="both"/>
        <w:rPr>
          <w:rFonts w:ascii="Arial" w:hAnsi="Arial"/>
          <w:sz w:val="26"/>
          <w:szCs w:val="26"/>
          <w:rtl/>
        </w:rPr>
      </w:pPr>
      <w:r>
        <w:rPr>
          <w:rFonts w:ascii="Arial" w:hAnsi="Arial" w:hint="cs"/>
          <w:sz w:val="26"/>
          <w:szCs w:val="26"/>
          <w:rtl/>
        </w:rPr>
        <w:t xml:space="preserve">שירות המבחן התרשם כי הנאשמת מתקשה לבחון לעומק גורמי הסיכון הנובעים מדפוסי התנהגותה ואישיותה ואשר הובילוה לביצוע העבירות. עמדתה של הנאשמת מאופיינת בעמדה קורבנית ותחושות ניצול. שירות המבחן ציין כי הנאשמת ערכה בשנים האחרונות צעדים משמעותיים לקראת שיקום חייה. אולם, טרם הצליחה להתמודד עם החלקים התלותיים באישיותה אשר מובילים אותה לבחירות מסוג זה שהובילוה למעורבות בעבירות בהן הורשעה. שירות המבחן המליץ להשית על הנאשמת עונש אשר יגדיר לה את משמעות מעשיה ויהוה פיצוי לחברה וכן, יאפשר לה להשתלב במסגרות תעסוקתיות נורמטיביות </w:t>
      </w:r>
      <w:r>
        <w:rPr>
          <w:rFonts w:ascii="Arial" w:hAnsi="Arial"/>
          <w:sz w:val="26"/>
          <w:szCs w:val="26"/>
          <w:rtl/>
        </w:rPr>
        <w:t>–</w:t>
      </w:r>
      <w:r>
        <w:rPr>
          <w:rFonts w:ascii="Arial" w:hAnsi="Arial" w:hint="cs"/>
          <w:sz w:val="26"/>
          <w:szCs w:val="26"/>
          <w:rtl/>
        </w:rPr>
        <w:t xml:space="preserve"> וזאת, במסגרת שעות של"צ (המלצת שירות המבחן היא ביצוע 300 שעות של"צ בתפקיד אם בית בעמותת אנוש בעיר אילת). עוד המליץ שירות המבחן על השתת מאסר מותנה על הנאשמת, צו מבחן למשך שנה, המשך קשר עם גורמי הרווחה ברשות המקומית וחידוש קשר עם פסיכיאטר.</w:t>
      </w:r>
    </w:p>
    <w:p w14:paraId="6D51D757" w14:textId="77777777" w:rsidR="00C21195" w:rsidRDefault="00C21195">
      <w:pPr>
        <w:spacing w:line="360" w:lineRule="auto"/>
        <w:jc w:val="both"/>
        <w:rPr>
          <w:rFonts w:ascii="Arial" w:hAnsi="Arial"/>
          <w:sz w:val="26"/>
          <w:szCs w:val="26"/>
          <w:rtl/>
        </w:rPr>
      </w:pPr>
    </w:p>
    <w:p w14:paraId="77BF1D3D" w14:textId="77777777" w:rsidR="00C21195" w:rsidRDefault="00BE2B02">
      <w:pPr>
        <w:spacing w:line="360" w:lineRule="auto"/>
        <w:jc w:val="both"/>
        <w:rPr>
          <w:rFonts w:ascii="Arial" w:hAnsi="Arial"/>
          <w:sz w:val="26"/>
          <w:szCs w:val="26"/>
          <w:u w:val="single"/>
          <w:rtl/>
        </w:rPr>
      </w:pPr>
      <w:r>
        <w:rPr>
          <w:rFonts w:ascii="Arial" w:hAnsi="Arial" w:hint="cs"/>
          <w:sz w:val="26"/>
          <w:szCs w:val="26"/>
          <w:u w:val="single"/>
          <w:rtl/>
        </w:rPr>
        <w:t>דיון:</w:t>
      </w:r>
    </w:p>
    <w:p w14:paraId="79D19814" w14:textId="77777777" w:rsidR="00C21195" w:rsidRDefault="00C21195">
      <w:pPr>
        <w:spacing w:line="360" w:lineRule="auto"/>
        <w:jc w:val="both"/>
        <w:rPr>
          <w:rFonts w:ascii="Arial" w:hAnsi="Arial"/>
          <w:sz w:val="26"/>
          <w:szCs w:val="26"/>
          <w:rtl/>
        </w:rPr>
      </w:pPr>
    </w:p>
    <w:p w14:paraId="78C43F42" w14:textId="77777777" w:rsidR="00C21195" w:rsidRDefault="00BE2B02">
      <w:pPr>
        <w:spacing w:line="360" w:lineRule="auto"/>
        <w:jc w:val="both"/>
        <w:rPr>
          <w:rFonts w:ascii="Arial" w:hAnsi="Arial"/>
          <w:sz w:val="26"/>
          <w:szCs w:val="26"/>
          <w:rtl/>
        </w:rPr>
      </w:pPr>
      <w:r>
        <w:rPr>
          <w:rFonts w:ascii="Arial" w:hAnsi="Arial" w:hint="cs"/>
          <w:sz w:val="26"/>
          <w:szCs w:val="26"/>
          <w:rtl/>
        </w:rPr>
        <w:t xml:space="preserve">הנאשמת סייעה לסחר סמים קשים, בדרך של יצוא, שלושים וחמישה אלף כדורי אקסטזי מאוסטריה לטאיוואן. </w:t>
      </w:r>
    </w:p>
    <w:p w14:paraId="1BBBBAE5" w14:textId="77777777" w:rsidR="00C21195" w:rsidRDefault="00C21195">
      <w:pPr>
        <w:spacing w:line="360" w:lineRule="auto"/>
        <w:jc w:val="both"/>
        <w:rPr>
          <w:rFonts w:ascii="Arial" w:hAnsi="Arial"/>
          <w:sz w:val="26"/>
          <w:szCs w:val="26"/>
          <w:u w:val="single"/>
          <w:rtl/>
        </w:rPr>
      </w:pPr>
    </w:p>
    <w:p w14:paraId="0BFD96AC" w14:textId="77777777" w:rsidR="00C21195" w:rsidRDefault="00BE2B02">
      <w:pPr>
        <w:spacing w:line="360" w:lineRule="auto"/>
        <w:jc w:val="both"/>
        <w:rPr>
          <w:rFonts w:ascii="Arial" w:hAnsi="Arial"/>
          <w:sz w:val="26"/>
          <w:szCs w:val="26"/>
          <w:rtl/>
        </w:rPr>
      </w:pPr>
      <w:r>
        <w:rPr>
          <w:rFonts w:ascii="Arial" w:hAnsi="Arial" w:hint="cs"/>
          <w:sz w:val="26"/>
          <w:szCs w:val="26"/>
          <w:rtl/>
        </w:rPr>
        <w:t xml:space="preserve">בית המשפט העליון חזר ושנה בפסיקתו על החומרה הרבה הטמונה בעבירות סחר בסמים. </w:t>
      </w:r>
    </w:p>
    <w:p w14:paraId="1A89EFCC" w14:textId="77777777" w:rsidR="00C21195" w:rsidRDefault="00BE2B02">
      <w:pPr>
        <w:spacing w:line="360" w:lineRule="auto"/>
        <w:jc w:val="both"/>
        <w:rPr>
          <w:rFonts w:ascii="Arial" w:hAnsi="Arial"/>
          <w:sz w:val="26"/>
          <w:szCs w:val="26"/>
          <w:rtl/>
        </w:rPr>
      </w:pPr>
      <w:r>
        <w:rPr>
          <w:rFonts w:ascii="Arial" w:hAnsi="Arial" w:hint="cs"/>
          <w:sz w:val="26"/>
          <w:szCs w:val="26"/>
          <w:rtl/>
        </w:rPr>
        <w:t>כבוד השופט חשין (כתוארו אז) התייחס לכך ב</w:t>
      </w:r>
      <w:hyperlink r:id="rId18" w:history="1">
        <w:r w:rsidR="004B1A22" w:rsidRPr="004B1A22">
          <w:rPr>
            <w:rStyle w:val="Hyperlink"/>
            <w:rFonts w:ascii="Arial" w:hAnsi="Arial"/>
            <w:sz w:val="26"/>
            <w:szCs w:val="26"/>
            <w:rtl/>
          </w:rPr>
          <w:t>ע"פ 6021/95 מדינת ישראל נ' גומז-קרדוסו, פ"ד נא</w:t>
        </w:r>
      </w:hyperlink>
      <w:r>
        <w:rPr>
          <w:rFonts w:ascii="Arial" w:hAnsi="Arial" w:hint="cs"/>
          <w:sz w:val="26"/>
          <w:szCs w:val="26"/>
          <w:rtl/>
        </w:rPr>
        <w:t>(3) 769, 787:</w:t>
      </w:r>
    </w:p>
    <w:p w14:paraId="38C11823" w14:textId="77777777" w:rsidR="00C21195" w:rsidRDefault="00BE2B02">
      <w:pPr>
        <w:spacing w:line="360" w:lineRule="auto"/>
        <w:jc w:val="both"/>
        <w:rPr>
          <w:rFonts w:ascii="Arial" w:hAnsi="Arial"/>
          <w:sz w:val="26"/>
          <w:szCs w:val="26"/>
          <w:rtl/>
        </w:rPr>
      </w:pPr>
      <w:r>
        <w:rPr>
          <w:rFonts w:ascii="Arial" w:hAnsi="Arial" w:hint="cs"/>
          <w:sz w:val="26"/>
          <w:szCs w:val="26"/>
          <w:rtl/>
        </w:rPr>
        <w:t xml:space="preserve"> </w:t>
      </w:r>
    </w:p>
    <w:p w14:paraId="62C7C4F0" w14:textId="77777777" w:rsidR="00C21195" w:rsidRDefault="00BE2B02">
      <w:pPr>
        <w:spacing w:line="360" w:lineRule="auto"/>
        <w:ind w:left="720" w:right="993"/>
        <w:jc w:val="both"/>
        <w:rPr>
          <w:rFonts w:ascii="Arial" w:hAnsi="Arial"/>
          <w:b/>
          <w:bCs/>
          <w:sz w:val="26"/>
          <w:szCs w:val="26"/>
          <w:rtl/>
        </w:rPr>
      </w:pPr>
      <w:r>
        <w:rPr>
          <w:rFonts w:ascii="Arial" w:hAnsi="Arial" w:hint="cs"/>
          <w:b/>
          <w:bCs/>
          <w:sz w:val="26"/>
          <w:szCs w:val="26"/>
          <w:rtl/>
        </w:rPr>
        <w:t xml:space="preserve">"מלחמת החורמה בעברייני סמים נמשכת והולכת. מלחמה קשה היא, </w:t>
      </w:r>
    </w:p>
    <w:p w14:paraId="24DB1D4E" w14:textId="77777777" w:rsidR="00C21195" w:rsidRDefault="00BE2B02">
      <w:pPr>
        <w:spacing w:line="360" w:lineRule="auto"/>
        <w:ind w:left="720"/>
        <w:jc w:val="both"/>
        <w:rPr>
          <w:rFonts w:ascii="Arial" w:hAnsi="Arial"/>
          <w:b/>
          <w:bCs/>
          <w:sz w:val="26"/>
          <w:szCs w:val="26"/>
          <w:rtl/>
        </w:rPr>
      </w:pPr>
      <w:r>
        <w:rPr>
          <w:rFonts w:ascii="Arial" w:hAnsi="Arial" w:hint="cs"/>
          <w:b/>
          <w:bCs/>
          <w:sz w:val="26"/>
          <w:szCs w:val="26"/>
          <w:rtl/>
        </w:rPr>
        <w:t>מלחמה ארוכה, והיא כמלחמת ישראל בעמלק".</w:t>
      </w:r>
    </w:p>
    <w:p w14:paraId="05000551" w14:textId="77777777" w:rsidR="00C21195" w:rsidRDefault="00C21195">
      <w:pPr>
        <w:spacing w:line="360" w:lineRule="auto"/>
        <w:jc w:val="both"/>
        <w:rPr>
          <w:rFonts w:ascii="Arial" w:hAnsi="Arial"/>
          <w:sz w:val="26"/>
          <w:szCs w:val="26"/>
          <w:rtl/>
        </w:rPr>
      </w:pPr>
    </w:p>
    <w:p w14:paraId="6CD8AEF1" w14:textId="77777777" w:rsidR="00C21195" w:rsidRDefault="00C21195">
      <w:pPr>
        <w:spacing w:line="360" w:lineRule="auto"/>
        <w:jc w:val="both"/>
        <w:rPr>
          <w:rFonts w:ascii="Arial" w:hAnsi="Arial"/>
          <w:sz w:val="26"/>
          <w:szCs w:val="26"/>
          <w:rtl/>
        </w:rPr>
      </w:pPr>
    </w:p>
    <w:p w14:paraId="4FBC4E6F" w14:textId="77777777" w:rsidR="00C21195" w:rsidRDefault="00BE2B02">
      <w:pPr>
        <w:spacing w:line="360" w:lineRule="auto"/>
        <w:jc w:val="both"/>
        <w:rPr>
          <w:rFonts w:ascii="Arial" w:hAnsi="Arial"/>
          <w:sz w:val="26"/>
          <w:szCs w:val="26"/>
          <w:rtl/>
        </w:rPr>
      </w:pPr>
      <w:r>
        <w:rPr>
          <w:rFonts w:ascii="Arial" w:hAnsi="Arial"/>
          <w:sz w:val="26"/>
          <w:szCs w:val="26"/>
          <w:rtl/>
        </w:rPr>
        <w:t>כב</w:t>
      </w:r>
      <w:r>
        <w:rPr>
          <w:rFonts w:ascii="Arial" w:hAnsi="Arial" w:hint="cs"/>
          <w:sz w:val="26"/>
          <w:szCs w:val="26"/>
          <w:rtl/>
        </w:rPr>
        <w:t>וד</w:t>
      </w:r>
      <w:r>
        <w:rPr>
          <w:rFonts w:ascii="Arial" w:hAnsi="Arial"/>
          <w:sz w:val="26"/>
          <w:szCs w:val="26"/>
          <w:rtl/>
        </w:rPr>
        <w:t xml:space="preserve"> השופט א. לוי, ב</w:t>
      </w:r>
      <w:hyperlink r:id="rId19" w:history="1">
        <w:r w:rsidR="004B1A22" w:rsidRPr="004B1A22">
          <w:rPr>
            <w:rStyle w:val="Hyperlink"/>
            <w:rFonts w:ascii="Arial" w:hAnsi="Arial"/>
            <w:sz w:val="26"/>
            <w:szCs w:val="26"/>
            <w:rtl/>
          </w:rPr>
          <w:t>ע"פ  7011/09</w:t>
        </w:r>
      </w:hyperlink>
      <w:r>
        <w:rPr>
          <w:rFonts w:ascii="Arial" w:hAnsi="Arial"/>
          <w:sz w:val="26"/>
          <w:szCs w:val="26"/>
          <w:rtl/>
        </w:rPr>
        <w:t xml:space="preserve"> </w:t>
      </w:r>
      <w:r>
        <w:rPr>
          <w:rFonts w:ascii="Arial" w:hAnsi="Arial"/>
          <w:b/>
          <w:bCs/>
          <w:sz w:val="26"/>
          <w:szCs w:val="26"/>
          <w:rtl/>
        </w:rPr>
        <w:t>דולינגר נ' מדינת ישראל,</w:t>
      </w:r>
      <w:r>
        <w:rPr>
          <w:rFonts w:ascii="Arial" w:hAnsi="Arial"/>
          <w:sz w:val="26"/>
          <w:szCs w:val="26"/>
          <w:rtl/>
        </w:rPr>
        <w:t xml:space="preserve"> [פורסם בנבו] תק-על 2010(1) 9547</w:t>
      </w:r>
      <w:r>
        <w:rPr>
          <w:rFonts w:ascii="Arial" w:hAnsi="Arial" w:hint="cs"/>
          <w:sz w:val="26"/>
          <w:szCs w:val="26"/>
          <w:rtl/>
        </w:rPr>
        <w:t>, בענין</w:t>
      </w:r>
      <w:r>
        <w:rPr>
          <w:rFonts w:ascii="Arial" w:hAnsi="Arial"/>
          <w:sz w:val="26"/>
          <w:szCs w:val="26"/>
          <w:rtl/>
        </w:rPr>
        <w:t xml:space="preserve"> אלה הנותנים את ידם להפצתו של נגע הסמים, גם א</w:t>
      </w:r>
      <w:r>
        <w:rPr>
          <w:rFonts w:ascii="Arial" w:hAnsi="Arial" w:hint="cs"/>
          <w:sz w:val="26"/>
          <w:szCs w:val="26"/>
          <w:rtl/>
        </w:rPr>
        <w:t xml:space="preserve">ם </w:t>
      </w:r>
      <w:r>
        <w:rPr>
          <w:rFonts w:ascii="Arial" w:hAnsi="Arial"/>
          <w:sz w:val="26"/>
          <w:szCs w:val="26"/>
          <w:rtl/>
        </w:rPr>
        <w:t>מדובר במי שזו לו הפעם הראשונה</w:t>
      </w:r>
      <w:r>
        <w:rPr>
          <w:rFonts w:ascii="Arial" w:hAnsi="Arial" w:hint="cs"/>
          <w:sz w:val="26"/>
          <w:szCs w:val="26"/>
          <w:rtl/>
        </w:rPr>
        <w:t>, קבע:</w:t>
      </w:r>
    </w:p>
    <w:p w14:paraId="0619CDF9" w14:textId="77777777" w:rsidR="00C21195" w:rsidRDefault="00C21195">
      <w:pPr>
        <w:spacing w:line="360" w:lineRule="auto"/>
        <w:jc w:val="both"/>
        <w:rPr>
          <w:rFonts w:ascii="Arial" w:hAnsi="Arial"/>
          <w:sz w:val="26"/>
          <w:szCs w:val="26"/>
          <w:rtl/>
        </w:rPr>
      </w:pPr>
    </w:p>
    <w:p w14:paraId="26FF6E2C" w14:textId="77777777" w:rsidR="00C21195" w:rsidRDefault="00BE2B02">
      <w:pPr>
        <w:spacing w:line="360" w:lineRule="auto"/>
        <w:ind w:left="720" w:right="993"/>
        <w:jc w:val="both"/>
        <w:rPr>
          <w:rFonts w:ascii="Arial" w:hAnsi="Arial"/>
          <w:b/>
          <w:bCs/>
          <w:sz w:val="26"/>
          <w:szCs w:val="26"/>
          <w:rtl/>
        </w:rPr>
      </w:pPr>
      <w:r>
        <w:rPr>
          <w:rFonts w:ascii="Arial" w:hAnsi="Arial" w:hint="cs"/>
          <w:b/>
          <w:bCs/>
          <w:sz w:val="26"/>
          <w:szCs w:val="26"/>
          <w:rtl/>
        </w:rPr>
        <w:t>"</w:t>
      </w:r>
      <w:r>
        <w:rPr>
          <w:rFonts w:ascii="Arial" w:hAnsi="Arial"/>
          <w:b/>
          <w:bCs/>
          <w:sz w:val="26"/>
          <w:szCs w:val="26"/>
          <w:rtl/>
        </w:rPr>
        <w:t>פסיקתו של בית משפט זה הנחתה בעקביות את הערכאות השונות לנקוט ביד קשה נגד אלה הנותנים את ידם להפצתו של נגע הסמים, גם  אם מדובר במי שחטא בכך לראשונה. בעיסוק בסמים גלום ככל הנראה רווח קל וניכר, ועל כן המתפתים לשלוח בו את ידם הם רבים. ענישה קשה מתחייבת אפוא לא רק מתוך רצון לגמול לעושה על מעלליו, אלא גם כדי להרתיע את הרבים.</w:t>
      </w:r>
      <w:r>
        <w:rPr>
          <w:rFonts w:ascii="Arial" w:hAnsi="Arial" w:hint="cs"/>
          <w:b/>
          <w:bCs/>
          <w:sz w:val="26"/>
          <w:szCs w:val="26"/>
          <w:rtl/>
        </w:rPr>
        <w:t>"</w:t>
      </w:r>
    </w:p>
    <w:p w14:paraId="303267F9" w14:textId="77777777" w:rsidR="00C21195" w:rsidRDefault="00C21195">
      <w:pPr>
        <w:spacing w:line="360" w:lineRule="auto"/>
        <w:jc w:val="both"/>
        <w:rPr>
          <w:rFonts w:ascii="Arial" w:hAnsi="Arial"/>
          <w:sz w:val="26"/>
          <w:szCs w:val="26"/>
          <w:rtl/>
        </w:rPr>
      </w:pPr>
    </w:p>
    <w:p w14:paraId="18CB9B11" w14:textId="77777777" w:rsidR="00C21195" w:rsidRDefault="00BE2B02">
      <w:pPr>
        <w:spacing w:line="360" w:lineRule="auto"/>
        <w:jc w:val="both"/>
        <w:rPr>
          <w:sz w:val="26"/>
          <w:szCs w:val="26"/>
          <w:rtl/>
        </w:rPr>
      </w:pPr>
      <w:r>
        <w:rPr>
          <w:rFonts w:hint="cs"/>
          <w:sz w:val="26"/>
          <w:szCs w:val="26"/>
          <w:rtl/>
        </w:rPr>
        <w:t xml:space="preserve">המחוקק מצא לנכון להשוות את מי שהקל על מלאכת ייצוא או ייבוא הסם המסוכן למבצע העיקרי (לעניין זה ראה גם דברי כבוד </w:t>
      </w:r>
      <w:r>
        <w:rPr>
          <w:sz w:val="26"/>
          <w:szCs w:val="26"/>
          <w:rtl/>
        </w:rPr>
        <w:t>השופט סולברג ב</w:t>
      </w:r>
      <w:hyperlink r:id="rId20" w:history="1">
        <w:r w:rsidR="004B1A22" w:rsidRPr="004B1A22">
          <w:rPr>
            <w:rStyle w:val="Hyperlink"/>
            <w:sz w:val="26"/>
            <w:szCs w:val="26"/>
            <w:rtl/>
          </w:rPr>
          <w:t>ע"פ 5858/11</w:t>
        </w:r>
      </w:hyperlink>
      <w:r>
        <w:rPr>
          <w:sz w:val="26"/>
          <w:szCs w:val="26"/>
          <w:rtl/>
        </w:rPr>
        <w:t xml:space="preserve"> </w:t>
      </w:r>
      <w:r>
        <w:rPr>
          <w:b/>
          <w:bCs/>
          <w:sz w:val="26"/>
          <w:szCs w:val="26"/>
          <w:rtl/>
        </w:rPr>
        <w:t>סאלים עבדלראזק נ' מדינת ישראל</w:t>
      </w:r>
      <w:r>
        <w:rPr>
          <w:sz w:val="26"/>
          <w:szCs w:val="26"/>
          <w:rtl/>
        </w:rPr>
        <w:t xml:space="preserve"> [פורסם בנבו, 10.10.2012]</w:t>
      </w:r>
      <w:r>
        <w:rPr>
          <w:rFonts w:hint="cs"/>
          <w:sz w:val="26"/>
          <w:szCs w:val="26"/>
          <w:rtl/>
        </w:rPr>
        <w:t xml:space="preserve">; ראה גם </w:t>
      </w:r>
      <w:hyperlink r:id="rId21" w:history="1">
        <w:r w:rsidR="004B1A22" w:rsidRPr="004B1A22">
          <w:rPr>
            <w:rStyle w:val="Hyperlink"/>
            <w:sz w:val="26"/>
            <w:szCs w:val="26"/>
            <w:rtl/>
          </w:rPr>
          <w:t>ע"פ 11331/03 קיס נ' מדינת ישראל, פ"ד נט</w:t>
        </w:r>
      </w:hyperlink>
      <w:r>
        <w:rPr>
          <w:rFonts w:hint="cs"/>
          <w:sz w:val="26"/>
          <w:szCs w:val="26"/>
          <w:rtl/>
        </w:rPr>
        <w:t xml:space="preserve">(3) 453, 475). </w:t>
      </w:r>
    </w:p>
    <w:p w14:paraId="5608AC52" w14:textId="77777777" w:rsidR="00C21195" w:rsidRDefault="00C21195">
      <w:pPr>
        <w:spacing w:line="360" w:lineRule="auto"/>
        <w:jc w:val="both"/>
        <w:rPr>
          <w:sz w:val="26"/>
          <w:szCs w:val="26"/>
          <w:rtl/>
        </w:rPr>
      </w:pPr>
    </w:p>
    <w:p w14:paraId="25C7BB21" w14:textId="77777777" w:rsidR="00C21195" w:rsidRDefault="00BE2B02">
      <w:pPr>
        <w:spacing w:line="360" w:lineRule="auto"/>
        <w:jc w:val="both"/>
        <w:rPr>
          <w:sz w:val="26"/>
          <w:szCs w:val="26"/>
          <w:rtl/>
        </w:rPr>
      </w:pPr>
      <w:r>
        <w:rPr>
          <w:rFonts w:hint="cs"/>
          <w:sz w:val="26"/>
          <w:szCs w:val="26"/>
          <w:rtl/>
        </w:rPr>
        <w:t xml:space="preserve">באי כח הצדדים הגיעו להסדר טיעון המתווה מתחם הענישה בענייננו. התובעת המלומדת, עו"ד שירה לייטרסדורף-שקדי, ציינה כי העונש המוצע על ידי המדינה מכמת כלל השיקולים הצריכים, תוך מתן משקל מירבי לנסיבותיה המיוחדות של הנאשמת כפי שצויינו על ידי שירות המבחן. מן העבר השני, סבור פרקליטה המלומד של הנאשמת, עו"ד בנצי קבלר, כי ראוי לבית המשפט להעדיף במקרה זה עניינה של הנאשמת ולגזור עליה עונש מתון ומדוד, בדומה לפסקי דין שהושתו על ידי בתי המשפט במקרים אחרים בהם, לדידו, הנסיבות האישיות היו פחות קיצוניות ומרשימות מאלו של הנאשמת. </w:t>
      </w:r>
    </w:p>
    <w:p w14:paraId="7A62A5B2" w14:textId="77777777" w:rsidR="00C21195" w:rsidRDefault="00BE2B02">
      <w:pPr>
        <w:spacing w:line="360" w:lineRule="auto"/>
        <w:jc w:val="both"/>
        <w:rPr>
          <w:sz w:val="26"/>
          <w:szCs w:val="26"/>
          <w:rtl/>
        </w:rPr>
      </w:pPr>
      <w:r>
        <w:rPr>
          <w:rFonts w:hint="cs"/>
          <w:sz w:val="26"/>
          <w:szCs w:val="26"/>
          <w:rtl/>
        </w:rPr>
        <w:t>טווח הענישה ההולם עליו הסכימו באי כח הצדדים הנכבדים משקף נכונה מכלול השיקולים הקבועים בתיקון 113 ל</w:t>
      </w:r>
      <w:hyperlink r:id="rId22" w:history="1">
        <w:r w:rsidR="004B1A22" w:rsidRPr="004B1A22">
          <w:rPr>
            <w:rStyle w:val="Hyperlink"/>
            <w:sz w:val="26"/>
            <w:szCs w:val="26"/>
            <w:rtl/>
          </w:rPr>
          <w:t>חוק העונשין</w:t>
        </w:r>
      </w:hyperlink>
      <w:r>
        <w:rPr>
          <w:rFonts w:hint="cs"/>
          <w:sz w:val="26"/>
          <w:szCs w:val="26"/>
          <w:rtl/>
        </w:rPr>
        <w:t xml:space="preserve">. הנאשמת הורשעה בעבירה חמורה, ברם חלקה ביצוא הסמים היה שולי לפי כל אמת מידה. הנאשמת סייעה למי שהיה בן זוגה, שמואל אוחיון, במעקב אחר חבילת הסמים, כמו גם בהפקדת כסף בבנק. </w:t>
      </w:r>
    </w:p>
    <w:p w14:paraId="357B8D29" w14:textId="77777777" w:rsidR="00C21195" w:rsidRDefault="00C21195">
      <w:pPr>
        <w:spacing w:line="360" w:lineRule="auto"/>
        <w:jc w:val="both"/>
        <w:rPr>
          <w:sz w:val="26"/>
          <w:szCs w:val="26"/>
          <w:rtl/>
        </w:rPr>
      </w:pPr>
    </w:p>
    <w:p w14:paraId="5FE31C29" w14:textId="77777777" w:rsidR="00C21195" w:rsidRDefault="00BE2B02">
      <w:pPr>
        <w:spacing w:line="360" w:lineRule="auto"/>
        <w:jc w:val="both"/>
        <w:rPr>
          <w:sz w:val="26"/>
          <w:szCs w:val="26"/>
          <w:rtl/>
        </w:rPr>
      </w:pPr>
      <w:r>
        <w:rPr>
          <w:rFonts w:hint="cs"/>
          <w:sz w:val="26"/>
          <w:szCs w:val="26"/>
          <w:rtl/>
        </w:rPr>
        <w:t>נסיבותיה האישיות של הנאשמת הינן קשות וקודרות ביותר.</w:t>
      </w:r>
    </w:p>
    <w:p w14:paraId="26BC2890" w14:textId="77777777" w:rsidR="00C21195" w:rsidRDefault="00BE2B02">
      <w:pPr>
        <w:spacing w:line="360" w:lineRule="auto"/>
        <w:jc w:val="both"/>
        <w:rPr>
          <w:sz w:val="26"/>
          <w:szCs w:val="26"/>
          <w:rtl/>
        </w:rPr>
      </w:pPr>
      <w:r>
        <w:rPr>
          <w:rFonts w:hint="cs"/>
          <w:sz w:val="26"/>
          <w:szCs w:val="26"/>
          <w:rtl/>
        </w:rPr>
        <w:t xml:space="preserve">שירות המבחן גולל קורותיה ולמותר לשוב ולשנות באלה. הנאשמת הסתבכה בעבירות בהן הורשעה לאחר שנקלעה לכף הקלע. שנים התענתה תחת ידו של בן זוג איום, לו הייתה נשואה </w:t>
      </w:r>
      <w:r>
        <w:rPr>
          <w:sz w:val="26"/>
          <w:szCs w:val="26"/>
          <w:rtl/>
        </w:rPr>
        <w:t>–</w:t>
      </w:r>
      <w:r>
        <w:rPr>
          <w:rFonts w:hint="cs"/>
          <w:sz w:val="26"/>
          <w:szCs w:val="26"/>
          <w:rtl/>
        </w:rPr>
        <w:t xml:space="preserve"> איש שהתאכזר ואמלל ימיה עד שהתלוננה במשטרה וזה נשפט והושם לשנים רבות מאחורי הסורגים </w:t>
      </w:r>
      <w:r>
        <w:rPr>
          <w:sz w:val="26"/>
          <w:szCs w:val="26"/>
          <w:rtl/>
        </w:rPr>
        <w:t>–</w:t>
      </w:r>
      <w:r>
        <w:rPr>
          <w:rFonts w:hint="cs"/>
          <w:sz w:val="26"/>
          <w:szCs w:val="26"/>
          <w:rtl/>
        </w:rPr>
        <w:t xml:space="preserve"> לא לפני ששהתה תקופות ארוכות במעון לנשים מוכות, מחשש שזה יפגע בגופה. אימת אותו אסיר שורה על הנאשמת. זה מתקשר ומעכיר חייה תוך העצמת חרדות עבר והווה, כמתואר בתסקיר שירות המבחן. </w:t>
      </w:r>
    </w:p>
    <w:p w14:paraId="1B6CE3B9" w14:textId="77777777" w:rsidR="00C21195" w:rsidRDefault="00BE2B02">
      <w:pPr>
        <w:spacing w:line="360" w:lineRule="auto"/>
        <w:jc w:val="both"/>
        <w:rPr>
          <w:sz w:val="26"/>
          <w:szCs w:val="26"/>
          <w:rtl/>
        </w:rPr>
      </w:pPr>
      <w:r>
        <w:rPr>
          <w:rFonts w:hint="cs"/>
          <w:sz w:val="26"/>
          <w:szCs w:val="26"/>
          <w:rtl/>
        </w:rPr>
        <w:t>לאחר פרק קודר, קשה וממושך עם זה, מצאה הנאשמת מרגוע ושלווה עם בן זוג, אשר בנקוף הימים למדה שהינו מחובר לרשת בינלאומית להפצת הסמים. בן זוגה זה ביקש עזרתה והיא שגתה וללא כל מניע כלכלי, כספי או אחר, נענתה לבן הזוג וסייעה לו באמצעות האינטרנט לדעת מקום הימצאות חבילת הסמים.</w:t>
      </w:r>
    </w:p>
    <w:p w14:paraId="3B68E7A8" w14:textId="77777777" w:rsidR="00C21195" w:rsidRDefault="00BE2B02">
      <w:pPr>
        <w:spacing w:line="360" w:lineRule="auto"/>
        <w:jc w:val="both"/>
        <w:rPr>
          <w:sz w:val="26"/>
          <w:szCs w:val="26"/>
          <w:rtl/>
        </w:rPr>
      </w:pPr>
      <w:r>
        <w:rPr>
          <w:rFonts w:hint="cs"/>
          <w:sz w:val="26"/>
          <w:szCs w:val="26"/>
          <w:rtl/>
        </w:rPr>
        <w:t>על פי נתוניה האישים וכלל מצוקותיה מילדות ועד בגרות, היענותה של הנאשמת והירתמותה לסייע לבן זוגה בביצוע העבירה נשקפת כתגובה של אישה מוכה וחלשה שהוצבה</w:t>
      </w:r>
    </w:p>
    <w:p w14:paraId="428BDB64" w14:textId="77777777" w:rsidR="00C21195" w:rsidRDefault="00BE2B02">
      <w:pPr>
        <w:spacing w:line="360" w:lineRule="auto"/>
        <w:jc w:val="both"/>
        <w:rPr>
          <w:sz w:val="26"/>
          <w:szCs w:val="26"/>
          <w:rtl/>
        </w:rPr>
      </w:pPr>
      <w:r>
        <w:rPr>
          <w:rFonts w:hint="cs"/>
          <w:sz w:val="26"/>
          <w:szCs w:val="26"/>
          <w:rtl/>
        </w:rPr>
        <w:t>במצב בו לא היה בכוחה למאן לבן הזוג, שמואל אוחיון, לסייע לו במעקב אינטרנט אחר חבילת הסמים.</w:t>
      </w:r>
    </w:p>
    <w:p w14:paraId="0A6C707C" w14:textId="77777777" w:rsidR="00C21195" w:rsidRDefault="00C21195">
      <w:pPr>
        <w:spacing w:line="360" w:lineRule="auto"/>
        <w:jc w:val="both"/>
        <w:rPr>
          <w:sz w:val="26"/>
          <w:szCs w:val="26"/>
          <w:rtl/>
        </w:rPr>
      </w:pPr>
    </w:p>
    <w:p w14:paraId="7D2400C3" w14:textId="77777777" w:rsidR="00C21195" w:rsidRDefault="00BE2B02">
      <w:pPr>
        <w:spacing w:line="360" w:lineRule="auto"/>
        <w:jc w:val="both"/>
        <w:rPr>
          <w:sz w:val="26"/>
          <w:szCs w:val="26"/>
          <w:rtl/>
        </w:rPr>
      </w:pPr>
      <w:r>
        <w:rPr>
          <w:rFonts w:hint="cs"/>
          <w:sz w:val="26"/>
          <w:szCs w:val="26"/>
          <w:rtl/>
        </w:rPr>
        <w:t xml:space="preserve">הנאשמת מעדה ופעלה בטיפשות, אך לא מתוך מניע שלילי ו/או רצון לחבור לרשת סמים, אלא מתוך רצון של אשה להיענות לבן זוגה, בן זוג עמו חולקת חייה ובסביבתו מצאה, כך סברה, "בית", לאחר הכישלון הנורא אותו חוותה. </w:t>
      </w:r>
    </w:p>
    <w:p w14:paraId="693E3020" w14:textId="77777777" w:rsidR="00C21195" w:rsidRDefault="00C21195">
      <w:pPr>
        <w:spacing w:line="360" w:lineRule="auto"/>
        <w:jc w:val="both"/>
        <w:rPr>
          <w:sz w:val="26"/>
          <w:szCs w:val="26"/>
          <w:rtl/>
        </w:rPr>
      </w:pPr>
    </w:p>
    <w:p w14:paraId="11C91C10" w14:textId="77777777" w:rsidR="00C21195" w:rsidRDefault="00BE2B02">
      <w:pPr>
        <w:spacing w:line="360" w:lineRule="auto"/>
        <w:jc w:val="both"/>
        <w:rPr>
          <w:sz w:val="26"/>
          <w:szCs w:val="26"/>
          <w:rtl/>
        </w:rPr>
      </w:pPr>
      <w:r>
        <w:rPr>
          <w:rFonts w:hint="cs"/>
          <w:sz w:val="26"/>
          <w:szCs w:val="26"/>
          <w:rtl/>
        </w:rPr>
        <w:t xml:space="preserve">הנאשמת נטלה אחריות על שכמה. הנאשמת הודתה בכתב האישום המתוקן ובכך לימדה על חרטתה ולא פחות חשוב, חסכה זמן שיפוטי יקר והבאת עדים מחו"ל להעיד במשפט, שיכול והיה נפרש על פני ימים לא מעטים. </w:t>
      </w:r>
    </w:p>
    <w:p w14:paraId="6B463C85" w14:textId="77777777" w:rsidR="00C21195" w:rsidRDefault="00BE2B02">
      <w:pPr>
        <w:spacing w:line="360" w:lineRule="auto"/>
        <w:jc w:val="both"/>
        <w:rPr>
          <w:sz w:val="26"/>
          <w:szCs w:val="26"/>
          <w:rtl/>
        </w:rPr>
      </w:pPr>
      <w:r>
        <w:rPr>
          <w:rFonts w:hint="cs"/>
          <w:sz w:val="26"/>
          <w:szCs w:val="26"/>
          <w:rtl/>
        </w:rPr>
        <w:t>באלה הדברים, מצאתי ליתן משקל מירבי לנסיבותיה האישיות של הנאשמת, תרומתה השולית יחסית לביצוע העבירה, הודאתה וכלל טיעוניו המלומדים של פרקליטה, עו"ד קבלר, אשר היטיב לטעון לטובתה.</w:t>
      </w:r>
    </w:p>
    <w:p w14:paraId="008CA8B1" w14:textId="77777777" w:rsidR="00C21195" w:rsidRDefault="00BE2B02">
      <w:pPr>
        <w:spacing w:line="360" w:lineRule="auto"/>
        <w:jc w:val="both"/>
        <w:rPr>
          <w:sz w:val="26"/>
          <w:szCs w:val="26"/>
          <w:rtl/>
        </w:rPr>
      </w:pPr>
      <w:r>
        <w:rPr>
          <w:rFonts w:hint="cs"/>
          <w:sz w:val="26"/>
          <w:szCs w:val="26"/>
          <w:rtl/>
        </w:rPr>
        <w:t xml:space="preserve">עם זאת, הנאשמת הורשעה בסיוע לביצוע עבירת סחר בסמים מסוכנים, סחר בינלאומי של כמות בלתי מבוטלת, על פי כל אמת מידה, של כדורי אקסטזי. </w:t>
      </w:r>
    </w:p>
    <w:p w14:paraId="2F3030D8" w14:textId="77777777" w:rsidR="00C21195" w:rsidRDefault="00C21195">
      <w:pPr>
        <w:spacing w:line="360" w:lineRule="auto"/>
        <w:jc w:val="both"/>
        <w:rPr>
          <w:sz w:val="26"/>
          <w:szCs w:val="26"/>
          <w:rtl/>
        </w:rPr>
      </w:pPr>
    </w:p>
    <w:p w14:paraId="66CE9E31" w14:textId="77777777" w:rsidR="00C21195" w:rsidRDefault="00BE2B02">
      <w:pPr>
        <w:spacing w:line="360" w:lineRule="auto"/>
        <w:jc w:val="both"/>
        <w:rPr>
          <w:sz w:val="26"/>
          <w:szCs w:val="26"/>
          <w:rtl/>
        </w:rPr>
      </w:pPr>
      <w:r>
        <w:rPr>
          <w:rFonts w:hint="cs"/>
          <w:sz w:val="26"/>
          <w:szCs w:val="26"/>
          <w:rtl/>
        </w:rPr>
        <w:t>הנני לגזור על הנאשמת העונש הבא:</w:t>
      </w:r>
    </w:p>
    <w:p w14:paraId="1F97AD55" w14:textId="77777777" w:rsidR="00C21195" w:rsidRDefault="00C21195">
      <w:pPr>
        <w:spacing w:line="360" w:lineRule="auto"/>
        <w:jc w:val="both"/>
        <w:rPr>
          <w:sz w:val="26"/>
          <w:szCs w:val="26"/>
          <w:rtl/>
        </w:rPr>
      </w:pPr>
    </w:p>
    <w:p w14:paraId="18E16ADA" w14:textId="77777777" w:rsidR="00C21195" w:rsidRDefault="00BE2B02">
      <w:pPr>
        <w:spacing w:line="360" w:lineRule="auto"/>
        <w:jc w:val="both"/>
        <w:rPr>
          <w:sz w:val="26"/>
          <w:szCs w:val="26"/>
          <w:rtl/>
        </w:rPr>
      </w:pPr>
      <w:r>
        <w:rPr>
          <w:rFonts w:hint="cs"/>
          <w:sz w:val="26"/>
          <w:szCs w:val="26"/>
          <w:rtl/>
        </w:rPr>
        <w:t xml:space="preserve">20 חודשי מאסר, מתוכם 7 חודשים לריצוי בפועל, בניכוי ימי מעצרה מיום 19.02.2012 ועד ליום 06.04.2012, והיתרה על תנאי שלא תעבור במשך 3 שנים עבירה לפי </w:t>
      </w:r>
      <w:hyperlink r:id="rId23" w:history="1">
        <w:r w:rsidR="004B1A22" w:rsidRPr="004B1A22">
          <w:rPr>
            <w:rStyle w:val="Hyperlink"/>
            <w:sz w:val="26"/>
            <w:szCs w:val="26"/>
            <w:rtl/>
          </w:rPr>
          <w:t>פקודת הסמים המסוכנים</w:t>
        </w:r>
      </w:hyperlink>
      <w:r>
        <w:rPr>
          <w:rFonts w:hint="cs"/>
          <w:sz w:val="26"/>
          <w:szCs w:val="26"/>
          <w:rtl/>
        </w:rPr>
        <w:t xml:space="preserve"> מסוג פשע.</w:t>
      </w:r>
    </w:p>
    <w:p w14:paraId="1ACCDFED" w14:textId="77777777" w:rsidR="00C21195" w:rsidRDefault="00C21195">
      <w:pPr>
        <w:spacing w:line="360" w:lineRule="auto"/>
        <w:jc w:val="both"/>
        <w:rPr>
          <w:sz w:val="26"/>
          <w:szCs w:val="26"/>
          <w:rtl/>
        </w:rPr>
      </w:pPr>
    </w:p>
    <w:p w14:paraId="40B73973" w14:textId="77777777" w:rsidR="00C21195" w:rsidRDefault="00BE2B02">
      <w:pPr>
        <w:spacing w:line="360" w:lineRule="auto"/>
        <w:jc w:val="both"/>
        <w:rPr>
          <w:sz w:val="26"/>
          <w:szCs w:val="26"/>
          <w:rtl/>
        </w:rPr>
      </w:pPr>
      <w:r>
        <w:rPr>
          <w:rFonts w:hint="cs"/>
          <w:sz w:val="26"/>
          <w:szCs w:val="26"/>
          <w:rtl/>
        </w:rPr>
        <w:t>בשל מצבה המשפחתי והכלכלי של הנאשמת, הנני נמנע מלהטיל על הנאשמת קנס כספי ממשי ומטיל עליה קנס סמלי בסך 1,000 ₪ או 30 ימי מאסר תמורתו. הקנס ישולם תוך 30 ימים.</w:t>
      </w:r>
    </w:p>
    <w:p w14:paraId="5023CD03" w14:textId="77777777" w:rsidR="00C21195" w:rsidRDefault="00C21195">
      <w:pPr>
        <w:spacing w:line="360" w:lineRule="auto"/>
        <w:jc w:val="both"/>
        <w:rPr>
          <w:sz w:val="26"/>
          <w:szCs w:val="26"/>
          <w:rtl/>
        </w:rPr>
      </w:pPr>
    </w:p>
    <w:p w14:paraId="087CDCF0" w14:textId="77777777" w:rsidR="00C21195" w:rsidRDefault="00BE2B02">
      <w:pPr>
        <w:spacing w:line="360" w:lineRule="auto"/>
        <w:jc w:val="both"/>
        <w:rPr>
          <w:sz w:val="26"/>
          <w:szCs w:val="26"/>
          <w:rtl/>
        </w:rPr>
      </w:pPr>
      <w:r>
        <w:rPr>
          <w:rFonts w:hint="cs"/>
          <w:sz w:val="26"/>
          <w:szCs w:val="26"/>
          <w:rtl/>
        </w:rPr>
        <w:t>הנאשמת תתייצב לריצוי מאסרה ביום 17.02.2013 במזכירות הפלילית בבית המשפט המחוזי תל-אביב-יפו עד השעה 11:00 בבוקר.</w:t>
      </w:r>
    </w:p>
    <w:p w14:paraId="3934856E" w14:textId="77777777" w:rsidR="00C21195" w:rsidRDefault="00BE2B02">
      <w:pPr>
        <w:spacing w:line="360" w:lineRule="auto"/>
        <w:jc w:val="both"/>
        <w:rPr>
          <w:sz w:val="26"/>
          <w:szCs w:val="26"/>
          <w:rtl/>
        </w:rPr>
      </w:pPr>
      <w:r>
        <w:rPr>
          <w:rFonts w:hint="cs"/>
          <w:sz w:val="26"/>
          <w:szCs w:val="26"/>
          <w:rtl/>
        </w:rPr>
        <w:t xml:space="preserve"> </w:t>
      </w:r>
    </w:p>
    <w:p w14:paraId="2EEFA72D" w14:textId="77777777" w:rsidR="00C21195" w:rsidRDefault="00C21195">
      <w:pPr>
        <w:spacing w:line="360" w:lineRule="auto"/>
        <w:jc w:val="both"/>
        <w:rPr>
          <w:sz w:val="26"/>
          <w:szCs w:val="26"/>
          <w:rtl/>
        </w:rPr>
      </w:pPr>
    </w:p>
    <w:p w14:paraId="3AED3780" w14:textId="77777777" w:rsidR="00C21195" w:rsidRDefault="00BE2B02">
      <w:pPr>
        <w:spacing w:line="360" w:lineRule="auto"/>
        <w:jc w:val="both"/>
        <w:rPr>
          <w:b/>
          <w:bCs/>
          <w:sz w:val="26"/>
          <w:szCs w:val="26"/>
          <w:rtl/>
        </w:rPr>
      </w:pPr>
      <w:r>
        <w:rPr>
          <w:rFonts w:hint="cs"/>
          <w:b/>
          <w:bCs/>
          <w:sz w:val="26"/>
          <w:szCs w:val="26"/>
          <w:rtl/>
        </w:rPr>
        <w:t>זכות ערעור לבית המשפט העליון תוך 45 ימים.</w:t>
      </w:r>
    </w:p>
    <w:p w14:paraId="3976EE49" w14:textId="77777777" w:rsidR="00C21195" w:rsidRDefault="00C21195">
      <w:pPr>
        <w:jc w:val="both"/>
        <w:rPr>
          <w:sz w:val="26"/>
          <w:szCs w:val="26"/>
          <w:rtl/>
        </w:rPr>
      </w:pPr>
    </w:p>
    <w:p w14:paraId="22A0369F" w14:textId="77777777" w:rsidR="00C21195" w:rsidRDefault="00C21195">
      <w:pPr>
        <w:jc w:val="both"/>
        <w:rPr>
          <w:sz w:val="26"/>
          <w:szCs w:val="26"/>
          <w:rtl/>
        </w:rPr>
      </w:pPr>
    </w:p>
    <w:p w14:paraId="775C2BE7" w14:textId="77777777" w:rsidR="00BE2B02" w:rsidRPr="00BE2B02" w:rsidRDefault="00BE2B02" w:rsidP="00BE2B02">
      <w:pPr>
        <w:keepNext/>
        <w:rPr>
          <w:rFonts w:ascii="David" w:hAnsi="David"/>
          <w:color w:val="000000"/>
          <w:sz w:val="22"/>
          <w:szCs w:val="22"/>
          <w:rtl/>
        </w:rPr>
      </w:pPr>
    </w:p>
    <w:p w14:paraId="260D3B53" w14:textId="77777777" w:rsidR="00D4672A" w:rsidRPr="00D4672A" w:rsidRDefault="00D4672A" w:rsidP="00D4672A">
      <w:pPr>
        <w:keepNext/>
        <w:rPr>
          <w:rFonts w:ascii="David" w:hAnsi="David"/>
          <w:color w:val="000000"/>
          <w:sz w:val="22"/>
          <w:szCs w:val="22"/>
          <w:rtl/>
        </w:rPr>
      </w:pPr>
      <w:r w:rsidRPr="00D4672A">
        <w:rPr>
          <w:rFonts w:ascii="David" w:hAnsi="David"/>
          <w:color w:val="000000"/>
          <w:sz w:val="22"/>
          <w:szCs w:val="22"/>
          <w:rtl/>
        </w:rPr>
        <w:t>דוד רוזן 54678313-/</w:t>
      </w:r>
    </w:p>
    <w:p w14:paraId="64A9A31C" w14:textId="77777777" w:rsidR="00C21195" w:rsidRDefault="00D4672A">
      <w:pPr>
        <w:rPr>
          <w:rFonts w:ascii="Arial" w:hAnsi="Arial"/>
          <w:sz w:val="26"/>
          <w:szCs w:val="26"/>
          <w:rtl/>
        </w:rPr>
      </w:pPr>
      <w:r w:rsidRPr="00D4672A">
        <w:rPr>
          <w:rFonts w:ascii="Arial" w:hAnsi="Arial"/>
          <w:color w:val="FFFFFF"/>
          <w:sz w:val="2"/>
          <w:szCs w:val="2"/>
          <w:rtl/>
        </w:rPr>
        <w:t>5129371</w:t>
      </w:r>
      <w:r w:rsidR="00BE2B02" w:rsidRPr="00BE2B02">
        <w:rPr>
          <w:rFonts w:ascii="Arial" w:hAnsi="Arial"/>
          <w:color w:val="FFFFFF"/>
          <w:sz w:val="2"/>
          <w:szCs w:val="2"/>
          <w:rtl/>
        </w:rPr>
        <w:t>5129371</w:t>
      </w:r>
      <w:r w:rsidR="00BE2B02">
        <w:rPr>
          <w:rFonts w:ascii="Arial" w:hAnsi="Arial"/>
          <w:sz w:val="26"/>
          <w:szCs w:val="26"/>
          <w:rtl/>
        </w:rPr>
        <w:t xml:space="preserve">ניתן היום,  ה' בשבט תשע"ג, 16 ינואר 2013, בהעדר הצדדים.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21195" w14:paraId="0452CD5B" w14:textId="77777777">
        <w:trPr>
          <w:trHeight w:val="364"/>
          <w:jc w:val="right"/>
        </w:trPr>
        <w:tc>
          <w:tcPr>
            <w:tcW w:w="3708" w:type="dxa"/>
          </w:tcPr>
          <w:p w14:paraId="5AE35FB5" w14:textId="77777777" w:rsidR="00C21195" w:rsidRPr="00BE2B02" w:rsidRDefault="00D4672A">
            <w:pPr>
              <w:jc w:val="center"/>
              <w:rPr>
                <w:rFonts w:ascii="David" w:hAnsi="David"/>
                <w:color w:val="FFFFFF"/>
                <w:sz w:val="2"/>
                <w:szCs w:val="2"/>
              </w:rPr>
            </w:pPr>
            <w:r w:rsidRPr="00D4672A">
              <w:rPr>
                <w:rFonts w:ascii="David" w:hAnsi="David"/>
                <w:color w:val="FFFFFF"/>
                <w:sz w:val="2"/>
                <w:szCs w:val="2"/>
                <w:rtl/>
              </w:rPr>
              <w:t>54678313</w:t>
            </w:r>
            <w:r w:rsidR="00BE2B02" w:rsidRPr="00BE2B02">
              <w:rPr>
                <w:rFonts w:ascii="David" w:hAnsi="David"/>
                <w:color w:val="FFFFFF"/>
                <w:sz w:val="2"/>
                <w:szCs w:val="2"/>
                <w:rtl/>
              </w:rPr>
              <w:t>54678313</w:t>
            </w:r>
          </w:p>
          <w:p w14:paraId="5FDB8A3A" w14:textId="77777777" w:rsidR="00C21195" w:rsidRDefault="00C21195">
            <w:pPr>
              <w:jc w:val="center"/>
              <w:rPr>
                <w:rFonts w:ascii="David" w:hAnsi="David"/>
              </w:rPr>
            </w:pPr>
          </w:p>
        </w:tc>
      </w:tr>
      <w:tr w:rsidR="00C21195" w14:paraId="58566F79" w14:textId="77777777">
        <w:trPr>
          <w:trHeight w:val="415"/>
          <w:jc w:val="right"/>
        </w:trPr>
        <w:tc>
          <w:tcPr>
            <w:tcW w:w="3708" w:type="dxa"/>
          </w:tcPr>
          <w:p w14:paraId="779CE051" w14:textId="77777777" w:rsidR="00C21195" w:rsidRDefault="00BE2B02">
            <w:pPr>
              <w:jc w:val="center"/>
              <w:rPr>
                <w:rFonts w:ascii="David" w:hAnsi="David"/>
                <w:b/>
                <w:bCs/>
              </w:rPr>
            </w:pPr>
            <w:r>
              <w:rPr>
                <w:rFonts w:ascii="David" w:hAnsi="David"/>
                <w:b/>
                <w:bCs/>
                <w:rtl/>
              </w:rPr>
              <w:t>דוד רוזן, שופט</w:t>
            </w:r>
          </w:p>
        </w:tc>
      </w:tr>
    </w:tbl>
    <w:p w14:paraId="06FF4C1A" w14:textId="77777777" w:rsidR="00BE2B02" w:rsidRDefault="00BE2B02" w:rsidP="00BE2B02">
      <w:r w:rsidRPr="00BE2B02">
        <w:rPr>
          <w:color w:val="000000"/>
          <w:rtl/>
        </w:rPr>
        <w:t>נוסח מסמך זה כפוף לשינויי ניסוח ועריכה</w:t>
      </w:r>
    </w:p>
    <w:p w14:paraId="0B173E71" w14:textId="77777777" w:rsidR="00BE2B02" w:rsidRDefault="00BE2B02" w:rsidP="00BE2B02">
      <w:pPr>
        <w:rPr>
          <w:rtl/>
        </w:rPr>
      </w:pPr>
    </w:p>
    <w:p w14:paraId="15C322FC" w14:textId="77777777" w:rsidR="00BE2B02" w:rsidRDefault="00BE2B02" w:rsidP="00BE2B02">
      <w:pPr>
        <w:jc w:val="center"/>
        <w:rPr>
          <w:color w:val="0000FF"/>
          <w:u w:val="single"/>
        </w:rPr>
      </w:pPr>
      <w:r w:rsidRPr="00605EA1">
        <w:rPr>
          <w:color w:val="000000"/>
          <w:rtl/>
        </w:rPr>
        <w:t>בעניין עריכה ושינויים במסמכי פסיקה, חקיקה ועוד באתר נבו – הקש כאן</w:t>
      </w:r>
    </w:p>
    <w:sectPr w:rsidR="00BE2B02" w:rsidSect="00D4672A">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6E681" w14:textId="77777777" w:rsidR="00904EF2" w:rsidRPr="001C2581" w:rsidRDefault="00904EF2">
      <w:pPr>
        <w:rPr>
          <w:rFonts w:cs="Arial"/>
          <w:szCs w:val="20"/>
        </w:rPr>
      </w:pPr>
      <w:r>
        <w:separator/>
      </w:r>
    </w:p>
  </w:endnote>
  <w:endnote w:type="continuationSeparator" w:id="0">
    <w:p w14:paraId="13080BE4" w14:textId="77777777" w:rsidR="00904EF2" w:rsidRPr="001C2581" w:rsidRDefault="00904EF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3DDAA" w14:textId="77777777" w:rsidR="00A71A4B" w:rsidRDefault="00A71A4B" w:rsidP="00D4672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0BAB81" w14:textId="77777777" w:rsidR="00A71A4B" w:rsidRPr="00D4672A" w:rsidRDefault="00A71A4B" w:rsidP="00D4672A">
    <w:pPr>
      <w:pStyle w:val="a4"/>
      <w:pBdr>
        <w:top w:val="single" w:sz="4" w:space="1" w:color="auto"/>
        <w:between w:val="single" w:sz="4" w:space="0" w:color="auto"/>
      </w:pBdr>
      <w:spacing w:after="60"/>
      <w:jc w:val="center"/>
      <w:rPr>
        <w:rFonts w:ascii="FrankRuehl" w:hAnsi="FrankRuehl" w:cs="FrankRuehl"/>
        <w:color w:val="000000"/>
      </w:rPr>
    </w:pPr>
    <w:r w:rsidRPr="00D467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2C651" w14:textId="77777777" w:rsidR="00A71A4B" w:rsidRDefault="00A71A4B" w:rsidP="00D4672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C5EF9">
      <w:rPr>
        <w:rFonts w:ascii="FrankRuehl" w:hAnsi="FrankRuehl" w:cs="FrankRuehl"/>
        <w:noProof/>
        <w:rtl/>
      </w:rPr>
      <w:t>1</w:t>
    </w:r>
    <w:r>
      <w:rPr>
        <w:rFonts w:ascii="FrankRuehl" w:hAnsi="FrankRuehl" w:cs="FrankRuehl"/>
        <w:rtl/>
      </w:rPr>
      <w:fldChar w:fldCharType="end"/>
    </w:r>
  </w:p>
  <w:p w14:paraId="672F0ACF" w14:textId="77777777" w:rsidR="00A71A4B" w:rsidRPr="00D4672A" w:rsidRDefault="00A71A4B" w:rsidP="00D4672A">
    <w:pPr>
      <w:pStyle w:val="a4"/>
      <w:pBdr>
        <w:top w:val="single" w:sz="4" w:space="1" w:color="auto"/>
        <w:between w:val="single" w:sz="4" w:space="0" w:color="auto"/>
      </w:pBdr>
      <w:spacing w:after="60"/>
      <w:jc w:val="center"/>
      <w:rPr>
        <w:rFonts w:ascii="FrankRuehl" w:hAnsi="FrankRuehl" w:cs="FrankRuehl"/>
        <w:color w:val="000000"/>
      </w:rPr>
    </w:pPr>
    <w:r w:rsidRPr="00D4672A">
      <w:rPr>
        <w:rFonts w:ascii="FrankRuehl" w:hAnsi="FrankRuehl" w:cs="FrankRuehl"/>
        <w:color w:val="000000"/>
      </w:rPr>
      <w:pict w14:anchorId="0770D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96DF7" w14:textId="77777777" w:rsidR="00904EF2" w:rsidRPr="001C2581" w:rsidRDefault="00904EF2">
      <w:pPr>
        <w:rPr>
          <w:rFonts w:cs="Arial"/>
          <w:szCs w:val="20"/>
        </w:rPr>
      </w:pPr>
      <w:r>
        <w:separator/>
      </w:r>
    </w:p>
  </w:footnote>
  <w:footnote w:type="continuationSeparator" w:id="0">
    <w:p w14:paraId="7BDB547A" w14:textId="77777777" w:rsidR="00904EF2" w:rsidRPr="001C2581" w:rsidRDefault="00904EF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C52D4" w14:textId="77777777" w:rsidR="00A71A4B" w:rsidRPr="00D4672A" w:rsidRDefault="00A71A4B" w:rsidP="00D467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6231-03-12</w:t>
    </w:r>
    <w:r>
      <w:rPr>
        <w:rFonts w:ascii="David" w:hAnsi="David"/>
        <w:color w:val="000000"/>
        <w:sz w:val="22"/>
        <w:szCs w:val="22"/>
        <w:rtl/>
      </w:rPr>
      <w:tab/>
      <w:t xml:space="preserve"> מדינת ישראל נ' סמדר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B140A" w14:textId="77777777" w:rsidR="00A71A4B" w:rsidRPr="00D4672A" w:rsidRDefault="00A71A4B" w:rsidP="00D467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6231-03-12</w:t>
    </w:r>
    <w:r>
      <w:rPr>
        <w:rFonts w:ascii="David" w:hAnsi="David"/>
        <w:color w:val="000000"/>
        <w:sz w:val="22"/>
        <w:szCs w:val="22"/>
        <w:rtl/>
      </w:rPr>
      <w:tab/>
      <w:t xml:space="preserve"> מדינת ישראל נ' סמדר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1195"/>
    <w:rsid w:val="00185EC5"/>
    <w:rsid w:val="001C5EF9"/>
    <w:rsid w:val="00377127"/>
    <w:rsid w:val="004B1A22"/>
    <w:rsid w:val="004C0343"/>
    <w:rsid w:val="00605EA1"/>
    <w:rsid w:val="00904EF2"/>
    <w:rsid w:val="00A5287E"/>
    <w:rsid w:val="00A71A4B"/>
    <w:rsid w:val="00BD6BBC"/>
    <w:rsid w:val="00BE2B02"/>
    <w:rsid w:val="00C21195"/>
    <w:rsid w:val="00D13BC9"/>
    <w:rsid w:val="00D467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F5BA92"/>
  <w15:chartTrackingRefBased/>
  <w15:docId w15:val="{122CCB45-5DF8-4FAB-837C-77B79401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119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21195"/>
    <w:pPr>
      <w:tabs>
        <w:tab w:val="center" w:pos="4153"/>
        <w:tab w:val="right" w:pos="8306"/>
      </w:tabs>
    </w:pPr>
  </w:style>
  <w:style w:type="paragraph" w:styleId="a4">
    <w:name w:val="footer"/>
    <w:basedOn w:val="a"/>
    <w:rsid w:val="00C21195"/>
    <w:pPr>
      <w:tabs>
        <w:tab w:val="center" w:pos="4153"/>
        <w:tab w:val="right" w:pos="8306"/>
      </w:tabs>
    </w:pPr>
  </w:style>
  <w:style w:type="character" w:styleId="a5">
    <w:name w:val="page number"/>
    <w:basedOn w:val="a0"/>
    <w:rsid w:val="00C21195"/>
  </w:style>
  <w:style w:type="character" w:styleId="Hyperlink">
    <w:name w:val="Hyperlink"/>
    <w:rsid w:val="00BE2B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case/6045416"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5758526"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4216/7.c"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4216/7.a" TargetMode="External"/><Relationship Id="rId20" Type="http://schemas.openxmlformats.org/officeDocument/2006/relationships/hyperlink" Target="http://www.nevo.co.il/case/577932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31"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6092959"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31" TargetMode="External"/><Relationship Id="rId22" Type="http://schemas.openxmlformats.org/officeDocument/2006/relationships/hyperlink" Target="http://www.nevo.co.il/law/7030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1888</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11307</CharactersWithSpaces>
  <SharedDoc>false</SharedDoc>
  <HLinks>
    <vt:vector size="108" baseType="variant">
      <vt:variant>
        <vt:i4>8257637</vt:i4>
      </vt:variant>
      <vt:variant>
        <vt:i4>51</vt:i4>
      </vt:variant>
      <vt:variant>
        <vt:i4>0</vt:i4>
      </vt:variant>
      <vt:variant>
        <vt:i4>5</vt:i4>
      </vt:variant>
      <vt:variant>
        <vt:lpwstr>http://www.nevo.co.il/law/4216</vt:lpwstr>
      </vt:variant>
      <vt:variant>
        <vt:lpwstr/>
      </vt:variant>
      <vt:variant>
        <vt:i4>7995492</vt:i4>
      </vt:variant>
      <vt:variant>
        <vt:i4>48</vt:i4>
      </vt:variant>
      <vt:variant>
        <vt:i4>0</vt:i4>
      </vt:variant>
      <vt:variant>
        <vt:i4>5</vt:i4>
      </vt:variant>
      <vt:variant>
        <vt:lpwstr>http://www.nevo.co.il/law/70301</vt:lpwstr>
      </vt:variant>
      <vt:variant>
        <vt:lpwstr/>
      </vt:variant>
      <vt:variant>
        <vt:i4>3342457</vt:i4>
      </vt:variant>
      <vt:variant>
        <vt:i4>45</vt:i4>
      </vt:variant>
      <vt:variant>
        <vt:i4>0</vt:i4>
      </vt:variant>
      <vt:variant>
        <vt:i4>5</vt:i4>
      </vt:variant>
      <vt:variant>
        <vt:lpwstr>http://www.nevo.co.il/case/5758526</vt:lpwstr>
      </vt:variant>
      <vt:variant>
        <vt:lpwstr/>
      </vt:variant>
      <vt:variant>
        <vt:i4>3342456</vt:i4>
      </vt:variant>
      <vt:variant>
        <vt:i4>42</vt:i4>
      </vt:variant>
      <vt:variant>
        <vt:i4>0</vt:i4>
      </vt:variant>
      <vt:variant>
        <vt:i4>5</vt:i4>
      </vt:variant>
      <vt:variant>
        <vt:lpwstr>http://www.nevo.co.il/case/5779322</vt:lpwstr>
      </vt:variant>
      <vt:variant>
        <vt:lpwstr/>
      </vt:variant>
      <vt:variant>
        <vt:i4>4128883</vt:i4>
      </vt:variant>
      <vt:variant>
        <vt:i4>39</vt:i4>
      </vt:variant>
      <vt:variant>
        <vt:i4>0</vt:i4>
      </vt:variant>
      <vt:variant>
        <vt:i4>5</vt:i4>
      </vt:variant>
      <vt:variant>
        <vt:lpwstr>http://www.nevo.co.il/case/6092959</vt:lpwstr>
      </vt:variant>
      <vt:variant>
        <vt:lpwstr/>
      </vt:variant>
      <vt:variant>
        <vt:i4>3145840</vt:i4>
      </vt:variant>
      <vt:variant>
        <vt:i4>36</vt:i4>
      </vt:variant>
      <vt:variant>
        <vt:i4>0</vt:i4>
      </vt:variant>
      <vt:variant>
        <vt:i4>5</vt:i4>
      </vt:variant>
      <vt:variant>
        <vt:lpwstr>http://www.nevo.co.il/case/6045416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2025-04-22T20:22:00Z</dcterms:created>
  <dcterms:modified xsi:type="dcterms:W3CDTF">2025-04-22T20:22:00Z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6231</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סמדר כהן</vt:lpwstr>
  </property>
  <property fmtid="{D5CDD505-2E9C-101B-9397-08002B2CF9AE}" pid="10" name="LAWYER">
    <vt:lpwstr>שירה לייטרסדורף שקדי;בנצי קבלר</vt:lpwstr>
  </property>
  <property fmtid="{D5CDD505-2E9C-101B-9397-08002B2CF9AE}" pid="11" name="JUDGE">
    <vt:lpwstr>דוד רוזן</vt:lpwstr>
  </property>
  <property fmtid="{D5CDD505-2E9C-101B-9397-08002B2CF9AE}" pid="12" name="CITY">
    <vt:lpwstr>ת"א</vt:lpwstr>
  </property>
  <property fmtid="{D5CDD505-2E9C-101B-9397-08002B2CF9AE}" pid="13" name="DATE">
    <vt:lpwstr>20130116</vt:lpwstr>
  </property>
  <property fmtid="{D5CDD505-2E9C-101B-9397-08002B2CF9AE}" pid="14" name="TYPE_N_DATE">
    <vt:lpwstr>39020130116</vt:lpwstr>
  </property>
  <property fmtid="{D5CDD505-2E9C-101B-9397-08002B2CF9AE}" pid="15" name="WORDNUMPAGES">
    <vt:lpwstr>7</vt:lpwstr>
  </property>
  <property fmtid="{D5CDD505-2E9C-101B-9397-08002B2CF9AE}" pid="16" name="TYPE_ABS_DATE">
    <vt:lpwstr>390020130116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6045416;6092959;5779322;5758526</vt:lpwstr>
  </property>
  <property fmtid="{D5CDD505-2E9C-101B-9397-08002B2CF9AE}" pid="36" name="LAWLISTTMP1">
    <vt:lpwstr>4216/013;007.a;007.c</vt:lpwstr>
  </property>
  <property fmtid="{D5CDD505-2E9C-101B-9397-08002B2CF9AE}" pid="37" name="LAWLISTTMP2">
    <vt:lpwstr>70301/031</vt:lpwstr>
  </property>
</Properties>
</file>