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5F262F" w:rsidRPr="005F262F" w14:paraId="7AA6975E" w14:textId="77777777" w:rsidTr="00865810">
        <w:trPr>
          <w:trHeight w:hRule="exact" w:val="418"/>
          <w:jc w:val="center"/>
        </w:trPr>
        <w:tc>
          <w:tcPr>
            <w:tcW w:w="8721" w:type="dxa"/>
            <w:gridSpan w:val="2"/>
          </w:tcPr>
          <w:p w14:paraId="76B78CEF" w14:textId="77777777" w:rsidR="005F262F" w:rsidRPr="005F262F" w:rsidRDefault="005F262F" w:rsidP="005F262F">
            <w:pPr>
              <w:pStyle w:val="a3"/>
              <w:jc w:val="center"/>
              <w:rPr>
                <w:rFonts w:ascii="Tahoma" w:hAnsi="Tahoma" w:cs="Tahoma"/>
                <w:color w:val="000080"/>
              </w:rPr>
            </w:pPr>
            <w:bookmarkStart w:id="0" w:name="LastJudge"/>
            <w:r w:rsidRPr="005F262F">
              <w:rPr>
                <w:rFonts w:ascii="Tahoma" w:hAnsi="Tahoma" w:cs="Tahoma"/>
                <w:b/>
                <w:bCs/>
                <w:color w:val="000080"/>
                <w:rtl/>
              </w:rPr>
              <w:t>בית המשפט המחוזי בחיפה</w:t>
            </w:r>
          </w:p>
        </w:tc>
      </w:tr>
      <w:tr w:rsidR="005F262F" w:rsidRPr="005F262F" w14:paraId="06CA3DCB" w14:textId="77777777" w:rsidTr="00865810">
        <w:trPr>
          <w:trHeight w:val="337"/>
          <w:jc w:val="center"/>
        </w:trPr>
        <w:tc>
          <w:tcPr>
            <w:tcW w:w="5051" w:type="dxa"/>
          </w:tcPr>
          <w:p w14:paraId="6409FCBD" w14:textId="77777777" w:rsidR="005F262F" w:rsidRPr="005F262F" w:rsidRDefault="005F262F" w:rsidP="005F262F">
            <w:pPr>
              <w:rPr>
                <w:b/>
                <w:bCs/>
                <w:sz w:val="26"/>
                <w:szCs w:val="26"/>
              </w:rPr>
            </w:pPr>
            <w:r w:rsidRPr="005F262F">
              <w:rPr>
                <w:b/>
                <w:bCs/>
                <w:sz w:val="26"/>
                <w:szCs w:val="26"/>
                <w:rtl/>
              </w:rPr>
              <w:t>ת"פ</w:t>
            </w:r>
            <w:r w:rsidRPr="005F262F">
              <w:rPr>
                <w:rFonts w:hint="cs"/>
                <w:b/>
                <w:bCs/>
                <w:sz w:val="26"/>
                <w:szCs w:val="26"/>
                <w:rtl/>
              </w:rPr>
              <w:t xml:space="preserve"> </w:t>
            </w:r>
            <w:r w:rsidRPr="005F262F">
              <w:rPr>
                <w:b/>
                <w:bCs/>
                <w:sz w:val="26"/>
                <w:szCs w:val="26"/>
                <w:rtl/>
              </w:rPr>
              <w:t>8516-03-12</w:t>
            </w:r>
            <w:r w:rsidRPr="005F262F">
              <w:rPr>
                <w:rFonts w:hint="cs"/>
                <w:b/>
                <w:bCs/>
                <w:sz w:val="26"/>
                <w:szCs w:val="26"/>
                <w:rtl/>
              </w:rPr>
              <w:t xml:space="preserve"> </w:t>
            </w:r>
            <w:r w:rsidRPr="005F262F">
              <w:rPr>
                <w:b/>
                <w:bCs/>
                <w:sz w:val="26"/>
                <w:szCs w:val="26"/>
                <w:rtl/>
              </w:rPr>
              <w:t>מדינת ישראל נ' ברון(עציר)</w:t>
            </w:r>
          </w:p>
        </w:tc>
        <w:tc>
          <w:tcPr>
            <w:tcW w:w="3670" w:type="dxa"/>
          </w:tcPr>
          <w:p w14:paraId="6E31C7C8" w14:textId="77777777" w:rsidR="005F262F" w:rsidRPr="005F262F" w:rsidRDefault="005F262F" w:rsidP="005F262F">
            <w:pPr>
              <w:pStyle w:val="a3"/>
              <w:jc w:val="right"/>
              <w:rPr>
                <w:b/>
                <w:bCs/>
                <w:sz w:val="26"/>
                <w:szCs w:val="26"/>
              </w:rPr>
            </w:pPr>
            <w:r w:rsidRPr="005F262F">
              <w:rPr>
                <w:b/>
                <w:bCs/>
                <w:sz w:val="26"/>
                <w:szCs w:val="26"/>
                <w:rtl/>
              </w:rPr>
              <w:t>28 אפריל 2013</w:t>
            </w:r>
          </w:p>
        </w:tc>
      </w:tr>
    </w:tbl>
    <w:p w14:paraId="17B14B39" w14:textId="77777777" w:rsidR="005F262F" w:rsidRPr="005F262F" w:rsidRDefault="005F262F" w:rsidP="005F262F">
      <w:pPr>
        <w:pStyle w:val="a3"/>
        <w:rPr>
          <w:rtl/>
        </w:rPr>
      </w:pPr>
    </w:p>
    <w:p w14:paraId="079F7F36" w14:textId="77777777" w:rsidR="005F262F" w:rsidRPr="005F262F" w:rsidRDefault="005F26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0"/>
        <w:gridCol w:w="5260"/>
      </w:tblGrid>
      <w:tr w:rsidR="005F262F" w:rsidRPr="005F262F" w14:paraId="03F7B4D4" w14:textId="77777777">
        <w:trPr>
          <w:trHeight w:val="295"/>
          <w:jc w:val="center"/>
        </w:trPr>
        <w:tc>
          <w:tcPr>
            <w:tcW w:w="8820" w:type="dxa"/>
            <w:gridSpan w:val="2"/>
            <w:tcBorders>
              <w:top w:val="nil"/>
              <w:left w:val="nil"/>
              <w:bottom w:val="nil"/>
              <w:right w:val="nil"/>
            </w:tcBorders>
          </w:tcPr>
          <w:p w14:paraId="0CDFE242" w14:textId="77777777" w:rsidR="005F262F" w:rsidRPr="005F262F" w:rsidRDefault="005F262F" w:rsidP="005F262F">
            <w:pPr>
              <w:spacing w:line="360" w:lineRule="auto"/>
              <w:jc w:val="both"/>
              <w:rPr>
                <w:rFonts w:ascii="Arial" w:hAnsi="Arial"/>
                <w:b/>
                <w:bCs/>
                <w:sz w:val="26"/>
                <w:szCs w:val="26"/>
              </w:rPr>
            </w:pPr>
            <w:bookmarkStart w:id="1" w:name="_GoBack"/>
            <w:bookmarkEnd w:id="1"/>
            <w:r w:rsidRPr="005F262F">
              <w:rPr>
                <w:rFonts w:ascii="Arial" w:hAnsi="Arial"/>
                <w:b/>
                <w:bCs/>
                <w:sz w:val="26"/>
                <w:szCs w:val="26"/>
                <w:rtl/>
              </w:rPr>
              <w:t>בפני כב' השופט</w:t>
            </w:r>
            <w:r w:rsidRPr="005F262F">
              <w:rPr>
                <w:rFonts w:ascii="Arial" w:hAnsi="Arial" w:hint="cs"/>
                <w:b/>
                <w:bCs/>
                <w:sz w:val="26"/>
                <w:szCs w:val="26"/>
                <w:rtl/>
              </w:rPr>
              <w:t xml:space="preserve"> </w:t>
            </w:r>
            <w:r w:rsidRPr="005F262F">
              <w:rPr>
                <w:rFonts w:ascii="Arial" w:hAnsi="Arial"/>
                <w:b/>
                <w:bCs/>
                <w:sz w:val="26"/>
                <w:szCs w:val="26"/>
                <w:rtl/>
              </w:rPr>
              <w:t>רון שפירא</w:t>
            </w:r>
          </w:p>
        </w:tc>
      </w:tr>
      <w:tr w:rsidR="005F262F" w:rsidRPr="005F262F" w14:paraId="33AC6BFE" w14:textId="77777777">
        <w:trPr>
          <w:trHeight w:val="355"/>
          <w:jc w:val="center"/>
        </w:trPr>
        <w:tc>
          <w:tcPr>
            <w:tcW w:w="3560" w:type="dxa"/>
            <w:tcBorders>
              <w:top w:val="nil"/>
              <w:left w:val="nil"/>
              <w:bottom w:val="nil"/>
              <w:right w:val="nil"/>
            </w:tcBorders>
          </w:tcPr>
          <w:p w14:paraId="50E0DAFE" w14:textId="77777777" w:rsidR="005F262F" w:rsidRPr="005F262F" w:rsidRDefault="005F262F" w:rsidP="005F262F">
            <w:pPr>
              <w:jc w:val="both"/>
              <w:rPr>
                <w:rFonts w:ascii="Arial" w:hAnsi="Arial"/>
                <w:b/>
                <w:bCs/>
                <w:sz w:val="26"/>
                <w:szCs w:val="26"/>
              </w:rPr>
            </w:pPr>
            <w:bookmarkStart w:id="2" w:name="FirstAppellant"/>
            <w:r w:rsidRPr="005F262F">
              <w:rPr>
                <w:rFonts w:ascii="Arial" w:hAnsi="Arial"/>
                <w:b/>
                <w:bCs/>
                <w:sz w:val="26"/>
                <w:szCs w:val="26"/>
                <w:rtl/>
              </w:rPr>
              <w:t>המאשימה</w:t>
            </w:r>
          </w:p>
        </w:tc>
        <w:tc>
          <w:tcPr>
            <w:tcW w:w="5260" w:type="dxa"/>
            <w:tcBorders>
              <w:top w:val="nil"/>
              <w:left w:val="nil"/>
              <w:bottom w:val="nil"/>
              <w:right w:val="nil"/>
            </w:tcBorders>
          </w:tcPr>
          <w:p w14:paraId="5D3E2208" w14:textId="77777777" w:rsidR="005F262F" w:rsidRPr="005F262F" w:rsidRDefault="005F262F" w:rsidP="005F262F">
            <w:pPr>
              <w:rPr>
                <w:rFonts w:ascii="Arial" w:hAnsi="Arial"/>
                <w:b/>
                <w:bCs/>
                <w:sz w:val="26"/>
                <w:szCs w:val="26"/>
              </w:rPr>
            </w:pPr>
            <w:r w:rsidRPr="005F262F">
              <w:rPr>
                <w:rFonts w:ascii="Arial" w:hAnsi="Arial"/>
                <w:b/>
                <w:bCs/>
                <w:sz w:val="26"/>
                <w:szCs w:val="26"/>
                <w:rtl/>
              </w:rPr>
              <w:t>מדינת ישראל</w:t>
            </w:r>
          </w:p>
        </w:tc>
      </w:tr>
      <w:bookmarkEnd w:id="2"/>
      <w:tr w:rsidR="005F262F" w:rsidRPr="005F262F" w14:paraId="1CC8CD56" w14:textId="77777777">
        <w:trPr>
          <w:trHeight w:val="355"/>
          <w:jc w:val="center"/>
        </w:trPr>
        <w:tc>
          <w:tcPr>
            <w:tcW w:w="8820" w:type="dxa"/>
            <w:gridSpan w:val="2"/>
            <w:tcBorders>
              <w:top w:val="nil"/>
              <w:left w:val="nil"/>
              <w:bottom w:val="nil"/>
              <w:right w:val="nil"/>
            </w:tcBorders>
          </w:tcPr>
          <w:p w14:paraId="78B7B601" w14:textId="77777777" w:rsidR="005F262F" w:rsidRPr="005F262F" w:rsidRDefault="005F262F" w:rsidP="005F262F">
            <w:pPr>
              <w:jc w:val="center"/>
              <w:rPr>
                <w:rFonts w:ascii="Arial" w:hAnsi="Arial"/>
                <w:b/>
                <w:bCs/>
                <w:sz w:val="26"/>
                <w:szCs w:val="26"/>
                <w:rtl/>
              </w:rPr>
            </w:pPr>
          </w:p>
          <w:p w14:paraId="3ACE3030" w14:textId="77777777" w:rsidR="005F262F" w:rsidRPr="005F262F" w:rsidRDefault="005F262F" w:rsidP="005F262F">
            <w:pPr>
              <w:jc w:val="center"/>
              <w:rPr>
                <w:rFonts w:ascii="Arial" w:hAnsi="Arial"/>
                <w:b/>
                <w:bCs/>
                <w:sz w:val="26"/>
                <w:szCs w:val="26"/>
                <w:rtl/>
              </w:rPr>
            </w:pPr>
            <w:r w:rsidRPr="005F262F">
              <w:rPr>
                <w:rFonts w:ascii="Arial" w:hAnsi="Arial"/>
                <w:b/>
                <w:bCs/>
                <w:sz w:val="26"/>
                <w:szCs w:val="26"/>
                <w:rtl/>
              </w:rPr>
              <w:t>נגד</w:t>
            </w:r>
          </w:p>
          <w:p w14:paraId="131B639A" w14:textId="77777777" w:rsidR="005F262F" w:rsidRPr="005F262F" w:rsidRDefault="005F262F" w:rsidP="005F262F">
            <w:pPr>
              <w:jc w:val="both"/>
              <w:rPr>
                <w:rFonts w:ascii="Arial" w:hAnsi="Arial"/>
                <w:b/>
                <w:bCs/>
                <w:sz w:val="26"/>
                <w:szCs w:val="26"/>
              </w:rPr>
            </w:pPr>
          </w:p>
        </w:tc>
      </w:tr>
      <w:tr w:rsidR="005F262F" w:rsidRPr="005F262F" w14:paraId="4E33AC0F" w14:textId="77777777">
        <w:trPr>
          <w:trHeight w:val="355"/>
          <w:jc w:val="center"/>
        </w:trPr>
        <w:tc>
          <w:tcPr>
            <w:tcW w:w="3560" w:type="dxa"/>
            <w:tcBorders>
              <w:top w:val="nil"/>
              <w:left w:val="nil"/>
              <w:bottom w:val="nil"/>
              <w:right w:val="nil"/>
            </w:tcBorders>
          </w:tcPr>
          <w:p w14:paraId="5E7A0D2B" w14:textId="77777777" w:rsidR="005F262F" w:rsidRPr="005F262F" w:rsidRDefault="005F262F" w:rsidP="005F262F">
            <w:pPr>
              <w:rPr>
                <w:rFonts w:ascii="Arial" w:hAnsi="Arial"/>
                <w:b/>
                <w:bCs/>
                <w:sz w:val="26"/>
                <w:szCs w:val="26"/>
              </w:rPr>
            </w:pPr>
            <w:r w:rsidRPr="005F262F">
              <w:rPr>
                <w:rFonts w:ascii="Arial" w:hAnsi="Arial"/>
                <w:b/>
                <w:bCs/>
                <w:sz w:val="26"/>
                <w:szCs w:val="26"/>
                <w:rtl/>
              </w:rPr>
              <w:t>הנאשם</w:t>
            </w:r>
          </w:p>
        </w:tc>
        <w:tc>
          <w:tcPr>
            <w:tcW w:w="5260" w:type="dxa"/>
            <w:tcBorders>
              <w:top w:val="nil"/>
              <w:left w:val="nil"/>
              <w:bottom w:val="nil"/>
              <w:right w:val="nil"/>
            </w:tcBorders>
          </w:tcPr>
          <w:p w14:paraId="0B581BEB" w14:textId="77777777" w:rsidR="005F262F" w:rsidRPr="005F262F" w:rsidRDefault="005F262F" w:rsidP="005F262F">
            <w:pPr>
              <w:rPr>
                <w:rFonts w:ascii="Arial" w:hAnsi="Arial"/>
                <w:b/>
                <w:bCs/>
                <w:sz w:val="26"/>
                <w:szCs w:val="26"/>
              </w:rPr>
            </w:pPr>
            <w:r w:rsidRPr="005F262F">
              <w:rPr>
                <w:rFonts w:ascii="Arial" w:hAnsi="Arial"/>
                <w:b/>
                <w:bCs/>
                <w:sz w:val="26"/>
                <w:szCs w:val="26"/>
                <w:rtl/>
              </w:rPr>
              <w:t>גור ברון (עציר), ת"ז 015516834</w:t>
            </w:r>
          </w:p>
        </w:tc>
      </w:tr>
    </w:tbl>
    <w:p w14:paraId="2F5CA34D" w14:textId="77777777" w:rsidR="000B6174" w:rsidRPr="005F262F" w:rsidRDefault="000B6174"/>
    <w:p w14:paraId="0FF19160" w14:textId="77777777" w:rsidR="005F262F" w:rsidRPr="005F262F" w:rsidRDefault="005F262F" w:rsidP="00A94B10">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262F" w:rsidRPr="00A94B10" w14:paraId="20B8481E" w14:textId="77777777">
        <w:trPr>
          <w:trHeight w:val="355"/>
          <w:jc w:val="center"/>
        </w:trPr>
        <w:tc>
          <w:tcPr>
            <w:tcW w:w="8820" w:type="dxa"/>
            <w:tcBorders>
              <w:top w:val="nil"/>
              <w:left w:val="nil"/>
              <w:bottom w:val="nil"/>
              <w:right w:val="nil"/>
            </w:tcBorders>
          </w:tcPr>
          <w:p w14:paraId="4162BF88" w14:textId="77777777" w:rsidR="005F262F" w:rsidRPr="005F262F" w:rsidRDefault="005F262F" w:rsidP="005F262F">
            <w:pPr>
              <w:jc w:val="center"/>
              <w:rPr>
                <w:rFonts w:ascii="Arial" w:hAnsi="Arial"/>
                <w:b/>
                <w:bCs/>
                <w:sz w:val="28"/>
                <w:szCs w:val="28"/>
                <w:u w:val="single"/>
                <w:rtl/>
              </w:rPr>
            </w:pPr>
            <w:bookmarkStart w:id="3" w:name="PsakDin" w:colFirst="0" w:colLast="0"/>
            <w:bookmarkEnd w:id="0"/>
            <w:r w:rsidRPr="005F262F">
              <w:rPr>
                <w:rFonts w:ascii="Arial" w:hAnsi="Arial"/>
                <w:b/>
                <w:bCs/>
                <w:sz w:val="28"/>
                <w:szCs w:val="28"/>
                <w:u w:val="single"/>
                <w:rtl/>
              </w:rPr>
              <w:t>גזר דין</w:t>
            </w:r>
          </w:p>
          <w:p w14:paraId="045A8BF7" w14:textId="77777777" w:rsidR="005F262F" w:rsidRPr="005F262F" w:rsidRDefault="005F262F" w:rsidP="005F262F">
            <w:pPr>
              <w:jc w:val="center"/>
              <w:rPr>
                <w:rFonts w:ascii="Arial" w:hAnsi="Arial"/>
                <w:bCs/>
                <w:sz w:val="28"/>
                <w:szCs w:val="28"/>
                <w:u w:val="single"/>
              </w:rPr>
            </w:pPr>
          </w:p>
        </w:tc>
      </w:tr>
      <w:bookmarkEnd w:id="3"/>
    </w:tbl>
    <w:p w14:paraId="58B36204" w14:textId="77777777" w:rsidR="000B6174" w:rsidRPr="00A94B10" w:rsidRDefault="000B6174" w:rsidP="00A94B10">
      <w:pPr>
        <w:spacing w:line="360" w:lineRule="auto"/>
        <w:rPr>
          <w:rFonts w:ascii="Arial" w:hAnsi="Arial"/>
          <w:rtl/>
        </w:rPr>
      </w:pPr>
    </w:p>
    <w:p w14:paraId="74C4195A" w14:textId="77777777" w:rsidR="000B6174" w:rsidRPr="00671EB1" w:rsidRDefault="000B6174" w:rsidP="00671EB1">
      <w:pPr>
        <w:spacing w:line="360" w:lineRule="auto"/>
        <w:jc w:val="both"/>
        <w:rPr>
          <w:b/>
          <w:bCs/>
          <w:u w:val="single"/>
          <w:rtl/>
        </w:rPr>
      </w:pPr>
      <w:r w:rsidRPr="00671EB1">
        <w:rPr>
          <w:b/>
          <w:bCs/>
          <w:u w:val="single"/>
          <w:rtl/>
        </w:rPr>
        <w:t>העבירות בהן הורשע הנאשם</w:t>
      </w:r>
    </w:p>
    <w:p w14:paraId="220D9319" w14:textId="77777777" w:rsidR="000B6174" w:rsidRDefault="000B6174" w:rsidP="00D869ED">
      <w:pPr>
        <w:spacing w:line="360" w:lineRule="auto"/>
        <w:jc w:val="both"/>
        <w:rPr>
          <w:rtl/>
        </w:rPr>
      </w:pPr>
      <w:bookmarkStart w:id="4" w:name="ABSTRACT_START"/>
      <w:bookmarkEnd w:id="4"/>
      <w:r>
        <w:rPr>
          <w:rtl/>
        </w:rPr>
        <w:t>הנאשם הורשע במסגרת של הסדר טיעון, ולאחר תיקון כתב אישום, בעבירות הבאות:</w:t>
      </w:r>
    </w:p>
    <w:p w14:paraId="7DD0F43B" w14:textId="77777777" w:rsidR="000B6174" w:rsidRDefault="000B6174" w:rsidP="00D869ED">
      <w:pPr>
        <w:spacing w:line="360" w:lineRule="auto"/>
        <w:jc w:val="both"/>
      </w:pPr>
      <w:r>
        <w:rPr>
          <w:rtl/>
        </w:rPr>
        <w:t>קשר לפשע, עבירה לפי סעיף 499(א)(1) ל</w:t>
      </w:r>
      <w:hyperlink r:id="rId7" w:history="1">
        <w:r w:rsidR="005F262F" w:rsidRPr="005F262F">
          <w:rPr>
            <w:color w:val="0000FF"/>
            <w:u w:val="single"/>
            <w:rtl/>
          </w:rPr>
          <w:t>חוק העונשין</w:t>
        </w:r>
      </w:hyperlink>
      <w:r>
        <w:rPr>
          <w:rtl/>
        </w:rPr>
        <w:t>;</w:t>
      </w:r>
    </w:p>
    <w:p w14:paraId="54366695" w14:textId="77777777" w:rsidR="000B6174" w:rsidRDefault="000B6174" w:rsidP="00D869ED">
      <w:pPr>
        <w:spacing w:line="360" w:lineRule="auto"/>
        <w:jc w:val="both"/>
        <w:rPr>
          <w:rtl/>
        </w:rPr>
      </w:pPr>
      <w:r>
        <w:rPr>
          <w:rtl/>
        </w:rPr>
        <w:t>יבוא ומסחר של סמים מסוכנים, עבירה לפי סעיף 13 + 19א' ל</w:t>
      </w:r>
      <w:hyperlink r:id="rId8" w:history="1">
        <w:r w:rsidR="005F262F" w:rsidRPr="005F262F">
          <w:rPr>
            <w:color w:val="0000FF"/>
            <w:u w:val="single"/>
            <w:rtl/>
          </w:rPr>
          <w:t>פקודת הסמים המסוכנים</w:t>
        </w:r>
      </w:hyperlink>
      <w:r>
        <w:rPr>
          <w:rtl/>
        </w:rPr>
        <w:t>, וכן עבירה לפי סעיף 13 + 19א' לפקודת הסמים המסוכנים + סעיף 29 ל</w:t>
      </w:r>
      <w:hyperlink r:id="rId9" w:history="1">
        <w:r w:rsidR="005F262F" w:rsidRPr="005F262F">
          <w:rPr>
            <w:color w:val="0000FF"/>
            <w:u w:val="single"/>
            <w:rtl/>
          </w:rPr>
          <w:t>חוק העונשין</w:t>
        </w:r>
      </w:hyperlink>
      <w:r>
        <w:rPr>
          <w:rtl/>
        </w:rPr>
        <w:t xml:space="preserve"> (ריבוי עבירות);</w:t>
      </w:r>
    </w:p>
    <w:p w14:paraId="460A3261" w14:textId="77777777" w:rsidR="000B6174" w:rsidRDefault="000B6174" w:rsidP="00D869ED">
      <w:pPr>
        <w:spacing w:line="360" w:lineRule="auto"/>
        <w:jc w:val="both"/>
        <w:rPr>
          <w:rtl/>
        </w:rPr>
      </w:pPr>
      <w:r>
        <w:rPr>
          <w:rtl/>
        </w:rPr>
        <w:t>החזקה ושימוש בסמים מסוכנים, עבירה לפי סעיף 7(א) + (ג) רישא ל</w:t>
      </w:r>
      <w:hyperlink r:id="rId10" w:history="1">
        <w:r w:rsidR="005F262F" w:rsidRPr="005F262F">
          <w:rPr>
            <w:color w:val="0000FF"/>
            <w:u w:val="single"/>
            <w:rtl/>
          </w:rPr>
          <w:t>פקודת הסמים המסוכנים</w:t>
        </w:r>
      </w:hyperlink>
      <w:r>
        <w:rPr>
          <w:rtl/>
        </w:rPr>
        <w:t>, וכן עבירה לפי סעיף 7(א) + (ג) רישא לפקודת הסמים המסוכנים + סעיף 29 ל</w:t>
      </w:r>
      <w:hyperlink r:id="rId11" w:history="1">
        <w:r w:rsidR="005F262F" w:rsidRPr="005F262F">
          <w:rPr>
            <w:color w:val="0000FF"/>
            <w:u w:val="single"/>
            <w:rtl/>
          </w:rPr>
          <w:t>חוק העונשין</w:t>
        </w:r>
      </w:hyperlink>
      <w:r>
        <w:rPr>
          <w:rtl/>
        </w:rPr>
        <w:t xml:space="preserve"> (ריבוי עבירות);</w:t>
      </w:r>
    </w:p>
    <w:p w14:paraId="103B7B53" w14:textId="77777777" w:rsidR="000B6174" w:rsidRDefault="000B6174" w:rsidP="00D869ED">
      <w:pPr>
        <w:spacing w:line="360" w:lineRule="auto"/>
        <w:jc w:val="both"/>
        <w:rPr>
          <w:rtl/>
        </w:rPr>
      </w:pPr>
      <w:r>
        <w:rPr>
          <w:rtl/>
        </w:rPr>
        <w:t>יצור, הכנה והפקה של סמים מסוכנים, עבירה לפי סעיף 6 ל</w:t>
      </w:r>
      <w:hyperlink r:id="rId12" w:history="1">
        <w:r w:rsidR="005F262F" w:rsidRPr="005F262F">
          <w:rPr>
            <w:color w:val="0000FF"/>
            <w:u w:val="single"/>
            <w:rtl/>
          </w:rPr>
          <w:t>פקודת הסמים המסוכנים</w:t>
        </w:r>
      </w:hyperlink>
      <w:r>
        <w:rPr>
          <w:rtl/>
        </w:rPr>
        <w:t xml:space="preserve"> + סעיף 29 ל</w:t>
      </w:r>
      <w:hyperlink r:id="rId13" w:history="1">
        <w:r w:rsidR="005F262F" w:rsidRPr="005F262F">
          <w:rPr>
            <w:color w:val="0000FF"/>
            <w:u w:val="single"/>
            <w:rtl/>
          </w:rPr>
          <w:t>חוק העונשין</w:t>
        </w:r>
      </w:hyperlink>
      <w:r>
        <w:rPr>
          <w:rtl/>
        </w:rPr>
        <w:t>;</w:t>
      </w:r>
    </w:p>
    <w:p w14:paraId="54F6C896" w14:textId="77777777" w:rsidR="000B6174" w:rsidRDefault="000B6174" w:rsidP="00D869ED">
      <w:pPr>
        <w:spacing w:line="360" w:lineRule="auto"/>
        <w:jc w:val="both"/>
        <w:rPr>
          <w:rtl/>
        </w:rPr>
      </w:pPr>
      <w:r>
        <w:rPr>
          <w:rtl/>
        </w:rPr>
        <w:t>ניסיון למסחר בסמים מסוכנים, עבירה לפי סעיף 13 + 19א' ל</w:t>
      </w:r>
      <w:hyperlink r:id="rId14" w:history="1">
        <w:r w:rsidR="005F262F" w:rsidRPr="005F262F">
          <w:rPr>
            <w:color w:val="0000FF"/>
            <w:u w:val="single"/>
            <w:rtl/>
          </w:rPr>
          <w:t>פקודת הסמים המסוכנים</w:t>
        </w:r>
      </w:hyperlink>
      <w:r>
        <w:rPr>
          <w:rtl/>
        </w:rPr>
        <w:t xml:space="preserve"> + סעיף 25 ל</w:t>
      </w:r>
      <w:hyperlink r:id="rId15" w:history="1">
        <w:r w:rsidR="005F262F" w:rsidRPr="005F262F">
          <w:rPr>
            <w:color w:val="0000FF"/>
            <w:u w:val="single"/>
            <w:rtl/>
          </w:rPr>
          <w:t>חוק העונשין</w:t>
        </w:r>
      </w:hyperlink>
      <w:r>
        <w:rPr>
          <w:rtl/>
        </w:rPr>
        <w:t>.</w:t>
      </w:r>
    </w:p>
    <w:p w14:paraId="1A7A0D7E" w14:textId="77777777" w:rsidR="000B6174" w:rsidRDefault="000B6174" w:rsidP="00D869ED">
      <w:pPr>
        <w:spacing w:line="360" w:lineRule="auto"/>
        <w:jc w:val="both"/>
        <w:rPr>
          <w:rtl/>
        </w:rPr>
      </w:pPr>
      <w:bookmarkStart w:id="5" w:name="ABSTRACT_END"/>
      <w:bookmarkEnd w:id="5"/>
    </w:p>
    <w:p w14:paraId="57645CEF" w14:textId="77777777" w:rsidR="000B6174" w:rsidRDefault="000B6174" w:rsidP="00D869ED">
      <w:pPr>
        <w:spacing w:line="360" w:lineRule="auto"/>
        <w:jc w:val="both"/>
        <w:rPr>
          <w:rtl/>
        </w:rPr>
      </w:pPr>
      <w:r>
        <w:rPr>
          <w:rtl/>
        </w:rPr>
        <w:t xml:space="preserve">יצוין בתמצית, כי מדובר באירועים מתמשכים, שבמהלכם עסק הנאשם ביבוא סם מסוג קוקאין ממדינות שונות במרכז ודרום אמריקה, שלשם כך אף הפעיל אחרים, אשר סייעו בידו לייבא את הסמים לארץ כדי לשווקם. כמו כן הפעיל הנאשם בארץ מעבדה ליצור והכנת הסמים שיובאו מחו"ל לשם הפצתם. </w:t>
      </w:r>
    </w:p>
    <w:p w14:paraId="404E2593" w14:textId="77777777" w:rsidR="000B6174" w:rsidRDefault="000B6174" w:rsidP="00D869ED">
      <w:pPr>
        <w:spacing w:line="360" w:lineRule="auto"/>
        <w:jc w:val="both"/>
        <w:rPr>
          <w:rtl/>
        </w:rPr>
      </w:pPr>
    </w:p>
    <w:p w14:paraId="11044FB2" w14:textId="77777777" w:rsidR="000B6174" w:rsidRDefault="000B6174" w:rsidP="00D869ED">
      <w:pPr>
        <w:spacing w:line="360" w:lineRule="auto"/>
        <w:jc w:val="both"/>
        <w:rPr>
          <w:rtl/>
        </w:rPr>
      </w:pPr>
      <w:r>
        <w:rPr>
          <w:rtl/>
        </w:rPr>
        <w:t>כאמור, הודה הנאשם לאחר שתוקן כתב האישום, והורשע בעבירות שיוחסו לו.</w:t>
      </w:r>
    </w:p>
    <w:p w14:paraId="6D722A97" w14:textId="77777777" w:rsidR="000B6174" w:rsidRDefault="000B6174" w:rsidP="00671EB1">
      <w:pPr>
        <w:spacing w:line="360" w:lineRule="auto"/>
        <w:jc w:val="both"/>
        <w:rPr>
          <w:rtl/>
        </w:rPr>
      </w:pPr>
    </w:p>
    <w:p w14:paraId="4FD8D545" w14:textId="77777777" w:rsidR="000B6174" w:rsidRPr="00671EB1" w:rsidRDefault="000B6174" w:rsidP="00671EB1">
      <w:pPr>
        <w:spacing w:line="360" w:lineRule="auto"/>
        <w:jc w:val="both"/>
        <w:rPr>
          <w:b/>
          <w:bCs/>
          <w:u w:val="single"/>
          <w:rtl/>
        </w:rPr>
      </w:pPr>
      <w:r>
        <w:rPr>
          <w:b/>
          <w:bCs/>
          <w:u w:val="single"/>
          <w:rtl/>
        </w:rPr>
        <w:t>תסקיר שירות המבחן ו</w:t>
      </w:r>
      <w:r w:rsidRPr="00671EB1">
        <w:rPr>
          <w:b/>
          <w:bCs/>
          <w:u w:val="single"/>
          <w:rtl/>
        </w:rPr>
        <w:t>הטיעון לעונש</w:t>
      </w:r>
    </w:p>
    <w:p w14:paraId="4C7A9FFE" w14:textId="77777777" w:rsidR="000B6174" w:rsidRDefault="000B6174" w:rsidP="00681C44">
      <w:pPr>
        <w:spacing w:line="360" w:lineRule="auto"/>
        <w:jc w:val="both"/>
        <w:rPr>
          <w:rtl/>
        </w:rPr>
      </w:pPr>
      <w:r>
        <w:rPr>
          <w:rtl/>
        </w:rPr>
        <w:t xml:space="preserve">בטרם טיעון לעונש, הורה בית המשפט כי יוגש תסקיר בעניינו של הנאשם. יצוין לעניין זה, כי הרקע להגשת התסקיר היה, בין היתר, החלטות שניתנו בעניינם של נאשמים אחרים באותה פרשה, גם שם הורה בית המשפט, במותבים שונים, על הגשת תסקיר. שירות המבחן הגיש תסקיר. שירות המבחן ציין כי הנאשם מודה במיוחס לו ומביע חרטה על מעשיו. לדבריו, נקלע לעיסוק ביבוא סמים על רקע </w:t>
      </w:r>
      <w:r>
        <w:rPr>
          <w:rtl/>
        </w:rPr>
        <w:lastRenderedPageBreak/>
        <w:t>חובות שהסתבך בהם, כאשר נדרש להחזיר הלוואות לגורמים עברייניים. לדבריו, הוא היה נתון לאיומים וכפועל יוצא מכך ביצע את העבירות. שירות המבחן שוחח עם אמו של המשיב, אשר תיארה את המצוקה הכלכלית של המשפחה. בסיכומו של דבר, התרשם שירות המבחן כי המשפחה אינה מודעת לחומרת מעשיו של הנאשם. מטעמים שפורטו בתסקיר "ולאור חומרת מצבו המשפטי" נמנע שירות המבחן מהמלצה בעניינו.</w:t>
      </w:r>
    </w:p>
    <w:p w14:paraId="1758AAA5" w14:textId="77777777" w:rsidR="000B6174" w:rsidRDefault="000B6174" w:rsidP="000C091A">
      <w:pPr>
        <w:spacing w:line="360" w:lineRule="auto"/>
        <w:jc w:val="both"/>
        <w:rPr>
          <w:rtl/>
        </w:rPr>
      </w:pPr>
    </w:p>
    <w:p w14:paraId="3F97277A" w14:textId="77777777" w:rsidR="000B6174" w:rsidRDefault="000B6174" w:rsidP="00BC0B71">
      <w:pPr>
        <w:spacing w:line="360" w:lineRule="auto"/>
        <w:jc w:val="both"/>
        <w:rPr>
          <w:rtl/>
        </w:rPr>
      </w:pPr>
      <w:r>
        <w:rPr>
          <w:rtl/>
        </w:rPr>
        <w:t>ב"כ המאשימה עותרת לקבוע כי מתחם הענישה, בשים לב לעבירות שיוחסו למשיב, נע בין 7 ל-11 שנות מאסר בפועל. ב"כ המאשימה הפנתה את בית המשפט לגזרי דין בעניינם של נאשמים אחרים באותה פרשה, וציינה כי חלקם של הנאשמים האחרים היה פחוּת מחלקו של נאשם זה. יצוין כי על הנאשם ארן מכלוף נגזר עונש של 31 חודשי מאסר לריצוי בפועל, ואולם זאת במסגרת של הסדר טיעון, שכלל הסכמה לעניין הענישה. בכל הנוגע לאלישע גכטמן, אשר נדון בפני, נגזר עונש של 40 חודשי מאסר לריצוי בפועל.</w:t>
      </w:r>
    </w:p>
    <w:p w14:paraId="24D23B41" w14:textId="77777777" w:rsidR="000B6174" w:rsidRDefault="000B6174" w:rsidP="00BC0B71">
      <w:pPr>
        <w:spacing w:line="360" w:lineRule="auto"/>
        <w:jc w:val="both"/>
        <w:rPr>
          <w:rtl/>
        </w:rPr>
      </w:pPr>
    </w:p>
    <w:p w14:paraId="3037EE7A" w14:textId="77777777" w:rsidR="000B6174" w:rsidRDefault="000B6174" w:rsidP="00BC0B71">
      <w:pPr>
        <w:spacing w:line="360" w:lineRule="auto"/>
        <w:jc w:val="both"/>
        <w:rPr>
          <w:rtl/>
        </w:rPr>
      </w:pPr>
      <w:r>
        <w:rPr>
          <w:rtl/>
        </w:rPr>
        <w:t>כאמור, טוענת המאשימה כי הנאשם היה הציר המרכזי לביצוע העבירות. הנאשם נתפס כאשר ברשותו סם מסוג קוקאין במשקל של מעל 700 גרם. בשים לב לכל האמור לעיל, עותרת המאשימה לגזור עונש במסגרת מתחם הענישה שפורט לעיל, כאשר לגישתה העונש הראוי הוא בחלקו העליון של מתחם הענישה.</w:t>
      </w:r>
    </w:p>
    <w:p w14:paraId="6CC48B32" w14:textId="77777777" w:rsidR="000B6174" w:rsidRDefault="000B6174" w:rsidP="00BC0B71">
      <w:pPr>
        <w:spacing w:line="360" w:lineRule="auto"/>
        <w:jc w:val="both"/>
        <w:rPr>
          <w:rtl/>
        </w:rPr>
      </w:pPr>
    </w:p>
    <w:p w14:paraId="4B1CE4F0" w14:textId="77777777" w:rsidR="000B6174" w:rsidRDefault="000B6174" w:rsidP="00BC0B71">
      <w:pPr>
        <w:spacing w:line="360" w:lineRule="auto"/>
        <w:jc w:val="both"/>
        <w:rPr>
          <w:rtl/>
        </w:rPr>
      </w:pPr>
      <w:r>
        <w:rPr>
          <w:rtl/>
        </w:rPr>
        <w:t>הסנגורית תיארה את מצוקת המשפחה, ביקשה כי בית המשפט יתחשב בהודאת הנאשם, במצבו האישי והכלכלי, ולהקל בעונשו. הסנגורית מבקרת את תוכנו של תסקיר שירות המבחן, אשר לגישתה לא עשה מלאכתו נאמנה, ולא סיפק לבית המשפט את מכלול הנתונים הנדרשים. הסנגורית גם פירטה מידע בנוגע למשפחתו של הנאשם, אשר לדבריה לא נבחן על ידי שירות המבחן ועל הרקע להידרדרותו, ובסיכומו של דבר ובשים לב לפסיקה שהוצגה על ידה, עתרה לגזור על הנאשם עונש של מאסר קצר בהרבה מזה שהמאשימה עותרת לו, כאשר הציגה לעניין זה פסיקה שנעה בין גזירת מאסר בעבודות שירות ועד לגזרי דין של 3 שנות מאסר וחצי.</w:t>
      </w:r>
    </w:p>
    <w:p w14:paraId="2E87BB0F" w14:textId="77777777" w:rsidR="000B6174" w:rsidRDefault="000B6174" w:rsidP="00BC0B71">
      <w:pPr>
        <w:spacing w:line="360" w:lineRule="auto"/>
        <w:jc w:val="both"/>
        <w:rPr>
          <w:rtl/>
        </w:rPr>
      </w:pPr>
    </w:p>
    <w:p w14:paraId="281FE932" w14:textId="77777777" w:rsidR="000B6174" w:rsidRDefault="000B6174" w:rsidP="00BC0B71">
      <w:pPr>
        <w:spacing w:line="360" w:lineRule="auto"/>
        <w:jc w:val="both"/>
        <w:rPr>
          <w:rtl/>
        </w:rPr>
      </w:pPr>
      <w:r>
        <w:rPr>
          <w:rtl/>
        </w:rPr>
        <w:t>הנאשם חזר על הודאתו והתנצלותו וביקש את רחמי בית המשפט.</w:t>
      </w:r>
    </w:p>
    <w:p w14:paraId="6B41E639" w14:textId="77777777" w:rsidR="000B6174" w:rsidRPr="00671EB1" w:rsidRDefault="000B6174" w:rsidP="00671EB1">
      <w:pPr>
        <w:spacing w:line="360" w:lineRule="auto"/>
        <w:jc w:val="both"/>
        <w:rPr>
          <w:rtl/>
        </w:rPr>
      </w:pPr>
    </w:p>
    <w:p w14:paraId="5A2A0859" w14:textId="77777777" w:rsidR="000B6174" w:rsidRPr="00671EB1" w:rsidRDefault="000B6174" w:rsidP="00671EB1">
      <w:pPr>
        <w:spacing w:line="360" w:lineRule="auto"/>
        <w:jc w:val="both"/>
        <w:rPr>
          <w:b/>
          <w:bCs/>
          <w:u w:val="single"/>
          <w:rtl/>
        </w:rPr>
      </w:pPr>
      <w:r w:rsidRPr="00671EB1">
        <w:rPr>
          <w:b/>
          <w:bCs/>
          <w:u w:val="single"/>
          <w:rtl/>
        </w:rPr>
        <w:t>שיקולי בית המשפט לעניין הענישה</w:t>
      </w:r>
    </w:p>
    <w:p w14:paraId="198F310D" w14:textId="77777777" w:rsidR="000B6174" w:rsidRDefault="000B6174" w:rsidP="00671EB1">
      <w:pPr>
        <w:spacing w:line="360" w:lineRule="auto"/>
        <w:jc w:val="both"/>
        <w:rPr>
          <w:rtl/>
        </w:rPr>
      </w:pPr>
      <w:r>
        <w:rPr>
          <w:rtl/>
        </w:rPr>
        <w:t>במקרה שבפני נעברו על ידי הנאשם עבירות הנמנות על החמורות שב</w:t>
      </w:r>
      <w:hyperlink r:id="rId16" w:history="1">
        <w:r w:rsidR="005F262F" w:rsidRPr="005F262F">
          <w:rPr>
            <w:color w:val="0000FF"/>
            <w:u w:val="single"/>
            <w:rtl/>
          </w:rPr>
          <w:t>חוק העונשין</w:t>
        </w:r>
      </w:hyperlink>
      <w:r>
        <w:rPr>
          <w:rtl/>
        </w:rPr>
        <w:t>. מדובר בעבירות של יבוא סמים, יצור סמים ועבירות אשר כולן נמנות על שרשרת הפצת הסם. במועד בו נתפס הנאשם, הוא החזיק בידיו 700 גרם קוקאין, כמות אשר יש בה כדי לייצר אלפי מנות סם. ואולם מעבר למועד הנ"ל, מדובר בפעילות שנמשכה לאורך זמן, כאשר הנאשם פועל ליבוא סמים לארץ, בין אם בעצמו ובין אם באמצעות בלדרים. מדובר, אם כן, בפעילות מתמשכת אשר כמויות הסם שהגיעו במסגרתה לארץ, אינן ידועות, ואולם לא ניתן להתעלם ממשך הזמן בו עסק הנאשם בפעילות זו, כאשר שוקלים את חומרת מעשיו.</w:t>
      </w:r>
    </w:p>
    <w:p w14:paraId="255976B9" w14:textId="77777777" w:rsidR="000B6174" w:rsidRDefault="000B6174" w:rsidP="00671EB1">
      <w:pPr>
        <w:spacing w:line="360" w:lineRule="auto"/>
        <w:jc w:val="both"/>
        <w:rPr>
          <w:rtl/>
        </w:rPr>
      </w:pPr>
    </w:p>
    <w:p w14:paraId="742C571E" w14:textId="77777777" w:rsidR="000B6174" w:rsidRDefault="000B6174" w:rsidP="00671EB1">
      <w:pPr>
        <w:spacing w:line="360" w:lineRule="auto"/>
        <w:jc w:val="both"/>
        <w:rPr>
          <w:rtl/>
        </w:rPr>
      </w:pPr>
      <w:r>
        <w:rPr>
          <w:rtl/>
        </w:rPr>
        <w:t xml:space="preserve">אינני יכול לקבל כעילה להקלה בעונש, את הטיעון שהעבירות בוצעו על רקע של הסתבכות כלכלית עם גורמים מהשוק האפור. הסתבכות כלכלית ככלל, אינה מהווה צידוק לביצוע עבירות. נטילת </w:t>
      </w:r>
      <w:r>
        <w:rPr>
          <w:rtl/>
        </w:rPr>
        <w:lastRenderedPageBreak/>
        <w:t>הלוואות מגורמים בשוק האפור, להבדיל מגורמים מוסדיים מוכרים, היא כניסה לסיכון במודע ומרצון, ולא ניתן להיתלות בכך בשלב מאוחר יותר כצידוק לביצוע עבירות חמורות. מעבר לכך, תמריץ כלכלי מכל סוג אינו יכול להצדיק ביצוע עבירה, אשר פגיעתה בחברה רבה.</w:t>
      </w:r>
    </w:p>
    <w:p w14:paraId="641717C7" w14:textId="77777777" w:rsidR="000B6174" w:rsidRDefault="000B6174" w:rsidP="00671EB1">
      <w:pPr>
        <w:spacing w:line="360" w:lineRule="auto"/>
        <w:jc w:val="both"/>
        <w:rPr>
          <w:rtl/>
        </w:rPr>
      </w:pPr>
    </w:p>
    <w:p w14:paraId="64F80D20" w14:textId="77777777" w:rsidR="000B6174" w:rsidRDefault="000B6174" w:rsidP="005261BB">
      <w:pPr>
        <w:spacing w:line="360" w:lineRule="auto"/>
        <w:jc w:val="both"/>
        <w:rPr>
          <w:rtl/>
        </w:rPr>
      </w:pPr>
      <w:r>
        <w:rPr>
          <w:rtl/>
        </w:rPr>
        <w:t>בשורה ארוכה של פסקי דין כבר נקבע, כי נגע הסמים הוא הדלק המניע את גלגלי הפשיעה, ופגיעתם של הסמים בחברה רבה. ב"כ המאשימה הפנתה בטיעוניה, לשורה ארוכה של פסקי דין, שחזרו על קביעות אלו. יצוין כי גם פסקי הדין אליהם הפנתה הסנגורית, מדגישים את חומרתן של עבירות הסמים, ובמיוחד אלו שעניינן בהפצת סמים עבור אחרים. אמנם ישנם מקרים בהם מוצא בית המשפט לנכון להקל עם אלו העוסקים ביבוא הסמים והפצתם, ואולם מדובר בחריג למדיניות, שעניינה החמרה בענישה (יצוין לעניין זה, כי חלק מגזרי הדין עליהם התבססה הסנגורית הם תולדה של הסדרי טיעון, אשר נבעו, בין היתר, מקשיים ראייתיים, ולכן יש להתייחס לענישה שם בזהירות הראויה).</w:t>
      </w:r>
    </w:p>
    <w:p w14:paraId="1B1C6AAE" w14:textId="77777777" w:rsidR="000B6174" w:rsidRDefault="000B6174" w:rsidP="002937EF">
      <w:pPr>
        <w:spacing w:line="360" w:lineRule="auto"/>
        <w:jc w:val="both"/>
        <w:rPr>
          <w:rtl/>
        </w:rPr>
      </w:pPr>
    </w:p>
    <w:p w14:paraId="2C3557D3" w14:textId="77777777" w:rsidR="000B6174" w:rsidRDefault="000B6174" w:rsidP="00093588">
      <w:pPr>
        <w:spacing w:line="360" w:lineRule="auto"/>
        <w:jc w:val="both"/>
        <w:rPr>
          <w:rtl/>
        </w:rPr>
      </w:pPr>
      <w:r>
        <w:rPr>
          <w:rtl/>
        </w:rPr>
        <w:t>כאשר מביאים בחשבון את משך עיסוקו של הנאשם בעבירות של יבוא סמים לישראל ובכמויות שנתפסו, סבור אני כי אכן מתחם הענישה בעניין זה מצדיק ענישה מחמירה, ובשים לב למכלול הפסיקה בעבירות מסוג זה, אני קובע כי מתחם הענישה הראוי הוא בין 6 ל-10 שנות מאסר.</w:t>
      </w:r>
    </w:p>
    <w:p w14:paraId="1576FF7D" w14:textId="77777777" w:rsidR="000B6174" w:rsidRDefault="000B6174" w:rsidP="00093588">
      <w:pPr>
        <w:spacing w:line="360" w:lineRule="auto"/>
        <w:jc w:val="both"/>
        <w:rPr>
          <w:rtl/>
        </w:rPr>
      </w:pPr>
    </w:p>
    <w:p w14:paraId="11341CFA" w14:textId="77777777" w:rsidR="000B6174" w:rsidRDefault="000B6174" w:rsidP="00093588">
      <w:pPr>
        <w:spacing w:line="360" w:lineRule="auto"/>
        <w:jc w:val="both"/>
        <w:rPr>
          <w:rtl/>
        </w:rPr>
      </w:pPr>
      <w:r>
        <w:rPr>
          <w:rtl/>
        </w:rPr>
        <w:t>בשים לב לתפקידו המרכזי של הנאשם בפרשה, היותו הגורם אשר הפעיל בלדרים וריכז את פעילות יבוא הסמים לארץ, סבור אני כי במקרה זה ראוי לגזור עליו עונש ברף העליון של מתחם הענישה הנ"ל.</w:t>
      </w:r>
    </w:p>
    <w:p w14:paraId="17487000" w14:textId="77777777" w:rsidR="000B6174" w:rsidRDefault="000B6174" w:rsidP="00093588">
      <w:pPr>
        <w:spacing w:line="360" w:lineRule="auto"/>
        <w:jc w:val="both"/>
        <w:rPr>
          <w:rtl/>
        </w:rPr>
      </w:pPr>
    </w:p>
    <w:p w14:paraId="50FD66EC" w14:textId="77777777" w:rsidR="000B6174" w:rsidRDefault="000B6174" w:rsidP="00093588">
      <w:pPr>
        <w:spacing w:line="360" w:lineRule="auto"/>
        <w:jc w:val="both"/>
        <w:rPr>
          <w:rtl/>
        </w:rPr>
      </w:pPr>
      <w:r>
        <w:rPr>
          <w:rtl/>
        </w:rPr>
        <w:t>אוסיף עוד לעניין הענישה, כי לנאשם גם עבר פלילי, הכולל שתי הרשעות בעבירות כנגד שוטרים, עבירות סמים ועבירות אלימות, ואולם לא ראיתי בהרשעות אלו רכיב מרכזי לעניין גיבוש אמת המידה בענישה בעניינו של הנאשם, וכאמור, בבסיס הענישה חומרת מעשיו באירוע נשוא כתב אישום זה.</w:t>
      </w:r>
    </w:p>
    <w:p w14:paraId="24624B0C" w14:textId="77777777" w:rsidR="000B6174" w:rsidRDefault="000B6174" w:rsidP="00093588">
      <w:pPr>
        <w:spacing w:line="360" w:lineRule="auto"/>
        <w:jc w:val="both"/>
        <w:rPr>
          <w:rtl/>
        </w:rPr>
      </w:pPr>
    </w:p>
    <w:p w14:paraId="69E5C0A2" w14:textId="77777777" w:rsidR="000B6174" w:rsidRDefault="000B6174" w:rsidP="00093588">
      <w:pPr>
        <w:spacing w:line="360" w:lineRule="auto"/>
        <w:jc w:val="both"/>
        <w:rPr>
          <w:rtl/>
        </w:rPr>
      </w:pPr>
      <w:r>
        <w:rPr>
          <w:rtl/>
        </w:rPr>
        <w:t>ב"כ המאשימה עתרה גם לגזור על הנאשם קנס כספי משמעותי, ולחלט כספים שנתפסו בחזקתו, הגם שמדובר בסכומים שאינם גבוהים. בהתחשב במצבו הכלכלי ובתקופת המאסר שתיגזר עליו, לא מצאתי מקום לגזור עליו קנס נוסף. עם זאת, אני מורה לחלט את הכספים שנתפסו על גופו, בהיותם כספים אשר נצברו כחלק מעיסוקו ביבוא סמים.</w:t>
      </w:r>
    </w:p>
    <w:p w14:paraId="2E1BE650" w14:textId="77777777" w:rsidR="000B6174" w:rsidRDefault="000B6174" w:rsidP="00093588">
      <w:pPr>
        <w:spacing w:line="360" w:lineRule="auto"/>
        <w:jc w:val="both"/>
        <w:rPr>
          <w:rtl/>
        </w:rPr>
      </w:pPr>
    </w:p>
    <w:p w14:paraId="7F5F4E45" w14:textId="77777777" w:rsidR="000B6174" w:rsidRDefault="000B6174" w:rsidP="00093588">
      <w:pPr>
        <w:spacing w:line="360" w:lineRule="auto"/>
        <w:jc w:val="both"/>
        <w:rPr>
          <w:rtl/>
        </w:rPr>
      </w:pPr>
      <w:r>
        <w:rPr>
          <w:rtl/>
        </w:rPr>
        <w:t>הבאתי בחשבון כי הנאשם הודה, אם כי לא ניתן להתעלם מכך שהודאתו הייתה בשלב מתקדם של הדיון. עם זאת, וגם בשלב זה, ראיתי בהודאה כרכיב להקלה מסוימת בעונש. כמו כן הבאתי בחשבון את מצב בריאותו של אביו, הגם שנראה לכאורה, שהנאשם לא עסק בטיפול באביו אלא מצא לנכון לעסוק בעיסוקים נשוא כתב האישום.</w:t>
      </w:r>
    </w:p>
    <w:p w14:paraId="064AAAA6" w14:textId="77777777" w:rsidR="000B6174" w:rsidRDefault="000B6174" w:rsidP="00093588">
      <w:pPr>
        <w:spacing w:line="360" w:lineRule="auto"/>
        <w:jc w:val="both"/>
        <w:rPr>
          <w:rtl/>
        </w:rPr>
      </w:pPr>
    </w:p>
    <w:p w14:paraId="79816643" w14:textId="77777777" w:rsidR="000B6174" w:rsidRDefault="000B6174" w:rsidP="009E45F1">
      <w:pPr>
        <w:spacing w:line="360" w:lineRule="auto"/>
        <w:jc w:val="both"/>
        <w:rPr>
          <w:rtl/>
        </w:rPr>
      </w:pPr>
      <w:r>
        <w:rPr>
          <w:rtl/>
        </w:rPr>
        <w:t xml:space="preserve">בכל הנוגע לאמור בתסקיר אציין כי לא ראיתי בו כגורם משמעותי לשיקולי הענישה. מהאמור בתסקיר ניתן להתרשם כי למעשה שירות המבחן סבר שבמצב המשפטי של הנאשם אין לו כלים לבצע בחינה מעמיקה יותר או מקום להמלצות כאלו או אחרות. בכך שגה שירות המבחן מאחר וגם המלצות לעניין טיפול במהלך מאסר הן המלצות בעלות חשיבות וניתן היה לצפות משירות המבחן שיתייחס לנושא זה. בכל מקרה, התסקיר כפי שהוצג בפני והנתונים שבו לא סיפקו לבית המשפט מידע נוסף שיש בו כדי להשפיע על הענישה, לכאן או לכאן.     </w:t>
      </w:r>
    </w:p>
    <w:p w14:paraId="743D0EE0" w14:textId="77777777" w:rsidR="000B6174" w:rsidRPr="00671EB1" w:rsidRDefault="000B6174" w:rsidP="00671EB1">
      <w:pPr>
        <w:spacing w:line="360" w:lineRule="auto"/>
        <w:jc w:val="both"/>
        <w:rPr>
          <w:rtl/>
        </w:rPr>
      </w:pPr>
    </w:p>
    <w:p w14:paraId="65708F00" w14:textId="77777777" w:rsidR="000B6174" w:rsidRPr="00671EB1" w:rsidRDefault="000B6174" w:rsidP="00671EB1">
      <w:pPr>
        <w:spacing w:line="360" w:lineRule="auto"/>
        <w:jc w:val="both"/>
        <w:rPr>
          <w:b/>
          <w:bCs/>
          <w:u w:val="single"/>
          <w:rtl/>
        </w:rPr>
      </w:pPr>
      <w:r w:rsidRPr="00671EB1">
        <w:rPr>
          <w:b/>
          <w:bCs/>
          <w:u w:val="single"/>
          <w:rtl/>
        </w:rPr>
        <w:t>סיכום הענישה וגזר הדין</w:t>
      </w:r>
    </w:p>
    <w:p w14:paraId="2A2AD4EF" w14:textId="77777777" w:rsidR="000B6174" w:rsidRDefault="000B6174" w:rsidP="009E45F1">
      <w:pPr>
        <w:spacing w:line="360" w:lineRule="auto"/>
        <w:jc w:val="both"/>
        <w:rPr>
          <w:rtl/>
        </w:rPr>
      </w:pPr>
      <w:r>
        <w:rPr>
          <w:rtl/>
        </w:rPr>
        <w:t>בסיכומו של דבר, אני גוזר על הנאשם עונש של 96 חודשי מאסר (שהם שמונה שנות מאסר) לריצוי בפועל, שמניינם מיום 13.2.12, מועד מעצרו.</w:t>
      </w:r>
    </w:p>
    <w:p w14:paraId="483797CF" w14:textId="77777777" w:rsidR="000B6174" w:rsidRDefault="000B6174" w:rsidP="00671EB1">
      <w:pPr>
        <w:spacing w:line="360" w:lineRule="auto"/>
        <w:jc w:val="both"/>
        <w:rPr>
          <w:rtl/>
        </w:rPr>
      </w:pPr>
    </w:p>
    <w:p w14:paraId="17C7C8E0" w14:textId="77777777" w:rsidR="000B6174" w:rsidRDefault="000B6174" w:rsidP="009E45F1">
      <w:pPr>
        <w:spacing w:line="360" w:lineRule="auto"/>
        <w:jc w:val="both"/>
        <w:rPr>
          <w:rtl/>
        </w:rPr>
      </w:pPr>
      <w:r>
        <w:rPr>
          <w:rtl/>
        </w:rPr>
        <w:t xml:space="preserve">בנוסף, אני גוזר עליו עונש של 24 חודשי מאסר על תנאי, והתנאי הוא שהנאשם לא יעבור עבירות על </w:t>
      </w:r>
      <w:hyperlink r:id="rId17" w:history="1">
        <w:r w:rsidR="005F262F" w:rsidRPr="005F262F">
          <w:rPr>
            <w:color w:val="0000FF"/>
            <w:u w:val="single"/>
            <w:rtl/>
          </w:rPr>
          <w:t>פקודת הסמים המסוכנים</w:t>
        </w:r>
      </w:hyperlink>
      <w:r>
        <w:rPr>
          <w:rtl/>
        </w:rPr>
        <w:t>, למעט עבירה של שימוש עצמי בסם, וזאת לתקופה של 3 שנים.</w:t>
      </w:r>
    </w:p>
    <w:p w14:paraId="667209B2" w14:textId="77777777" w:rsidR="000B6174" w:rsidRDefault="000B6174" w:rsidP="00E90361">
      <w:pPr>
        <w:spacing w:line="360" w:lineRule="auto"/>
        <w:jc w:val="both"/>
        <w:rPr>
          <w:rtl/>
        </w:rPr>
      </w:pPr>
    </w:p>
    <w:p w14:paraId="3FEAE714" w14:textId="77777777" w:rsidR="000B6174" w:rsidRDefault="000B6174" w:rsidP="007D55F9">
      <w:pPr>
        <w:spacing w:line="360" w:lineRule="auto"/>
        <w:jc w:val="both"/>
        <w:rPr>
          <w:rtl/>
        </w:rPr>
      </w:pPr>
      <w:r>
        <w:rPr>
          <w:rtl/>
        </w:rPr>
        <w:t>כמו כן אני גוזר עליו עונש של 6 חודשי מאסר על תנאי, והתנאי הוא שהנאשם לא יעבור עבירה של שימוש עצמי בסם, וזאת לתקופה של שנתיים.</w:t>
      </w:r>
    </w:p>
    <w:p w14:paraId="31AFB5F2" w14:textId="77777777" w:rsidR="000B6174" w:rsidRDefault="000B6174" w:rsidP="007D55F9">
      <w:pPr>
        <w:spacing w:line="360" w:lineRule="auto"/>
        <w:jc w:val="both"/>
        <w:rPr>
          <w:rtl/>
        </w:rPr>
      </w:pPr>
    </w:p>
    <w:p w14:paraId="3CE3C9EC" w14:textId="77777777" w:rsidR="000B6174" w:rsidRDefault="000B6174" w:rsidP="007D55F9">
      <w:pPr>
        <w:spacing w:line="360" w:lineRule="auto"/>
        <w:jc w:val="both"/>
        <w:rPr>
          <w:rtl/>
        </w:rPr>
      </w:pPr>
      <w:r>
        <w:rPr>
          <w:rtl/>
        </w:rPr>
        <w:t>כאמור לעיל, אני מורה לחלט את סכום הכסף שנתפס על גופו של הנאשם בעת שנעצר.</w:t>
      </w:r>
    </w:p>
    <w:p w14:paraId="09C647BE" w14:textId="77777777" w:rsidR="000B6174" w:rsidRDefault="000B6174" w:rsidP="007D55F9">
      <w:pPr>
        <w:spacing w:line="360" w:lineRule="auto"/>
        <w:jc w:val="both"/>
        <w:rPr>
          <w:rtl/>
        </w:rPr>
      </w:pPr>
    </w:p>
    <w:p w14:paraId="16BAF1CF" w14:textId="77777777" w:rsidR="000B6174" w:rsidRPr="007D55F9" w:rsidRDefault="000B6174" w:rsidP="007D55F9">
      <w:pPr>
        <w:spacing w:line="360" w:lineRule="auto"/>
        <w:jc w:val="both"/>
        <w:rPr>
          <w:rtl/>
        </w:rPr>
      </w:pPr>
      <w:r>
        <w:rPr>
          <w:b/>
          <w:bCs/>
          <w:u w:val="single"/>
          <w:rtl/>
        </w:rPr>
        <w:t>הודע לנאשם על זכותו לערער לבית המשפט העליון תוך 45 ימים</w:t>
      </w:r>
      <w:r>
        <w:rPr>
          <w:rtl/>
        </w:rPr>
        <w:t>.</w:t>
      </w:r>
    </w:p>
    <w:p w14:paraId="1CDB4501" w14:textId="77777777" w:rsidR="005F262F" w:rsidRPr="005F262F" w:rsidRDefault="005F262F" w:rsidP="005F262F">
      <w:pPr>
        <w:keepNext/>
        <w:spacing w:line="360" w:lineRule="auto"/>
        <w:rPr>
          <w:rFonts w:ascii="David" w:hAnsi="David"/>
          <w:color w:val="000000"/>
          <w:sz w:val="22"/>
          <w:szCs w:val="22"/>
          <w:rtl/>
        </w:rPr>
      </w:pPr>
    </w:p>
    <w:p w14:paraId="22F2F0AF" w14:textId="77777777" w:rsidR="005F262F" w:rsidRPr="005F262F" w:rsidRDefault="005F262F" w:rsidP="005F262F">
      <w:pPr>
        <w:keepNext/>
        <w:spacing w:line="360" w:lineRule="auto"/>
        <w:rPr>
          <w:rFonts w:ascii="David" w:hAnsi="David"/>
          <w:color w:val="000000"/>
          <w:sz w:val="22"/>
          <w:szCs w:val="22"/>
          <w:rtl/>
        </w:rPr>
      </w:pPr>
      <w:r w:rsidRPr="005F262F">
        <w:rPr>
          <w:rFonts w:ascii="David" w:hAnsi="David"/>
          <w:color w:val="000000"/>
          <w:sz w:val="22"/>
          <w:szCs w:val="22"/>
          <w:rtl/>
        </w:rPr>
        <w:t>רון שפירא 54678313</w:t>
      </w:r>
    </w:p>
    <w:p w14:paraId="5D0841B0" w14:textId="77777777" w:rsidR="000B6174" w:rsidRPr="005F262F" w:rsidRDefault="005F262F" w:rsidP="00A94B10">
      <w:pPr>
        <w:spacing w:line="360" w:lineRule="auto"/>
        <w:rPr>
          <w:color w:val="FFFFFF"/>
          <w:sz w:val="2"/>
          <w:szCs w:val="2"/>
          <w:rtl/>
        </w:rPr>
      </w:pPr>
      <w:r w:rsidRPr="005F262F">
        <w:rPr>
          <w:color w:val="FFFFFF"/>
          <w:sz w:val="2"/>
          <w:szCs w:val="2"/>
          <w:rtl/>
        </w:rPr>
        <w:t>5129371</w:t>
      </w:r>
    </w:p>
    <w:tbl>
      <w:tblPr>
        <w:bidiVisual/>
        <w:tblW w:w="0" w:type="auto"/>
        <w:jc w:val="right"/>
        <w:tblLook w:val="01E0" w:firstRow="1" w:lastRow="1" w:firstColumn="1" w:lastColumn="1" w:noHBand="0" w:noVBand="0"/>
      </w:tblPr>
      <w:tblGrid>
        <w:gridCol w:w="2834"/>
      </w:tblGrid>
      <w:tr w:rsidR="000B6174" w14:paraId="70D9399D" w14:textId="77777777">
        <w:trPr>
          <w:jc w:val="right"/>
        </w:trPr>
        <w:tc>
          <w:tcPr>
            <w:tcW w:w="2834" w:type="dxa"/>
            <w:tcBorders>
              <w:top w:val="nil"/>
              <w:left w:val="nil"/>
              <w:bottom w:val="single" w:sz="4" w:space="0" w:color="auto"/>
              <w:right w:val="nil"/>
            </w:tcBorders>
            <w:vAlign w:val="center"/>
          </w:tcPr>
          <w:p w14:paraId="20CCEE28" w14:textId="77777777" w:rsidR="000B6174" w:rsidRPr="00654698" w:rsidRDefault="005F262F" w:rsidP="00654698">
            <w:pPr>
              <w:jc w:val="center"/>
              <w:rPr>
                <w:rFonts w:ascii="Courier New" w:hAnsi="Courier New"/>
                <w:b/>
                <w:bCs/>
              </w:rPr>
            </w:pPr>
            <w:r w:rsidRPr="005F262F">
              <w:rPr>
                <w:rFonts w:ascii="Arial" w:hAnsi="Arial"/>
                <w:b/>
                <w:bCs/>
                <w:color w:val="FFFFFF"/>
                <w:sz w:val="2"/>
                <w:szCs w:val="2"/>
                <w:rtl/>
              </w:rPr>
              <w:t>54678313</w:t>
            </w:r>
            <w:r>
              <w:rPr>
                <w:rFonts w:ascii="Arial" w:hAnsi="Arial"/>
                <w:b/>
                <w:bCs/>
                <w:rtl/>
              </w:rPr>
              <w:t xml:space="preserve">ניתן היום, י"ח אייר תשע"ג, 28 אפריל 2013, במעמד הצדדים ובאי כוחם. </w:t>
            </w:r>
            <w:r w:rsidR="000B6174" w:rsidRPr="00654698">
              <w:rPr>
                <w:rFonts w:ascii="Courier New" w:hAnsi="Courier New"/>
                <w:b/>
                <w:bCs/>
                <w:noProof/>
              </w:rPr>
              <w:pict w14:anchorId="03F86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שפירא 054004569" style="width:82.5pt;height:70.5pt;visibility:visible">
                  <v:imagedata r:id="rId18" o:title=""/>
                </v:shape>
              </w:pict>
            </w:r>
          </w:p>
        </w:tc>
      </w:tr>
      <w:tr w:rsidR="000B6174" w14:paraId="60FFA4D3" w14:textId="77777777">
        <w:trPr>
          <w:jc w:val="right"/>
        </w:trPr>
        <w:tc>
          <w:tcPr>
            <w:tcW w:w="2834" w:type="dxa"/>
            <w:tcBorders>
              <w:top w:val="single" w:sz="4" w:space="0" w:color="auto"/>
              <w:left w:val="nil"/>
              <w:bottom w:val="nil"/>
              <w:right w:val="nil"/>
            </w:tcBorders>
          </w:tcPr>
          <w:p w14:paraId="58842801" w14:textId="77777777" w:rsidR="000B6174" w:rsidRPr="00654698" w:rsidRDefault="000B6174" w:rsidP="00654698">
            <w:pPr>
              <w:jc w:val="center"/>
              <w:rPr>
                <w:b/>
                <w:bCs/>
                <w:noProof/>
                <w:sz w:val="28"/>
              </w:rPr>
            </w:pPr>
            <w:r w:rsidRPr="00654698">
              <w:rPr>
                <w:b/>
                <w:bCs/>
                <w:sz w:val="28"/>
                <w:rtl/>
              </w:rPr>
              <w:t>ר' שפירא, שופט</w:t>
            </w:r>
          </w:p>
        </w:tc>
      </w:tr>
    </w:tbl>
    <w:p w14:paraId="4A631329" w14:textId="77777777" w:rsidR="005F262F" w:rsidRDefault="005F262F" w:rsidP="005F262F">
      <w:pPr>
        <w:spacing w:line="360" w:lineRule="auto"/>
        <w:rPr>
          <w:rFonts w:ascii="Arial" w:hAnsi="Arial"/>
        </w:rPr>
      </w:pPr>
      <w:r w:rsidRPr="005F262F">
        <w:rPr>
          <w:rFonts w:ascii="Arial" w:hAnsi="Arial"/>
          <w:color w:val="000000"/>
          <w:rtl/>
        </w:rPr>
        <w:t>נוסח מסמך זה כפוף לשינויי ניסוח ועריכה</w:t>
      </w:r>
    </w:p>
    <w:p w14:paraId="55E2E3EF" w14:textId="77777777" w:rsidR="005F262F" w:rsidRDefault="005F262F" w:rsidP="005F262F">
      <w:pPr>
        <w:spacing w:line="360" w:lineRule="auto"/>
        <w:rPr>
          <w:rFonts w:ascii="Arial" w:hAnsi="Arial"/>
          <w:rtl/>
        </w:rPr>
      </w:pPr>
    </w:p>
    <w:p w14:paraId="7C4F3212" w14:textId="77777777" w:rsidR="005F262F" w:rsidRDefault="005F262F" w:rsidP="005F262F">
      <w:pPr>
        <w:spacing w:line="360" w:lineRule="auto"/>
        <w:jc w:val="center"/>
        <w:rPr>
          <w:rFonts w:ascii="Arial" w:hAnsi="Arial"/>
          <w:color w:val="0000FF"/>
          <w:u w:val="single"/>
        </w:rPr>
      </w:pPr>
      <w:hyperlink r:id="rId19" w:history="1">
        <w:r>
          <w:rPr>
            <w:rFonts w:ascii="Arial" w:hAnsi="Arial"/>
            <w:color w:val="0000FF"/>
            <w:u w:val="single"/>
            <w:rtl/>
          </w:rPr>
          <w:t>בעניין עריכה ושינויים במסמכי פסיקה, חקיקה ועוד באתר נבו – הקש כאן</w:t>
        </w:r>
      </w:hyperlink>
    </w:p>
    <w:p w14:paraId="0540CC1C" w14:textId="77777777" w:rsidR="000B6174" w:rsidRPr="005F262F" w:rsidRDefault="000B6174" w:rsidP="005F262F">
      <w:pPr>
        <w:spacing w:line="360" w:lineRule="auto"/>
        <w:jc w:val="center"/>
        <w:rPr>
          <w:rFonts w:ascii="Arial" w:hAnsi="Arial"/>
          <w:color w:val="0000FF"/>
          <w:u w:val="single"/>
        </w:rPr>
      </w:pPr>
    </w:p>
    <w:sectPr w:rsidR="000B6174" w:rsidRPr="005F262F" w:rsidSect="005F262F">
      <w:headerReference w:type="even" r:id="rId20"/>
      <w:headerReference w:type="default" r:id="rId21"/>
      <w:footerReference w:type="even" r:id="rId22"/>
      <w:footerReference w:type="default" r:id="rId23"/>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0976C" w14:textId="77777777" w:rsidR="00E47148" w:rsidRDefault="00E47148">
      <w:r>
        <w:separator/>
      </w:r>
    </w:p>
  </w:endnote>
  <w:endnote w:type="continuationSeparator" w:id="0">
    <w:p w14:paraId="60A44DB8" w14:textId="77777777" w:rsidR="00E47148" w:rsidRDefault="00E4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E0D7" w14:textId="77777777" w:rsidR="005F262F" w:rsidRDefault="005F262F" w:rsidP="005F26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DB66068" w14:textId="77777777" w:rsidR="000B6174" w:rsidRPr="005F262F" w:rsidRDefault="005F262F" w:rsidP="005F262F">
    <w:pPr>
      <w:pStyle w:val="a4"/>
      <w:pBdr>
        <w:top w:val="single" w:sz="4" w:space="1" w:color="auto"/>
        <w:between w:val="single" w:sz="4" w:space="0" w:color="auto"/>
      </w:pBdr>
      <w:spacing w:after="60"/>
      <w:jc w:val="center"/>
      <w:rPr>
        <w:rFonts w:ascii="FrankRuehl" w:hAnsi="FrankRuehl" w:cs="FrankRuehl"/>
        <w:color w:val="000000"/>
      </w:rPr>
    </w:pPr>
    <w:r w:rsidRPr="005F26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4E378" w14:textId="77777777" w:rsidR="005F262F" w:rsidRDefault="005F262F" w:rsidP="005F26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5810">
      <w:rPr>
        <w:rFonts w:ascii="FrankRuehl" w:hAnsi="FrankRuehl" w:cs="FrankRuehl"/>
        <w:noProof/>
        <w:rtl/>
      </w:rPr>
      <w:t>1</w:t>
    </w:r>
    <w:r>
      <w:rPr>
        <w:rFonts w:ascii="FrankRuehl" w:hAnsi="FrankRuehl" w:cs="FrankRuehl"/>
        <w:rtl/>
      </w:rPr>
      <w:fldChar w:fldCharType="end"/>
    </w:r>
  </w:p>
  <w:p w14:paraId="127735E2" w14:textId="77777777" w:rsidR="000B6174" w:rsidRPr="005F262F" w:rsidRDefault="005F262F" w:rsidP="005F262F">
    <w:pPr>
      <w:pStyle w:val="a4"/>
      <w:pBdr>
        <w:top w:val="single" w:sz="4" w:space="1" w:color="auto"/>
        <w:between w:val="single" w:sz="4" w:space="0" w:color="auto"/>
      </w:pBdr>
      <w:spacing w:after="60"/>
      <w:jc w:val="center"/>
      <w:rPr>
        <w:rFonts w:ascii="FrankRuehl" w:hAnsi="FrankRuehl" w:cs="FrankRuehl"/>
        <w:color w:val="000000"/>
      </w:rPr>
    </w:pPr>
    <w:r w:rsidRPr="005F262F">
      <w:rPr>
        <w:rFonts w:ascii="FrankRuehl" w:hAnsi="FrankRuehl" w:cs="FrankRuehl"/>
        <w:color w:val="000000"/>
      </w:rPr>
      <w:pict w14:anchorId="38FB2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F3033" w14:textId="77777777" w:rsidR="00E47148" w:rsidRDefault="00E47148">
      <w:r>
        <w:separator/>
      </w:r>
    </w:p>
  </w:footnote>
  <w:footnote w:type="continuationSeparator" w:id="0">
    <w:p w14:paraId="0DAA841B" w14:textId="77777777" w:rsidR="00E47148" w:rsidRDefault="00E47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08B9F" w14:textId="77777777" w:rsidR="005F262F" w:rsidRPr="005F262F" w:rsidRDefault="005F262F" w:rsidP="005F26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8516-03-12</w:t>
    </w:r>
    <w:r>
      <w:rPr>
        <w:rFonts w:ascii="David" w:hAnsi="David"/>
        <w:color w:val="000000"/>
        <w:sz w:val="22"/>
        <w:szCs w:val="22"/>
        <w:rtl/>
      </w:rPr>
      <w:tab/>
      <w:t xml:space="preserve"> מדינת ישראל נ' גור ברון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0BC42" w14:textId="77777777" w:rsidR="005F262F" w:rsidRPr="005F262F" w:rsidRDefault="005F262F" w:rsidP="005F26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8516-03-12</w:t>
    </w:r>
    <w:r>
      <w:rPr>
        <w:rFonts w:ascii="David" w:hAnsi="David"/>
        <w:color w:val="000000"/>
        <w:sz w:val="22"/>
        <w:szCs w:val="22"/>
        <w:rtl/>
      </w:rPr>
      <w:tab/>
      <w:t xml:space="preserve"> מדינת ישראל נ' גור ברון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77260591">
    <w:abstractNumId w:val="1"/>
  </w:num>
  <w:num w:numId="2" w16cid:durableId="37881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145499"/>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145499&amp;lt;/CaseID&amp;gt;_x005f_x000d__x005f_x000a_        &amp;lt;CaseMonth&amp;gt;3&amp;lt;/CaseMonth&amp;gt;_x005f_x000d__x005f_x000a_        &amp;lt;CaseYear&amp;gt;2012&amp;lt;/CaseYear&amp;gt;_x005f_x000d__x005f_x000a_        &amp;lt;CaseNumber&amp;gt;8516&amp;lt;/CaseNumber&amp;gt;_x005f_x000d__x005f_x000a_        &amp;lt;NumeratorGroupID&amp;gt;1&amp;lt;/NumeratorGroupID&amp;gt;_x005f_x000d__x005f_x000a_        &amp;lt;CaseName&amp;gt;îãéðú éùøàì ð&amp;#39; áøåï(òöéø)&amp;lt;/CaseName&amp;gt;_x005f_x000d__x005f_x000a_        &amp;lt;CourtID&amp;gt;13&amp;lt;/CourtID&amp;gt;_x005f_x000d__x005f_x000a_        &amp;lt;CaseTypeID&amp;gt;10048&amp;lt;/CaseTypeID&amp;gt;_x005f_x000d__x005f_x000a_        &amp;lt;CaseJudgeName&amp;gt;øåï ùôéøà&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8516-03-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3-06T09:17:00+02:00&amp;lt;/CaseOpenDate&amp;gt;_x005f_x000d__x005f_x000a_        &amp;lt;PleaTypeID&amp;gt;8&amp;lt;/PleaTypeID&amp;gt;_x005f_x000d__x005f_x000a_        &amp;lt;CourtLevelID&amp;gt;2&amp;lt;/CourtLevelID&amp;gt;_x005f_x000d__x005f_x000a_        &amp;lt;CaseJudgeFirstName&amp;gt;øåï&amp;lt;/CaseJudgeFirstName&amp;gt;_x005f_x000d__x005f_x000a_        &amp;lt;CaseJudgeLastName&amp;gt;ùôéøà&amp;lt;/CaseJudgeLastName&amp;gt;_x005f_x000d__x005f_x000a_        &amp;lt;JudicalPersonID&amp;gt;054004569@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äçìèä îéåí 07.04.13 ùòä 08:00 ðùìçä áô÷ñ éãðé ìá&amp;quot;ë äöããéí.àåøï&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ExistPrisoner&amp;gt;true&amp;lt;/IsExistPrisoner&amp;gt;_x005f_x000d__x005f_x000a_        &amp;lt;IsExistDetainee&amp;gt;true&amp;lt;/IsExistDetainee&amp;gt;_x005f_x000d__x005f_x000a_        &amp;lt;IsDebitExist&amp;gt;false&amp;lt;/IsDebitExist&amp;gt;_x005f_x000d__x005f_x000a_        &amp;lt;DebitExsitDate&amp;gt;2013-04-28T03:00:00+03: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145499&amp;lt;/CaseID&amp;gt;_x005f_x000d__x005f_x000a_        &amp;lt;CaseMonth&amp;gt;3&amp;lt;/CaseMonth&amp;gt;_x005f_x000d__x005f_x000a_        &amp;lt;CaseYear&amp;gt;2012&amp;lt;/CaseYear&amp;gt;_x005f_x000d__x005f_x000a_        &amp;lt;CaseNumber&amp;gt;8516&amp;lt;/CaseNumber&amp;gt;_x005f_x000d__x005f_x000a_        &amp;lt;NumeratorGroupID&amp;gt;1&amp;lt;/NumeratorGroupID&amp;gt;_x005f_x000d__x005f_x000a_        &amp;lt;CaseName&amp;gt;îãéðú éùøàì ð&amp;#39; áøåï(òöéø)&amp;lt;/CaseName&amp;gt;_x005f_x000d__x005f_x000a_        &amp;lt;CourtID&amp;gt;13&amp;lt;/CourtID&amp;gt;_x005f_x000d__x005f_x000a_        &amp;lt;CaseTypeID&amp;gt;10048&amp;lt;/CaseTypeID&amp;gt;_x005f_x000d__x005f_x000a_        &amp;lt;CaseJudgeName&amp;gt;øåï ùôéøà&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8516-03-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3-06T09:17:00+02:00&amp;lt;/CaseOpenDate&amp;gt;_x005f_x000d__x005f_x000a_        &amp;lt;PleaTypeID&amp;gt;8&amp;lt;/PleaTypeID&amp;gt;_x005f_x000d__x005f_x000a_        &amp;lt;CourtLevelID&amp;gt;2&amp;lt;/CourtLevelID&amp;gt;_x005f_x000d__x005f_x000a_        &amp;lt;CaseJudgeFirstName&amp;gt;øåï&amp;lt;/CaseJudgeFirstName&amp;gt;_x005f_x000d__x005f_x000a_        &amp;lt;CaseJudgeLastName&amp;gt;ùôéøà&amp;lt;/CaseJudgeLastName&amp;gt;_x005f_x000d__x005f_x000a_        &amp;lt;JudicalPersonID&amp;gt;054004569@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äçìèä îéåí 07.04.13 ùòä 08:00 ðùìçä áô÷ñ éãðé ìá&amp;quot;ë äöããéí.àåøï&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5093723&amp;lt;/DecisionID&amp;gt;_x005f_x000d__x005f_x000a_        &amp;lt;DecisionName&amp;gt;âæø ãéï  îúàøéê  23/04/13  ùðéúðä ò&amp;quot;é  øåï ùôéøà&amp;lt;/DecisionName&amp;gt;_x005f_x000d__x005f_x000a_        &amp;lt;DecisionStatusID&amp;gt;1&amp;lt;/DecisionStatusID&amp;gt;_x005f_x000d__x005f_x000a_        &amp;lt;DecisionStatusChangeDate&amp;gt;2013-04-25T14:42:31.093+03:00&amp;lt;/DecisionStatusChangeDate&amp;gt;_x005f_x000d__x005f_x000a_        &amp;lt;DecisionSignatureDate&amp;gt;2013-04-23T08:45:48.96+03:00&amp;lt;/DecisionSignatureDate&amp;gt;_x005f_x000d__x005f_x000a_        &amp;lt;DecisionSignatureUserID&amp;gt;054004569@GOV.IL&amp;lt;/DecisionSignatureUserID&amp;gt;_x005f_x000d__x005f_x000a_        &amp;lt;DecisionCreateDate&amp;gt;2013-04-23T08:50:56.747+03:00&amp;lt;/DecisionCreateDate&amp;gt;_x005f_x000d__x005f_x000a_        &amp;lt;DecisionChangeDate&amp;gt;2013-04-25T14:42:31.697+03:00&amp;lt;/DecisionChangeDate&amp;gt;_x005f_x000d__x005f_x000a_        &amp;lt;DecisionChangeUserID&amp;gt;066409673@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59432263&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54004569@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66409673@GOV.IL&amp;lt;/DecisionCreationUserID&amp;gt;_x005f_x000d__x005f_x000a_        &amp;lt;DecisionDisplayName&amp;gt;âæø ãéï  îúàøéê  23/04/13  ùðéúðä ò&amp;quot;é  øåï ùôéøà&amp;lt;/DecisionDisplayName&amp;gt;_x005f_x000d__x005f_x000a_        &amp;lt;IsScanned&amp;gt;false&amp;lt;/IsScanned&amp;gt;_x005f_x000d__x005f_x000a_        &amp;lt;DecisionSignatureUserName&amp;gt;øåï ùôéøà&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5093723&amp;lt;/DecisionID&amp;gt;_x005f_x000d__x005f_x000a_        &amp;lt;CaseID&amp;gt;70145499&amp;lt;/CaseID&amp;gt;_x005f_x000d__x005f_x000a_        &amp;lt;IsOriginal&amp;gt;true&amp;lt;/IsOriginal&amp;gt;_x005f_x000d__x005f_x000a_        &amp;lt;IsDeleted&amp;gt;false&amp;lt;/IsDeleted&amp;gt;_x005f_x000d__x005f_x000a_        &amp;lt;CaseName&amp;gt;îãéðú éùøàì ð&amp;#39; áøåï(òöéø)&amp;lt;/CaseName&amp;gt;_x005f_x000d__x005f_x000a_        &amp;lt;CaseDisplayIdentifier&amp;gt;8516-03-12 ú&amp;quot;ô&amp;lt;/CaseDisplayIdentifier&amp;gt;_x005f_x000d__x005f_x000a_      &amp;lt;/dt_DecisionCase&amp;gt;_x005f_x000d__x005f_x000a_    &amp;lt;/DecisionDS&amp;gt;_x005f_x000d__x005f_x000a_  &amp;lt;/diffgr:diffgram&amp;gt;_x005f_x000d__x005f_x000a_&amp;lt;/DecisionDS&amp;gt;"/>
    <w:docVar w:name="DecisionID" w:val="85093723"/>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DecisionClient"/>
  </w:docVars>
  <w:rsids>
    <w:rsidRoot w:val="00507694"/>
    <w:rsid w:val="00054FC4"/>
    <w:rsid w:val="0006726A"/>
    <w:rsid w:val="00093588"/>
    <w:rsid w:val="000B22DD"/>
    <w:rsid w:val="000B6174"/>
    <w:rsid w:val="000C091A"/>
    <w:rsid w:val="00100577"/>
    <w:rsid w:val="001422BE"/>
    <w:rsid w:val="001E32F7"/>
    <w:rsid w:val="001F537B"/>
    <w:rsid w:val="00212125"/>
    <w:rsid w:val="00252A3A"/>
    <w:rsid w:val="002937EF"/>
    <w:rsid w:val="002A7E46"/>
    <w:rsid w:val="002B3719"/>
    <w:rsid w:val="002D13F4"/>
    <w:rsid w:val="002D3C52"/>
    <w:rsid w:val="002D6C61"/>
    <w:rsid w:val="00304203"/>
    <w:rsid w:val="00346326"/>
    <w:rsid w:val="00355204"/>
    <w:rsid w:val="00367565"/>
    <w:rsid w:val="003801D4"/>
    <w:rsid w:val="003E0C9F"/>
    <w:rsid w:val="003E2C87"/>
    <w:rsid w:val="004455AF"/>
    <w:rsid w:val="00485171"/>
    <w:rsid w:val="004C333C"/>
    <w:rsid w:val="00507694"/>
    <w:rsid w:val="005261BB"/>
    <w:rsid w:val="005C7B0B"/>
    <w:rsid w:val="005F262F"/>
    <w:rsid w:val="0060216F"/>
    <w:rsid w:val="00654698"/>
    <w:rsid w:val="00671475"/>
    <w:rsid w:val="00671EB1"/>
    <w:rsid w:val="0067586C"/>
    <w:rsid w:val="00681C44"/>
    <w:rsid w:val="00683ABD"/>
    <w:rsid w:val="00684E84"/>
    <w:rsid w:val="00686F1A"/>
    <w:rsid w:val="00740C14"/>
    <w:rsid w:val="00757983"/>
    <w:rsid w:val="007D46DD"/>
    <w:rsid w:val="007D55F9"/>
    <w:rsid w:val="008050C0"/>
    <w:rsid w:val="00832D73"/>
    <w:rsid w:val="00854810"/>
    <w:rsid w:val="00865810"/>
    <w:rsid w:val="0099345C"/>
    <w:rsid w:val="009E35A7"/>
    <w:rsid w:val="009E45F1"/>
    <w:rsid w:val="009E49A1"/>
    <w:rsid w:val="00A504C4"/>
    <w:rsid w:val="00A875FF"/>
    <w:rsid w:val="00A94B10"/>
    <w:rsid w:val="00B05847"/>
    <w:rsid w:val="00B22E17"/>
    <w:rsid w:val="00B85472"/>
    <w:rsid w:val="00BC0B71"/>
    <w:rsid w:val="00BD67E7"/>
    <w:rsid w:val="00BE0015"/>
    <w:rsid w:val="00C02463"/>
    <w:rsid w:val="00C55E62"/>
    <w:rsid w:val="00C572E8"/>
    <w:rsid w:val="00CF420E"/>
    <w:rsid w:val="00CF654C"/>
    <w:rsid w:val="00D202F4"/>
    <w:rsid w:val="00D3203D"/>
    <w:rsid w:val="00D435A5"/>
    <w:rsid w:val="00D5396C"/>
    <w:rsid w:val="00D869ED"/>
    <w:rsid w:val="00E47148"/>
    <w:rsid w:val="00E70F9C"/>
    <w:rsid w:val="00E8218C"/>
    <w:rsid w:val="00E90361"/>
    <w:rsid w:val="00EB7CDC"/>
    <w:rsid w:val="00EC4E3B"/>
    <w:rsid w:val="00F25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797093A"/>
  <w15:chartTrackingRefBased/>
  <w15:docId w15:val="{06DC7E11-3036-4079-9CF5-B0C2DBCD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character" w:styleId="aa">
    <w:name w:val="line number"/>
    <w:basedOn w:val="a0"/>
    <w:rsid w:val="00A94B10"/>
    <w:rPr>
      <w:rFonts w:cs="Times New Roman"/>
    </w:rPr>
  </w:style>
  <w:style w:type="character" w:styleId="Hyperlink">
    <w:name w:val="Hyperlink"/>
    <w:basedOn w:val="a0"/>
    <w:rsid w:val="005F26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hyperlink" Target="http://www.nevo.co.il/law_html/law01/073_002.ht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html/law01/073_002.htm" TargetMode="External"/><Relationship Id="rId12" Type="http://schemas.openxmlformats.org/officeDocument/2006/relationships/hyperlink" Target="http://www.nevo.co.il/law_html/law01/P170_001.htm" TargetMode="External"/><Relationship Id="rId17" Type="http://schemas.openxmlformats.org/officeDocument/2006/relationships/hyperlink" Target="http://www.nevo.co.il/law_html/law01/P170_001.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html/law01/073_002.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html/law01/073_002.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html/law01/073_002.htm" TargetMode="External"/><Relationship Id="rId23" Type="http://schemas.openxmlformats.org/officeDocument/2006/relationships/footer" Target="footer2.xml"/><Relationship Id="rId10" Type="http://schemas.openxmlformats.org/officeDocument/2006/relationships/hyperlink" Target="http://www.nevo.co.il/law_html/law01/P170_001.htm"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html/law01/073_002.htm" TargetMode="External"/><Relationship Id="rId14" Type="http://schemas.openxmlformats.org/officeDocument/2006/relationships/hyperlink" Target="http://www.nevo.co.il/law_html/law01/P170_001.ht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6772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8110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4849756</vt:i4>
      </vt:variant>
      <vt:variant>
        <vt:i4>30</vt:i4>
      </vt:variant>
      <vt:variant>
        <vt:i4>0</vt:i4>
      </vt:variant>
      <vt:variant>
        <vt:i4>5</vt:i4>
      </vt:variant>
      <vt:variant>
        <vt:lpwstr>http://www.nevo.co.il/law_html/law01/P170_001.htm</vt:lpwstr>
      </vt:variant>
      <vt:variant>
        <vt:lpwstr/>
      </vt:variant>
      <vt:variant>
        <vt:i4>3932214</vt:i4>
      </vt:variant>
      <vt:variant>
        <vt:i4>27</vt:i4>
      </vt:variant>
      <vt:variant>
        <vt:i4>0</vt:i4>
      </vt:variant>
      <vt:variant>
        <vt:i4>5</vt:i4>
      </vt:variant>
      <vt:variant>
        <vt:lpwstr>http://www.nevo.co.il/law_html/law01/073_002.htm</vt:lpwstr>
      </vt:variant>
      <vt:variant>
        <vt:lpwstr/>
      </vt:variant>
      <vt:variant>
        <vt:i4>3932214</vt:i4>
      </vt:variant>
      <vt:variant>
        <vt:i4>24</vt:i4>
      </vt:variant>
      <vt:variant>
        <vt:i4>0</vt:i4>
      </vt:variant>
      <vt:variant>
        <vt:i4>5</vt:i4>
      </vt:variant>
      <vt:variant>
        <vt:lpwstr>http://www.nevo.co.il/law_html/law01/073_002.htm</vt:lpwstr>
      </vt:variant>
      <vt:variant>
        <vt:lpwstr/>
      </vt:variant>
      <vt:variant>
        <vt:i4>4849756</vt:i4>
      </vt:variant>
      <vt:variant>
        <vt:i4>21</vt:i4>
      </vt:variant>
      <vt:variant>
        <vt:i4>0</vt:i4>
      </vt:variant>
      <vt:variant>
        <vt:i4>5</vt:i4>
      </vt:variant>
      <vt:variant>
        <vt:lpwstr>http://www.nevo.co.il/law_html/law01/P170_001.htm</vt:lpwstr>
      </vt:variant>
      <vt:variant>
        <vt:lpwstr/>
      </vt:variant>
      <vt:variant>
        <vt:i4>3932214</vt:i4>
      </vt:variant>
      <vt:variant>
        <vt:i4>18</vt:i4>
      </vt:variant>
      <vt:variant>
        <vt:i4>0</vt:i4>
      </vt:variant>
      <vt:variant>
        <vt:i4>5</vt:i4>
      </vt:variant>
      <vt:variant>
        <vt:lpwstr>http://www.nevo.co.il/law_html/law01/073_002.htm</vt:lpwstr>
      </vt:variant>
      <vt:variant>
        <vt:lpwstr/>
      </vt:variant>
      <vt:variant>
        <vt:i4>4849756</vt:i4>
      </vt:variant>
      <vt:variant>
        <vt:i4>15</vt:i4>
      </vt:variant>
      <vt:variant>
        <vt:i4>0</vt:i4>
      </vt:variant>
      <vt:variant>
        <vt:i4>5</vt:i4>
      </vt:variant>
      <vt:variant>
        <vt:lpwstr>http://www.nevo.co.il/law_html/law01/P170_001.htm</vt:lpwstr>
      </vt:variant>
      <vt:variant>
        <vt:lpwstr/>
      </vt:variant>
      <vt:variant>
        <vt:i4>3932214</vt:i4>
      </vt:variant>
      <vt:variant>
        <vt:i4>12</vt:i4>
      </vt:variant>
      <vt:variant>
        <vt:i4>0</vt:i4>
      </vt:variant>
      <vt:variant>
        <vt:i4>5</vt:i4>
      </vt:variant>
      <vt:variant>
        <vt:lpwstr>http://www.nevo.co.il/law_html/law01/073_002.htm</vt:lpwstr>
      </vt:variant>
      <vt:variant>
        <vt:lpwstr/>
      </vt:variant>
      <vt:variant>
        <vt:i4>4849756</vt:i4>
      </vt:variant>
      <vt:variant>
        <vt:i4>9</vt:i4>
      </vt:variant>
      <vt:variant>
        <vt:i4>0</vt:i4>
      </vt:variant>
      <vt:variant>
        <vt:i4>5</vt:i4>
      </vt:variant>
      <vt:variant>
        <vt:lpwstr>http://www.nevo.co.il/law_html/law01/P170_001.htm</vt:lpwstr>
      </vt:variant>
      <vt:variant>
        <vt:lpwstr/>
      </vt:variant>
      <vt:variant>
        <vt:i4>3932214</vt:i4>
      </vt:variant>
      <vt:variant>
        <vt:i4>6</vt:i4>
      </vt:variant>
      <vt:variant>
        <vt:i4>0</vt:i4>
      </vt:variant>
      <vt:variant>
        <vt:i4>5</vt:i4>
      </vt:variant>
      <vt:variant>
        <vt:lpwstr>http://www.nevo.co.il/law_html/law01/073_002.htm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2013-04-25T11:42:00Z</cp:lastPrinted>
  <dcterms:created xsi:type="dcterms:W3CDTF">2025-04-22T20:22:00Z</dcterms:created>
  <dcterms:modified xsi:type="dcterms:W3CDTF">2025-04-22T20:22:00Z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8516</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גור ברון</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20130428</vt:lpwstr>
  </property>
  <property fmtid="{D5CDD505-2E9C-101B-9397-08002B2CF9AE}" pid="13" name="TYPE_N_DATE">
    <vt:lpwstr>39020130428</vt:lpwstr>
  </property>
  <property fmtid="{D5CDD505-2E9C-101B-9397-08002B2CF9AE}" pid="14" name="WORDNUMPAGES">
    <vt:lpwstr>4</vt:lpwstr>
  </property>
  <property fmtid="{D5CDD505-2E9C-101B-9397-08002B2CF9AE}" pid="15" name="TYPE_ABS_DATE">
    <vt:lpwstr>390020130428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