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CB3810" w:rsidRPr="00F00357" w14:paraId="5BA38254" w14:textId="77777777">
        <w:trPr>
          <w:trHeight w:hRule="exact" w:val="418"/>
          <w:jc w:val="center"/>
        </w:trPr>
        <w:tc>
          <w:tcPr>
            <w:tcW w:w="8721" w:type="dxa"/>
            <w:gridSpan w:val="2"/>
          </w:tcPr>
          <w:p w14:paraId="13FFE93D" w14:textId="77777777" w:rsidR="00CB3810" w:rsidRPr="00F00357" w:rsidRDefault="00F00357">
            <w:pPr>
              <w:pStyle w:val="a3"/>
              <w:jc w:val="center"/>
              <w:rPr>
                <w:rFonts w:ascii="Tahoma" w:hAnsi="Tahoma" w:cs="Tahoma"/>
                <w:color w:val="000080"/>
                <w:rtl/>
              </w:rPr>
            </w:pPr>
            <w:bookmarkStart w:id="0" w:name="FirstLawyer"/>
            <w:bookmarkStart w:id="1" w:name="LastJudge"/>
            <w:r w:rsidRPr="00F00357">
              <w:rPr>
                <w:rFonts w:ascii="Tahoma" w:hAnsi="Tahoma" w:cs="Tahoma"/>
                <w:b/>
                <w:bCs/>
                <w:color w:val="000080"/>
                <w:rtl/>
              </w:rPr>
              <w:t>בית המשפט המחוזי בתל אביב - יפו</w:t>
            </w:r>
          </w:p>
        </w:tc>
      </w:tr>
      <w:tr w:rsidR="00CB3810" w:rsidRPr="00F00357" w14:paraId="5D9294D0" w14:textId="77777777">
        <w:trPr>
          <w:trHeight w:val="337"/>
          <w:jc w:val="center"/>
        </w:trPr>
        <w:tc>
          <w:tcPr>
            <w:tcW w:w="5050" w:type="dxa"/>
          </w:tcPr>
          <w:p w14:paraId="2ACBC10F" w14:textId="77777777" w:rsidR="00CB3810" w:rsidRPr="00F00357" w:rsidRDefault="00F00357">
            <w:pPr>
              <w:rPr>
                <w:rFonts w:cs="FrankRuehl"/>
                <w:sz w:val="28"/>
                <w:szCs w:val="28"/>
                <w:rtl/>
              </w:rPr>
            </w:pPr>
            <w:r w:rsidRPr="00F00357">
              <w:rPr>
                <w:rFonts w:cs="FrankRuehl"/>
                <w:sz w:val="28"/>
                <w:szCs w:val="28"/>
                <w:rtl/>
              </w:rPr>
              <w:t>ת"פ</w:t>
            </w:r>
            <w:r w:rsidRPr="00F00357">
              <w:rPr>
                <w:rFonts w:cs="FrankRuehl" w:hint="cs"/>
                <w:sz w:val="28"/>
                <w:szCs w:val="28"/>
                <w:rtl/>
              </w:rPr>
              <w:t xml:space="preserve"> </w:t>
            </w:r>
            <w:r w:rsidRPr="00F00357">
              <w:rPr>
                <w:rFonts w:cs="FrankRuehl"/>
                <w:sz w:val="28"/>
                <w:szCs w:val="28"/>
                <w:rtl/>
              </w:rPr>
              <w:t>11552-06-12</w:t>
            </w:r>
            <w:r w:rsidRPr="00F00357">
              <w:rPr>
                <w:rFonts w:cs="FrankRuehl" w:hint="cs"/>
                <w:sz w:val="28"/>
                <w:szCs w:val="28"/>
                <w:rtl/>
              </w:rPr>
              <w:t xml:space="preserve"> </w:t>
            </w:r>
            <w:r w:rsidRPr="00F00357">
              <w:rPr>
                <w:rFonts w:cs="FrankRuehl"/>
                <w:sz w:val="28"/>
                <w:szCs w:val="28"/>
                <w:rtl/>
              </w:rPr>
              <w:t>מדינת ישראל נ' שעשוע</w:t>
            </w:r>
          </w:p>
          <w:p w14:paraId="65BA2F8B" w14:textId="77777777" w:rsidR="00CB3810" w:rsidRPr="00F00357" w:rsidRDefault="00CB3810">
            <w:pPr>
              <w:pStyle w:val="a3"/>
              <w:rPr>
                <w:rFonts w:cs="FrankRuehl"/>
                <w:sz w:val="28"/>
                <w:szCs w:val="28"/>
                <w:rtl/>
              </w:rPr>
            </w:pPr>
          </w:p>
        </w:tc>
        <w:tc>
          <w:tcPr>
            <w:tcW w:w="3671" w:type="dxa"/>
          </w:tcPr>
          <w:p w14:paraId="32BED232" w14:textId="77777777" w:rsidR="00CB3810" w:rsidRPr="00F00357" w:rsidRDefault="00F00357">
            <w:pPr>
              <w:pStyle w:val="a3"/>
              <w:jc w:val="right"/>
              <w:rPr>
                <w:rFonts w:cs="FrankRuehl"/>
                <w:sz w:val="28"/>
                <w:szCs w:val="28"/>
                <w:rtl/>
              </w:rPr>
            </w:pPr>
            <w:r w:rsidRPr="00F00357">
              <w:rPr>
                <w:rFonts w:cs="FrankRuehl" w:hint="cs"/>
                <w:sz w:val="28"/>
                <w:szCs w:val="28"/>
                <w:rtl/>
              </w:rPr>
              <w:t>14 ביולי 2013</w:t>
            </w:r>
          </w:p>
        </w:tc>
      </w:tr>
    </w:tbl>
    <w:p w14:paraId="5B63E8CC" w14:textId="77777777" w:rsidR="00CB3810" w:rsidRPr="00F00357" w:rsidRDefault="00F00357">
      <w:pPr>
        <w:pStyle w:val="a3"/>
        <w:rPr>
          <w:rtl/>
        </w:rPr>
      </w:pPr>
      <w:r w:rsidRPr="00F0035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B3810" w:rsidRPr="00F00357" w14:paraId="4474AC66" w14:textId="77777777">
        <w:trPr>
          <w:trHeight w:val="295"/>
          <w:jc w:val="center"/>
        </w:trPr>
        <w:tc>
          <w:tcPr>
            <w:tcW w:w="923" w:type="dxa"/>
            <w:tcBorders>
              <w:top w:val="nil"/>
              <w:left w:val="nil"/>
              <w:bottom w:val="nil"/>
              <w:right w:val="nil"/>
            </w:tcBorders>
          </w:tcPr>
          <w:p w14:paraId="22E6AFE8" w14:textId="77777777" w:rsidR="00CB3810" w:rsidRPr="00F00357" w:rsidRDefault="00F00357">
            <w:pPr>
              <w:jc w:val="both"/>
              <w:rPr>
                <w:rFonts w:ascii="Arial" w:hAnsi="Arial"/>
                <w:sz w:val="28"/>
                <w:szCs w:val="28"/>
              </w:rPr>
            </w:pPr>
            <w:r w:rsidRPr="00F00357">
              <w:rPr>
                <w:rFonts w:ascii="Arial" w:hAnsi="Arial" w:hint="cs"/>
                <w:sz w:val="28"/>
                <w:szCs w:val="28"/>
                <w:rtl/>
              </w:rPr>
              <w:t>ב</w:t>
            </w:r>
            <w:r w:rsidRPr="00F00357">
              <w:rPr>
                <w:rFonts w:ascii="Arial" w:hAnsi="Arial"/>
                <w:sz w:val="28"/>
                <w:szCs w:val="28"/>
                <w:rtl/>
              </w:rPr>
              <w:t xml:space="preserve">פני </w:t>
            </w:r>
          </w:p>
        </w:tc>
        <w:tc>
          <w:tcPr>
            <w:tcW w:w="7897" w:type="dxa"/>
            <w:gridSpan w:val="2"/>
            <w:tcBorders>
              <w:top w:val="nil"/>
              <w:left w:val="nil"/>
              <w:bottom w:val="nil"/>
              <w:right w:val="nil"/>
            </w:tcBorders>
          </w:tcPr>
          <w:p w14:paraId="06F709F0" w14:textId="77777777" w:rsidR="00CB3810" w:rsidRPr="00F00357" w:rsidRDefault="00F00357" w:rsidP="00865C5F">
            <w:pPr>
              <w:rPr>
                <w:rtl/>
              </w:rPr>
            </w:pPr>
            <w:r w:rsidRPr="00F00357">
              <w:rPr>
                <w:rFonts w:ascii="Arial" w:hAnsi="Arial" w:hint="cs"/>
                <w:b/>
                <w:bCs/>
                <w:rtl/>
              </w:rPr>
              <w:t>כב' ה</w:t>
            </w:r>
            <w:r w:rsidRPr="00F00357">
              <w:rPr>
                <w:rFonts w:hint="cs"/>
                <w:rtl/>
              </w:rPr>
              <w:t>שופטת</w:t>
            </w:r>
            <w:r w:rsidRPr="00F00357">
              <w:rPr>
                <w:rFonts w:ascii="Arial" w:hAnsi="Arial" w:hint="cs"/>
                <w:b/>
                <w:bCs/>
                <w:rtl/>
              </w:rPr>
              <w:t xml:space="preserve">  </w:t>
            </w:r>
            <w:r w:rsidRPr="00F00357">
              <w:rPr>
                <w:rFonts w:hint="cs"/>
                <w:rtl/>
              </w:rPr>
              <w:t>יהודית אמסטרדם</w:t>
            </w:r>
          </w:p>
          <w:p w14:paraId="4E44E792" w14:textId="77777777" w:rsidR="00CB3810" w:rsidRPr="00F00357" w:rsidRDefault="00CB3810">
            <w:pPr>
              <w:jc w:val="both"/>
              <w:rPr>
                <w:rFonts w:ascii="Arial" w:hAnsi="Arial"/>
                <w:sz w:val="28"/>
                <w:szCs w:val="28"/>
              </w:rPr>
            </w:pPr>
          </w:p>
        </w:tc>
      </w:tr>
      <w:tr w:rsidR="00CB3810" w:rsidRPr="00F00357" w14:paraId="61D97F2A" w14:textId="77777777">
        <w:trPr>
          <w:trHeight w:val="355"/>
          <w:jc w:val="center"/>
        </w:trPr>
        <w:tc>
          <w:tcPr>
            <w:tcW w:w="923" w:type="dxa"/>
            <w:tcBorders>
              <w:top w:val="nil"/>
              <w:left w:val="nil"/>
              <w:bottom w:val="nil"/>
              <w:right w:val="nil"/>
            </w:tcBorders>
          </w:tcPr>
          <w:p w14:paraId="4B068F29" w14:textId="77777777" w:rsidR="00CB3810" w:rsidRPr="00F00357" w:rsidRDefault="00CB3810">
            <w:pPr>
              <w:jc w:val="both"/>
              <w:rPr>
                <w:rFonts w:ascii="Arial" w:hAnsi="Arial"/>
                <w:sz w:val="28"/>
                <w:szCs w:val="28"/>
                <w:rtl/>
              </w:rPr>
            </w:pPr>
            <w:bookmarkStart w:id="2" w:name="FirstAppellant"/>
          </w:p>
          <w:p w14:paraId="55AEE405" w14:textId="77777777" w:rsidR="00CB3810" w:rsidRPr="00F00357" w:rsidRDefault="00F00357">
            <w:pPr>
              <w:jc w:val="both"/>
              <w:rPr>
                <w:rFonts w:ascii="Arial" w:hAnsi="Arial"/>
                <w:sz w:val="28"/>
                <w:szCs w:val="28"/>
              </w:rPr>
            </w:pPr>
            <w:r w:rsidRPr="00F00357">
              <w:rPr>
                <w:rFonts w:ascii="Arial" w:hAnsi="Arial" w:hint="cs"/>
                <w:sz w:val="28"/>
                <w:szCs w:val="28"/>
                <w:rtl/>
              </w:rPr>
              <w:t>בעניין:</w:t>
            </w:r>
          </w:p>
        </w:tc>
        <w:tc>
          <w:tcPr>
            <w:tcW w:w="4126" w:type="dxa"/>
            <w:tcBorders>
              <w:top w:val="nil"/>
              <w:left w:val="nil"/>
              <w:bottom w:val="nil"/>
              <w:right w:val="nil"/>
            </w:tcBorders>
          </w:tcPr>
          <w:p w14:paraId="316E82A3" w14:textId="77777777" w:rsidR="00CB3810" w:rsidRPr="00F00357" w:rsidRDefault="00F00357">
            <w:pPr>
              <w:rPr>
                <w:b/>
                <w:bCs/>
              </w:rPr>
            </w:pPr>
            <w:r w:rsidRPr="00F00357">
              <w:rPr>
                <w:rFonts w:hint="cs"/>
                <w:b/>
                <w:bCs/>
                <w:rtl/>
              </w:rPr>
              <w:t>מדינת ישראל</w:t>
            </w:r>
            <w:r w:rsidRPr="00F00357">
              <w:rPr>
                <w:rFonts w:hint="cs"/>
                <w:b/>
                <w:bCs/>
                <w:rtl/>
              </w:rPr>
              <w:br/>
              <w:t xml:space="preserve">ע"י פמת"א </w:t>
            </w:r>
          </w:p>
        </w:tc>
        <w:tc>
          <w:tcPr>
            <w:tcW w:w="3771" w:type="dxa"/>
            <w:tcBorders>
              <w:top w:val="nil"/>
              <w:left w:val="nil"/>
              <w:bottom w:val="nil"/>
              <w:right w:val="nil"/>
            </w:tcBorders>
          </w:tcPr>
          <w:p w14:paraId="7796737D" w14:textId="77777777" w:rsidR="00CB3810" w:rsidRPr="00F00357" w:rsidRDefault="00CB3810">
            <w:pPr>
              <w:jc w:val="both"/>
              <w:rPr>
                <w:rFonts w:ascii="Arial" w:hAnsi="Arial"/>
                <w:sz w:val="28"/>
                <w:szCs w:val="28"/>
              </w:rPr>
            </w:pPr>
          </w:p>
        </w:tc>
      </w:tr>
      <w:bookmarkEnd w:id="2"/>
      <w:tr w:rsidR="00CB3810" w:rsidRPr="00F00357" w14:paraId="32FAB92E" w14:textId="77777777">
        <w:trPr>
          <w:trHeight w:val="355"/>
          <w:jc w:val="center"/>
        </w:trPr>
        <w:tc>
          <w:tcPr>
            <w:tcW w:w="923" w:type="dxa"/>
            <w:tcBorders>
              <w:top w:val="nil"/>
              <w:left w:val="nil"/>
              <w:bottom w:val="nil"/>
              <w:right w:val="nil"/>
            </w:tcBorders>
          </w:tcPr>
          <w:p w14:paraId="6FF058BA" w14:textId="77777777" w:rsidR="00CB3810" w:rsidRPr="00F00357" w:rsidRDefault="00CB3810">
            <w:pPr>
              <w:jc w:val="both"/>
              <w:rPr>
                <w:rFonts w:ascii="Arial" w:hAnsi="Arial"/>
                <w:sz w:val="28"/>
                <w:szCs w:val="28"/>
                <w:rtl/>
              </w:rPr>
            </w:pPr>
          </w:p>
        </w:tc>
        <w:tc>
          <w:tcPr>
            <w:tcW w:w="4126" w:type="dxa"/>
            <w:tcBorders>
              <w:top w:val="nil"/>
              <w:left w:val="nil"/>
              <w:bottom w:val="nil"/>
              <w:right w:val="nil"/>
            </w:tcBorders>
          </w:tcPr>
          <w:p w14:paraId="7288DC0A" w14:textId="77777777" w:rsidR="00CB3810" w:rsidRPr="00F00357" w:rsidRDefault="00CB3810">
            <w:pPr>
              <w:jc w:val="both"/>
              <w:rPr>
                <w:rtl/>
              </w:rPr>
            </w:pPr>
          </w:p>
        </w:tc>
        <w:tc>
          <w:tcPr>
            <w:tcW w:w="3771" w:type="dxa"/>
            <w:tcBorders>
              <w:top w:val="nil"/>
              <w:left w:val="nil"/>
              <w:bottom w:val="nil"/>
              <w:right w:val="nil"/>
            </w:tcBorders>
          </w:tcPr>
          <w:p w14:paraId="076E713C" w14:textId="77777777" w:rsidR="00CB3810" w:rsidRPr="00F00357" w:rsidRDefault="00F00357">
            <w:pPr>
              <w:jc w:val="right"/>
              <w:rPr>
                <w:rFonts w:ascii="Arial" w:hAnsi="Arial"/>
                <w:sz w:val="28"/>
                <w:szCs w:val="28"/>
                <w:rtl/>
              </w:rPr>
            </w:pPr>
            <w:r w:rsidRPr="00F00357">
              <w:rPr>
                <w:rFonts w:ascii="Arial" w:hAnsi="Arial" w:hint="cs"/>
                <w:sz w:val="28"/>
                <w:szCs w:val="28"/>
                <w:rtl/>
              </w:rPr>
              <w:t>ה</w:t>
            </w:r>
            <w:r w:rsidRPr="00F00357">
              <w:rPr>
                <w:rFonts w:hint="cs"/>
                <w:rtl/>
              </w:rPr>
              <w:t>מאשימה</w:t>
            </w:r>
          </w:p>
        </w:tc>
      </w:tr>
      <w:tr w:rsidR="00CB3810" w:rsidRPr="00F00357" w14:paraId="11A3BE40" w14:textId="77777777">
        <w:trPr>
          <w:trHeight w:val="355"/>
          <w:jc w:val="center"/>
        </w:trPr>
        <w:tc>
          <w:tcPr>
            <w:tcW w:w="923" w:type="dxa"/>
            <w:tcBorders>
              <w:top w:val="nil"/>
              <w:left w:val="nil"/>
              <w:bottom w:val="nil"/>
              <w:right w:val="nil"/>
            </w:tcBorders>
          </w:tcPr>
          <w:p w14:paraId="579EDDE5" w14:textId="77777777" w:rsidR="00CB3810" w:rsidRPr="00F00357" w:rsidRDefault="00CB3810">
            <w:pPr>
              <w:jc w:val="both"/>
              <w:rPr>
                <w:rFonts w:ascii="Arial" w:hAnsi="Arial"/>
                <w:sz w:val="28"/>
                <w:szCs w:val="28"/>
                <w:rtl/>
              </w:rPr>
            </w:pPr>
          </w:p>
        </w:tc>
        <w:tc>
          <w:tcPr>
            <w:tcW w:w="7897" w:type="dxa"/>
            <w:gridSpan w:val="2"/>
            <w:tcBorders>
              <w:top w:val="nil"/>
              <w:left w:val="nil"/>
              <w:bottom w:val="nil"/>
              <w:right w:val="nil"/>
            </w:tcBorders>
          </w:tcPr>
          <w:p w14:paraId="04B37F46" w14:textId="77777777" w:rsidR="00CB3810" w:rsidRPr="00F00357" w:rsidRDefault="00CB3810">
            <w:pPr>
              <w:jc w:val="center"/>
              <w:rPr>
                <w:rFonts w:ascii="Arial" w:hAnsi="Arial"/>
                <w:b/>
                <w:bCs/>
                <w:sz w:val="28"/>
                <w:szCs w:val="28"/>
                <w:rtl/>
              </w:rPr>
            </w:pPr>
          </w:p>
          <w:p w14:paraId="7526552D" w14:textId="77777777" w:rsidR="00CB3810" w:rsidRPr="00F00357" w:rsidRDefault="00F00357">
            <w:pPr>
              <w:jc w:val="center"/>
              <w:rPr>
                <w:rFonts w:ascii="Arial" w:hAnsi="Arial"/>
                <w:b/>
                <w:bCs/>
                <w:sz w:val="28"/>
                <w:szCs w:val="28"/>
                <w:rtl/>
              </w:rPr>
            </w:pPr>
            <w:r w:rsidRPr="00F00357">
              <w:rPr>
                <w:rFonts w:ascii="Arial" w:hAnsi="Arial"/>
                <w:b/>
                <w:bCs/>
                <w:sz w:val="28"/>
                <w:szCs w:val="28"/>
                <w:rtl/>
              </w:rPr>
              <w:t>נגד</w:t>
            </w:r>
          </w:p>
          <w:p w14:paraId="5A9E9AC1" w14:textId="77777777" w:rsidR="00CB3810" w:rsidRPr="00F00357" w:rsidRDefault="00CB3810">
            <w:pPr>
              <w:jc w:val="both"/>
              <w:rPr>
                <w:rFonts w:ascii="Arial" w:hAnsi="Arial"/>
                <w:sz w:val="28"/>
                <w:szCs w:val="28"/>
              </w:rPr>
            </w:pPr>
          </w:p>
        </w:tc>
      </w:tr>
      <w:tr w:rsidR="00CB3810" w:rsidRPr="00F00357" w14:paraId="6B4753E5" w14:textId="77777777">
        <w:trPr>
          <w:trHeight w:val="355"/>
          <w:jc w:val="center"/>
        </w:trPr>
        <w:tc>
          <w:tcPr>
            <w:tcW w:w="923" w:type="dxa"/>
            <w:tcBorders>
              <w:top w:val="nil"/>
              <w:left w:val="nil"/>
              <w:bottom w:val="nil"/>
              <w:right w:val="nil"/>
            </w:tcBorders>
          </w:tcPr>
          <w:p w14:paraId="51C65273" w14:textId="77777777" w:rsidR="00CB3810" w:rsidRPr="00F00357" w:rsidRDefault="00CB3810">
            <w:pPr>
              <w:rPr>
                <w:rFonts w:ascii="Arial" w:hAnsi="Arial"/>
                <w:sz w:val="28"/>
                <w:szCs w:val="28"/>
                <w:rtl/>
              </w:rPr>
            </w:pPr>
          </w:p>
        </w:tc>
        <w:tc>
          <w:tcPr>
            <w:tcW w:w="4126" w:type="dxa"/>
            <w:tcBorders>
              <w:top w:val="nil"/>
              <w:left w:val="nil"/>
              <w:bottom w:val="nil"/>
              <w:right w:val="nil"/>
            </w:tcBorders>
          </w:tcPr>
          <w:p w14:paraId="4055DE45" w14:textId="77777777" w:rsidR="00CB3810" w:rsidRPr="00F00357" w:rsidRDefault="00F00357">
            <w:pPr>
              <w:rPr>
                <w:rtl/>
              </w:rPr>
            </w:pPr>
            <w:r w:rsidRPr="00F00357">
              <w:rPr>
                <w:rFonts w:hint="cs"/>
                <w:b/>
                <w:bCs/>
                <w:rtl/>
              </w:rPr>
              <w:t>אברהם שעשוע</w:t>
            </w:r>
            <w:r w:rsidRPr="00F00357">
              <w:rPr>
                <w:rFonts w:hint="cs"/>
                <w:b/>
                <w:bCs/>
                <w:rtl/>
              </w:rPr>
              <w:br/>
              <w:t>ע"י ב"כ עו"ד שרון נהרי ועו"ד סיוון דואני</w:t>
            </w:r>
          </w:p>
        </w:tc>
        <w:tc>
          <w:tcPr>
            <w:tcW w:w="3771" w:type="dxa"/>
            <w:tcBorders>
              <w:top w:val="nil"/>
              <w:left w:val="nil"/>
              <w:bottom w:val="nil"/>
              <w:right w:val="nil"/>
            </w:tcBorders>
          </w:tcPr>
          <w:p w14:paraId="393CC466" w14:textId="77777777" w:rsidR="00CB3810" w:rsidRPr="00F00357" w:rsidRDefault="00CB3810">
            <w:pPr>
              <w:jc w:val="right"/>
              <w:rPr>
                <w:rFonts w:ascii="Arial" w:hAnsi="Arial"/>
                <w:sz w:val="28"/>
                <w:szCs w:val="28"/>
              </w:rPr>
            </w:pPr>
          </w:p>
        </w:tc>
      </w:tr>
      <w:tr w:rsidR="00CB3810" w:rsidRPr="00F00357" w14:paraId="04138FAE" w14:textId="77777777">
        <w:trPr>
          <w:trHeight w:val="355"/>
          <w:jc w:val="center"/>
        </w:trPr>
        <w:tc>
          <w:tcPr>
            <w:tcW w:w="923" w:type="dxa"/>
            <w:tcBorders>
              <w:top w:val="nil"/>
              <w:left w:val="nil"/>
              <w:bottom w:val="nil"/>
              <w:right w:val="nil"/>
            </w:tcBorders>
          </w:tcPr>
          <w:p w14:paraId="2A6A660A" w14:textId="77777777" w:rsidR="00CB3810" w:rsidRPr="00F00357" w:rsidRDefault="00CB3810">
            <w:pPr>
              <w:jc w:val="both"/>
              <w:rPr>
                <w:rFonts w:ascii="Arial" w:hAnsi="Arial"/>
                <w:sz w:val="28"/>
                <w:szCs w:val="28"/>
                <w:rtl/>
              </w:rPr>
            </w:pPr>
          </w:p>
        </w:tc>
        <w:tc>
          <w:tcPr>
            <w:tcW w:w="4126" w:type="dxa"/>
            <w:tcBorders>
              <w:top w:val="nil"/>
              <w:left w:val="nil"/>
              <w:bottom w:val="nil"/>
              <w:right w:val="nil"/>
            </w:tcBorders>
          </w:tcPr>
          <w:p w14:paraId="4ED94C33" w14:textId="77777777" w:rsidR="00CB3810" w:rsidRPr="00F00357" w:rsidRDefault="00CB3810">
            <w:pPr>
              <w:jc w:val="both"/>
              <w:rPr>
                <w:rtl/>
              </w:rPr>
            </w:pPr>
          </w:p>
        </w:tc>
        <w:tc>
          <w:tcPr>
            <w:tcW w:w="3771" w:type="dxa"/>
            <w:tcBorders>
              <w:top w:val="nil"/>
              <w:left w:val="nil"/>
              <w:bottom w:val="nil"/>
              <w:right w:val="nil"/>
            </w:tcBorders>
          </w:tcPr>
          <w:p w14:paraId="014D0DB5" w14:textId="77777777" w:rsidR="00CB3810" w:rsidRPr="00F00357" w:rsidRDefault="00F00357">
            <w:pPr>
              <w:jc w:val="right"/>
              <w:rPr>
                <w:rFonts w:ascii="Arial" w:hAnsi="Arial"/>
                <w:sz w:val="28"/>
                <w:szCs w:val="28"/>
              </w:rPr>
            </w:pPr>
            <w:r w:rsidRPr="00F00357">
              <w:rPr>
                <w:rFonts w:ascii="Arial" w:hAnsi="Arial" w:hint="cs"/>
                <w:sz w:val="28"/>
                <w:szCs w:val="28"/>
                <w:rtl/>
              </w:rPr>
              <w:t>ה</w:t>
            </w:r>
            <w:r w:rsidRPr="00F00357">
              <w:rPr>
                <w:rFonts w:hint="cs"/>
                <w:rtl/>
              </w:rPr>
              <w:t>נאשם</w:t>
            </w:r>
          </w:p>
        </w:tc>
      </w:tr>
    </w:tbl>
    <w:p w14:paraId="7D7BBF27" w14:textId="77777777" w:rsidR="00E53BFB" w:rsidRDefault="00E53BFB">
      <w:pPr>
        <w:rPr>
          <w:rtl/>
        </w:rPr>
      </w:pPr>
      <w:bookmarkStart w:id="3" w:name="LawTable"/>
      <w:bookmarkEnd w:id="3"/>
    </w:p>
    <w:p w14:paraId="0F6148AB" w14:textId="77777777" w:rsidR="00E53BFB" w:rsidRPr="00E53BFB" w:rsidRDefault="00E53BFB" w:rsidP="00E53BFB">
      <w:pPr>
        <w:spacing w:after="120" w:line="240" w:lineRule="exact"/>
        <w:ind w:left="283" w:hanging="283"/>
        <w:jc w:val="both"/>
        <w:rPr>
          <w:rFonts w:ascii="FrankRuehl" w:hAnsi="FrankRuehl" w:cs="FrankRuehl"/>
          <w:rtl/>
        </w:rPr>
      </w:pPr>
    </w:p>
    <w:p w14:paraId="222D8856" w14:textId="77777777" w:rsidR="00E53BFB" w:rsidRPr="00E53BFB" w:rsidRDefault="00E53BFB" w:rsidP="00E53BFB">
      <w:pPr>
        <w:spacing w:after="120" w:line="240" w:lineRule="exact"/>
        <w:ind w:left="283" w:hanging="283"/>
        <w:jc w:val="both"/>
        <w:rPr>
          <w:rFonts w:ascii="FrankRuehl" w:hAnsi="FrankRuehl" w:cs="FrankRuehl"/>
          <w:rtl/>
        </w:rPr>
      </w:pPr>
      <w:r w:rsidRPr="00E53BFB">
        <w:rPr>
          <w:rFonts w:ascii="FrankRuehl" w:hAnsi="FrankRuehl" w:cs="FrankRuehl"/>
          <w:rtl/>
        </w:rPr>
        <w:t xml:space="preserve">חקיקה שאוזכרה: </w:t>
      </w:r>
    </w:p>
    <w:p w14:paraId="47D41845" w14:textId="77777777" w:rsidR="00E53BFB" w:rsidRPr="00E53BFB" w:rsidRDefault="00E53BFB" w:rsidP="00E53BFB">
      <w:pPr>
        <w:spacing w:after="120" w:line="240" w:lineRule="exact"/>
        <w:ind w:left="283" w:hanging="283"/>
        <w:jc w:val="both"/>
        <w:rPr>
          <w:rFonts w:ascii="FrankRuehl" w:hAnsi="FrankRuehl" w:cs="FrankRuehl"/>
          <w:rtl/>
        </w:rPr>
      </w:pPr>
      <w:hyperlink r:id="rId7" w:history="1">
        <w:r w:rsidRPr="00E53BFB">
          <w:rPr>
            <w:rFonts w:ascii="FrankRuehl" w:hAnsi="FrankRuehl" w:cs="FrankRuehl"/>
            <w:color w:val="0000FF"/>
            <w:u w:val="single"/>
            <w:rtl/>
          </w:rPr>
          <w:t>חוק העונשין, תשל"ז-1977</w:t>
        </w:r>
      </w:hyperlink>
      <w:r w:rsidRPr="00E53BFB">
        <w:rPr>
          <w:rFonts w:ascii="FrankRuehl" w:hAnsi="FrankRuehl" w:cs="FrankRuehl"/>
          <w:rtl/>
        </w:rPr>
        <w:t xml:space="preserve">: סע'  </w:t>
      </w:r>
      <w:hyperlink r:id="rId8" w:history="1">
        <w:r w:rsidRPr="00E53BFB">
          <w:rPr>
            <w:rFonts w:ascii="FrankRuehl" w:hAnsi="FrankRuehl" w:cs="FrankRuehl"/>
            <w:color w:val="0000FF"/>
            <w:u w:val="single"/>
            <w:rtl/>
          </w:rPr>
          <w:t>25</w:t>
        </w:r>
      </w:hyperlink>
      <w:r w:rsidRPr="00E53BFB">
        <w:rPr>
          <w:rFonts w:ascii="FrankRuehl" w:hAnsi="FrankRuehl" w:cs="FrankRuehl"/>
          <w:rtl/>
        </w:rPr>
        <w:t xml:space="preserve">, </w:t>
      </w:r>
      <w:hyperlink r:id="rId9" w:history="1">
        <w:r w:rsidRPr="00E53BFB">
          <w:rPr>
            <w:rFonts w:ascii="FrankRuehl" w:hAnsi="FrankRuehl" w:cs="FrankRuehl"/>
            <w:color w:val="0000FF"/>
            <w:u w:val="single"/>
            <w:rtl/>
          </w:rPr>
          <w:t>40(ד)א</w:t>
        </w:r>
      </w:hyperlink>
      <w:r w:rsidRPr="00E53BFB">
        <w:rPr>
          <w:rFonts w:ascii="FrankRuehl" w:hAnsi="FrankRuehl" w:cs="FrankRuehl"/>
          <w:rtl/>
        </w:rPr>
        <w:t xml:space="preserve">, </w:t>
      </w:r>
      <w:hyperlink r:id="rId10" w:history="1">
        <w:r w:rsidRPr="00E53BFB">
          <w:rPr>
            <w:rFonts w:ascii="FrankRuehl" w:hAnsi="FrankRuehl" w:cs="FrankRuehl"/>
            <w:color w:val="0000FF"/>
            <w:u w:val="single"/>
            <w:rtl/>
          </w:rPr>
          <w:t>40ב</w:t>
        </w:r>
      </w:hyperlink>
      <w:r w:rsidRPr="00E53BFB">
        <w:rPr>
          <w:rFonts w:ascii="FrankRuehl" w:hAnsi="FrankRuehl" w:cs="FrankRuehl"/>
          <w:rtl/>
        </w:rPr>
        <w:t xml:space="preserve">, </w:t>
      </w:r>
      <w:hyperlink r:id="rId11" w:history="1">
        <w:r w:rsidRPr="00E53BFB">
          <w:rPr>
            <w:rFonts w:ascii="FrankRuehl" w:hAnsi="FrankRuehl" w:cs="FrankRuehl"/>
            <w:color w:val="0000FF"/>
            <w:u w:val="single"/>
            <w:rtl/>
          </w:rPr>
          <w:t>40ד</w:t>
        </w:r>
      </w:hyperlink>
      <w:r w:rsidRPr="00E53BFB">
        <w:rPr>
          <w:rFonts w:ascii="FrankRuehl" w:hAnsi="FrankRuehl" w:cs="FrankRuehl"/>
          <w:rtl/>
        </w:rPr>
        <w:t xml:space="preserve">, </w:t>
      </w:r>
      <w:hyperlink r:id="rId12" w:history="1">
        <w:r w:rsidRPr="00E53BFB">
          <w:rPr>
            <w:rFonts w:ascii="FrankRuehl" w:hAnsi="FrankRuehl" w:cs="FrankRuehl"/>
            <w:color w:val="0000FF"/>
            <w:u w:val="single"/>
            <w:rtl/>
          </w:rPr>
          <w:t>82</w:t>
        </w:r>
      </w:hyperlink>
      <w:r w:rsidRPr="00E53BFB">
        <w:rPr>
          <w:rFonts w:ascii="FrankRuehl" w:hAnsi="FrankRuehl" w:cs="FrankRuehl"/>
          <w:rtl/>
        </w:rPr>
        <w:t xml:space="preserve">, </w:t>
      </w:r>
      <w:hyperlink r:id="rId13" w:history="1">
        <w:r w:rsidRPr="00E53BFB">
          <w:rPr>
            <w:rFonts w:ascii="FrankRuehl" w:hAnsi="FrankRuehl" w:cs="FrankRuehl"/>
            <w:color w:val="0000FF"/>
            <w:u w:val="single"/>
            <w:rtl/>
          </w:rPr>
          <w:t>402(א)</w:t>
        </w:r>
      </w:hyperlink>
      <w:r w:rsidRPr="00E53BFB">
        <w:rPr>
          <w:rFonts w:ascii="FrankRuehl" w:hAnsi="FrankRuehl" w:cs="FrankRuehl"/>
          <w:rtl/>
        </w:rPr>
        <w:t xml:space="preserve">, </w:t>
      </w:r>
      <w:hyperlink r:id="rId14" w:history="1">
        <w:r w:rsidRPr="00E53BFB">
          <w:rPr>
            <w:rFonts w:ascii="FrankRuehl" w:hAnsi="FrankRuehl" w:cs="FrankRuehl"/>
            <w:color w:val="0000FF"/>
            <w:u w:val="single"/>
            <w:rtl/>
          </w:rPr>
          <w:t>413ט</w:t>
        </w:r>
      </w:hyperlink>
    </w:p>
    <w:p w14:paraId="2EB3DE6B" w14:textId="77777777" w:rsidR="00E53BFB" w:rsidRPr="00E53BFB" w:rsidRDefault="00E53BFB" w:rsidP="00E53BFB">
      <w:pPr>
        <w:spacing w:after="120" w:line="240" w:lineRule="exact"/>
        <w:ind w:left="283" w:hanging="283"/>
        <w:jc w:val="both"/>
        <w:rPr>
          <w:rFonts w:ascii="FrankRuehl" w:hAnsi="FrankRuehl" w:cs="FrankRuehl"/>
          <w:rtl/>
        </w:rPr>
      </w:pPr>
      <w:hyperlink r:id="rId15" w:history="1">
        <w:r w:rsidRPr="00E53BFB">
          <w:rPr>
            <w:rFonts w:ascii="FrankRuehl" w:hAnsi="FrankRuehl" w:cs="FrankRuehl"/>
            <w:color w:val="0000FF"/>
            <w:u w:val="single"/>
            <w:rtl/>
          </w:rPr>
          <w:t>פקודת הסמים המסוכנים [נוסח חדש], תשל"ג-1973</w:t>
        </w:r>
      </w:hyperlink>
    </w:p>
    <w:p w14:paraId="4568700F" w14:textId="77777777" w:rsidR="00E53BFB" w:rsidRPr="00E53BFB" w:rsidRDefault="00E53BFB" w:rsidP="00E53BFB">
      <w:pPr>
        <w:spacing w:after="120" w:line="240" w:lineRule="exact"/>
        <w:ind w:left="283" w:hanging="283"/>
        <w:jc w:val="both"/>
        <w:rPr>
          <w:rFonts w:ascii="FrankRuehl" w:hAnsi="FrankRuehl" w:cs="FrankRuehl"/>
          <w:rtl/>
        </w:rPr>
      </w:pPr>
      <w:hyperlink r:id="rId16" w:history="1">
        <w:r w:rsidRPr="00E53BFB">
          <w:rPr>
            <w:rFonts w:ascii="FrankRuehl" w:hAnsi="FrankRuehl" w:cs="FrankRuehl"/>
            <w:color w:val="0000FF"/>
            <w:u w:val="single"/>
            <w:rtl/>
          </w:rPr>
          <w:t>פקודת המבחן [נוסח חדש], תשכ"ט-1969</w:t>
        </w:r>
      </w:hyperlink>
      <w:r w:rsidRPr="00E53BFB">
        <w:rPr>
          <w:rFonts w:ascii="FrankRuehl" w:hAnsi="FrankRuehl" w:cs="FrankRuehl"/>
          <w:rtl/>
        </w:rPr>
        <w:t xml:space="preserve">: סע'  </w:t>
      </w:r>
      <w:hyperlink r:id="rId17" w:history="1">
        <w:r w:rsidRPr="00E53BFB">
          <w:rPr>
            <w:rFonts w:ascii="FrankRuehl" w:hAnsi="FrankRuehl" w:cs="FrankRuehl"/>
            <w:color w:val="0000FF"/>
            <w:u w:val="single"/>
            <w:rtl/>
          </w:rPr>
          <w:t>20</w:t>
        </w:r>
      </w:hyperlink>
    </w:p>
    <w:p w14:paraId="529FCA56" w14:textId="77777777" w:rsidR="00E53BFB" w:rsidRPr="00E53BFB" w:rsidRDefault="00E53BFB" w:rsidP="00E53BFB">
      <w:pPr>
        <w:spacing w:after="120" w:line="240" w:lineRule="exact"/>
        <w:ind w:left="283" w:hanging="283"/>
        <w:jc w:val="both"/>
        <w:rPr>
          <w:rFonts w:ascii="FrankRuehl" w:hAnsi="FrankRuehl" w:cs="FrankRuehl"/>
          <w:rtl/>
        </w:rPr>
      </w:pPr>
    </w:p>
    <w:p w14:paraId="57222BBE" w14:textId="77777777" w:rsidR="00E53BFB" w:rsidRPr="00E53BFB" w:rsidRDefault="00E53BFB">
      <w:pPr>
        <w:rPr>
          <w:rtl/>
        </w:rPr>
      </w:pPr>
      <w:bookmarkStart w:id="4" w:name="LawTable_End"/>
      <w:bookmarkEnd w:id="4"/>
    </w:p>
    <w:p w14:paraId="54F50472" w14:textId="77777777" w:rsidR="001C574B" w:rsidRPr="001C574B" w:rsidRDefault="001C574B">
      <w:pPr>
        <w:rPr>
          <w:rtl/>
        </w:rPr>
      </w:pPr>
    </w:p>
    <w:p w14:paraId="56B85CE2" w14:textId="77777777" w:rsidR="00F96C8F" w:rsidRPr="00F96C8F" w:rsidRDefault="00F96C8F">
      <w:pPr>
        <w:rPr>
          <w:rtl/>
        </w:rPr>
      </w:pPr>
    </w:p>
    <w:p w14:paraId="79D03146" w14:textId="77777777" w:rsidR="00F96C8F" w:rsidRPr="00F96C8F" w:rsidRDefault="00F96C8F">
      <w:pPr>
        <w:rPr>
          <w:rtl/>
        </w:rPr>
      </w:pPr>
    </w:p>
    <w:p w14:paraId="42FF4F34" w14:textId="77777777" w:rsidR="00CB3810" w:rsidRPr="00F96C8F" w:rsidRDefault="00CB381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3810" w14:paraId="7C2D5D21" w14:textId="77777777">
        <w:trPr>
          <w:trHeight w:val="355"/>
          <w:jc w:val="center"/>
        </w:trPr>
        <w:tc>
          <w:tcPr>
            <w:tcW w:w="8820" w:type="dxa"/>
            <w:tcBorders>
              <w:top w:val="nil"/>
              <w:left w:val="nil"/>
              <w:bottom w:val="nil"/>
              <w:right w:val="nil"/>
            </w:tcBorders>
          </w:tcPr>
          <w:p w14:paraId="578E52A2" w14:textId="77777777" w:rsidR="00F00357" w:rsidRPr="00F00357" w:rsidRDefault="00F00357" w:rsidP="00F00357">
            <w:pPr>
              <w:jc w:val="center"/>
              <w:rPr>
                <w:rFonts w:ascii="Arial" w:hAnsi="Arial"/>
                <w:b/>
                <w:bCs/>
                <w:sz w:val="32"/>
                <w:szCs w:val="32"/>
                <w:u w:val="single"/>
                <w:rtl/>
              </w:rPr>
            </w:pPr>
            <w:bookmarkStart w:id="5" w:name="PsakDin" w:colFirst="0" w:colLast="0"/>
            <w:bookmarkEnd w:id="0"/>
            <w:bookmarkEnd w:id="1"/>
            <w:r w:rsidRPr="00F00357">
              <w:rPr>
                <w:rFonts w:ascii="Arial" w:hAnsi="Arial"/>
                <w:b/>
                <w:bCs/>
                <w:sz w:val="32"/>
                <w:szCs w:val="32"/>
                <w:u w:val="single"/>
                <w:rtl/>
              </w:rPr>
              <w:t>גזר דין</w:t>
            </w:r>
          </w:p>
          <w:p w14:paraId="0A04FB67" w14:textId="77777777" w:rsidR="00CB3810" w:rsidRPr="00F00357" w:rsidRDefault="00CB3810" w:rsidP="00F00357">
            <w:pPr>
              <w:jc w:val="center"/>
              <w:rPr>
                <w:rFonts w:ascii="Arial" w:hAnsi="Arial"/>
                <w:bCs/>
                <w:sz w:val="32"/>
                <w:szCs w:val="32"/>
                <w:u w:val="single"/>
                <w:rtl/>
              </w:rPr>
            </w:pPr>
          </w:p>
        </w:tc>
      </w:tr>
      <w:bookmarkEnd w:id="5"/>
    </w:tbl>
    <w:p w14:paraId="735ABC76" w14:textId="77777777" w:rsidR="00CB3810" w:rsidRDefault="00CB3810">
      <w:pPr>
        <w:rPr>
          <w:rFonts w:ascii="Arial" w:hAnsi="Arial"/>
          <w:rtl/>
        </w:rPr>
      </w:pPr>
    </w:p>
    <w:p w14:paraId="7AFCF645" w14:textId="77777777" w:rsidR="00CB3810" w:rsidRDefault="00CB3810">
      <w:pPr>
        <w:rPr>
          <w:rtl/>
        </w:rPr>
      </w:pPr>
    </w:p>
    <w:p w14:paraId="5580BB90"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פתח דבר</w:t>
      </w:r>
    </w:p>
    <w:p w14:paraId="46A85EF3" w14:textId="77777777" w:rsidR="00CB3810" w:rsidRDefault="00F00357">
      <w:pPr>
        <w:spacing w:line="360" w:lineRule="auto"/>
        <w:jc w:val="both"/>
        <w:rPr>
          <w:rtl/>
        </w:rPr>
      </w:pPr>
      <w:r>
        <w:rPr>
          <w:rFonts w:hint="cs"/>
          <w:rtl/>
        </w:rPr>
        <w:t>1.</w:t>
      </w:r>
      <w:r>
        <w:rPr>
          <w:rFonts w:hint="cs"/>
          <w:rtl/>
        </w:rPr>
        <w:tab/>
      </w:r>
      <w:bookmarkStart w:id="6" w:name="ABSTRACT_START"/>
      <w:bookmarkEnd w:id="6"/>
      <w:r>
        <w:rPr>
          <w:rFonts w:hint="cs"/>
          <w:rtl/>
        </w:rPr>
        <w:t xml:space="preserve">הנאשם הורשע ע"פי הודאתו, במסגרת הסדר טיעון, בביצוע העבירות נשוא כתב האישום: שוד וטשטוש סימני זיהוי של רכב- עבירות לפי </w:t>
      </w:r>
      <w:hyperlink r:id="rId18" w:history="1">
        <w:r w:rsidR="00AF4249" w:rsidRPr="00AF4249">
          <w:rPr>
            <w:rStyle w:val="Hyperlink"/>
            <w:rFonts w:hint="eastAsia"/>
            <w:rtl/>
          </w:rPr>
          <w:t>סעיפים</w:t>
        </w:r>
        <w:r w:rsidR="00AF4249" w:rsidRPr="00AF4249">
          <w:rPr>
            <w:rStyle w:val="Hyperlink"/>
            <w:rtl/>
          </w:rPr>
          <w:t xml:space="preserve"> 402(א)</w:t>
        </w:r>
      </w:hyperlink>
      <w:r>
        <w:rPr>
          <w:rFonts w:hint="cs"/>
          <w:rtl/>
        </w:rPr>
        <w:t xml:space="preserve"> ו- </w:t>
      </w:r>
      <w:hyperlink r:id="rId19" w:history="1">
        <w:r w:rsidR="00AF4249" w:rsidRPr="00AF4249">
          <w:rPr>
            <w:rStyle w:val="Hyperlink"/>
            <w:rtl/>
          </w:rPr>
          <w:t>413ט</w:t>
        </w:r>
      </w:hyperlink>
      <w:r>
        <w:rPr>
          <w:rFonts w:hint="cs"/>
          <w:rtl/>
        </w:rPr>
        <w:t xml:space="preserve"> ל</w:t>
      </w:r>
      <w:hyperlink r:id="rId20" w:history="1">
        <w:r w:rsidR="00F96C8F" w:rsidRPr="00F96C8F">
          <w:rPr>
            <w:rStyle w:val="Hyperlink"/>
            <w:rtl/>
          </w:rPr>
          <w:t>חוק העונשין</w:t>
        </w:r>
      </w:hyperlink>
      <w:r>
        <w:rPr>
          <w:rFonts w:hint="cs"/>
          <w:rtl/>
        </w:rPr>
        <w:t xml:space="preserve">, התשל"ז- 1977 (להלן: </w:t>
      </w:r>
      <w:r>
        <w:rPr>
          <w:rFonts w:hint="cs"/>
          <w:b/>
          <w:bCs/>
          <w:rtl/>
        </w:rPr>
        <w:t>"חוק העונשין"</w:t>
      </w:r>
      <w:r>
        <w:rPr>
          <w:rFonts w:hint="cs"/>
          <w:rtl/>
        </w:rPr>
        <w:t xml:space="preserve">)- נשוא האישומים הראשון והשלישי, ועבירת הטשטוש של סימני זיהוי הרכב גם ע"פי האישום השני. </w:t>
      </w:r>
      <w:bookmarkStart w:id="7" w:name="ABSTRACT_END"/>
      <w:bookmarkEnd w:id="7"/>
    </w:p>
    <w:p w14:paraId="444F6FBC" w14:textId="77777777" w:rsidR="00CB3810" w:rsidRDefault="00F00357">
      <w:pPr>
        <w:spacing w:line="360" w:lineRule="auto"/>
        <w:jc w:val="both"/>
        <w:rPr>
          <w:rtl/>
        </w:rPr>
      </w:pPr>
      <w:r>
        <w:rPr>
          <w:rFonts w:hint="cs"/>
          <w:rtl/>
        </w:rPr>
        <w:t xml:space="preserve">כמו כן, הורשע הנאשם בביצוע עבירה של ניסיון שוד- עבירה לפי </w:t>
      </w:r>
      <w:hyperlink r:id="rId21" w:history="1">
        <w:r w:rsidR="00AF4249" w:rsidRPr="00AF4249">
          <w:rPr>
            <w:rStyle w:val="Hyperlink"/>
            <w:rFonts w:hint="eastAsia"/>
            <w:rtl/>
          </w:rPr>
          <w:t>סעיף</w:t>
        </w:r>
        <w:r w:rsidR="00AF4249" w:rsidRPr="00AF4249">
          <w:rPr>
            <w:rStyle w:val="Hyperlink"/>
            <w:rtl/>
          </w:rPr>
          <w:t xml:space="preserve"> 402(א)</w:t>
        </w:r>
      </w:hyperlink>
      <w:r>
        <w:rPr>
          <w:rFonts w:hint="cs"/>
          <w:rtl/>
        </w:rPr>
        <w:t xml:space="preserve"> ביחד עם </w:t>
      </w:r>
      <w:hyperlink r:id="rId22" w:history="1">
        <w:r w:rsidR="00AF4249" w:rsidRPr="00AF4249">
          <w:rPr>
            <w:rStyle w:val="Hyperlink"/>
            <w:rFonts w:hint="eastAsia"/>
            <w:rtl/>
          </w:rPr>
          <w:t>סעיף</w:t>
        </w:r>
        <w:r w:rsidR="00AF4249" w:rsidRPr="00AF4249">
          <w:rPr>
            <w:rStyle w:val="Hyperlink"/>
            <w:rtl/>
          </w:rPr>
          <w:t xml:space="preserve"> 25</w:t>
        </w:r>
      </w:hyperlink>
      <w:r>
        <w:rPr>
          <w:rFonts w:hint="cs"/>
          <w:rtl/>
        </w:rPr>
        <w:t xml:space="preserve"> ל</w:t>
      </w:r>
      <w:hyperlink r:id="rId23" w:history="1">
        <w:r w:rsidR="00F96C8F" w:rsidRPr="00F96C8F">
          <w:rPr>
            <w:rStyle w:val="Hyperlink"/>
            <w:rtl/>
          </w:rPr>
          <w:t>חוק העונשין</w:t>
        </w:r>
      </w:hyperlink>
      <w:r>
        <w:rPr>
          <w:rFonts w:hint="cs"/>
          <w:rtl/>
        </w:rPr>
        <w:t>- נשוא האישום השני.</w:t>
      </w:r>
    </w:p>
    <w:p w14:paraId="367E68DF" w14:textId="77777777" w:rsidR="00CB3810" w:rsidRDefault="00CB3810">
      <w:pPr>
        <w:spacing w:line="360" w:lineRule="auto"/>
        <w:jc w:val="both"/>
        <w:rPr>
          <w:rtl/>
        </w:rPr>
      </w:pPr>
    </w:p>
    <w:p w14:paraId="2A8A0A3B" w14:textId="77777777" w:rsidR="00CB3810" w:rsidRDefault="00F00357">
      <w:pPr>
        <w:spacing w:line="360" w:lineRule="auto"/>
        <w:jc w:val="both"/>
        <w:rPr>
          <w:rtl/>
        </w:rPr>
      </w:pPr>
      <w:r>
        <w:rPr>
          <w:rFonts w:hint="cs"/>
          <w:rtl/>
        </w:rPr>
        <w:lastRenderedPageBreak/>
        <w:t>2.</w:t>
      </w:r>
      <w:r>
        <w:rPr>
          <w:rFonts w:hint="cs"/>
          <w:rtl/>
        </w:rPr>
        <w:tab/>
        <w:t>על פי הנטען בכתב האישום בו הודה הנאשם בסמוך למועדים שתוארו בכתב האישום, השתמש הנאשם בסמים מסוכנים מסוג קוקאין ו- קריסטל בתדירות יומיומית, ועל כן על מנת לממן את רכישתם של הסמים החליט הנאשם לשדוד סכומי כסף מחנויות נוחות הנמצאות בתחנות דלק שונות.</w:t>
      </w:r>
    </w:p>
    <w:p w14:paraId="0CB73D66" w14:textId="77777777" w:rsidR="00CB3810" w:rsidRDefault="00CB3810">
      <w:pPr>
        <w:spacing w:line="360" w:lineRule="auto"/>
        <w:jc w:val="both"/>
        <w:rPr>
          <w:rtl/>
        </w:rPr>
      </w:pPr>
    </w:p>
    <w:p w14:paraId="6CBB1BDD" w14:textId="77777777" w:rsidR="00CB3810" w:rsidRDefault="00F00357">
      <w:pPr>
        <w:spacing w:line="360" w:lineRule="auto"/>
        <w:jc w:val="both"/>
        <w:rPr>
          <w:rtl/>
        </w:rPr>
      </w:pPr>
      <w:r>
        <w:rPr>
          <w:rFonts w:hint="cs"/>
          <w:rtl/>
        </w:rPr>
        <w:t>3.</w:t>
      </w:r>
      <w:r>
        <w:rPr>
          <w:rFonts w:hint="cs"/>
          <w:rtl/>
        </w:rPr>
        <w:tab/>
        <w:t>מעובדות כתב האישום עולה כי בשלושה מועדים שונים, שדד הנאשם, באמצעות חפץ הנחזה להיות אקדח, שלוש חנויות נוחות הפועלות בתחנות דלק, וזאת לאחר שטשטש את מספר הזיהוי של רכבו בכדי להקשות על זיהויו. במהלך האירוע הראשון נטל הנאשם מהקופה 930 ₪, במהלך האירוע השני לא עלה בידו ליטול דבר לאחר שהעובד בחנות נטש את המקום בבהלה, ובמהלך האירוע השלישי שדד הנאשם מהחנות 1160 ₪.</w:t>
      </w:r>
    </w:p>
    <w:p w14:paraId="6128D4C2" w14:textId="77777777" w:rsidR="00CB3810" w:rsidRDefault="00CB3810">
      <w:pPr>
        <w:spacing w:line="360" w:lineRule="auto"/>
        <w:jc w:val="both"/>
        <w:rPr>
          <w:rtl/>
        </w:rPr>
      </w:pPr>
    </w:p>
    <w:p w14:paraId="767710D5" w14:textId="77777777" w:rsidR="00CB3810" w:rsidRDefault="00F00357">
      <w:pPr>
        <w:pStyle w:val="ListParagraph"/>
        <w:numPr>
          <w:ilvl w:val="0"/>
          <w:numId w:val="1"/>
        </w:numPr>
        <w:spacing w:line="360" w:lineRule="auto"/>
        <w:jc w:val="both"/>
        <w:rPr>
          <w:rFonts w:cs="David"/>
          <w:b/>
          <w:bCs/>
          <w:sz w:val="28"/>
          <w:szCs w:val="28"/>
          <w:u w:val="single"/>
        </w:rPr>
      </w:pPr>
      <w:r>
        <w:rPr>
          <w:rFonts w:cs="David" w:hint="cs"/>
          <w:b/>
          <w:bCs/>
          <w:sz w:val="28"/>
          <w:szCs w:val="28"/>
          <w:u w:val="single"/>
          <w:rtl/>
        </w:rPr>
        <w:t xml:space="preserve">הסדר טיעון </w:t>
      </w:r>
    </w:p>
    <w:p w14:paraId="50CDACF8" w14:textId="77777777" w:rsidR="00CB3810" w:rsidRDefault="00F00357">
      <w:pPr>
        <w:spacing w:line="360" w:lineRule="auto"/>
        <w:jc w:val="both"/>
        <w:rPr>
          <w:rtl/>
        </w:rPr>
      </w:pPr>
      <w:r>
        <w:rPr>
          <w:rFonts w:hint="cs"/>
          <w:rtl/>
        </w:rPr>
        <w:t>4.</w:t>
      </w:r>
      <w:r>
        <w:rPr>
          <w:rFonts w:hint="cs"/>
          <w:rtl/>
        </w:rPr>
        <w:tab/>
        <w:t>במסגרת הסדר טיעון בין המאשימה לנאשם וב"כ, התבקש ביהמ"ש להטיל על הנאשם עונש מאסר על תנאי של שנתיים למשך שלוש שנים בגין העבירות בהן הורשע, צו מבחן לתקופה של שנתיים, פיצוי בסך 930 ₪ לזכות חנות "על הדרך" בתחנת סונול בית עובד, פיצוי בסך 1160 ₪ לזכות חנות הנוחות בתחנת הדלק "</w:t>
      </w:r>
      <w:r>
        <w:t>TEN</w:t>
      </w:r>
      <w:r>
        <w:rPr>
          <w:rFonts w:hint="cs"/>
          <w:rtl/>
        </w:rPr>
        <w:t>" ברחוב הפלד 9 בחולון ופיצוי בסך 1,000 ₪ לזכות כל אחד מהמתלוננים בשלושת האישומים.</w:t>
      </w:r>
    </w:p>
    <w:p w14:paraId="7D718E04" w14:textId="77777777" w:rsidR="00CB3810" w:rsidRDefault="00CB3810">
      <w:pPr>
        <w:spacing w:line="360" w:lineRule="auto"/>
        <w:jc w:val="both"/>
        <w:rPr>
          <w:rtl/>
        </w:rPr>
      </w:pPr>
    </w:p>
    <w:p w14:paraId="08622D30"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 xml:space="preserve">תסקירי שירות המבחן </w:t>
      </w:r>
    </w:p>
    <w:p w14:paraId="396C361F" w14:textId="77777777" w:rsidR="00CB3810" w:rsidRDefault="00F00357">
      <w:pPr>
        <w:spacing w:line="360" w:lineRule="auto"/>
        <w:jc w:val="both"/>
        <w:rPr>
          <w:rtl/>
        </w:rPr>
      </w:pPr>
      <w:r>
        <w:rPr>
          <w:rFonts w:hint="cs"/>
          <w:rtl/>
        </w:rPr>
        <w:t>5.</w:t>
      </w:r>
      <w:r>
        <w:rPr>
          <w:rFonts w:hint="cs"/>
          <w:rtl/>
        </w:rPr>
        <w:tab/>
        <w:t xml:space="preserve">מתסקיר שירות המבחן עלה כי הנאשם, בן 57, גרוש ואב לשלושה ילדים בוגרים, החל להשתמש עוד בנעוריו באופן קבוע בסמים קשים. עוד עלה כי הנאשם ריצה תקופות מאסר הן בארץ והן בחו"ל, כאשר לדבריו הרקע לביצוע העבירות הינו התמכרותו לסמים והצורך לממנם. </w:t>
      </w:r>
    </w:p>
    <w:p w14:paraId="07651922" w14:textId="77777777" w:rsidR="00CB3810" w:rsidRDefault="00CB3810">
      <w:pPr>
        <w:spacing w:line="360" w:lineRule="auto"/>
        <w:jc w:val="both"/>
        <w:rPr>
          <w:rtl/>
        </w:rPr>
      </w:pPr>
    </w:p>
    <w:p w14:paraId="4C81E6F9" w14:textId="77777777" w:rsidR="00CB3810" w:rsidRDefault="00F00357">
      <w:pPr>
        <w:spacing w:line="360" w:lineRule="auto"/>
        <w:jc w:val="both"/>
        <w:rPr>
          <w:rtl/>
        </w:rPr>
      </w:pPr>
      <w:r>
        <w:rPr>
          <w:rFonts w:hint="cs"/>
          <w:rtl/>
        </w:rPr>
        <w:t>6.</w:t>
      </w:r>
      <w:r>
        <w:rPr>
          <w:rFonts w:hint="cs"/>
          <w:rtl/>
        </w:rPr>
        <w:tab/>
        <w:t xml:space="preserve">קצינת המבחן התרשמה כי בין הנאשם לבנו קיים קשר סימביוטי, כאשר הבן מהווה עבור האב הנאשם  דמות מכוונת ותומכת. </w:t>
      </w:r>
    </w:p>
    <w:p w14:paraId="2E86AC16" w14:textId="77777777" w:rsidR="00CB3810" w:rsidRDefault="00F00357">
      <w:pPr>
        <w:spacing w:line="360" w:lineRule="auto"/>
        <w:jc w:val="both"/>
        <w:rPr>
          <w:rtl/>
        </w:rPr>
      </w:pPr>
      <w:r>
        <w:rPr>
          <w:rFonts w:hint="cs"/>
          <w:rtl/>
        </w:rPr>
        <w:t xml:space="preserve">על רקע סירובו של הנאשם להצטרף לקבוצת גמילה נותק הקשר בין האב לבנו, והקשר חודש לאחר אירוע השוד האחרון, ובתמיכת הבן הופנה הנאשם למסגרת טיפולית פרטית "התחלה חדשה". </w:t>
      </w:r>
    </w:p>
    <w:p w14:paraId="7F84825C" w14:textId="77777777" w:rsidR="00CB3810" w:rsidRDefault="00F00357">
      <w:pPr>
        <w:spacing w:line="360" w:lineRule="auto"/>
        <w:jc w:val="both"/>
        <w:rPr>
          <w:rtl/>
        </w:rPr>
      </w:pPr>
      <w:r>
        <w:rPr>
          <w:rFonts w:hint="cs"/>
          <w:rtl/>
        </w:rPr>
        <w:t>בתאריך 12.7.2012 נקלט הנאשם במסגרת חלופת מעצר בקהילה הטיפולית "הדרך". מדו"ח סיכום הטיפול עלה כי הנאשם נרתם להליך הטיפולי, תוך הבעת מוטיבציה לשינוי אורחות חייו.</w:t>
      </w:r>
    </w:p>
    <w:p w14:paraId="1989F05F" w14:textId="77777777" w:rsidR="00CB3810" w:rsidRDefault="00CB3810">
      <w:pPr>
        <w:spacing w:line="360" w:lineRule="auto"/>
        <w:jc w:val="both"/>
        <w:rPr>
          <w:rtl/>
        </w:rPr>
      </w:pPr>
    </w:p>
    <w:p w14:paraId="5BD7242F" w14:textId="77777777" w:rsidR="00CB3810" w:rsidRDefault="00F00357">
      <w:pPr>
        <w:spacing w:line="360" w:lineRule="auto"/>
        <w:jc w:val="both"/>
        <w:rPr>
          <w:rtl/>
        </w:rPr>
      </w:pPr>
      <w:r>
        <w:rPr>
          <w:rFonts w:hint="cs"/>
          <w:rtl/>
        </w:rPr>
        <w:t>7.</w:t>
      </w:r>
      <w:r>
        <w:rPr>
          <w:rFonts w:hint="cs"/>
          <w:rtl/>
        </w:rPr>
        <w:tab/>
        <w:t xml:space="preserve">במסגרת תנאי מעצר הבית השתלב הנאשם ביחידה העירונית לנפגעי סמים. העובדת הסוציאלית דיווחה, כי הנאשם משתף פעולה עם ההליך הטיפולי  ורוצה בשיקום. נוכח ראשוניות השתלבותו של הנאשם ביחידה הטיפולית התבקשה דחייה בת 3 חודשים. </w:t>
      </w:r>
    </w:p>
    <w:p w14:paraId="6793F756" w14:textId="77777777" w:rsidR="00CB3810" w:rsidRDefault="00CB3810">
      <w:pPr>
        <w:spacing w:line="360" w:lineRule="auto"/>
        <w:jc w:val="both"/>
        <w:rPr>
          <w:rtl/>
        </w:rPr>
      </w:pPr>
    </w:p>
    <w:p w14:paraId="32849D66" w14:textId="77777777" w:rsidR="00CB3810" w:rsidRDefault="00F00357">
      <w:pPr>
        <w:spacing w:line="360" w:lineRule="auto"/>
        <w:jc w:val="both"/>
        <w:rPr>
          <w:rtl/>
        </w:rPr>
      </w:pPr>
      <w:r>
        <w:rPr>
          <w:rFonts w:hint="cs"/>
          <w:rtl/>
        </w:rPr>
        <w:t>8.</w:t>
      </w:r>
      <w:r>
        <w:rPr>
          <w:rFonts w:hint="cs"/>
          <w:rtl/>
        </w:rPr>
        <w:tab/>
        <w:t xml:space="preserve">מהתסקיר המשלים שהוגש בתאריך 27.6.2013 עולה כי הנאשם עבר להתגורר עם בת-זוגתו, שאף היא מהווה גורם מייצב נוסף עבורו לצד בנו. </w:t>
      </w:r>
    </w:p>
    <w:p w14:paraId="24970EE6" w14:textId="77777777" w:rsidR="00CB3810" w:rsidRDefault="00F00357">
      <w:pPr>
        <w:spacing w:line="360" w:lineRule="auto"/>
        <w:jc w:val="both"/>
        <w:rPr>
          <w:rtl/>
        </w:rPr>
      </w:pPr>
      <w:r>
        <w:rPr>
          <w:rFonts w:hint="cs"/>
          <w:rtl/>
        </w:rPr>
        <w:t>עוד ציין כי הנאשם החל משתתף בקבוצות לתמיכה עצמית (</w:t>
      </w:r>
      <w:r>
        <w:t>N.A.</w:t>
      </w:r>
      <w:r>
        <w:rPr>
          <w:rFonts w:hint="cs"/>
          <w:rtl/>
        </w:rPr>
        <w:t xml:space="preserve">) ובמקביל החל בטיפול פרטני במסגרת היחידה העירונית. הנאשם מוסר דגימות שתן באופן סדיר, ואלו נמצאו נקיות משרידי סם. </w:t>
      </w:r>
    </w:p>
    <w:p w14:paraId="522353E9" w14:textId="77777777" w:rsidR="00CB3810" w:rsidRDefault="00CB3810">
      <w:pPr>
        <w:spacing w:line="360" w:lineRule="auto"/>
        <w:jc w:val="both"/>
        <w:rPr>
          <w:rtl/>
        </w:rPr>
      </w:pPr>
    </w:p>
    <w:p w14:paraId="305700FD" w14:textId="77777777" w:rsidR="00CB3810" w:rsidRDefault="00F00357">
      <w:pPr>
        <w:spacing w:line="360" w:lineRule="auto"/>
        <w:jc w:val="both"/>
        <w:rPr>
          <w:rtl/>
        </w:rPr>
      </w:pPr>
      <w:r>
        <w:rPr>
          <w:rFonts w:hint="cs"/>
          <w:rtl/>
        </w:rPr>
        <w:t>9.</w:t>
      </w:r>
      <w:r>
        <w:rPr>
          <w:rFonts w:hint="cs"/>
          <w:rtl/>
        </w:rPr>
        <w:tab/>
        <w:t xml:space="preserve">שירות המבחן המליץ להעמיד את הנאשם במבחן למשך שנה, נוכח התמדתו בטיפול כשגורמי התמיכה ימשיכו ללוות אותו בהליך השיקום. מסתבר גם, כי גילו המבוגר של הנאשם ועייפותו מאורח החיים השולי מהווים אף הם אלמנטים מציבי גבול שביכולתם להפחית את  הסיכון להמשך התנהגותו העבריינית. </w:t>
      </w:r>
    </w:p>
    <w:p w14:paraId="14CDC09B" w14:textId="77777777" w:rsidR="00CB3810" w:rsidRDefault="00CB3810">
      <w:pPr>
        <w:spacing w:line="360" w:lineRule="auto"/>
        <w:jc w:val="both"/>
        <w:rPr>
          <w:rtl/>
        </w:rPr>
      </w:pPr>
    </w:p>
    <w:p w14:paraId="3462B3DB"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 xml:space="preserve">ראיות לעונש מטעם ההגנה </w:t>
      </w:r>
    </w:p>
    <w:p w14:paraId="499A9F37" w14:textId="77777777" w:rsidR="00CB3810" w:rsidRDefault="00F00357">
      <w:pPr>
        <w:spacing w:line="360" w:lineRule="auto"/>
        <w:jc w:val="both"/>
        <w:rPr>
          <w:rtl/>
        </w:rPr>
      </w:pPr>
      <w:r>
        <w:rPr>
          <w:rFonts w:hint="cs"/>
          <w:rtl/>
        </w:rPr>
        <w:t>10.</w:t>
      </w:r>
      <w:r>
        <w:rPr>
          <w:rFonts w:hint="cs"/>
          <w:rtl/>
        </w:rPr>
        <w:tab/>
        <w:t xml:space="preserve">מטעמו של הנאשם העיד בנו </w:t>
      </w:r>
      <w:r>
        <w:rPr>
          <w:rFonts w:hint="cs"/>
          <w:b/>
          <w:bCs/>
          <w:rtl/>
        </w:rPr>
        <w:t>מר עזרא שעשוע</w:t>
      </w:r>
      <w:r>
        <w:rPr>
          <w:rFonts w:hint="cs"/>
          <w:rtl/>
        </w:rPr>
        <w:t xml:space="preserve"> אשר שיתף את ביהמ"ש בהליך השיקומי שעובר הנאשם תוך בקשה לאפשר לו להשלימו. </w:t>
      </w:r>
    </w:p>
    <w:p w14:paraId="4BDAE5D5" w14:textId="77777777" w:rsidR="00CB3810" w:rsidRDefault="00CB3810">
      <w:pPr>
        <w:spacing w:line="360" w:lineRule="auto"/>
        <w:jc w:val="both"/>
        <w:rPr>
          <w:rtl/>
        </w:rPr>
      </w:pPr>
    </w:p>
    <w:p w14:paraId="27B008F4" w14:textId="77777777" w:rsidR="00CB3810" w:rsidRDefault="00F00357">
      <w:pPr>
        <w:spacing w:line="360" w:lineRule="auto"/>
        <w:jc w:val="both"/>
        <w:rPr>
          <w:rtl/>
        </w:rPr>
      </w:pPr>
      <w:r>
        <w:rPr>
          <w:rFonts w:hint="cs"/>
          <w:rtl/>
        </w:rPr>
        <w:t>11.</w:t>
      </w:r>
      <w:r>
        <w:rPr>
          <w:rFonts w:hint="cs"/>
          <w:rtl/>
        </w:rPr>
        <w:tab/>
        <w:t>במסגרת הראיות לעונש הוגשה גם הודאת הנאשם (</w:t>
      </w:r>
      <w:r>
        <w:rPr>
          <w:rFonts w:hint="cs"/>
          <w:b/>
          <w:bCs/>
          <w:rtl/>
        </w:rPr>
        <w:t>נ/1</w:t>
      </w:r>
      <w:r>
        <w:rPr>
          <w:rFonts w:hint="cs"/>
          <w:rtl/>
        </w:rPr>
        <w:t>), ממנה ניתן ללמוד כי הנאשם הודה בהזדמנות הראשונה, וכי התמכרותו לסמים הייתה הרקע לביצוע העבירות.</w:t>
      </w:r>
    </w:p>
    <w:p w14:paraId="275433B0" w14:textId="77777777" w:rsidR="00CB3810" w:rsidRDefault="00CB3810">
      <w:pPr>
        <w:spacing w:line="360" w:lineRule="auto"/>
        <w:jc w:val="both"/>
        <w:rPr>
          <w:rtl/>
        </w:rPr>
      </w:pPr>
    </w:p>
    <w:p w14:paraId="644F9F82" w14:textId="77777777" w:rsidR="00CB3810" w:rsidRDefault="00F00357">
      <w:pPr>
        <w:spacing w:line="360" w:lineRule="auto"/>
        <w:jc w:val="both"/>
        <w:rPr>
          <w:rtl/>
        </w:rPr>
      </w:pPr>
      <w:r>
        <w:rPr>
          <w:rFonts w:hint="cs"/>
          <w:rtl/>
        </w:rPr>
        <w:t xml:space="preserve"> 12.</w:t>
      </w:r>
      <w:r>
        <w:rPr>
          <w:rFonts w:hint="cs"/>
          <w:rtl/>
        </w:rPr>
        <w:tab/>
        <w:t>עוד הוגשו תעודה  המעידה כי הנאשם השלים טיפול בקבוצת המתחילים ביחידה לטיפול בהתמכרויות (</w:t>
      </w:r>
      <w:r>
        <w:rPr>
          <w:rFonts w:hint="cs"/>
          <w:b/>
          <w:bCs/>
          <w:rtl/>
        </w:rPr>
        <w:t>נ/2</w:t>
      </w:r>
      <w:r>
        <w:rPr>
          <w:rFonts w:hint="cs"/>
          <w:rtl/>
        </w:rPr>
        <w:t>), הוגשו מכתבי המלצה (</w:t>
      </w:r>
      <w:r>
        <w:rPr>
          <w:rFonts w:hint="cs"/>
          <w:b/>
          <w:bCs/>
          <w:rtl/>
        </w:rPr>
        <w:t>נ/4 א-ד</w:t>
      </w:r>
      <w:r>
        <w:rPr>
          <w:rFonts w:hint="cs"/>
          <w:rtl/>
        </w:rPr>
        <w:t>) ממעסיקיו, מחבריו לקבוצה הטיפולית, וכן  מעובדות אגף הרווחה בעיריית חולון.</w:t>
      </w:r>
    </w:p>
    <w:p w14:paraId="5DA71D62" w14:textId="77777777" w:rsidR="00CB3810" w:rsidRDefault="00CB3810">
      <w:pPr>
        <w:spacing w:line="360" w:lineRule="auto"/>
        <w:jc w:val="both"/>
        <w:rPr>
          <w:rtl/>
        </w:rPr>
      </w:pPr>
    </w:p>
    <w:p w14:paraId="6F1F2CAA"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 xml:space="preserve">טיעוני ב"כ המאשימה </w:t>
      </w:r>
    </w:p>
    <w:p w14:paraId="1A015D76" w14:textId="77777777" w:rsidR="00CB3810" w:rsidRDefault="00F00357">
      <w:pPr>
        <w:spacing w:line="360" w:lineRule="auto"/>
        <w:jc w:val="both"/>
        <w:rPr>
          <w:rtl/>
        </w:rPr>
      </w:pPr>
      <w:r>
        <w:rPr>
          <w:rFonts w:hint="cs"/>
          <w:rtl/>
        </w:rPr>
        <w:t>13.</w:t>
      </w:r>
      <w:r>
        <w:rPr>
          <w:rFonts w:hint="cs"/>
          <w:rtl/>
        </w:rPr>
        <w:tab/>
        <w:t xml:space="preserve">ב"כ המאשימה הסבירה הסכמת התביעה לענישה מקלה וחריגה, בציינה, כי מדובר   בנסיבות אישיות חריגות: נאשם שהחל ההליך השיקומי </w:t>
      </w:r>
      <w:r>
        <w:rPr>
          <w:rFonts w:hint="cs"/>
          <w:u w:val="single"/>
          <w:rtl/>
        </w:rPr>
        <w:t>עוד בטרם החל ההליך</w:t>
      </w:r>
      <w:r>
        <w:rPr>
          <w:rFonts w:hint="cs"/>
          <w:rtl/>
        </w:rPr>
        <w:t xml:space="preserve"> הפלילי נגדו. עוד ציינה ב"כ המאשימה כי הנאשם מגלה התמדה בהליך השיקומי בו החל, וכי הוא נקי משימוש בסם   מזה כשנה.</w:t>
      </w:r>
    </w:p>
    <w:p w14:paraId="416B3A54" w14:textId="77777777" w:rsidR="00CB3810" w:rsidRDefault="00CB3810">
      <w:pPr>
        <w:spacing w:line="360" w:lineRule="auto"/>
        <w:jc w:val="both"/>
        <w:rPr>
          <w:rtl/>
        </w:rPr>
      </w:pPr>
    </w:p>
    <w:p w14:paraId="49A986C6"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טיעוני ב"כ הנאשם</w:t>
      </w:r>
    </w:p>
    <w:p w14:paraId="07A4471B" w14:textId="77777777" w:rsidR="00CB3810" w:rsidRDefault="00F00357">
      <w:pPr>
        <w:spacing w:line="360" w:lineRule="auto"/>
        <w:jc w:val="both"/>
        <w:rPr>
          <w:rtl/>
        </w:rPr>
      </w:pPr>
      <w:r>
        <w:rPr>
          <w:rFonts w:hint="cs"/>
          <w:rtl/>
        </w:rPr>
        <w:t>14.</w:t>
      </w:r>
      <w:r>
        <w:rPr>
          <w:rFonts w:hint="cs"/>
          <w:rtl/>
        </w:rPr>
        <w:tab/>
        <w:t>ב"כ הנאשם עתר אף הוא לביהמ"ש לכבד את הסדר הטיעון, בציינו כי מרשו החל בהליך גמילה רציני וממשי עובר לביצוע העבירות נשוא כתב האישום, והמעידה שגרמה לו לבצע העבירות נשוא התיק דנן  קשורה למשבר משפחתי שהוא חווה אותה עת.</w:t>
      </w:r>
    </w:p>
    <w:p w14:paraId="44487CDF" w14:textId="77777777" w:rsidR="00CB3810" w:rsidRDefault="00CB3810">
      <w:pPr>
        <w:spacing w:line="360" w:lineRule="auto"/>
        <w:jc w:val="both"/>
        <w:rPr>
          <w:rtl/>
        </w:rPr>
      </w:pPr>
    </w:p>
    <w:p w14:paraId="2BEB5B58" w14:textId="77777777" w:rsidR="00CB3810" w:rsidRDefault="00F00357">
      <w:pPr>
        <w:spacing w:line="360" w:lineRule="auto"/>
        <w:jc w:val="both"/>
        <w:rPr>
          <w:rtl/>
        </w:rPr>
      </w:pPr>
      <w:r>
        <w:rPr>
          <w:rFonts w:hint="cs"/>
          <w:rtl/>
        </w:rPr>
        <w:t>15.</w:t>
      </w:r>
      <w:r>
        <w:rPr>
          <w:rFonts w:hint="cs"/>
          <w:rtl/>
        </w:rPr>
        <w:tab/>
        <w:t xml:space="preserve">ב"כ הנאשם הוסיף וציין את הודאתו המהירה של הנאשם, נטילת האחריות על ידו, ושיתוף הפעולה המלא שלו  עם המשטרה. </w:t>
      </w:r>
    </w:p>
    <w:p w14:paraId="7F1BFAC2" w14:textId="77777777" w:rsidR="00CB3810" w:rsidRDefault="00CB3810">
      <w:pPr>
        <w:spacing w:line="360" w:lineRule="auto"/>
        <w:jc w:val="both"/>
        <w:rPr>
          <w:rtl/>
        </w:rPr>
      </w:pPr>
    </w:p>
    <w:p w14:paraId="6F6FE2BA" w14:textId="77777777" w:rsidR="00CB3810" w:rsidRDefault="00F00357">
      <w:pPr>
        <w:spacing w:line="360" w:lineRule="auto"/>
        <w:jc w:val="both"/>
        <w:rPr>
          <w:rtl/>
        </w:rPr>
      </w:pPr>
      <w:r>
        <w:rPr>
          <w:rFonts w:hint="cs"/>
          <w:rtl/>
        </w:rPr>
        <w:t>16.</w:t>
      </w:r>
      <w:r>
        <w:rPr>
          <w:rFonts w:hint="cs"/>
          <w:rtl/>
        </w:rPr>
        <w:tab/>
        <w:t xml:space="preserve">ב"כ הנאשם תיאר את נסיבות חייו של הנאשם כפי שפורטו בהרחבה בתסקיר, ציין את  גילו המבוגר ופרטי ההליך השיקומי בו הו הוא מצוי,  כמו- כן ציין את בריאותו הרופפת, ואת העובדה שאין לו   הרשעות קודמות למעט הרשעה אחת שהתיישנה. </w:t>
      </w:r>
    </w:p>
    <w:p w14:paraId="3259FC52" w14:textId="77777777" w:rsidR="00CB3810" w:rsidRDefault="00CB3810">
      <w:pPr>
        <w:spacing w:line="360" w:lineRule="auto"/>
        <w:jc w:val="both"/>
        <w:rPr>
          <w:rtl/>
        </w:rPr>
      </w:pPr>
    </w:p>
    <w:p w14:paraId="4131AE48" w14:textId="77777777" w:rsidR="00CB3810" w:rsidRDefault="00F00357">
      <w:pPr>
        <w:spacing w:line="360" w:lineRule="auto"/>
        <w:jc w:val="both"/>
        <w:rPr>
          <w:rtl/>
        </w:rPr>
      </w:pPr>
      <w:r>
        <w:rPr>
          <w:rFonts w:hint="cs"/>
          <w:rtl/>
        </w:rPr>
        <w:t>17.</w:t>
      </w:r>
      <w:r>
        <w:rPr>
          <w:rFonts w:hint="cs"/>
          <w:rtl/>
        </w:rPr>
        <w:tab/>
        <w:t xml:space="preserve">ב"כ הנאשם פנה לביהמ"ש בבקשה לכבד את הסדר הטיעון בטענו, כי בנסיבות התיק דנן ובהתייחס </w:t>
      </w:r>
      <w:hyperlink r:id="rId24" w:history="1">
        <w:r w:rsidR="00AF4249" w:rsidRPr="00AF4249">
          <w:rPr>
            <w:rStyle w:val="Hyperlink"/>
            <w:rFonts w:hint="eastAsia"/>
            <w:rtl/>
          </w:rPr>
          <w:t>לסעיף</w:t>
        </w:r>
        <w:r w:rsidR="00AF4249" w:rsidRPr="00AF4249">
          <w:rPr>
            <w:rStyle w:val="Hyperlink"/>
            <w:rtl/>
          </w:rPr>
          <w:t xml:space="preserve"> 40(ד)א</w:t>
        </w:r>
      </w:hyperlink>
      <w:r>
        <w:rPr>
          <w:rFonts w:hint="cs"/>
          <w:rtl/>
        </w:rPr>
        <w:t xml:space="preserve"> לתיקון 113 ל</w:t>
      </w:r>
      <w:hyperlink r:id="rId25" w:history="1">
        <w:r w:rsidR="00F96C8F" w:rsidRPr="00F96C8F">
          <w:rPr>
            <w:rStyle w:val="Hyperlink"/>
            <w:rtl/>
          </w:rPr>
          <w:t>חוק העונשין</w:t>
        </w:r>
      </w:hyperlink>
      <w:r>
        <w:rPr>
          <w:rFonts w:hint="cs"/>
          <w:rtl/>
        </w:rPr>
        <w:t>, הענישה המוצעת ראויה ומשתלבת באינטרס הציבורי, כמו כן הפנה לאסופת פסיקה שהוצגה בפני ביהמ"ש ולהלן מקצתה:</w:t>
      </w:r>
    </w:p>
    <w:p w14:paraId="29F7C77D" w14:textId="77777777" w:rsidR="00CB3810" w:rsidRDefault="00CB3810">
      <w:pPr>
        <w:spacing w:line="360" w:lineRule="auto"/>
        <w:jc w:val="both"/>
        <w:rPr>
          <w:rtl/>
        </w:rPr>
      </w:pPr>
    </w:p>
    <w:p w14:paraId="21ACDD41" w14:textId="77777777" w:rsidR="00CB3810" w:rsidRDefault="00F00357">
      <w:pPr>
        <w:spacing w:line="360" w:lineRule="auto"/>
        <w:jc w:val="both"/>
        <w:rPr>
          <w:rtl/>
        </w:rPr>
      </w:pPr>
      <w:r>
        <w:rPr>
          <w:rFonts w:hint="cs"/>
          <w:rtl/>
        </w:rPr>
        <w:t>ב</w:t>
      </w:r>
      <w:hyperlink r:id="rId26" w:history="1">
        <w:r w:rsidR="00F96C8F" w:rsidRPr="00F96C8F">
          <w:rPr>
            <w:rStyle w:val="Hyperlink"/>
            <w:rtl/>
          </w:rPr>
          <w:t>ת"פ 40087/02</w:t>
        </w:r>
      </w:hyperlink>
      <w:r>
        <w:rPr>
          <w:rFonts w:hint="cs"/>
          <w:rtl/>
        </w:rPr>
        <w:t xml:space="preserve"> </w:t>
      </w:r>
      <w:r>
        <w:rPr>
          <w:rFonts w:hint="cs"/>
          <w:b/>
          <w:bCs/>
          <w:rtl/>
        </w:rPr>
        <w:t>מדינת ישראל נ' חמיד יאגי</w:t>
      </w:r>
      <w:r>
        <w:rPr>
          <w:rFonts w:hint="cs"/>
          <w:rtl/>
        </w:rPr>
        <w:t xml:space="preserve"> (פורסם בנבו, 29.10.2002), הורשע הנאשם ע"פי הודאתו, בשני מעשי שוד וניסיון שוד נוסף בסניפי בנק דואר, תוך איום באמצעות אקדח צעצוע על פקידי הסניפים. הנאשם ביצע את העבירות נשוא כתב האישום על רקע התמכרותו לסמים, ולאחר שנסיון גמילה ב"אשפוזית" לא צלח. נוכח הבעת רצונו של הנאשם להשתקם ולהיכנס להליך גמילה, בקהילה טיפולית, חזר בית המשפט (כב' השופט מודריק) ופירט את אמות המבחן כיצד לחרוץ קו גבול בין הליך טיפולי והטלת עונש כמפורט להלן:</w:t>
      </w:r>
    </w:p>
    <w:p w14:paraId="7FB0CE17" w14:textId="77777777" w:rsidR="00CB3810" w:rsidRDefault="00F00357">
      <w:pPr>
        <w:spacing w:line="360" w:lineRule="auto"/>
        <w:jc w:val="both"/>
        <w:rPr>
          <w:b/>
          <w:bCs/>
          <w:rtl/>
        </w:rPr>
      </w:pPr>
      <w:r>
        <w:rPr>
          <w:rFonts w:hint="cs"/>
          <w:b/>
          <w:bCs/>
          <w:rtl/>
        </w:rPr>
        <w:t>"1. העבירות שעונשן מצוי על הפרק הם פרי התלות של הנאשם בסמים ונועדו למימון רכישת סמים.</w:t>
      </w:r>
    </w:p>
    <w:p w14:paraId="3CDF537F" w14:textId="77777777" w:rsidR="00CB3810" w:rsidRDefault="00F00357">
      <w:pPr>
        <w:spacing w:line="360" w:lineRule="auto"/>
        <w:jc w:val="both"/>
        <w:rPr>
          <w:b/>
          <w:bCs/>
          <w:rtl/>
        </w:rPr>
      </w:pPr>
      <w:r>
        <w:rPr>
          <w:rFonts w:hint="cs"/>
          <w:b/>
          <w:bCs/>
          <w:rtl/>
        </w:rPr>
        <w:t>2. הנאשם מוכיח שילוב בתכנית רצינית של מוסד ידוע ומקובל.</w:t>
      </w:r>
    </w:p>
    <w:p w14:paraId="5E9314D0" w14:textId="77777777" w:rsidR="00CB3810" w:rsidRDefault="00F00357">
      <w:pPr>
        <w:spacing w:line="360" w:lineRule="auto"/>
        <w:jc w:val="both"/>
        <w:rPr>
          <w:b/>
          <w:bCs/>
          <w:rtl/>
        </w:rPr>
      </w:pPr>
      <w:r>
        <w:rPr>
          <w:rFonts w:hint="cs"/>
          <w:b/>
          <w:bCs/>
          <w:rtl/>
        </w:rPr>
        <w:t>3. אין בעברו של הנאשם ניסיונות גמילה רציניים קודמים ולא ניתנה לו הקלה בעונש קודם על בסיס נכונות לקיים הליך שיקומי טיפולי.</w:t>
      </w:r>
    </w:p>
    <w:p w14:paraId="4B925C0F" w14:textId="77777777" w:rsidR="00CB3810" w:rsidRDefault="00F00357">
      <w:pPr>
        <w:spacing w:line="360" w:lineRule="auto"/>
        <w:jc w:val="both"/>
        <w:rPr>
          <w:b/>
          <w:bCs/>
          <w:rtl/>
        </w:rPr>
      </w:pPr>
      <w:r>
        <w:rPr>
          <w:rFonts w:hint="cs"/>
          <w:b/>
          <w:bCs/>
          <w:rtl/>
        </w:rPr>
        <w:t>4. שרות המבחן מתרשם מן הסיכוי של השנאשם להצליח בהליך וממליץ עליו חרף המודעות לטיב העבירה שהנאשם ביצע.</w:t>
      </w:r>
    </w:p>
    <w:p w14:paraId="48E285E3" w14:textId="77777777" w:rsidR="00CB3810" w:rsidRDefault="00F00357">
      <w:pPr>
        <w:spacing w:line="360" w:lineRule="auto"/>
        <w:jc w:val="both"/>
        <w:rPr>
          <w:b/>
          <w:bCs/>
          <w:rtl/>
        </w:rPr>
      </w:pPr>
      <w:r>
        <w:rPr>
          <w:rFonts w:hint="cs"/>
          <w:b/>
          <w:bCs/>
          <w:rtl/>
        </w:rPr>
        <w:t>5. הנאשם בחר בדרך טיפולית לפני שנלכד במעשה העבירה ובעת מתן גזר הדין נראים כבר ניצני הפעולות השיקומיות-טיפוליות שהוא עובר.</w:t>
      </w:r>
    </w:p>
    <w:p w14:paraId="35373885" w14:textId="77777777" w:rsidR="00CB3810" w:rsidRDefault="00F00357">
      <w:pPr>
        <w:spacing w:line="360" w:lineRule="auto"/>
        <w:jc w:val="both"/>
        <w:rPr>
          <w:b/>
          <w:bCs/>
          <w:rtl/>
        </w:rPr>
      </w:pPr>
      <w:r>
        <w:rPr>
          <w:rFonts w:hint="cs"/>
          <w:b/>
          <w:bCs/>
          <w:rtl/>
        </w:rPr>
        <w:t>6. בחינת היחס בין חומרת המעשה והעונש הצפוי בגינו. ככל שהמעשה העברייני חמור יותר ובמיוחד אם יש בו שימוש באלימות שהזיקה לאדם, כך קרוב לוודאי יוטה הכף מההליך הטיפולי אל גזירת עונש מתאים (</w:t>
      </w:r>
      <w:r w:rsidR="00F96C8F" w:rsidRPr="001C574B">
        <w:rPr>
          <w:b/>
          <w:bCs/>
          <w:rtl/>
        </w:rPr>
        <w:t>ת.פ. 253/00</w:t>
      </w:r>
      <w:r>
        <w:rPr>
          <w:rFonts w:hint="cs"/>
          <w:b/>
          <w:bCs/>
          <w:rtl/>
        </w:rPr>
        <w:t xml:space="preserve"> מ"י נ' קובלסקי; </w:t>
      </w:r>
      <w:r w:rsidRPr="00841D19">
        <w:rPr>
          <w:b/>
          <w:bCs/>
          <w:color w:val="000000"/>
          <w:rtl/>
        </w:rPr>
        <w:t>ת"פ 10399/98</w:t>
      </w:r>
      <w:r>
        <w:rPr>
          <w:rFonts w:hint="cs"/>
          <w:b/>
          <w:bCs/>
          <w:rtl/>
        </w:rPr>
        <w:t xml:space="preserve"> מ"י נ' ביסמוט".</w:t>
      </w:r>
    </w:p>
    <w:p w14:paraId="2280251A" w14:textId="77777777" w:rsidR="00CB3810" w:rsidRDefault="00CB3810">
      <w:pPr>
        <w:spacing w:line="360" w:lineRule="auto"/>
        <w:jc w:val="both"/>
        <w:rPr>
          <w:rtl/>
        </w:rPr>
      </w:pPr>
    </w:p>
    <w:p w14:paraId="291C27AB" w14:textId="77777777" w:rsidR="00CB3810" w:rsidRDefault="00F00357">
      <w:pPr>
        <w:spacing w:line="360" w:lineRule="auto"/>
        <w:jc w:val="both"/>
        <w:rPr>
          <w:rtl/>
        </w:rPr>
      </w:pPr>
      <w:r>
        <w:rPr>
          <w:rFonts w:hint="cs"/>
          <w:rtl/>
        </w:rPr>
        <w:t>בסופו של יום נמנע בית המשפט ממאסר בפועל, והטיל על הנאשם צו מבחן למשך שנתיים.</w:t>
      </w:r>
    </w:p>
    <w:p w14:paraId="382AA111" w14:textId="77777777" w:rsidR="00CB3810" w:rsidRDefault="00CB3810">
      <w:pPr>
        <w:spacing w:line="360" w:lineRule="auto"/>
        <w:jc w:val="both"/>
        <w:rPr>
          <w:rtl/>
        </w:rPr>
      </w:pPr>
    </w:p>
    <w:p w14:paraId="5671C9C3" w14:textId="77777777" w:rsidR="00CB3810" w:rsidRDefault="00F00357">
      <w:pPr>
        <w:spacing w:line="360" w:lineRule="auto"/>
        <w:jc w:val="both"/>
        <w:rPr>
          <w:rtl/>
        </w:rPr>
      </w:pPr>
      <w:r>
        <w:rPr>
          <w:rFonts w:hint="cs"/>
          <w:rtl/>
        </w:rPr>
        <w:t>ב</w:t>
      </w:r>
      <w:hyperlink r:id="rId27" w:history="1">
        <w:r w:rsidR="00F96C8F" w:rsidRPr="00F96C8F">
          <w:rPr>
            <w:rStyle w:val="Hyperlink"/>
            <w:rtl/>
          </w:rPr>
          <w:t>ע"פ 6058/09</w:t>
        </w:r>
      </w:hyperlink>
      <w:r>
        <w:rPr>
          <w:rFonts w:hint="cs"/>
          <w:rtl/>
        </w:rPr>
        <w:t xml:space="preserve"> </w:t>
      </w:r>
      <w:r>
        <w:rPr>
          <w:rFonts w:hint="cs"/>
          <w:b/>
          <w:bCs/>
          <w:rtl/>
        </w:rPr>
        <w:t>ויצמן נ' מדינת ישראל</w:t>
      </w:r>
      <w:r>
        <w:rPr>
          <w:rFonts w:hint="cs"/>
          <w:rtl/>
        </w:rPr>
        <w:t xml:space="preserve"> (פורסם בנבו, 2.5.2011) ביהמ"ש העליון הקל בעונשו של המערער באופן שביטל את רכיב המאסר בפועל והעמידו במבחן למשך שנתיים. ביהמ"ש קבע כי מקרה זה  נופל לגדר המקרים שבהם יש להעדיף שיקולי שיקום על שיקולי ענישה. המערער הורשע בעבירות של קשירת קשר לביצוע פשע וניסיון שוד בנסיבות מחמירות. מתסקיר שירות המבחן שהוגש לביהמ"ש העליון עלה כי המערער התמיד במסלול שיקום בו החל בקהילה טיפולית לגמילה מסמים. </w:t>
      </w:r>
    </w:p>
    <w:p w14:paraId="66562DB5" w14:textId="77777777" w:rsidR="00CB3810" w:rsidRDefault="00CB3810">
      <w:pPr>
        <w:spacing w:line="360" w:lineRule="auto"/>
        <w:jc w:val="both"/>
        <w:rPr>
          <w:rtl/>
        </w:rPr>
      </w:pPr>
    </w:p>
    <w:p w14:paraId="132459DD" w14:textId="77777777" w:rsidR="00CB3810" w:rsidRDefault="00F00357">
      <w:pPr>
        <w:spacing w:line="360" w:lineRule="auto"/>
        <w:jc w:val="both"/>
        <w:rPr>
          <w:rtl/>
        </w:rPr>
      </w:pPr>
      <w:r>
        <w:rPr>
          <w:rFonts w:hint="cs"/>
          <w:rtl/>
        </w:rPr>
        <w:t>ב</w:t>
      </w:r>
      <w:r w:rsidRPr="00841D19">
        <w:rPr>
          <w:color w:val="000000"/>
          <w:rtl/>
        </w:rPr>
        <w:t>ת"פ 10399/98</w:t>
      </w:r>
      <w:r>
        <w:rPr>
          <w:rFonts w:hint="cs"/>
          <w:rtl/>
        </w:rPr>
        <w:t xml:space="preserve"> </w:t>
      </w:r>
      <w:r>
        <w:rPr>
          <w:rFonts w:hint="cs"/>
          <w:b/>
          <w:bCs/>
          <w:rtl/>
        </w:rPr>
        <w:t>מדינת ישראל נ' אילן ביסמוט</w:t>
      </w:r>
      <w:r>
        <w:rPr>
          <w:rFonts w:hint="cs"/>
          <w:rtl/>
        </w:rPr>
        <w:t xml:space="preserve"> (פורסם בנבו, 30.5.2000) נעתר ביהמ"ש להמלצת שירות המבחן להימנע מהטלת עונש של מאסר בפועל על מנת לאפשר לנאשם להשלים הליך טיפולי לגמילה מסמים בו החל  נאשם נדון  לפיקוח שירות מבחן למשך שנתיים לאחר שהורשע בביצוע שני מעשי שוד אותו ביצע  על מנת להשיג מקורות למימון צריכת הסמים. </w:t>
      </w:r>
    </w:p>
    <w:p w14:paraId="74983658" w14:textId="77777777" w:rsidR="00CB3810" w:rsidRDefault="00CB3810">
      <w:pPr>
        <w:spacing w:line="360" w:lineRule="auto"/>
        <w:jc w:val="both"/>
        <w:rPr>
          <w:rtl/>
        </w:rPr>
      </w:pPr>
    </w:p>
    <w:p w14:paraId="0E69BD9E"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 xml:space="preserve">דברי הנאשם </w:t>
      </w:r>
    </w:p>
    <w:p w14:paraId="099BFC64" w14:textId="77777777" w:rsidR="00CB3810" w:rsidRDefault="00F00357">
      <w:pPr>
        <w:spacing w:line="360" w:lineRule="auto"/>
        <w:jc w:val="both"/>
        <w:rPr>
          <w:rtl/>
        </w:rPr>
      </w:pPr>
      <w:r>
        <w:rPr>
          <w:rFonts w:hint="cs"/>
          <w:rtl/>
        </w:rPr>
        <w:t>18.</w:t>
      </w:r>
      <w:r>
        <w:rPr>
          <w:rFonts w:hint="cs"/>
          <w:rtl/>
        </w:rPr>
        <w:tab/>
        <w:t xml:space="preserve">הנאשם שיתף את בית המשפט בהליך השיקומי שהוא עובר, הוא ביקש להשלימו,  וציין, כי למרות כל הקשיים שנקרים בדרכו הוא נחוש שלא לסור מדרך הישר. </w:t>
      </w:r>
    </w:p>
    <w:p w14:paraId="402E3F53" w14:textId="77777777" w:rsidR="00CB3810" w:rsidRDefault="00CB3810">
      <w:pPr>
        <w:spacing w:line="360" w:lineRule="auto"/>
        <w:jc w:val="both"/>
        <w:rPr>
          <w:rtl/>
        </w:rPr>
      </w:pPr>
    </w:p>
    <w:p w14:paraId="4940396E" w14:textId="77777777" w:rsidR="00CB3810" w:rsidRDefault="00F00357">
      <w:pPr>
        <w:pStyle w:val="ListParagraph"/>
        <w:numPr>
          <w:ilvl w:val="0"/>
          <w:numId w:val="1"/>
        </w:numPr>
        <w:spacing w:line="360" w:lineRule="auto"/>
        <w:jc w:val="both"/>
        <w:rPr>
          <w:rFonts w:cs="David"/>
          <w:b/>
          <w:bCs/>
          <w:sz w:val="28"/>
          <w:szCs w:val="28"/>
          <w:u w:val="single"/>
          <w:rtl/>
        </w:rPr>
      </w:pPr>
      <w:r>
        <w:rPr>
          <w:rFonts w:cs="David" w:hint="cs"/>
          <w:b/>
          <w:bCs/>
          <w:sz w:val="28"/>
          <w:szCs w:val="28"/>
          <w:u w:val="single"/>
          <w:rtl/>
        </w:rPr>
        <w:t xml:space="preserve">דיון </w:t>
      </w:r>
    </w:p>
    <w:p w14:paraId="3FE8087A" w14:textId="77777777" w:rsidR="00CB3810" w:rsidRDefault="00F00357">
      <w:pPr>
        <w:spacing w:line="360" w:lineRule="auto"/>
        <w:jc w:val="both"/>
        <w:rPr>
          <w:rtl/>
        </w:rPr>
      </w:pPr>
      <w:r>
        <w:rPr>
          <w:rFonts w:hint="cs"/>
          <w:rtl/>
        </w:rPr>
        <w:t>19.</w:t>
      </w:r>
      <w:r>
        <w:rPr>
          <w:rFonts w:hint="cs"/>
          <w:rtl/>
        </w:rPr>
        <w:tab/>
        <w:t>עסקינן בעבירות חמורות ביותר הכוללות שני מעשי שוד וניסיון שוד, שהעונש הראוי בגינן -שנות מאסר לא מעטות.</w:t>
      </w:r>
    </w:p>
    <w:p w14:paraId="439A1027" w14:textId="77777777" w:rsidR="00CB3810" w:rsidRDefault="00F00357">
      <w:pPr>
        <w:spacing w:line="360" w:lineRule="auto"/>
        <w:jc w:val="both"/>
        <w:rPr>
          <w:rtl/>
        </w:rPr>
      </w:pPr>
      <w:r>
        <w:rPr>
          <w:rFonts w:hint="cs"/>
          <w:rtl/>
        </w:rPr>
        <w:t>אין ספק, כי  בשל ריבוי העבירות, היה מקום לגזור על הנאשם עונש מאסר מאחורי סורג ובריח לתקופה ממושכת הן משום שעל בית המשפט להעביר מסר הרתעתי נוכח ממדיה של התופעה, והן לצורך הגנה על אינטרס הציבור.</w:t>
      </w:r>
    </w:p>
    <w:p w14:paraId="086A8E39" w14:textId="77777777" w:rsidR="00CB3810" w:rsidRDefault="00F00357">
      <w:pPr>
        <w:spacing w:line="360" w:lineRule="auto"/>
        <w:jc w:val="both"/>
        <w:rPr>
          <w:rtl/>
        </w:rPr>
      </w:pPr>
      <w:r>
        <w:rPr>
          <w:rFonts w:hint="cs"/>
          <w:rtl/>
        </w:rPr>
        <w:t xml:space="preserve"> לא ניתן להתעלם מתדירותן ונפיצותן של עבירות השוד הפכו לתופעה מדאיגה, והפיתוי הוא רב בייחוד בעיתות של מצוקה כלכלית. לא אחת עמד ביהמ"ש על חשיבות עונש המאסר בפועל לעבריינים המבצעים עבירת שוד, וזאת לצורכי הרתעה. </w:t>
      </w:r>
    </w:p>
    <w:p w14:paraId="7ADEE351" w14:textId="77777777" w:rsidR="00CB3810" w:rsidRDefault="00CB3810">
      <w:pPr>
        <w:spacing w:line="360" w:lineRule="auto"/>
        <w:jc w:val="both"/>
        <w:rPr>
          <w:rtl/>
        </w:rPr>
      </w:pPr>
    </w:p>
    <w:p w14:paraId="53C3869F" w14:textId="77777777" w:rsidR="00CB3810" w:rsidRDefault="00F00357">
      <w:pPr>
        <w:spacing w:line="360" w:lineRule="auto"/>
        <w:jc w:val="both"/>
        <w:rPr>
          <w:rtl/>
        </w:rPr>
      </w:pPr>
      <w:r w:rsidRPr="00F00357">
        <w:rPr>
          <w:rFonts w:hint="cs"/>
          <w:color w:val="000000"/>
          <w:rtl/>
        </w:rPr>
        <w:t>ב</w:t>
      </w:r>
      <w:hyperlink r:id="rId28" w:history="1">
        <w:r w:rsidR="00F96C8F" w:rsidRPr="00F96C8F">
          <w:rPr>
            <w:rStyle w:val="Hyperlink"/>
            <w:rtl/>
          </w:rPr>
          <w:t>ע"פ 6752/10</w:t>
        </w:r>
      </w:hyperlink>
      <w:r>
        <w:rPr>
          <w:rFonts w:hint="cs"/>
          <w:rtl/>
        </w:rPr>
        <w:t xml:space="preserve"> </w:t>
      </w:r>
      <w:r>
        <w:rPr>
          <w:rFonts w:hint="cs"/>
          <w:b/>
          <w:bCs/>
          <w:rtl/>
        </w:rPr>
        <w:t>יהודה טטרואשוילי נ' מדינת ישראל</w:t>
      </w:r>
      <w:r>
        <w:rPr>
          <w:rFonts w:hint="cs"/>
          <w:rtl/>
        </w:rPr>
        <w:t xml:space="preserve"> (פורסם בנבו, 28.9.2010) צוין כי:</w:t>
      </w:r>
    </w:p>
    <w:p w14:paraId="0F1066B2" w14:textId="77777777" w:rsidR="00CB3810" w:rsidRDefault="00F00357">
      <w:pPr>
        <w:spacing w:line="360" w:lineRule="auto"/>
        <w:ind w:left="720"/>
        <w:jc w:val="both"/>
        <w:rPr>
          <w:rtl/>
        </w:rPr>
      </w:pPr>
      <w:r>
        <w:rPr>
          <w:rFonts w:hint="cs"/>
          <w:b/>
          <w:bCs/>
          <w:rtl/>
        </w:rPr>
        <w:t xml:space="preserve">"עבירות השוד על סוגיהן מגיעות לפתחם של בתי המשפט חדשות לבקרים והן לובשות צורות שונות, מהן קשות ואכזריות ומהן ברמה נמוכה יותר, הצד השווה שבהן הוא הרצון להשיג כסף קל. </w:t>
      </w:r>
    </w:p>
    <w:p w14:paraId="0340617B" w14:textId="77777777" w:rsidR="00CB3810" w:rsidRDefault="00CB3810">
      <w:pPr>
        <w:spacing w:line="360" w:lineRule="auto"/>
        <w:ind w:left="720"/>
        <w:jc w:val="both"/>
        <w:rPr>
          <w:rtl/>
        </w:rPr>
      </w:pPr>
    </w:p>
    <w:p w14:paraId="57E8629B" w14:textId="77777777" w:rsidR="00CB3810" w:rsidRDefault="00F00357">
      <w:pPr>
        <w:spacing w:line="360" w:lineRule="auto"/>
        <w:jc w:val="both"/>
      </w:pPr>
      <w:r>
        <w:rPr>
          <w:rFonts w:hint="cs"/>
          <w:rtl/>
        </w:rPr>
        <w:t>ב</w:t>
      </w:r>
      <w:hyperlink r:id="rId29" w:history="1">
        <w:r w:rsidR="00F96C8F" w:rsidRPr="00F96C8F">
          <w:rPr>
            <w:rStyle w:val="Hyperlink"/>
            <w:rtl/>
          </w:rPr>
          <w:t>ע"פ 9647/06</w:t>
        </w:r>
      </w:hyperlink>
      <w:r>
        <w:rPr>
          <w:rFonts w:hint="cs"/>
          <w:rtl/>
        </w:rPr>
        <w:t xml:space="preserve"> </w:t>
      </w:r>
      <w:r>
        <w:rPr>
          <w:rFonts w:hint="cs"/>
          <w:b/>
          <w:bCs/>
          <w:rtl/>
        </w:rPr>
        <w:t>שור נ' מדינת ישראל</w:t>
      </w:r>
      <w:r>
        <w:rPr>
          <w:rFonts w:hint="cs"/>
          <w:rtl/>
        </w:rPr>
        <w:t xml:space="preserve"> (לא פורסם) נאמרו הדברים בעניין שוד תחנת דלק, אך יפים הם גם לעניין שבפנינו שבו נשדדו באישון לילה קופאים בחנות שבתחנת דלק:</w:t>
      </w:r>
    </w:p>
    <w:p w14:paraId="091BB3A0" w14:textId="77777777" w:rsidR="00CB3810" w:rsidRDefault="00F00357">
      <w:pPr>
        <w:spacing w:line="360" w:lineRule="auto"/>
        <w:ind w:left="720" w:right="1134"/>
        <w:jc w:val="both"/>
        <w:rPr>
          <w:b/>
          <w:bCs/>
          <w:rtl/>
        </w:rPr>
      </w:pPr>
      <w:r>
        <w:rPr>
          <w:rFonts w:hint="cs"/>
          <w:b/>
          <w:bCs/>
          <w:rtl/>
        </w:rPr>
        <w:t>"שוד בתחנת דלק בשעות ליל ניתן להשוותו, למשל, לשוד נהג מונית, שעל חומרתו עמד בית משפט זה לא אחת ולא שתיים... נהג המונית הוא בודד, וכך על פי רוב המתדלק הלילי. דרך יחידה שבתי המשפט יכולים לבטא בה את עמדתם הנחרצת כלפי החוטאים בכגון דא, ולתרום להגנת המתדלקים, היא בענישה".</w:t>
      </w:r>
    </w:p>
    <w:p w14:paraId="06C6A70B" w14:textId="77777777" w:rsidR="00CB3810" w:rsidRDefault="00CB3810">
      <w:pPr>
        <w:spacing w:line="360" w:lineRule="auto"/>
        <w:ind w:left="720" w:right="1134"/>
        <w:jc w:val="both"/>
        <w:rPr>
          <w:b/>
          <w:bCs/>
          <w:rtl/>
        </w:rPr>
      </w:pPr>
    </w:p>
    <w:p w14:paraId="0E030107" w14:textId="77777777" w:rsidR="00CB3810" w:rsidRDefault="00CB3810">
      <w:pPr>
        <w:spacing w:line="360" w:lineRule="auto"/>
        <w:ind w:left="720" w:right="1134"/>
        <w:jc w:val="both"/>
        <w:rPr>
          <w:b/>
          <w:bCs/>
          <w:rtl/>
        </w:rPr>
      </w:pPr>
    </w:p>
    <w:p w14:paraId="244B2D94" w14:textId="77777777" w:rsidR="00CB3810" w:rsidRDefault="00CB3810">
      <w:pPr>
        <w:spacing w:line="360" w:lineRule="auto"/>
        <w:ind w:left="720" w:right="1134"/>
        <w:jc w:val="both"/>
        <w:rPr>
          <w:b/>
          <w:bCs/>
          <w:rtl/>
        </w:rPr>
      </w:pPr>
    </w:p>
    <w:p w14:paraId="73205DE8" w14:textId="77777777" w:rsidR="00CB3810" w:rsidRDefault="00F00357">
      <w:pPr>
        <w:spacing w:line="360" w:lineRule="auto"/>
        <w:jc w:val="both"/>
        <w:rPr>
          <w:rtl/>
        </w:rPr>
      </w:pPr>
      <w:r>
        <w:rPr>
          <w:rFonts w:hint="cs"/>
          <w:rtl/>
        </w:rPr>
        <w:t>20</w:t>
      </w:r>
      <w:r>
        <w:rPr>
          <w:rFonts w:hint="cs"/>
          <w:b/>
          <w:bCs/>
          <w:rtl/>
        </w:rPr>
        <w:t>.</w:t>
      </w:r>
      <w:r>
        <w:rPr>
          <w:rFonts w:hint="cs"/>
          <w:b/>
          <w:bCs/>
          <w:rtl/>
        </w:rPr>
        <w:tab/>
      </w:r>
      <w:hyperlink r:id="rId30" w:history="1">
        <w:r w:rsidR="00AF4249" w:rsidRPr="00AF4249">
          <w:rPr>
            <w:rStyle w:val="Hyperlink"/>
            <w:rFonts w:hint="eastAsia"/>
            <w:b/>
            <w:bCs/>
            <w:rtl/>
          </w:rPr>
          <w:t>סעיף</w:t>
        </w:r>
        <w:r w:rsidR="00AF4249" w:rsidRPr="00AF4249">
          <w:rPr>
            <w:rStyle w:val="Hyperlink"/>
            <w:b/>
            <w:bCs/>
            <w:rtl/>
          </w:rPr>
          <w:t xml:space="preserve"> 82</w:t>
        </w:r>
      </w:hyperlink>
      <w:r>
        <w:rPr>
          <w:rFonts w:hint="cs"/>
          <w:b/>
          <w:bCs/>
          <w:rtl/>
        </w:rPr>
        <w:t xml:space="preserve"> ל</w:t>
      </w:r>
      <w:hyperlink r:id="rId31" w:history="1">
        <w:r w:rsidR="00F96C8F" w:rsidRPr="00F96C8F">
          <w:rPr>
            <w:rStyle w:val="Hyperlink"/>
            <w:b/>
            <w:bCs/>
            <w:rtl/>
          </w:rPr>
          <w:t>חוק העונשין</w:t>
        </w:r>
      </w:hyperlink>
      <w:r>
        <w:rPr>
          <w:rFonts w:hint="cs"/>
          <w:b/>
          <w:bCs/>
          <w:rtl/>
        </w:rPr>
        <w:t xml:space="preserve"> </w:t>
      </w:r>
      <w:r>
        <w:rPr>
          <w:rFonts w:hint="cs"/>
          <w:rtl/>
        </w:rPr>
        <w:t>קובע כי:</w:t>
      </w:r>
    </w:p>
    <w:p w14:paraId="3BBF70A3" w14:textId="77777777" w:rsidR="00CB3810" w:rsidRDefault="00F00357">
      <w:pPr>
        <w:spacing w:line="360" w:lineRule="auto"/>
        <w:ind w:left="720"/>
        <w:jc w:val="both"/>
        <w:rPr>
          <w:b/>
          <w:bCs/>
          <w:rtl/>
        </w:rPr>
      </w:pPr>
      <w:r>
        <w:rPr>
          <w:rFonts w:hint="cs"/>
          <w:b/>
          <w:bCs/>
          <w:rtl/>
        </w:rPr>
        <w:t>"הורשע אדם ונוכח בית המשפט כי הוא משתמש בסמים מסוכנים, כמשמעותם ב</w:t>
      </w:r>
      <w:hyperlink r:id="rId32" w:history="1">
        <w:r w:rsidR="00F96C8F" w:rsidRPr="00F96C8F">
          <w:rPr>
            <w:rStyle w:val="Hyperlink"/>
            <w:b/>
            <w:bCs/>
            <w:rtl/>
          </w:rPr>
          <w:t>פקודת הסמים המסוכנים</w:t>
        </w:r>
      </w:hyperlink>
      <w:r>
        <w:rPr>
          <w:rFonts w:hint="cs"/>
          <w:b/>
          <w:bCs/>
          <w:rtl/>
        </w:rPr>
        <w:t xml:space="preserve"> [נוסח חדש], תשל"ג-1973, רשאי בית המשפט להטיל עליו בצו - מבחן שבמסגרתו יעבור הנידון טיפול בקהילה, בתקופה ובהתאם לתכנית שיורה בית המשפט..."</w:t>
      </w:r>
    </w:p>
    <w:p w14:paraId="3A50F1A9" w14:textId="77777777" w:rsidR="00CB3810" w:rsidRDefault="00CB3810">
      <w:pPr>
        <w:spacing w:line="360" w:lineRule="auto"/>
        <w:ind w:left="720"/>
        <w:jc w:val="both"/>
        <w:rPr>
          <w:b/>
          <w:bCs/>
          <w:rtl/>
        </w:rPr>
      </w:pPr>
    </w:p>
    <w:p w14:paraId="4E53AF12" w14:textId="77777777" w:rsidR="00CB3810" w:rsidRDefault="00F00357">
      <w:pPr>
        <w:spacing w:line="360" w:lineRule="auto"/>
        <w:ind w:left="-46"/>
        <w:jc w:val="both"/>
        <w:rPr>
          <w:rtl/>
        </w:rPr>
      </w:pPr>
      <w:r>
        <w:rPr>
          <w:rFonts w:hint="cs"/>
          <w:rtl/>
        </w:rPr>
        <w:t xml:space="preserve">משמע, במקרים בהם סבר בית המשפט כי בפניו נאשם בעל מוטיבציה גבוהה להירתם להליך שיקומי, ואין מדובר במי שמאחרי דבריו אין מאומה -   רשאי הוא להורות על העמדתו במבחן, הגם שמדובר במי שביצע עבירות שבצידן ענישה כבדה. </w:t>
      </w:r>
    </w:p>
    <w:p w14:paraId="7B7014BC" w14:textId="77777777" w:rsidR="00CB3810" w:rsidRDefault="00F00357">
      <w:pPr>
        <w:spacing w:line="360" w:lineRule="auto"/>
        <w:ind w:left="-46"/>
        <w:jc w:val="both"/>
        <w:rPr>
          <w:rtl/>
        </w:rPr>
      </w:pPr>
      <w:r>
        <w:rPr>
          <w:rFonts w:hint="cs"/>
          <w:rtl/>
        </w:rPr>
        <w:t xml:space="preserve">במקרה דנן, התרשמתי כי הנאשם עבר במהלך השנה האחרונה הליך שיקומי משמעותי ואמרותיו בדבר המוטיבציה שלו להשתקם אינן בגדר הצהרות בעלמא. הנאשם נקלט תחילה בקהילה טיפולית, ולאחר שעזב אותה מרצונו המשיך ביוזמתו ובתמיכת קרוביו בהליך השיקום במסגרת היחידה העירונית לנפגעי סמים. כיום, משתתף הנאשם בקבוצה לתמיכה עצמית </w:t>
      </w:r>
      <w:r>
        <w:t>N. A)</w:t>
      </w:r>
      <w:r>
        <w:rPr>
          <w:rFonts w:hint="cs"/>
          <w:rtl/>
        </w:rPr>
        <w:t xml:space="preserve">), ובמקביל החל בטיפול פרטני .  </w:t>
      </w:r>
    </w:p>
    <w:p w14:paraId="15D87047" w14:textId="77777777" w:rsidR="00CB3810" w:rsidRDefault="00CB3810">
      <w:pPr>
        <w:spacing w:line="360" w:lineRule="auto"/>
        <w:ind w:left="-46"/>
        <w:jc w:val="both"/>
        <w:rPr>
          <w:rtl/>
        </w:rPr>
      </w:pPr>
    </w:p>
    <w:p w14:paraId="2B581090" w14:textId="77777777" w:rsidR="00CB3810" w:rsidRDefault="00F00357">
      <w:pPr>
        <w:spacing w:line="360" w:lineRule="auto"/>
        <w:ind w:left="-46"/>
        <w:jc w:val="both"/>
        <w:rPr>
          <w:rtl/>
        </w:rPr>
      </w:pPr>
      <w:r>
        <w:rPr>
          <w:rFonts w:hint="cs"/>
          <w:rtl/>
        </w:rPr>
        <w:t>21.</w:t>
      </w:r>
      <w:r>
        <w:rPr>
          <w:rFonts w:hint="cs"/>
          <w:rtl/>
        </w:rPr>
        <w:tab/>
        <w:t xml:space="preserve">עוד יודגש,  כי מתסקיר שירות המבחן עולה שהנאשם בחר בהליך הגמילה עוד בטרם נתפס כמבצע העבירה. במחוזותינו זהו מצב דברים נדיר, שכן מרבית מבקשי השיקום נאחזים בקהילות הטיפוליות כב"קרנות המזבח" שיחלצו אותם מענישה.  </w:t>
      </w:r>
    </w:p>
    <w:p w14:paraId="6C8023B3" w14:textId="77777777" w:rsidR="00CB3810" w:rsidRDefault="00F00357">
      <w:pPr>
        <w:spacing w:line="360" w:lineRule="auto"/>
        <w:ind w:left="-46"/>
        <w:jc w:val="both"/>
        <w:rPr>
          <w:rtl/>
        </w:rPr>
      </w:pPr>
      <w:r>
        <w:rPr>
          <w:rFonts w:hint="cs"/>
          <w:rtl/>
        </w:rPr>
        <w:t xml:space="preserve">בכך יש כדי להוסיף לתמוך בכנות הצהרותיו וכוונותיו של הנאשם. </w:t>
      </w:r>
    </w:p>
    <w:p w14:paraId="0AE67D7F" w14:textId="77777777" w:rsidR="00CB3810" w:rsidRDefault="00F00357">
      <w:pPr>
        <w:spacing w:line="360" w:lineRule="auto"/>
        <w:ind w:left="-46"/>
        <w:jc w:val="both"/>
        <w:rPr>
          <w:rtl/>
        </w:rPr>
      </w:pPr>
      <w:r>
        <w:rPr>
          <w:rFonts w:hint="cs"/>
          <w:rtl/>
        </w:rPr>
        <w:t xml:space="preserve"> </w:t>
      </w:r>
    </w:p>
    <w:p w14:paraId="4769212A" w14:textId="77777777" w:rsidR="00CB3810" w:rsidRDefault="00F00357">
      <w:pPr>
        <w:spacing w:line="360" w:lineRule="auto"/>
        <w:ind w:left="-46"/>
        <w:jc w:val="both"/>
        <w:rPr>
          <w:rtl/>
        </w:rPr>
      </w:pPr>
      <w:r>
        <w:rPr>
          <w:rFonts w:hint="cs"/>
          <w:rtl/>
        </w:rPr>
        <w:t>22.</w:t>
      </w:r>
      <w:r>
        <w:rPr>
          <w:rFonts w:hint="cs"/>
          <w:rtl/>
        </w:rPr>
        <w:tab/>
        <w:t xml:space="preserve">העבירות המיוחסות לנאשם בוצעו לצורך מימון רכישת סמים. ניכר כי ההליך השיקום הינו משמעותי לגביו, וקיים יסוד סביר לחשוב שאכן יצליח לשנות אורחות חייו. שיקום יחסיו עם בני משפחתו והתמיכה לה הוא זוכה מהם  ומבת זוגו מהווים אף הם רכיבים מייצבים נוספים כבדי משקל , עבור הנאשם. </w:t>
      </w:r>
    </w:p>
    <w:p w14:paraId="272A32A8" w14:textId="77777777" w:rsidR="00CB3810" w:rsidRDefault="00CB3810">
      <w:pPr>
        <w:spacing w:line="360" w:lineRule="auto"/>
        <w:ind w:left="-46"/>
        <w:jc w:val="both"/>
        <w:rPr>
          <w:rtl/>
        </w:rPr>
      </w:pPr>
    </w:p>
    <w:p w14:paraId="18E62E2D" w14:textId="77777777" w:rsidR="00CB3810" w:rsidRDefault="00F00357">
      <w:pPr>
        <w:spacing w:line="360" w:lineRule="auto"/>
        <w:jc w:val="both"/>
      </w:pPr>
      <w:r>
        <w:rPr>
          <w:rFonts w:hint="cs"/>
          <w:rtl/>
        </w:rPr>
        <w:t>23.</w:t>
      </w:r>
      <w:r>
        <w:rPr>
          <w:rFonts w:hint="cs"/>
          <w:rtl/>
        </w:rPr>
        <w:tab/>
      </w:r>
      <w:r>
        <w:rPr>
          <w:rFonts w:hint="cs"/>
          <w:b/>
          <w:bCs/>
          <w:rtl/>
        </w:rPr>
        <w:t>בסימן א1 לתיקון 113 ל</w:t>
      </w:r>
      <w:hyperlink r:id="rId33" w:history="1">
        <w:r w:rsidR="00F96C8F" w:rsidRPr="00F96C8F">
          <w:rPr>
            <w:rStyle w:val="Hyperlink"/>
            <w:b/>
            <w:bCs/>
            <w:rtl/>
          </w:rPr>
          <w:t>חוק העונשין</w:t>
        </w:r>
      </w:hyperlink>
      <w:r>
        <w:rPr>
          <w:rFonts w:hint="cs"/>
          <w:b/>
          <w:bCs/>
          <w:rtl/>
        </w:rPr>
        <w:t>, התשע"ב-2012</w:t>
      </w:r>
      <w:r>
        <w:rPr>
          <w:rFonts w:hint="cs"/>
          <w:rtl/>
        </w:rPr>
        <w:t xml:space="preserve"> (להלן: "</w:t>
      </w:r>
      <w:r>
        <w:rPr>
          <w:rFonts w:hint="cs"/>
          <w:b/>
          <w:bCs/>
          <w:rtl/>
        </w:rPr>
        <w:t>תיקון 113</w:t>
      </w:r>
      <w:r>
        <w:rPr>
          <w:rFonts w:hint="cs"/>
          <w:rtl/>
        </w:rPr>
        <w:t>") שעניינו הבניית שיקול הדעת השיפוטי בענישה, הוצב עיקרון ההלימה כעיקרון מנחה בענישה, ולפיו נקבע כי בבוא בית המשפט לקבוע את העונש הראוי למעשים המיוחסים לנאשם, עליו לקיים יחס הולם בין חומרת מעשה העבירה בנסיבותיו ומידת אשמו של הנאשם ובין סוג ומידת העונש המוטל עליו (</w:t>
      </w:r>
      <w:hyperlink r:id="rId34" w:history="1">
        <w:r w:rsidR="00AF4249" w:rsidRPr="00AF4249">
          <w:rPr>
            <w:rStyle w:val="Hyperlink"/>
            <w:rFonts w:hint="eastAsia"/>
            <w:b/>
            <w:bCs/>
            <w:rtl/>
          </w:rPr>
          <w:t>סעיף</w:t>
        </w:r>
        <w:r w:rsidR="00AF4249" w:rsidRPr="00AF4249">
          <w:rPr>
            <w:rStyle w:val="Hyperlink"/>
            <w:b/>
            <w:bCs/>
            <w:rtl/>
          </w:rPr>
          <w:t xml:space="preserve"> 40ב</w:t>
        </w:r>
      </w:hyperlink>
      <w:r>
        <w:rPr>
          <w:rFonts w:hint="cs"/>
          <w:b/>
          <w:bCs/>
          <w:rtl/>
        </w:rPr>
        <w:t xml:space="preserve"> לתיקון 113</w:t>
      </w:r>
      <w:r>
        <w:rPr>
          <w:rFonts w:hint="cs"/>
          <w:rtl/>
        </w:rPr>
        <w:t>) באופן שעל ביהמ"ש לקבוע מתחם עונש הולם למעשה העבירה בהתאם לעיקרון המנחה, ולשם כך על ביהמ"ש להתחשב בערך החברתי שנפגע מביצוע העבירה, במידת הפגיעה בו, במדיניות הענישה הנהוגה ובנסיבות הקשורות בביצוע העבירה.</w:t>
      </w:r>
    </w:p>
    <w:p w14:paraId="51863157" w14:textId="77777777" w:rsidR="00CB3810" w:rsidRDefault="00F00357">
      <w:pPr>
        <w:spacing w:line="360" w:lineRule="auto"/>
        <w:jc w:val="both"/>
        <w:rPr>
          <w:rtl/>
        </w:rPr>
      </w:pPr>
      <w:r>
        <w:rPr>
          <w:rFonts w:hint="cs"/>
          <w:rtl/>
        </w:rPr>
        <w:t xml:space="preserve">על פי </w:t>
      </w:r>
      <w:hyperlink r:id="rId35" w:history="1">
        <w:r w:rsidR="00AF4249" w:rsidRPr="00AF4249">
          <w:rPr>
            <w:rStyle w:val="Hyperlink"/>
            <w:rFonts w:hint="eastAsia"/>
            <w:b/>
            <w:bCs/>
            <w:rtl/>
          </w:rPr>
          <w:t>סעיף</w:t>
        </w:r>
        <w:r w:rsidR="00AF4249" w:rsidRPr="00AF4249">
          <w:rPr>
            <w:rStyle w:val="Hyperlink"/>
            <w:b/>
            <w:bCs/>
            <w:rtl/>
          </w:rPr>
          <w:t xml:space="preserve"> 40ד</w:t>
        </w:r>
      </w:hyperlink>
      <w:r>
        <w:rPr>
          <w:rFonts w:hint="cs"/>
          <w:b/>
          <w:bCs/>
          <w:rtl/>
        </w:rPr>
        <w:t xml:space="preserve"> לתיקון</w:t>
      </w:r>
      <w:r>
        <w:rPr>
          <w:rFonts w:hint="cs"/>
          <w:rtl/>
        </w:rPr>
        <w:t xml:space="preserve"> </w:t>
      </w:r>
      <w:r>
        <w:rPr>
          <w:rFonts w:hint="cs"/>
          <w:b/>
          <w:bCs/>
          <w:rtl/>
        </w:rPr>
        <w:t>113</w:t>
      </w:r>
      <w:r>
        <w:rPr>
          <w:rFonts w:hint="cs"/>
          <w:rtl/>
        </w:rPr>
        <w:t>, כאשר קובע ביהמ"ש את מתחם העונש ההולם, ומוצא כי הנאשם השתקם או יש סיכוי של ממש שהשתקם, רשאי הוא לחרוג ממתחם העונש ההולם ולקבוע עונש לפי שיקולי השיקום.</w:t>
      </w:r>
    </w:p>
    <w:p w14:paraId="241FAAE7" w14:textId="77777777" w:rsidR="00CB3810" w:rsidRDefault="00CB3810">
      <w:pPr>
        <w:spacing w:line="360" w:lineRule="auto"/>
        <w:jc w:val="both"/>
      </w:pPr>
    </w:p>
    <w:p w14:paraId="6DEC20A7" w14:textId="77777777" w:rsidR="00CB3810" w:rsidRDefault="00F00357">
      <w:pPr>
        <w:spacing w:line="360" w:lineRule="auto"/>
        <w:jc w:val="both"/>
        <w:rPr>
          <w:rtl/>
        </w:rPr>
      </w:pPr>
      <w:r>
        <w:rPr>
          <w:rFonts w:hint="cs"/>
          <w:rtl/>
        </w:rPr>
        <w:t>24.</w:t>
      </w:r>
      <w:r>
        <w:rPr>
          <w:rFonts w:hint="cs"/>
          <w:rtl/>
        </w:rPr>
        <w:tab/>
        <w:t>לא אחת ציינתי, כי</w:t>
      </w:r>
      <w:r>
        <w:rPr>
          <w:rFonts w:hint="cs"/>
        </w:rPr>
        <w:t xml:space="preserve"> </w:t>
      </w:r>
      <w:r>
        <w:rPr>
          <w:rFonts w:hint="cs"/>
          <w:b/>
          <w:bCs/>
          <w:rtl/>
        </w:rPr>
        <w:t>תיקון 113</w:t>
      </w:r>
      <w:r>
        <w:rPr>
          <w:rFonts w:hint="cs"/>
          <w:rtl/>
        </w:rPr>
        <w:t xml:space="preserve"> אינו</w:t>
      </w:r>
      <w:r>
        <w:rPr>
          <w:rFonts w:hint="cs"/>
        </w:rPr>
        <w:t xml:space="preserve"> </w:t>
      </w:r>
      <w:r>
        <w:rPr>
          <w:rFonts w:hint="cs"/>
          <w:rtl/>
        </w:rPr>
        <w:t>מתייחס</w:t>
      </w:r>
      <w:r>
        <w:rPr>
          <w:rFonts w:hint="cs"/>
        </w:rPr>
        <w:t xml:space="preserve"> </w:t>
      </w:r>
      <w:r>
        <w:rPr>
          <w:rFonts w:hint="cs"/>
          <w:rtl/>
        </w:rPr>
        <w:t>מפורשות</w:t>
      </w:r>
      <w:r>
        <w:rPr>
          <w:rFonts w:hint="cs"/>
        </w:rPr>
        <w:t xml:space="preserve"> </w:t>
      </w:r>
      <w:r>
        <w:rPr>
          <w:rFonts w:hint="cs"/>
          <w:rtl/>
        </w:rPr>
        <w:t>לענישה כאשר</w:t>
      </w:r>
      <w:r>
        <w:rPr>
          <w:rFonts w:hint="cs"/>
        </w:rPr>
        <w:t xml:space="preserve"> </w:t>
      </w:r>
      <w:r>
        <w:rPr>
          <w:rFonts w:hint="cs"/>
          <w:rtl/>
        </w:rPr>
        <w:t>מגיעים</w:t>
      </w:r>
      <w:r>
        <w:rPr>
          <w:rFonts w:hint="cs"/>
        </w:rPr>
        <w:t xml:space="preserve"> </w:t>
      </w:r>
      <w:r>
        <w:rPr>
          <w:rFonts w:hint="cs"/>
          <w:rtl/>
        </w:rPr>
        <w:t>ב</w:t>
      </w:r>
      <w:r>
        <w:t>"</w:t>
      </w:r>
      <w:r>
        <w:rPr>
          <w:rFonts w:hint="cs"/>
          <w:rtl/>
        </w:rPr>
        <w:t>כ</w:t>
      </w:r>
      <w:r>
        <w:rPr>
          <w:rFonts w:hint="cs"/>
        </w:rPr>
        <w:t xml:space="preserve"> </w:t>
      </w:r>
      <w:r>
        <w:rPr>
          <w:rFonts w:hint="cs"/>
          <w:rtl/>
        </w:rPr>
        <w:t>הצדדים להסדר</w:t>
      </w:r>
      <w:r>
        <w:rPr>
          <w:rFonts w:hint="cs"/>
        </w:rPr>
        <w:t xml:space="preserve"> </w:t>
      </w:r>
      <w:r>
        <w:rPr>
          <w:rFonts w:hint="cs"/>
          <w:rtl/>
        </w:rPr>
        <w:t>טיעון. משכך, משהוצג</w:t>
      </w:r>
      <w:r>
        <w:rPr>
          <w:rFonts w:hint="cs"/>
        </w:rPr>
        <w:t xml:space="preserve"> </w:t>
      </w:r>
      <w:r>
        <w:rPr>
          <w:rFonts w:hint="cs"/>
          <w:rtl/>
        </w:rPr>
        <w:t>הסדר</w:t>
      </w:r>
      <w:r>
        <w:rPr>
          <w:rFonts w:hint="cs"/>
        </w:rPr>
        <w:t xml:space="preserve"> </w:t>
      </w:r>
      <w:r>
        <w:rPr>
          <w:rFonts w:hint="cs"/>
          <w:rtl/>
        </w:rPr>
        <w:t>לעניין</w:t>
      </w:r>
      <w:r>
        <w:rPr>
          <w:rFonts w:hint="cs"/>
        </w:rPr>
        <w:t xml:space="preserve"> </w:t>
      </w:r>
      <w:r>
        <w:rPr>
          <w:rFonts w:hint="cs"/>
          <w:rtl/>
        </w:rPr>
        <w:t>העונש, יחול</w:t>
      </w:r>
      <w:r>
        <w:rPr>
          <w:rFonts w:hint="cs"/>
        </w:rPr>
        <w:t xml:space="preserve"> </w:t>
      </w:r>
      <w:r>
        <w:rPr>
          <w:rFonts w:hint="cs"/>
          <w:rtl/>
        </w:rPr>
        <w:t>הכלל</w:t>
      </w:r>
      <w:r>
        <w:rPr>
          <w:rFonts w:hint="cs"/>
        </w:rPr>
        <w:t xml:space="preserve"> </w:t>
      </w:r>
      <w:r>
        <w:rPr>
          <w:rFonts w:hint="cs"/>
          <w:rtl/>
        </w:rPr>
        <w:t>לפיו</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לא</w:t>
      </w:r>
      <w:r>
        <w:rPr>
          <w:rFonts w:hint="cs"/>
        </w:rPr>
        <w:t xml:space="preserve"> </w:t>
      </w:r>
      <w:r>
        <w:rPr>
          <w:rFonts w:hint="cs"/>
          <w:rtl/>
        </w:rPr>
        <w:t>יכבד הסדר הטיעון</w:t>
      </w:r>
      <w:r>
        <w:rPr>
          <w:rFonts w:hint="cs"/>
        </w:rPr>
        <w:t xml:space="preserve"> </w:t>
      </w:r>
      <w:r>
        <w:rPr>
          <w:rFonts w:hint="cs"/>
          <w:rtl/>
        </w:rPr>
        <w:t>רק</w:t>
      </w:r>
      <w:r>
        <w:rPr>
          <w:rFonts w:hint="cs"/>
        </w:rPr>
        <w:t xml:space="preserve"> </w:t>
      </w:r>
      <w:r>
        <w:rPr>
          <w:rFonts w:hint="cs"/>
          <w:rtl/>
        </w:rPr>
        <w:t>אם</w:t>
      </w:r>
      <w:r>
        <w:rPr>
          <w:rFonts w:hint="cs"/>
        </w:rPr>
        <w:t xml:space="preserve"> </w:t>
      </w:r>
      <w:r>
        <w:rPr>
          <w:rFonts w:hint="cs"/>
          <w:rtl/>
        </w:rPr>
        <w:t>יימצא</w:t>
      </w:r>
      <w:r>
        <w:rPr>
          <w:rFonts w:hint="cs"/>
        </w:rPr>
        <w:t xml:space="preserve"> </w:t>
      </w:r>
      <w:r>
        <w:rPr>
          <w:rFonts w:hint="cs"/>
          <w:rtl/>
        </w:rPr>
        <w:t>לנכון</w:t>
      </w:r>
      <w:r>
        <w:rPr>
          <w:rFonts w:hint="cs"/>
        </w:rPr>
        <w:t xml:space="preserve"> </w:t>
      </w:r>
      <w:r>
        <w:rPr>
          <w:rFonts w:hint="cs"/>
          <w:rtl/>
        </w:rPr>
        <w:t>שהוא</w:t>
      </w:r>
      <w:r>
        <w:rPr>
          <w:rFonts w:hint="cs"/>
        </w:rPr>
        <w:t xml:space="preserve"> </w:t>
      </w:r>
      <w:r>
        <w:rPr>
          <w:rFonts w:hint="cs"/>
          <w:rtl/>
        </w:rPr>
        <w:t>פוגע</w:t>
      </w:r>
      <w:r>
        <w:rPr>
          <w:rFonts w:hint="cs"/>
        </w:rPr>
        <w:t xml:space="preserve"> </w:t>
      </w:r>
      <w:r>
        <w:rPr>
          <w:rFonts w:hint="cs"/>
          <w:rtl/>
        </w:rPr>
        <w:t>באינטרס</w:t>
      </w:r>
      <w:r>
        <w:rPr>
          <w:rFonts w:hint="cs"/>
        </w:rPr>
        <w:t xml:space="preserve"> </w:t>
      </w:r>
      <w:r>
        <w:rPr>
          <w:rFonts w:hint="cs"/>
          <w:rtl/>
        </w:rPr>
        <w:t xml:space="preserve">הציבורי. קרי: על בית המשפט לוודא, כי אין בהסדר הטיעון שהובא לפתחו, כדי לפגוע פגיעה מהותית בטובת הציבור, ולבחון כי אין סטייה מהותית המצדיקה סטייה מההסדר המוצע.   </w:t>
      </w:r>
    </w:p>
    <w:p w14:paraId="16ADA47A" w14:textId="77777777" w:rsidR="00CB3810" w:rsidRDefault="00F00357">
      <w:pPr>
        <w:spacing w:line="360" w:lineRule="auto"/>
        <w:jc w:val="both"/>
        <w:rPr>
          <w:rtl/>
        </w:rPr>
      </w:pPr>
      <w:r>
        <w:rPr>
          <w:rFonts w:hint="cs"/>
          <w:rtl/>
        </w:rPr>
        <w:t xml:space="preserve">בענייננו, קיים חשש כי שליחת הנאשם עתה מאחורי סורג ובריח עתה, לאחר שהחל לעבור הליך ארוך ומפרך של שיקום, תחזירו למעגל הפשע, ובכך יהפוך נטל על החברה והאינטרס הציבורי ייפגע.  </w:t>
      </w:r>
    </w:p>
    <w:p w14:paraId="1E8B8EE6" w14:textId="77777777" w:rsidR="00CB3810" w:rsidRDefault="00CB3810">
      <w:pPr>
        <w:spacing w:line="360" w:lineRule="auto"/>
        <w:jc w:val="both"/>
        <w:rPr>
          <w:rtl/>
        </w:rPr>
      </w:pPr>
    </w:p>
    <w:p w14:paraId="6AF5D855" w14:textId="77777777" w:rsidR="00CB3810" w:rsidRDefault="00F00357">
      <w:pPr>
        <w:spacing w:line="360" w:lineRule="auto"/>
        <w:jc w:val="both"/>
        <w:rPr>
          <w:rtl/>
        </w:rPr>
      </w:pPr>
      <w:r>
        <w:rPr>
          <w:rFonts w:hint="cs"/>
          <w:rtl/>
        </w:rPr>
        <w:t>25.</w:t>
      </w:r>
      <w:r>
        <w:rPr>
          <w:rFonts w:hint="cs"/>
          <w:rtl/>
        </w:rPr>
        <w:tab/>
        <w:t xml:space="preserve">תסקיר שירות המבחן פירט בהרחבה את נסיבות חייו של הנאשם, נתיב התדרדרותו והליך השיקום בו החל לצד סיכוייו להשלמתו. בסופו של דבר, המליץ שירות המבחן על העמדתו של הנאשם במבחן למשך שנה. </w:t>
      </w:r>
    </w:p>
    <w:p w14:paraId="7479195B" w14:textId="77777777" w:rsidR="00CB3810" w:rsidRDefault="00F00357">
      <w:pPr>
        <w:spacing w:line="360" w:lineRule="auto"/>
        <w:jc w:val="both"/>
        <w:rPr>
          <w:rtl/>
        </w:rPr>
      </w:pPr>
      <w:r>
        <w:rPr>
          <w:rFonts w:hint="cs"/>
          <w:rtl/>
        </w:rPr>
        <w:t xml:space="preserve">במסגרת הסדר הטיעון עליו חתמו הצדדים הוסכם, כי תקופת המבחן תעמוד על שנתיים. משמעותה של הסכמה זו דה פקטו היא כי גזירת דינו של הנאשם יכול ותשתנה.  שכן אם לא יעמוד בתנאים ויפר את הצו, או-אז יחזור לביהמ"ש וימצה עמו את הדין.  </w:t>
      </w:r>
    </w:p>
    <w:p w14:paraId="64CEA839" w14:textId="77777777" w:rsidR="00CB3810" w:rsidRDefault="00CB3810">
      <w:pPr>
        <w:spacing w:after="120" w:line="360" w:lineRule="auto"/>
        <w:jc w:val="both"/>
        <w:rPr>
          <w:rtl/>
        </w:rPr>
      </w:pPr>
    </w:p>
    <w:p w14:paraId="67188FC3" w14:textId="77777777" w:rsidR="00CB3810" w:rsidRDefault="00F00357">
      <w:pPr>
        <w:spacing w:after="120" w:line="360" w:lineRule="auto"/>
        <w:jc w:val="both"/>
        <w:rPr>
          <w:rtl/>
        </w:rPr>
      </w:pPr>
      <w:r>
        <w:rPr>
          <w:rFonts w:hint="cs"/>
          <w:rtl/>
        </w:rPr>
        <w:t xml:space="preserve">26. </w:t>
      </w:r>
      <w:r>
        <w:rPr>
          <w:rFonts w:hint="cs"/>
          <w:rtl/>
        </w:rPr>
        <w:tab/>
        <w:t>לאחר ששקלתי טיעוני ב"כ הצדדים ולאחר לבטים רבים החלטתי לכבד את הסדר הטיעון ולהטיל על הנאשם כדלקמן:</w:t>
      </w:r>
    </w:p>
    <w:p w14:paraId="34500BC0" w14:textId="77777777" w:rsidR="00CB3810" w:rsidRDefault="00F00357">
      <w:pPr>
        <w:pStyle w:val="ListParagraph"/>
        <w:numPr>
          <w:ilvl w:val="0"/>
          <w:numId w:val="2"/>
        </w:numPr>
        <w:spacing w:after="120" w:line="360" w:lineRule="auto"/>
        <w:jc w:val="both"/>
        <w:rPr>
          <w:rFonts w:cs="David"/>
          <w:sz w:val="24"/>
          <w:szCs w:val="24"/>
        </w:rPr>
      </w:pPr>
      <w:r>
        <w:rPr>
          <w:rFonts w:cs="David" w:hint="cs"/>
          <w:sz w:val="24"/>
          <w:szCs w:val="24"/>
          <w:rtl/>
        </w:rPr>
        <w:t>אני מעמידה את הנאשם בפיקוח שירות המבחן למשך שנתיים ימים החל מהיום.</w:t>
      </w:r>
    </w:p>
    <w:p w14:paraId="7DDF8B67" w14:textId="77777777" w:rsidR="00CB3810" w:rsidRDefault="00F00357">
      <w:pPr>
        <w:pStyle w:val="ListParagraph"/>
        <w:spacing w:after="120" w:line="360" w:lineRule="auto"/>
        <w:ind w:left="1080"/>
        <w:jc w:val="both"/>
        <w:rPr>
          <w:rFonts w:cs="David"/>
          <w:sz w:val="24"/>
          <w:szCs w:val="24"/>
          <w:rtl/>
        </w:rPr>
      </w:pPr>
      <w:r>
        <w:rPr>
          <w:rFonts w:cs="David" w:hint="cs"/>
          <w:sz w:val="24"/>
          <w:szCs w:val="24"/>
          <w:rtl/>
        </w:rPr>
        <w:t xml:space="preserve">הובהר לנאשם, כי אם יפר את תנאי הפיקוח </w:t>
      </w:r>
      <w:r>
        <w:rPr>
          <w:rFonts w:cs="David"/>
          <w:sz w:val="24"/>
          <w:szCs w:val="24"/>
          <w:rtl/>
        </w:rPr>
        <w:t>–</w:t>
      </w:r>
      <w:r>
        <w:rPr>
          <w:rFonts w:cs="David" w:hint="cs"/>
          <w:sz w:val="24"/>
          <w:szCs w:val="24"/>
          <w:rtl/>
        </w:rPr>
        <w:t xml:space="preserve"> יהא רשאי בית המשפט להטיל עליו עונש נוסף על העבירה המקורית במקום צו המבחן כמפורט </w:t>
      </w:r>
      <w:hyperlink r:id="rId36" w:history="1">
        <w:r w:rsidR="001C574B" w:rsidRPr="001C574B">
          <w:rPr>
            <w:rStyle w:val="Hyperlink"/>
            <w:rFonts w:cs="David" w:hint="cs"/>
            <w:sz w:val="24"/>
            <w:szCs w:val="24"/>
            <w:rtl/>
          </w:rPr>
          <w:t>בסעיף</w:t>
        </w:r>
        <w:r w:rsidR="001C574B" w:rsidRPr="001C574B">
          <w:rPr>
            <w:rStyle w:val="Hyperlink"/>
            <w:rFonts w:cs="David"/>
            <w:sz w:val="24"/>
            <w:szCs w:val="24"/>
            <w:rtl/>
          </w:rPr>
          <w:t xml:space="preserve"> 20</w:t>
        </w:r>
      </w:hyperlink>
      <w:r>
        <w:rPr>
          <w:rFonts w:cs="David" w:hint="cs"/>
          <w:sz w:val="24"/>
          <w:szCs w:val="24"/>
          <w:rtl/>
        </w:rPr>
        <w:t xml:space="preserve"> ל</w:t>
      </w:r>
      <w:hyperlink r:id="rId37" w:history="1">
        <w:r w:rsidR="00F96C8F" w:rsidRPr="00F96C8F">
          <w:rPr>
            <w:rStyle w:val="Hyperlink"/>
            <w:rFonts w:cs="David" w:hint="cs"/>
            <w:sz w:val="24"/>
            <w:szCs w:val="24"/>
            <w:rtl/>
          </w:rPr>
          <w:t>פקודת</w:t>
        </w:r>
        <w:r w:rsidR="00F96C8F" w:rsidRPr="00F96C8F">
          <w:rPr>
            <w:rStyle w:val="Hyperlink"/>
            <w:rFonts w:cs="David"/>
            <w:sz w:val="24"/>
            <w:szCs w:val="24"/>
            <w:rtl/>
          </w:rPr>
          <w:t xml:space="preserve"> </w:t>
        </w:r>
        <w:r w:rsidR="00F96C8F" w:rsidRPr="00F96C8F">
          <w:rPr>
            <w:rStyle w:val="Hyperlink"/>
            <w:rFonts w:cs="David" w:hint="cs"/>
            <w:sz w:val="24"/>
            <w:szCs w:val="24"/>
            <w:rtl/>
          </w:rPr>
          <w:t>המבחן</w:t>
        </w:r>
      </w:hyperlink>
      <w:r>
        <w:rPr>
          <w:rFonts w:cs="David" w:hint="cs"/>
          <w:sz w:val="24"/>
          <w:szCs w:val="24"/>
          <w:rtl/>
        </w:rPr>
        <w:t xml:space="preserve"> [נוסח חדש], התשכ"ט-1965.</w:t>
      </w:r>
    </w:p>
    <w:p w14:paraId="03F3F9A4" w14:textId="77777777" w:rsidR="00CB3810" w:rsidRDefault="00CB3810">
      <w:pPr>
        <w:pStyle w:val="ListParagraph"/>
        <w:spacing w:after="120" w:line="360" w:lineRule="auto"/>
        <w:jc w:val="both"/>
        <w:rPr>
          <w:rFonts w:cs="David"/>
          <w:sz w:val="24"/>
          <w:szCs w:val="24"/>
        </w:rPr>
      </w:pPr>
    </w:p>
    <w:p w14:paraId="41BCA893" w14:textId="77777777" w:rsidR="00CB3810" w:rsidRDefault="00F00357">
      <w:pPr>
        <w:pStyle w:val="ListParagraph"/>
        <w:numPr>
          <w:ilvl w:val="0"/>
          <w:numId w:val="2"/>
        </w:numPr>
        <w:spacing w:after="120" w:line="360" w:lineRule="auto"/>
        <w:jc w:val="both"/>
        <w:rPr>
          <w:rFonts w:cs="David"/>
          <w:sz w:val="24"/>
          <w:szCs w:val="24"/>
        </w:rPr>
      </w:pPr>
      <w:r>
        <w:rPr>
          <w:rFonts w:cs="David" w:hint="cs"/>
          <w:sz w:val="24"/>
          <w:szCs w:val="24"/>
          <w:rtl/>
        </w:rPr>
        <w:t>24 חודשי מאסר על תנאי, והתנאי הוא שלא יעבור עבירה מהעבירות בהן הורשע תוך 3 שנים מהיום.</w:t>
      </w:r>
    </w:p>
    <w:p w14:paraId="7D9BD861" w14:textId="77777777" w:rsidR="00CB3810" w:rsidRDefault="00CB3810">
      <w:pPr>
        <w:pStyle w:val="ListParagraph"/>
        <w:spacing w:after="120" w:line="360" w:lineRule="auto"/>
        <w:jc w:val="both"/>
        <w:rPr>
          <w:rFonts w:cs="David"/>
          <w:sz w:val="24"/>
          <w:szCs w:val="24"/>
        </w:rPr>
      </w:pPr>
    </w:p>
    <w:p w14:paraId="5EC8FE4B" w14:textId="77777777" w:rsidR="00CB3810" w:rsidRDefault="00F00357">
      <w:pPr>
        <w:pStyle w:val="ListParagraph"/>
        <w:numPr>
          <w:ilvl w:val="0"/>
          <w:numId w:val="2"/>
        </w:numPr>
        <w:spacing w:after="120" w:line="360" w:lineRule="auto"/>
        <w:jc w:val="both"/>
        <w:rPr>
          <w:rFonts w:cs="David"/>
          <w:sz w:val="24"/>
          <w:szCs w:val="24"/>
        </w:rPr>
      </w:pPr>
      <w:r>
        <w:rPr>
          <w:rFonts w:cs="David" w:hint="cs"/>
          <w:sz w:val="24"/>
          <w:szCs w:val="24"/>
          <w:rtl/>
        </w:rPr>
        <w:t>פיצוי בסך 930 ₪ לזכות חנות "על הדרך" בתחנת סונול בית עובד.</w:t>
      </w:r>
    </w:p>
    <w:p w14:paraId="5FD0633A" w14:textId="77777777" w:rsidR="00CB3810" w:rsidRDefault="00F00357">
      <w:pPr>
        <w:pStyle w:val="ListParagraph"/>
        <w:spacing w:after="120" w:line="360" w:lineRule="auto"/>
        <w:ind w:left="1440"/>
        <w:jc w:val="both"/>
        <w:rPr>
          <w:rFonts w:cs="David"/>
          <w:sz w:val="24"/>
          <w:szCs w:val="24"/>
        </w:rPr>
      </w:pPr>
      <w:r>
        <w:rPr>
          <w:rFonts w:cs="David" w:hint="cs"/>
          <w:sz w:val="24"/>
          <w:szCs w:val="24"/>
          <w:rtl/>
        </w:rPr>
        <w:t>הפיצוי יופקד תוך 10 ימים מהיום.</w:t>
      </w:r>
    </w:p>
    <w:p w14:paraId="587B9C0F" w14:textId="77777777" w:rsidR="00CB3810" w:rsidRDefault="00CB3810">
      <w:pPr>
        <w:pStyle w:val="ListParagraph"/>
        <w:spacing w:after="120" w:line="360" w:lineRule="auto"/>
        <w:ind w:left="1080"/>
        <w:jc w:val="both"/>
        <w:rPr>
          <w:rFonts w:cs="David"/>
          <w:sz w:val="24"/>
          <w:szCs w:val="24"/>
          <w:rtl/>
        </w:rPr>
      </w:pPr>
    </w:p>
    <w:p w14:paraId="191ECC2F" w14:textId="77777777" w:rsidR="00CB3810" w:rsidRDefault="00F00357">
      <w:pPr>
        <w:pStyle w:val="ListParagraph"/>
        <w:numPr>
          <w:ilvl w:val="0"/>
          <w:numId w:val="2"/>
        </w:numPr>
        <w:spacing w:after="120" w:line="360" w:lineRule="auto"/>
        <w:jc w:val="both"/>
        <w:rPr>
          <w:rFonts w:cs="David"/>
          <w:sz w:val="24"/>
          <w:szCs w:val="24"/>
        </w:rPr>
      </w:pPr>
      <w:r>
        <w:rPr>
          <w:rFonts w:cs="David" w:hint="cs"/>
          <w:sz w:val="24"/>
          <w:szCs w:val="24"/>
          <w:rtl/>
        </w:rPr>
        <w:t>פיצוי בסך 1160 ₪ לזכות חנות הנוחות בתחנת הדלק "</w:t>
      </w:r>
      <w:r>
        <w:rPr>
          <w:rFonts w:cs="David"/>
          <w:sz w:val="24"/>
          <w:szCs w:val="24"/>
        </w:rPr>
        <w:t>TEN</w:t>
      </w:r>
      <w:r>
        <w:rPr>
          <w:rFonts w:cs="David" w:hint="cs"/>
          <w:sz w:val="24"/>
          <w:szCs w:val="24"/>
          <w:rtl/>
        </w:rPr>
        <w:t>" ברחוב הפלד 9 בחולון.</w:t>
      </w:r>
    </w:p>
    <w:p w14:paraId="4D8BEDA8" w14:textId="77777777" w:rsidR="00CB3810" w:rsidRDefault="00F00357">
      <w:pPr>
        <w:pStyle w:val="ListParagraph"/>
        <w:spacing w:after="120" w:line="360" w:lineRule="auto"/>
        <w:ind w:left="1080"/>
        <w:jc w:val="both"/>
        <w:rPr>
          <w:rFonts w:cs="David"/>
          <w:sz w:val="24"/>
          <w:szCs w:val="24"/>
        </w:rPr>
      </w:pPr>
      <w:r>
        <w:rPr>
          <w:rFonts w:cs="David" w:hint="cs"/>
          <w:sz w:val="24"/>
          <w:szCs w:val="24"/>
          <w:rtl/>
        </w:rPr>
        <w:t>הפיצוי יופקד תוך 10 ימים מהיום.</w:t>
      </w:r>
    </w:p>
    <w:p w14:paraId="0C2923EB" w14:textId="77777777" w:rsidR="00CB3810" w:rsidRDefault="00CB3810">
      <w:pPr>
        <w:pStyle w:val="ListParagraph"/>
        <w:spacing w:after="120" w:line="360" w:lineRule="auto"/>
        <w:jc w:val="both"/>
        <w:rPr>
          <w:rFonts w:cs="David"/>
          <w:sz w:val="24"/>
          <w:szCs w:val="24"/>
        </w:rPr>
      </w:pPr>
    </w:p>
    <w:p w14:paraId="2153B8B4" w14:textId="77777777" w:rsidR="00CB3810" w:rsidRDefault="00F00357">
      <w:pPr>
        <w:pStyle w:val="ListParagraph"/>
        <w:numPr>
          <w:ilvl w:val="0"/>
          <w:numId w:val="2"/>
        </w:numPr>
        <w:spacing w:after="120" w:line="360" w:lineRule="auto"/>
        <w:jc w:val="both"/>
        <w:rPr>
          <w:rFonts w:cs="David"/>
          <w:sz w:val="24"/>
          <w:szCs w:val="24"/>
        </w:rPr>
      </w:pPr>
      <w:r>
        <w:rPr>
          <w:rFonts w:cs="David" w:hint="cs"/>
          <w:sz w:val="24"/>
          <w:szCs w:val="24"/>
          <w:rtl/>
        </w:rPr>
        <w:t xml:space="preserve">פיצוי בסך 3,000 ₪ שיחולק באופן שווה בין שלושת המתלוננים על פי פרטים שימסרו למזכירות בית המשפט ע"י המאשימה. </w:t>
      </w:r>
    </w:p>
    <w:p w14:paraId="23E18C10" w14:textId="77777777" w:rsidR="00CB3810" w:rsidRDefault="00F00357">
      <w:pPr>
        <w:pStyle w:val="ListParagraph"/>
        <w:spacing w:after="120" w:line="360" w:lineRule="auto"/>
        <w:ind w:left="1080"/>
        <w:jc w:val="both"/>
        <w:rPr>
          <w:rFonts w:cs="David"/>
          <w:sz w:val="24"/>
          <w:szCs w:val="24"/>
          <w:rtl/>
        </w:rPr>
      </w:pPr>
      <w:r>
        <w:rPr>
          <w:rFonts w:cs="David" w:hint="cs"/>
          <w:sz w:val="24"/>
          <w:szCs w:val="24"/>
          <w:rtl/>
        </w:rPr>
        <w:t xml:space="preserve">פיצוי זה יקוזז מסכום הפיקדון בסך 3,000 ₪ שהופקד במסגרת הליך המעצר </w:t>
      </w:r>
    </w:p>
    <w:p w14:paraId="1EC6FDE8" w14:textId="77777777" w:rsidR="00CB3810" w:rsidRDefault="00F00357">
      <w:pPr>
        <w:pStyle w:val="ListParagraph"/>
        <w:spacing w:after="120" w:line="360" w:lineRule="auto"/>
        <w:ind w:left="1080"/>
        <w:jc w:val="both"/>
        <w:rPr>
          <w:rFonts w:cs="David"/>
          <w:sz w:val="24"/>
          <w:szCs w:val="24"/>
          <w:rtl/>
        </w:rPr>
      </w:pPr>
      <w:r>
        <w:rPr>
          <w:rFonts w:cs="David"/>
          <w:sz w:val="24"/>
          <w:szCs w:val="24"/>
          <w:rtl/>
        </w:rPr>
        <w:t>–</w:t>
      </w:r>
      <w:r>
        <w:rPr>
          <w:rFonts w:cs="David" w:hint="cs"/>
          <w:sz w:val="24"/>
          <w:szCs w:val="24"/>
          <w:rtl/>
        </w:rPr>
        <w:t xml:space="preserve"> </w:t>
      </w:r>
      <w:hyperlink r:id="rId38" w:history="1">
        <w:r w:rsidR="00F96C8F" w:rsidRPr="00F96C8F">
          <w:rPr>
            <w:rStyle w:val="Hyperlink"/>
            <w:rFonts w:cs="David" w:hint="cs"/>
            <w:sz w:val="24"/>
            <w:szCs w:val="24"/>
            <w:rtl/>
          </w:rPr>
          <w:t>מ</w:t>
        </w:r>
        <w:r w:rsidR="00F96C8F" w:rsidRPr="00F96C8F">
          <w:rPr>
            <w:rStyle w:val="Hyperlink"/>
            <w:rFonts w:cs="David"/>
            <w:sz w:val="24"/>
            <w:szCs w:val="24"/>
            <w:rtl/>
          </w:rPr>
          <w:t>.</w:t>
        </w:r>
        <w:r w:rsidR="00F96C8F" w:rsidRPr="00F96C8F">
          <w:rPr>
            <w:rStyle w:val="Hyperlink"/>
            <w:rFonts w:cs="David" w:hint="cs"/>
            <w:sz w:val="24"/>
            <w:szCs w:val="24"/>
            <w:rtl/>
          </w:rPr>
          <w:t>ת</w:t>
        </w:r>
        <w:r w:rsidR="00F96C8F" w:rsidRPr="00F96C8F">
          <w:rPr>
            <w:rStyle w:val="Hyperlink"/>
            <w:rFonts w:cs="David"/>
            <w:sz w:val="24"/>
            <w:szCs w:val="24"/>
            <w:rtl/>
          </w:rPr>
          <w:t>. 11569-06-12</w:t>
        </w:r>
      </w:hyperlink>
      <w:r>
        <w:rPr>
          <w:rFonts w:cs="David" w:hint="cs"/>
          <w:sz w:val="24"/>
          <w:szCs w:val="24"/>
          <w:rtl/>
        </w:rPr>
        <w:t>.</w:t>
      </w:r>
    </w:p>
    <w:p w14:paraId="53077AAE" w14:textId="77777777" w:rsidR="00CB3810" w:rsidRDefault="00CB3810">
      <w:pPr>
        <w:rPr>
          <w:rtl/>
        </w:rPr>
      </w:pPr>
    </w:p>
    <w:p w14:paraId="60FA5766" w14:textId="77777777" w:rsidR="00CB3810" w:rsidRDefault="00F00357">
      <w:pPr>
        <w:rPr>
          <w:b/>
          <w:bCs/>
          <w:rtl/>
        </w:rPr>
      </w:pPr>
      <w:r>
        <w:rPr>
          <w:rFonts w:hint="cs"/>
          <w:b/>
          <w:bCs/>
          <w:rtl/>
        </w:rPr>
        <w:t>הודע לנאשם על  זכותו לערער לבית המשפט העליון תוך 45 יום.</w:t>
      </w:r>
    </w:p>
    <w:p w14:paraId="7EF7DD5C" w14:textId="77777777" w:rsidR="00CB3810" w:rsidRDefault="00CB3810">
      <w:pPr>
        <w:rPr>
          <w:b/>
          <w:bCs/>
          <w:rtl/>
        </w:rPr>
      </w:pPr>
    </w:p>
    <w:p w14:paraId="05F4158D" w14:textId="77777777" w:rsidR="00CB3810" w:rsidRDefault="00CB3810">
      <w:pPr>
        <w:rPr>
          <w:b/>
          <w:bCs/>
          <w:rtl/>
        </w:rPr>
      </w:pPr>
    </w:p>
    <w:p w14:paraId="7FEB70E6" w14:textId="77777777" w:rsidR="00CB3810" w:rsidRDefault="00F00357">
      <w:pPr>
        <w:rPr>
          <w:sz w:val="28"/>
          <w:szCs w:val="28"/>
          <w:rtl/>
        </w:rPr>
      </w:pPr>
      <w:r>
        <w:rPr>
          <w:rFonts w:ascii="Arial" w:hAnsi="Arial"/>
          <w:b/>
          <w:bCs/>
          <w:rtl/>
        </w:rPr>
        <w:t xml:space="preserve">ניתן היום,  ז' אב תשע"ג 14 יולי 2013, בנוכחות הצדדים. </w:t>
      </w:r>
    </w:p>
    <w:p w14:paraId="06572DFB" w14:textId="77777777" w:rsidR="00CB3810" w:rsidRPr="00F00357" w:rsidRDefault="00F00357">
      <w:pPr>
        <w:ind w:firstLine="720"/>
        <w:jc w:val="center"/>
        <w:rPr>
          <w:color w:val="FFFFFF"/>
          <w:sz w:val="2"/>
          <w:szCs w:val="2"/>
          <w:rtl/>
        </w:rPr>
      </w:pPr>
      <w:r w:rsidRPr="00F00357">
        <w:rPr>
          <w:color w:val="FFFFFF"/>
          <w:sz w:val="2"/>
          <w:szCs w:val="2"/>
          <w:rtl/>
        </w:rPr>
        <w:t>5129371</w:t>
      </w:r>
      <w:r w:rsidRPr="00F00357">
        <w:rPr>
          <w:rFonts w:hint="cs"/>
          <w:color w:val="FFFFFF"/>
          <w:sz w:val="2"/>
          <w:szCs w:val="2"/>
          <w:rtl/>
        </w:rPr>
        <w:t xml:space="preserve"> </w:t>
      </w:r>
      <w:r w:rsidRPr="00F00357">
        <w:rPr>
          <w:rFonts w:hint="cs"/>
          <w:color w:val="FFFFFF"/>
          <w:sz w:val="2"/>
          <w:szCs w:val="2"/>
          <w:rtl/>
        </w:rPr>
        <w:tab/>
      </w:r>
      <w:r w:rsidRPr="00F00357">
        <w:rPr>
          <w:rFonts w:hint="cs"/>
          <w:color w:val="FFFFFF"/>
          <w:sz w:val="2"/>
          <w:szCs w:val="2"/>
          <w:rtl/>
        </w:rPr>
        <w:tab/>
      </w:r>
      <w:r w:rsidRPr="00F00357">
        <w:rPr>
          <w:rFonts w:hint="cs"/>
          <w:color w:val="FFFFFF"/>
          <w:sz w:val="2"/>
          <w:szCs w:val="2"/>
          <w:rtl/>
        </w:rPr>
        <w:tab/>
      </w:r>
    </w:p>
    <w:p w14:paraId="598BA490" w14:textId="77777777" w:rsidR="00CB3810" w:rsidRPr="00F00357" w:rsidRDefault="00F00357">
      <w:pPr>
        <w:ind w:firstLine="720"/>
        <w:jc w:val="center"/>
        <w:rPr>
          <w:color w:val="FFFFFF"/>
          <w:sz w:val="2"/>
          <w:szCs w:val="2"/>
          <w:rtl/>
        </w:rPr>
      </w:pPr>
      <w:r w:rsidRPr="00F00357">
        <w:rPr>
          <w:color w:val="FFFFFF"/>
          <w:sz w:val="2"/>
          <w:szCs w:val="2"/>
          <w:rtl/>
        </w:rPr>
        <w:t>54678313</w:t>
      </w:r>
    </w:p>
    <w:p w14:paraId="5D3512DC" w14:textId="77777777" w:rsidR="00CB3810" w:rsidRDefault="00F00357">
      <w:pPr>
        <w:ind w:firstLine="720"/>
        <w:jc w:val="center"/>
        <w:rPr>
          <w:rFonts w:ascii="Arial" w:hAnsi="Arial"/>
          <w:sz w:val="28"/>
          <w:szCs w:val="28"/>
          <w:u w:val="single"/>
          <w:rtl/>
        </w:rPr>
      </w:pPr>
      <w:r>
        <w:rPr>
          <w:rFonts w:ascii="Arial" w:hAnsi="Arial" w:hint="cs"/>
          <w:sz w:val="28"/>
          <w:szCs w:val="28"/>
          <w:u w:val="single"/>
          <w:rtl/>
        </w:rPr>
        <w:tab/>
      </w:r>
      <w:r>
        <w:rPr>
          <w:rFonts w:ascii="Arial" w:hAnsi="Arial" w:hint="cs"/>
          <w:sz w:val="28"/>
          <w:szCs w:val="28"/>
          <w:u w:val="single"/>
          <w:rtl/>
        </w:rPr>
        <w:tab/>
        <w:t>_________________</w:t>
      </w:r>
    </w:p>
    <w:p w14:paraId="58216700" w14:textId="77777777" w:rsidR="00F00357" w:rsidRPr="00F00357" w:rsidRDefault="00F00357" w:rsidP="00F00357">
      <w:pPr>
        <w:keepNext/>
        <w:rPr>
          <w:rFonts w:ascii="David" w:hAnsi="David" w:hint="cs"/>
          <w:color w:val="000000"/>
          <w:sz w:val="22"/>
          <w:szCs w:val="22"/>
          <w:rtl/>
        </w:rPr>
      </w:pPr>
    </w:p>
    <w:p w14:paraId="1479461E" w14:textId="77777777" w:rsidR="00F00357" w:rsidRPr="00F00357" w:rsidRDefault="00F00357" w:rsidP="00F00357">
      <w:pPr>
        <w:keepNext/>
        <w:rPr>
          <w:rFonts w:ascii="David" w:hAnsi="David"/>
          <w:color w:val="000000"/>
          <w:sz w:val="22"/>
          <w:szCs w:val="22"/>
          <w:rtl/>
        </w:rPr>
      </w:pPr>
      <w:r w:rsidRPr="00F00357">
        <w:rPr>
          <w:rFonts w:ascii="David" w:hAnsi="David"/>
          <w:color w:val="000000"/>
          <w:sz w:val="22"/>
          <w:szCs w:val="22"/>
          <w:rtl/>
        </w:rPr>
        <w:t>יהודית אמסטרדם 54678313</w:t>
      </w:r>
    </w:p>
    <w:p w14:paraId="0B839B95" w14:textId="77777777" w:rsidR="00CB3810" w:rsidRDefault="00F00357">
      <w:pPr>
        <w:ind w:firstLine="720"/>
        <w:jc w:val="center"/>
        <w:rPr>
          <w:rFonts w:ascii="Arial" w:hAnsi="Arial"/>
          <w:sz w:val="28"/>
          <w:szCs w:val="28"/>
          <w:rtl/>
        </w:rPr>
      </w:pPr>
      <w:r>
        <w:rPr>
          <w:rFonts w:ascii="Arial" w:hAnsi="Arial" w:hint="cs"/>
          <w:sz w:val="28"/>
          <w:szCs w:val="28"/>
          <w:rtl/>
        </w:rPr>
        <w:t>יהודית אמסטרדם, שופטת</w:t>
      </w:r>
    </w:p>
    <w:p w14:paraId="52F45CD3" w14:textId="77777777" w:rsidR="00F00357" w:rsidRDefault="00F00357" w:rsidP="00F00357">
      <w:r w:rsidRPr="00F00357">
        <w:rPr>
          <w:color w:val="000000"/>
          <w:rtl/>
        </w:rPr>
        <w:t>נוסח מסמך זה כפוף לשינויי ניסוח ועריכה</w:t>
      </w:r>
    </w:p>
    <w:p w14:paraId="0399DF40" w14:textId="77777777" w:rsidR="00F00357" w:rsidRDefault="00F00357" w:rsidP="00F00357">
      <w:pPr>
        <w:rPr>
          <w:rtl/>
        </w:rPr>
      </w:pPr>
    </w:p>
    <w:p w14:paraId="41165080" w14:textId="77777777" w:rsidR="00F00357" w:rsidRDefault="00F00357" w:rsidP="00F00357">
      <w:pPr>
        <w:jc w:val="center"/>
        <w:rPr>
          <w:color w:val="0000FF"/>
          <w:u w:val="single"/>
        </w:rPr>
      </w:pPr>
      <w:r w:rsidRPr="00841D19">
        <w:rPr>
          <w:color w:val="000000"/>
          <w:rtl/>
        </w:rPr>
        <w:t>בעניין עריכה ושינויים במסמכי פסיקה, חקיקה ועוד באתר נבו – הקש כאן</w:t>
      </w:r>
    </w:p>
    <w:p w14:paraId="101B0576" w14:textId="77777777" w:rsidR="00CB3810" w:rsidRPr="00F00357" w:rsidRDefault="00CB3810" w:rsidP="00F00357">
      <w:pPr>
        <w:jc w:val="center"/>
        <w:rPr>
          <w:color w:val="0000FF"/>
          <w:u w:val="single"/>
        </w:rPr>
      </w:pPr>
    </w:p>
    <w:sectPr w:rsidR="00CB3810" w:rsidRPr="00F00357" w:rsidSect="00F0035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14206" w14:textId="77777777" w:rsidR="001451DF" w:rsidRPr="00ED4A12" w:rsidRDefault="001451DF">
      <w:pPr>
        <w:rPr>
          <w:rFonts w:cs="Arial"/>
          <w:szCs w:val="20"/>
        </w:rPr>
      </w:pPr>
      <w:r>
        <w:separator/>
      </w:r>
    </w:p>
  </w:endnote>
  <w:endnote w:type="continuationSeparator" w:id="0">
    <w:p w14:paraId="37D748BC" w14:textId="77777777" w:rsidR="001451DF" w:rsidRPr="00ED4A12" w:rsidRDefault="001451D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030B4" w14:textId="77777777" w:rsidR="001451DF" w:rsidRDefault="001451DF" w:rsidP="00F00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57594793" w14:textId="77777777" w:rsidR="001451DF" w:rsidRPr="00F00357" w:rsidRDefault="001451DF" w:rsidP="00F00357">
    <w:pPr>
      <w:pStyle w:val="a4"/>
      <w:pBdr>
        <w:top w:val="single" w:sz="4" w:space="1" w:color="auto"/>
        <w:between w:val="single" w:sz="4" w:space="0" w:color="auto"/>
      </w:pBdr>
      <w:spacing w:after="60"/>
      <w:jc w:val="center"/>
      <w:rPr>
        <w:rFonts w:ascii="FrankRuehl" w:hAnsi="FrankRuehl" w:cs="FrankRuehl"/>
        <w:color w:val="000000"/>
      </w:rPr>
    </w:pPr>
    <w:r w:rsidRPr="00F003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E2DC" w14:textId="77777777" w:rsidR="001451DF" w:rsidRDefault="001451DF" w:rsidP="00F00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38BA">
      <w:rPr>
        <w:rFonts w:ascii="FrankRuehl" w:hAnsi="FrankRuehl" w:cs="FrankRuehl"/>
        <w:noProof/>
        <w:rtl/>
      </w:rPr>
      <w:t>1</w:t>
    </w:r>
    <w:r>
      <w:rPr>
        <w:rFonts w:ascii="FrankRuehl" w:hAnsi="FrankRuehl" w:cs="FrankRuehl"/>
        <w:rtl/>
      </w:rPr>
      <w:fldChar w:fldCharType="end"/>
    </w:r>
  </w:p>
  <w:p w14:paraId="345CCF84" w14:textId="77777777" w:rsidR="001451DF" w:rsidRPr="00F00357" w:rsidRDefault="001451DF" w:rsidP="00F00357">
    <w:pPr>
      <w:pStyle w:val="a4"/>
      <w:pBdr>
        <w:top w:val="single" w:sz="4" w:space="1" w:color="auto"/>
        <w:between w:val="single" w:sz="4" w:space="0" w:color="auto"/>
      </w:pBdr>
      <w:spacing w:after="60"/>
      <w:jc w:val="center"/>
      <w:rPr>
        <w:rFonts w:ascii="FrankRuehl" w:hAnsi="FrankRuehl" w:cs="FrankRuehl"/>
        <w:color w:val="000000"/>
      </w:rPr>
    </w:pPr>
    <w:r w:rsidRPr="00F00357">
      <w:rPr>
        <w:rFonts w:ascii="FrankRuehl" w:hAnsi="FrankRuehl" w:cs="FrankRuehl"/>
        <w:color w:val="000000"/>
      </w:rPr>
      <w:pict w14:anchorId="0E851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BA7BC" w14:textId="77777777" w:rsidR="001451DF" w:rsidRPr="00ED4A12" w:rsidRDefault="001451DF">
      <w:pPr>
        <w:rPr>
          <w:rFonts w:cs="Arial"/>
          <w:szCs w:val="20"/>
        </w:rPr>
      </w:pPr>
      <w:r>
        <w:separator/>
      </w:r>
    </w:p>
  </w:footnote>
  <w:footnote w:type="continuationSeparator" w:id="0">
    <w:p w14:paraId="054D0D9D" w14:textId="77777777" w:rsidR="001451DF" w:rsidRPr="00ED4A12" w:rsidRDefault="001451D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8B4E" w14:textId="77777777" w:rsidR="001451DF" w:rsidRPr="00F00357" w:rsidRDefault="001451DF" w:rsidP="00F00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11552-06-12</w:t>
    </w:r>
    <w:r>
      <w:rPr>
        <w:rFonts w:ascii="David" w:hAnsi="David"/>
        <w:color w:val="000000"/>
        <w:sz w:val="22"/>
        <w:szCs w:val="22"/>
        <w:rtl/>
      </w:rPr>
      <w:tab/>
      <w:t xml:space="preserve"> מדינת ישראל נ' אברהם שעשוע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9294" w14:textId="77777777" w:rsidR="001451DF" w:rsidRPr="00F00357" w:rsidRDefault="001451DF" w:rsidP="00F00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11552-06-12</w:t>
    </w:r>
    <w:r>
      <w:rPr>
        <w:rFonts w:ascii="David" w:hAnsi="David"/>
        <w:color w:val="000000"/>
        <w:sz w:val="22"/>
        <w:szCs w:val="22"/>
        <w:rtl/>
      </w:rPr>
      <w:tab/>
      <w:t xml:space="preserve"> מדינת ישראל נ' אברהם שעשוע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9FB"/>
    <w:multiLevelType w:val="hybridMultilevel"/>
    <w:tmpl w:val="EC8EA65A"/>
    <w:lvl w:ilvl="0" w:tplc="F7A891E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F820F6E"/>
    <w:multiLevelType w:val="hybridMultilevel"/>
    <w:tmpl w:val="3EAA6A9E"/>
    <w:lvl w:ilvl="0" w:tplc="22EE6B9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0541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5471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3810"/>
    <w:rsid w:val="00005306"/>
    <w:rsid w:val="000627E7"/>
    <w:rsid w:val="000C5BB5"/>
    <w:rsid w:val="001451DF"/>
    <w:rsid w:val="001C574B"/>
    <w:rsid w:val="001E6D91"/>
    <w:rsid w:val="00296D5D"/>
    <w:rsid w:val="002F76D9"/>
    <w:rsid w:val="003738BA"/>
    <w:rsid w:val="007B1208"/>
    <w:rsid w:val="00841D19"/>
    <w:rsid w:val="00865C5F"/>
    <w:rsid w:val="008E4034"/>
    <w:rsid w:val="009432F9"/>
    <w:rsid w:val="00AF4249"/>
    <w:rsid w:val="00CB3810"/>
    <w:rsid w:val="00E23C47"/>
    <w:rsid w:val="00E53BFB"/>
    <w:rsid w:val="00F00357"/>
    <w:rsid w:val="00F96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76E4CE"/>
  <w15:chartTrackingRefBased/>
  <w15:docId w15:val="{1C5D245A-2844-40E0-93AB-C6713174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381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B3810"/>
    <w:pPr>
      <w:tabs>
        <w:tab w:val="center" w:pos="4153"/>
        <w:tab w:val="right" w:pos="8306"/>
      </w:tabs>
    </w:pPr>
  </w:style>
  <w:style w:type="paragraph" w:styleId="a4">
    <w:name w:val="footer"/>
    <w:basedOn w:val="a"/>
    <w:rsid w:val="00CB3810"/>
    <w:pPr>
      <w:tabs>
        <w:tab w:val="center" w:pos="4153"/>
        <w:tab w:val="right" w:pos="8306"/>
      </w:tabs>
    </w:pPr>
  </w:style>
  <w:style w:type="character" w:styleId="a5">
    <w:name w:val="page number"/>
    <w:basedOn w:val="a0"/>
    <w:rsid w:val="00CB3810"/>
  </w:style>
  <w:style w:type="character" w:styleId="Hyperlink">
    <w:name w:val="Hyperlink"/>
    <w:rsid w:val="00CB3810"/>
    <w:rPr>
      <w:color w:val="0000FF"/>
      <w:u w:val="single"/>
    </w:rPr>
  </w:style>
  <w:style w:type="paragraph" w:customStyle="1" w:styleId="ListParagraph">
    <w:name w:val="List Paragraph"/>
    <w:basedOn w:val="a"/>
    <w:rsid w:val="00CB3810"/>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2.a" TargetMode="External"/><Relationship Id="rId18" Type="http://schemas.openxmlformats.org/officeDocument/2006/relationships/hyperlink" Target="http://www.nevo.co.il/law/70301/402.a" TargetMode="External"/><Relationship Id="rId26" Type="http://schemas.openxmlformats.org/officeDocument/2006/relationships/hyperlink" Target="http://www.nevo.co.il/case/275311" TargetMode="External"/><Relationship Id="rId39" Type="http://schemas.openxmlformats.org/officeDocument/2006/relationships/header" Target="header1.xml"/><Relationship Id="rId21" Type="http://schemas.openxmlformats.org/officeDocument/2006/relationships/hyperlink" Target="http://www.nevo.co.il/law/70301/402.a" TargetMode="External"/><Relationship Id="rId34" Type="http://schemas.openxmlformats.org/officeDocument/2006/relationships/hyperlink" Target="http://www.nevo.co.il/law/70301/40b"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624046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40.d.a" TargetMode="External"/><Relationship Id="rId32" Type="http://schemas.openxmlformats.org/officeDocument/2006/relationships/hyperlink" Target="http://www.nevo.co.il/law/4216" TargetMode="External"/><Relationship Id="rId37" Type="http://schemas.openxmlformats.org/officeDocument/2006/relationships/hyperlink" Target="http://www.nevo.co.il/law/7155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081397" TargetMode="External"/><Relationship Id="rId36" Type="http://schemas.openxmlformats.org/officeDocument/2006/relationships/hyperlink" Target="http://www.nevo.co.il/law/71553/20"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413i"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413i"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5699917" TargetMode="External"/><Relationship Id="rId30" Type="http://schemas.openxmlformats.org/officeDocument/2006/relationships/hyperlink" Target="http://www.nevo.co.il/law/70301/82" TargetMode="External"/><Relationship Id="rId35" Type="http://schemas.openxmlformats.org/officeDocument/2006/relationships/hyperlink" Target="http://www.nevo.co.il/law/70301/40d" TargetMode="External"/><Relationship Id="rId43"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82" TargetMode="External"/><Relationship Id="rId17" Type="http://schemas.openxmlformats.org/officeDocument/2006/relationships/hyperlink" Target="http://www.nevo.co.il/law/71553/20"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5506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2335</Words>
  <Characters>11678</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13986</CharactersWithSpaces>
  <SharedDoc>false</SharedDoc>
  <HLinks>
    <vt:vector size="192" baseType="variant">
      <vt:variant>
        <vt:i4>3145847</vt:i4>
      </vt:variant>
      <vt:variant>
        <vt:i4>93</vt:i4>
      </vt:variant>
      <vt:variant>
        <vt:i4>0</vt:i4>
      </vt:variant>
      <vt:variant>
        <vt:i4>5</vt:i4>
      </vt:variant>
      <vt:variant>
        <vt:lpwstr>http://www.nevo.co.il/case/2550661</vt:lpwstr>
      </vt:variant>
      <vt:variant>
        <vt:lpwstr/>
      </vt:variant>
      <vt:variant>
        <vt:i4>8257634</vt:i4>
      </vt:variant>
      <vt:variant>
        <vt:i4>90</vt:i4>
      </vt:variant>
      <vt:variant>
        <vt:i4>0</vt:i4>
      </vt:variant>
      <vt:variant>
        <vt:i4>5</vt:i4>
      </vt:variant>
      <vt:variant>
        <vt:lpwstr>http://www.nevo.co.il/law/71553</vt:lpwstr>
      </vt:variant>
      <vt:variant>
        <vt:lpwstr/>
      </vt:variant>
      <vt:variant>
        <vt:i4>6357091</vt:i4>
      </vt:variant>
      <vt:variant>
        <vt:i4>87</vt:i4>
      </vt:variant>
      <vt:variant>
        <vt:i4>0</vt:i4>
      </vt:variant>
      <vt:variant>
        <vt:i4>5</vt:i4>
      </vt:variant>
      <vt:variant>
        <vt:lpwstr>http://www.nevo.co.il/law/71553/20</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7995492</vt:i4>
      </vt:variant>
      <vt:variant>
        <vt:i4>78</vt:i4>
      </vt:variant>
      <vt:variant>
        <vt:i4>0</vt:i4>
      </vt:variant>
      <vt:variant>
        <vt:i4>5</vt:i4>
      </vt:variant>
      <vt:variant>
        <vt:lpwstr>http://www.nevo.co.il/law/70301</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6750317</vt:i4>
      </vt:variant>
      <vt:variant>
        <vt:i4>69</vt:i4>
      </vt:variant>
      <vt:variant>
        <vt:i4>0</vt:i4>
      </vt:variant>
      <vt:variant>
        <vt:i4>5</vt:i4>
      </vt:variant>
      <vt:variant>
        <vt:lpwstr>http://www.nevo.co.il/law/70301/82</vt:lpwstr>
      </vt:variant>
      <vt:variant>
        <vt:lpwstr/>
      </vt:variant>
      <vt:variant>
        <vt:i4>3276912</vt:i4>
      </vt:variant>
      <vt:variant>
        <vt:i4>66</vt:i4>
      </vt:variant>
      <vt:variant>
        <vt:i4>0</vt:i4>
      </vt:variant>
      <vt:variant>
        <vt:i4>5</vt:i4>
      </vt:variant>
      <vt:variant>
        <vt:lpwstr>http://www.nevo.co.il/case/6240464</vt:lpwstr>
      </vt:variant>
      <vt:variant>
        <vt:lpwstr/>
      </vt:variant>
      <vt:variant>
        <vt:i4>3801212</vt:i4>
      </vt:variant>
      <vt:variant>
        <vt:i4>63</vt:i4>
      </vt:variant>
      <vt:variant>
        <vt:i4>0</vt:i4>
      </vt:variant>
      <vt:variant>
        <vt:i4>5</vt:i4>
      </vt:variant>
      <vt:variant>
        <vt:lpwstr>http://www.nevo.co.il/case/6081397</vt:lpwstr>
      </vt:variant>
      <vt:variant>
        <vt:lpwstr/>
      </vt:variant>
      <vt:variant>
        <vt:i4>3276922</vt:i4>
      </vt:variant>
      <vt:variant>
        <vt:i4>60</vt:i4>
      </vt:variant>
      <vt:variant>
        <vt:i4>0</vt:i4>
      </vt:variant>
      <vt:variant>
        <vt:i4>5</vt:i4>
      </vt:variant>
      <vt:variant>
        <vt:lpwstr>http://www.nevo.co.il/case/5699917</vt:lpwstr>
      </vt:variant>
      <vt:variant>
        <vt:lpwstr/>
      </vt:variant>
      <vt:variant>
        <vt:i4>393280</vt:i4>
      </vt:variant>
      <vt:variant>
        <vt:i4>57</vt:i4>
      </vt:variant>
      <vt:variant>
        <vt:i4>0</vt:i4>
      </vt:variant>
      <vt:variant>
        <vt:i4>5</vt:i4>
      </vt:variant>
      <vt:variant>
        <vt:lpwstr>http://www.nevo.co.il/case/275311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6291553</vt:i4>
      </vt:variant>
      <vt:variant>
        <vt:i4>51</vt:i4>
      </vt:variant>
      <vt:variant>
        <vt:i4>0</vt:i4>
      </vt:variant>
      <vt:variant>
        <vt:i4>5</vt:i4>
      </vt:variant>
      <vt:variant>
        <vt:lpwstr>http://www.nevo.co.il/law/70301/40.d.a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4915283</vt:i4>
      </vt:variant>
      <vt:variant>
        <vt:i4>42</vt:i4>
      </vt:variant>
      <vt:variant>
        <vt:i4>0</vt:i4>
      </vt:variant>
      <vt:variant>
        <vt:i4>5</vt:i4>
      </vt:variant>
      <vt:variant>
        <vt:lpwstr>http://www.nevo.co.il/law/70301/402.a</vt:lpwstr>
      </vt:variant>
      <vt:variant>
        <vt:lpwstr/>
      </vt:variant>
      <vt:variant>
        <vt:i4>7995492</vt:i4>
      </vt:variant>
      <vt:variant>
        <vt:i4>39</vt:i4>
      </vt:variant>
      <vt:variant>
        <vt:i4>0</vt:i4>
      </vt:variant>
      <vt:variant>
        <vt:i4>5</vt:i4>
      </vt:variant>
      <vt:variant>
        <vt:lpwstr>http://www.nevo.co.il/law/70301</vt:lpwstr>
      </vt:variant>
      <vt:variant>
        <vt:lpwstr/>
      </vt:variant>
      <vt:variant>
        <vt:i4>852050</vt:i4>
      </vt:variant>
      <vt:variant>
        <vt:i4>36</vt:i4>
      </vt:variant>
      <vt:variant>
        <vt:i4>0</vt:i4>
      </vt:variant>
      <vt:variant>
        <vt:i4>5</vt:i4>
      </vt:variant>
      <vt:variant>
        <vt:lpwstr>http://www.nevo.co.il/law/70301/413i</vt:lpwstr>
      </vt:variant>
      <vt:variant>
        <vt:lpwstr/>
      </vt:variant>
      <vt:variant>
        <vt:i4>4915283</vt:i4>
      </vt:variant>
      <vt:variant>
        <vt:i4>33</vt:i4>
      </vt:variant>
      <vt:variant>
        <vt:i4>0</vt:i4>
      </vt:variant>
      <vt:variant>
        <vt:i4>5</vt:i4>
      </vt:variant>
      <vt:variant>
        <vt:lpwstr>http://www.nevo.co.il/law/70301/402.a</vt:lpwstr>
      </vt:variant>
      <vt:variant>
        <vt:lpwstr/>
      </vt:variant>
      <vt:variant>
        <vt:i4>6357091</vt:i4>
      </vt:variant>
      <vt:variant>
        <vt:i4>30</vt:i4>
      </vt:variant>
      <vt:variant>
        <vt:i4>0</vt:i4>
      </vt:variant>
      <vt:variant>
        <vt:i4>5</vt:i4>
      </vt:variant>
      <vt:variant>
        <vt:lpwstr>http://www.nevo.co.il/law/71553/20</vt:lpwstr>
      </vt:variant>
      <vt:variant>
        <vt:lpwstr/>
      </vt:variant>
      <vt:variant>
        <vt:i4>8257634</vt:i4>
      </vt:variant>
      <vt:variant>
        <vt:i4>27</vt:i4>
      </vt:variant>
      <vt:variant>
        <vt:i4>0</vt:i4>
      </vt:variant>
      <vt:variant>
        <vt:i4>5</vt:i4>
      </vt:variant>
      <vt:variant>
        <vt:lpwstr>http://www.nevo.co.il/law/71553</vt:lpwstr>
      </vt:variant>
      <vt:variant>
        <vt:lpwstr/>
      </vt:variant>
      <vt:variant>
        <vt:i4>8257637</vt:i4>
      </vt:variant>
      <vt:variant>
        <vt:i4>24</vt:i4>
      </vt:variant>
      <vt:variant>
        <vt:i4>0</vt:i4>
      </vt:variant>
      <vt:variant>
        <vt:i4>5</vt:i4>
      </vt:variant>
      <vt:variant>
        <vt:lpwstr>http://www.nevo.co.il/law/4216</vt:lpwstr>
      </vt:variant>
      <vt:variant>
        <vt:lpwstr/>
      </vt:variant>
      <vt:variant>
        <vt:i4>852050</vt:i4>
      </vt:variant>
      <vt:variant>
        <vt:i4>21</vt:i4>
      </vt:variant>
      <vt:variant>
        <vt:i4>0</vt:i4>
      </vt:variant>
      <vt:variant>
        <vt:i4>5</vt:i4>
      </vt:variant>
      <vt:variant>
        <vt:lpwstr>http://www.nevo.co.il/law/70301/413i</vt:lpwstr>
      </vt:variant>
      <vt:variant>
        <vt:lpwstr/>
      </vt:variant>
      <vt:variant>
        <vt:i4>4915283</vt:i4>
      </vt:variant>
      <vt:variant>
        <vt:i4>18</vt:i4>
      </vt:variant>
      <vt:variant>
        <vt:i4>0</vt:i4>
      </vt:variant>
      <vt:variant>
        <vt:i4>5</vt:i4>
      </vt:variant>
      <vt:variant>
        <vt:lpwstr>http://www.nevo.co.il/law/70301/402.a</vt:lpwstr>
      </vt:variant>
      <vt:variant>
        <vt:lpwstr/>
      </vt:variant>
      <vt:variant>
        <vt:i4>6750317</vt:i4>
      </vt:variant>
      <vt:variant>
        <vt:i4>15</vt:i4>
      </vt:variant>
      <vt:variant>
        <vt:i4>0</vt:i4>
      </vt:variant>
      <vt:variant>
        <vt:i4>5</vt:i4>
      </vt:variant>
      <vt:variant>
        <vt:lpwstr>http://www.nevo.co.il/law/70301/82</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6291553</vt:i4>
      </vt:variant>
      <vt:variant>
        <vt:i4>6</vt:i4>
      </vt:variant>
      <vt:variant>
        <vt:i4>0</vt:i4>
      </vt:variant>
      <vt:variant>
        <vt:i4>5</vt:i4>
      </vt:variant>
      <vt:variant>
        <vt:lpwstr>http://www.nevo.co.il/law/70301/40.d.a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2025-04-22T20:23:00Z</dcterms:created>
  <dcterms:modified xsi:type="dcterms:W3CDTF">2025-04-22T20:23:00Z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11552</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אברהם שעשוע</vt:lpwstr>
  </property>
  <property fmtid="{D5CDD505-2E9C-101B-9397-08002B2CF9AE}" pid="10" name="LAWYER">
    <vt:lpwstr>שרון נהרי;סיוון דואני</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20130714</vt:lpwstr>
  </property>
  <property fmtid="{D5CDD505-2E9C-101B-9397-08002B2CF9AE}" pid="14" name="TYPE_N_DATE">
    <vt:lpwstr>39020130714</vt:lpwstr>
  </property>
  <property fmtid="{D5CDD505-2E9C-101B-9397-08002B2CF9AE}" pid="15" name="WORDNUMPAGES">
    <vt:lpwstr>8</vt:lpwstr>
  </property>
  <property fmtid="{D5CDD505-2E9C-101B-9397-08002B2CF9AE}" pid="16" name="TYPE_ABS_DATE">
    <vt:lpwstr>390020130714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275311;5699917;6081397;6240464;2550661</vt:lpwstr>
  </property>
  <property fmtid="{D5CDD505-2E9C-101B-9397-08002B2CF9AE}" pid="36" name="LAWLISTTMP1">
    <vt:lpwstr>70301/402.a:2;413i;025;040.d.a;082;040b;040d</vt:lpwstr>
  </property>
  <property fmtid="{D5CDD505-2E9C-101B-9397-08002B2CF9AE}" pid="37" name="LAWLISTTMP2">
    <vt:lpwstr>4216</vt:lpwstr>
  </property>
  <property fmtid="{D5CDD505-2E9C-101B-9397-08002B2CF9AE}" pid="38" name="LAWLISTTMP3">
    <vt:lpwstr>71553/020</vt:lpwstr>
  </property>
</Properties>
</file>