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467B9E" w:rsidRPr="00764B5A" w14:paraId="02549958" w14:textId="77777777">
        <w:trPr>
          <w:trHeight w:hRule="exact" w:val="418"/>
          <w:jc w:val="center"/>
        </w:trPr>
        <w:tc>
          <w:tcPr>
            <w:tcW w:w="8721" w:type="dxa"/>
            <w:gridSpan w:val="2"/>
          </w:tcPr>
          <w:p w14:paraId="33529616" w14:textId="77777777" w:rsidR="00467B9E" w:rsidRPr="00764B5A" w:rsidRDefault="00764B5A">
            <w:pPr>
              <w:pStyle w:val="a3"/>
              <w:jc w:val="center"/>
              <w:rPr>
                <w:rFonts w:ascii="Arial" w:hAnsi="Arial" w:cs="Arial"/>
                <w:b/>
                <w:bCs/>
                <w:color w:val="000080"/>
                <w:rtl/>
              </w:rPr>
            </w:pPr>
            <w:r w:rsidRPr="00764B5A">
              <w:rPr>
                <w:rFonts w:ascii="Arial" w:hAnsi="Arial" w:cs="Arial"/>
                <w:b/>
                <w:bCs/>
                <w:color w:val="000080"/>
                <w:rtl/>
              </w:rPr>
              <w:t>בית המשפט המחוזי בבאר שבע</w:t>
            </w:r>
          </w:p>
        </w:tc>
      </w:tr>
      <w:tr w:rsidR="00467B9E" w:rsidRPr="00764B5A" w14:paraId="2E37B16E" w14:textId="77777777">
        <w:trPr>
          <w:trHeight w:val="337"/>
          <w:jc w:val="center"/>
        </w:trPr>
        <w:tc>
          <w:tcPr>
            <w:tcW w:w="5048" w:type="dxa"/>
          </w:tcPr>
          <w:p w14:paraId="028B8629" w14:textId="77777777" w:rsidR="00467B9E" w:rsidRPr="00764B5A" w:rsidRDefault="00467B9E">
            <w:pPr>
              <w:rPr>
                <w:rFonts w:ascii="Arial" w:hAnsi="Arial" w:cs="Arial"/>
                <w:b/>
                <w:bCs/>
                <w:rtl/>
              </w:rPr>
            </w:pPr>
          </w:p>
          <w:p w14:paraId="3DA6876C" w14:textId="77777777" w:rsidR="00467B9E" w:rsidRPr="00764B5A" w:rsidRDefault="00764B5A">
            <w:pPr>
              <w:pStyle w:val="a3"/>
              <w:rPr>
                <w:rFonts w:ascii="Arial" w:hAnsi="Arial" w:cs="Arial"/>
                <w:b/>
                <w:bCs/>
                <w:rtl/>
              </w:rPr>
            </w:pPr>
            <w:r w:rsidRPr="00764B5A">
              <w:rPr>
                <w:rFonts w:ascii="Arial" w:hAnsi="Arial" w:cs="Arial"/>
                <w:b/>
                <w:bCs/>
                <w:rtl/>
              </w:rPr>
              <w:t>בפני:</w:t>
            </w:r>
          </w:p>
          <w:p w14:paraId="38A6115F" w14:textId="77777777" w:rsidR="00467B9E" w:rsidRPr="00764B5A" w:rsidRDefault="00764B5A">
            <w:pPr>
              <w:pStyle w:val="a3"/>
              <w:rPr>
                <w:rFonts w:ascii="Arial" w:hAnsi="Arial" w:cs="Arial"/>
                <w:b/>
                <w:bCs/>
                <w:rtl/>
              </w:rPr>
            </w:pPr>
            <w:r w:rsidRPr="00764B5A">
              <w:rPr>
                <w:rFonts w:ascii="Arial" w:hAnsi="Arial" w:cs="Arial"/>
                <w:b/>
                <w:bCs/>
                <w:rtl/>
              </w:rPr>
              <w:t>כב' השופטת רויטל יפה-כ"ץ- ס.נשיא- אב"ד</w:t>
            </w:r>
          </w:p>
          <w:p w14:paraId="55F54539" w14:textId="77777777" w:rsidR="00467B9E" w:rsidRPr="00764B5A" w:rsidRDefault="00764B5A">
            <w:pPr>
              <w:pStyle w:val="a3"/>
              <w:rPr>
                <w:rFonts w:ascii="Arial" w:hAnsi="Arial" w:cs="Arial"/>
                <w:b/>
                <w:bCs/>
                <w:rtl/>
              </w:rPr>
            </w:pPr>
            <w:r w:rsidRPr="00764B5A">
              <w:rPr>
                <w:rFonts w:ascii="Arial" w:hAnsi="Arial" w:cs="Arial"/>
                <w:b/>
                <w:bCs/>
                <w:rtl/>
              </w:rPr>
              <w:t>כב' השופט אריאל ואגו</w:t>
            </w:r>
          </w:p>
          <w:p w14:paraId="3D6D8222" w14:textId="77777777" w:rsidR="00467B9E" w:rsidRPr="00764B5A" w:rsidRDefault="00764B5A">
            <w:pPr>
              <w:pStyle w:val="a3"/>
              <w:rPr>
                <w:rFonts w:ascii="Arial" w:hAnsi="Arial" w:cs="Arial"/>
                <w:b/>
                <w:bCs/>
                <w:rtl/>
              </w:rPr>
            </w:pPr>
            <w:r w:rsidRPr="00764B5A">
              <w:rPr>
                <w:rFonts w:ascii="Arial" w:hAnsi="Arial" w:cs="Arial"/>
                <w:b/>
                <w:bCs/>
                <w:rtl/>
              </w:rPr>
              <w:t xml:space="preserve">כב' השופט יורם צלקובניק </w:t>
            </w:r>
          </w:p>
        </w:tc>
        <w:tc>
          <w:tcPr>
            <w:tcW w:w="3673" w:type="dxa"/>
          </w:tcPr>
          <w:p w14:paraId="2D2637CE" w14:textId="77777777" w:rsidR="00467B9E" w:rsidRPr="00764B5A" w:rsidRDefault="00764B5A">
            <w:pPr>
              <w:pStyle w:val="a3"/>
              <w:jc w:val="right"/>
              <w:rPr>
                <w:rFonts w:ascii="Arial" w:hAnsi="Arial" w:cs="Arial"/>
                <w:b/>
                <w:bCs/>
                <w:rtl/>
              </w:rPr>
            </w:pPr>
            <w:r w:rsidRPr="00764B5A">
              <w:rPr>
                <w:rFonts w:ascii="Arial" w:hAnsi="Arial" w:cs="Arial"/>
                <w:b/>
                <w:bCs/>
                <w:rtl/>
              </w:rPr>
              <w:t xml:space="preserve">תפ"ח 12866-10-12      </w:t>
            </w:r>
          </w:p>
        </w:tc>
      </w:tr>
    </w:tbl>
    <w:p w14:paraId="299E8967" w14:textId="77777777" w:rsidR="00467B9E" w:rsidRPr="00764B5A" w:rsidRDefault="00764B5A">
      <w:pPr>
        <w:pStyle w:val="a3"/>
        <w:rPr>
          <w:rtl/>
        </w:rPr>
      </w:pPr>
      <w:bookmarkStart w:id="0" w:name="LastJudge"/>
      <w:bookmarkEnd w:id="0"/>
      <w:r w:rsidRPr="00764B5A">
        <w:rPr>
          <w:rFonts w:hint="cs"/>
          <w:rtl/>
        </w:rPr>
        <w:t xml:space="preserve"> </w:t>
      </w:r>
    </w:p>
    <w:p w14:paraId="4209EFFC" w14:textId="77777777" w:rsidR="00467B9E" w:rsidRPr="00764B5A" w:rsidRDefault="00467B9E">
      <w:pPr>
        <w:rPr>
          <w:rFonts w:ascii="Arial" w:hAnsi="Arial" w:cs="Aria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4105"/>
        <w:gridCol w:w="3755"/>
      </w:tblGrid>
      <w:tr w:rsidR="00467B9E" w:rsidRPr="00764B5A" w14:paraId="39B29F82" w14:textId="77777777">
        <w:trPr>
          <w:trHeight w:val="355"/>
          <w:jc w:val="center"/>
        </w:trPr>
        <w:tc>
          <w:tcPr>
            <w:tcW w:w="960" w:type="dxa"/>
            <w:tcBorders>
              <w:top w:val="nil"/>
              <w:left w:val="nil"/>
              <w:bottom w:val="nil"/>
              <w:right w:val="nil"/>
            </w:tcBorders>
          </w:tcPr>
          <w:p w14:paraId="12487FE6" w14:textId="77777777" w:rsidR="00467B9E" w:rsidRPr="00764B5A" w:rsidRDefault="00764B5A">
            <w:pPr>
              <w:jc w:val="both"/>
              <w:rPr>
                <w:rFonts w:ascii="Arial" w:hAnsi="Arial" w:cs="Arial"/>
                <w:b/>
                <w:bCs/>
                <w:sz w:val="28"/>
                <w:szCs w:val="28"/>
              </w:rPr>
            </w:pPr>
            <w:bookmarkStart w:id="1" w:name="FirstAppellant"/>
            <w:r w:rsidRPr="00764B5A">
              <w:rPr>
                <w:rFonts w:ascii="Arial" w:hAnsi="Arial" w:cs="Arial"/>
                <w:b/>
                <w:bCs/>
                <w:sz w:val="28"/>
                <w:szCs w:val="28"/>
                <w:rtl/>
              </w:rPr>
              <w:t>בעניין:</w:t>
            </w:r>
          </w:p>
        </w:tc>
        <w:tc>
          <w:tcPr>
            <w:tcW w:w="4105" w:type="dxa"/>
            <w:tcBorders>
              <w:top w:val="nil"/>
              <w:left w:val="nil"/>
              <w:bottom w:val="nil"/>
              <w:right w:val="nil"/>
            </w:tcBorders>
          </w:tcPr>
          <w:p w14:paraId="025F5CDF" w14:textId="77777777" w:rsidR="00467B9E" w:rsidRPr="00764B5A" w:rsidRDefault="00764B5A">
            <w:pPr>
              <w:rPr>
                <w:rFonts w:ascii="Arial" w:hAnsi="Arial" w:cs="Arial"/>
                <w:b/>
                <w:bCs/>
              </w:rPr>
            </w:pPr>
            <w:r w:rsidRPr="00764B5A">
              <w:rPr>
                <w:rFonts w:ascii="Arial" w:hAnsi="Arial" w:cs="Arial"/>
                <w:b/>
                <w:bCs/>
                <w:sz w:val="28"/>
                <w:szCs w:val="28"/>
                <w:rtl/>
              </w:rPr>
              <w:t>מדינת ישראל</w:t>
            </w:r>
          </w:p>
        </w:tc>
        <w:tc>
          <w:tcPr>
            <w:tcW w:w="3755" w:type="dxa"/>
            <w:tcBorders>
              <w:top w:val="nil"/>
              <w:left w:val="nil"/>
              <w:bottom w:val="nil"/>
              <w:right w:val="nil"/>
            </w:tcBorders>
          </w:tcPr>
          <w:p w14:paraId="1F7A80F9" w14:textId="77777777" w:rsidR="00467B9E" w:rsidRPr="00764B5A" w:rsidRDefault="00467B9E">
            <w:pPr>
              <w:jc w:val="both"/>
              <w:rPr>
                <w:rFonts w:ascii="Arial" w:hAnsi="Arial" w:cs="Arial"/>
                <w:b/>
                <w:bCs/>
                <w:sz w:val="28"/>
                <w:szCs w:val="28"/>
              </w:rPr>
            </w:pPr>
          </w:p>
        </w:tc>
      </w:tr>
      <w:tr w:rsidR="00467B9E" w:rsidRPr="00764B5A" w14:paraId="6740F3DB" w14:textId="77777777">
        <w:trPr>
          <w:trHeight w:val="355"/>
          <w:jc w:val="center"/>
        </w:trPr>
        <w:tc>
          <w:tcPr>
            <w:tcW w:w="960" w:type="dxa"/>
            <w:tcBorders>
              <w:top w:val="nil"/>
              <w:left w:val="nil"/>
              <w:bottom w:val="nil"/>
              <w:right w:val="nil"/>
            </w:tcBorders>
          </w:tcPr>
          <w:p w14:paraId="149E20E9" w14:textId="77777777" w:rsidR="00467B9E" w:rsidRPr="00764B5A" w:rsidRDefault="00467B9E">
            <w:pPr>
              <w:jc w:val="both"/>
              <w:rPr>
                <w:rFonts w:ascii="Arial" w:hAnsi="Arial" w:cs="Arial"/>
                <w:b/>
                <w:bCs/>
                <w:sz w:val="28"/>
                <w:szCs w:val="28"/>
                <w:rtl/>
              </w:rPr>
            </w:pPr>
            <w:bookmarkStart w:id="2" w:name="FirstLawyer"/>
            <w:bookmarkEnd w:id="1"/>
          </w:p>
        </w:tc>
        <w:tc>
          <w:tcPr>
            <w:tcW w:w="4105" w:type="dxa"/>
            <w:tcBorders>
              <w:top w:val="nil"/>
              <w:left w:val="nil"/>
              <w:bottom w:val="nil"/>
              <w:right w:val="nil"/>
            </w:tcBorders>
          </w:tcPr>
          <w:p w14:paraId="11614697" w14:textId="77777777" w:rsidR="00467B9E" w:rsidRPr="00764B5A" w:rsidRDefault="00764B5A">
            <w:pPr>
              <w:jc w:val="both"/>
              <w:rPr>
                <w:rFonts w:ascii="Arial" w:hAnsi="Arial" w:cs="Arial"/>
                <w:b/>
                <w:bCs/>
                <w:rtl/>
              </w:rPr>
            </w:pPr>
            <w:r w:rsidRPr="00764B5A">
              <w:rPr>
                <w:rFonts w:ascii="Arial" w:hAnsi="Arial" w:cs="Arial"/>
                <w:b/>
                <w:bCs/>
                <w:rtl/>
              </w:rPr>
              <w:t xml:space="preserve">ע"י ב"כ עו"ד מירב עמר </w:t>
            </w:r>
            <w:r w:rsidRPr="00764B5A">
              <w:rPr>
                <w:rFonts w:ascii="Arial" w:hAnsi="Arial" w:cs="Arial" w:hint="cs"/>
                <w:b/>
                <w:bCs/>
                <w:rtl/>
              </w:rPr>
              <w:t>-</w:t>
            </w:r>
            <w:r w:rsidRPr="00764B5A">
              <w:rPr>
                <w:rFonts w:ascii="Arial" w:hAnsi="Arial" w:cs="Arial"/>
                <w:b/>
                <w:bCs/>
                <w:rtl/>
              </w:rPr>
              <w:t xml:space="preserve"> פמ"ד </w:t>
            </w:r>
          </w:p>
        </w:tc>
        <w:tc>
          <w:tcPr>
            <w:tcW w:w="3755" w:type="dxa"/>
            <w:tcBorders>
              <w:top w:val="nil"/>
              <w:left w:val="nil"/>
              <w:bottom w:val="nil"/>
              <w:right w:val="nil"/>
            </w:tcBorders>
          </w:tcPr>
          <w:p w14:paraId="5BDDCE52" w14:textId="77777777" w:rsidR="00467B9E" w:rsidRPr="00764B5A" w:rsidRDefault="00764B5A">
            <w:pPr>
              <w:jc w:val="right"/>
              <w:rPr>
                <w:rFonts w:ascii="Arial" w:hAnsi="Arial" w:cs="Arial"/>
                <w:b/>
                <w:bCs/>
                <w:sz w:val="28"/>
                <w:szCs w:val="28"/>
                <w:rtl/>
              </w:rPr>
            </w:pPr>
            <w:r w:rsidRPr="00764B5A">
              <w:rPr>
                <w:rFonts w:ascii="Arial" w:hAnsi="Arial" w:cs="Arial"/>
                <w:b/>
                <w:bCs/>
                <w:sz w:val="28"/>
                <w:szCs w:val="28"/>
                <w:rtl/>
              </w:rPr>
              <w:t>המאשימה</w:t>
            </w:r>
          </w:p>
        </w:tc>
      </w:tr>
      <w:bookmarkEnd w:id="2"/>
      <w:tr w:rsidR="00467B9E" w:rsidRPr="00764B5A" w14:paraId="71812B68" w14:textId="77777777">
        <w:trPr>
          <w:trHeight w:val="355"/>
          <w:jc w:val="center"/>
        </w:trPr>
        <w:tc>
          <w:tcPr>
            <w:tcW w:w="960" w:type="dxa"/>
            <w:tcBorders>
              <w:top w:val="nil"/>
              <w:left w:val="nil"/>
              <w:bottom w:val="nil"/>
              <w:right w:val="nil"/>
            </w:tcBorders>
          </w:tcPr>
          <w:p w14:paraId="41D8111E" w14:textId="77777777" w:rsidR="00467B9E" w:rsidRPr="00764B5A" w:rsidRDefault="00467B9E">
            <w:pPr>
              <w:jc w:val="both"/>
              <w:rPr>
                <w:rFonts w:ascii="Arial" w:hAnsi="Arial" w:cs="Arial"/>
                <w:b/>
                <w:bCs/>
                <w:sz w:val="28"/>
                <w:szCs w:val="28"/>
                <w:rtl/>
              </w:rPr>
            </w:pPr>
          </w:p>
        </w:tc>
        <w:tc>
          <w:tcPr>
            <w:tcW w:w="7860" w:type="dxa"/>
            <w:gridSpan w:val="2"/>
            <w:tcBorders>
              <w:top w:val="nil"/>
              <w:left w:val="nil"/>
              <w:bottom w:val="nil"/>
              <w:right w:val="nil"/>
            </w:tcBorders>
          </w:tcPr>
          <w:p w14:paraId="19158FB5" w14:textId="77777777" w:rsidR="00467B9E" w:rsidRPr="00764B5A" w:rsidRDefault="00467B9E">
            <w:pPr>
              <w:jc w:val="center"/>
              <w:rPr>
                <w:rFonts w:ascii="Arial" w:hAnsi="Arial" w:cs="Arial"/>
                <w:b/>
                <w:bCs/>
                <w:sz w:val="28"/>
                <w:szCs w:val="28"/>
                <w:rtl/>
              </w:rPr>
            </w:pPr>
          </w:p>
          <w:p w14:paraId="6B36C421" w14:textId="77777777" w:rsidR="00467B9E" w:rsidRPr="00764B5A" w:rsidRDefault="00764B5A">
            <w:pPr>
              <w:jc w:val="center"/>
              <w:rPr>
                <w:rFonts w:ascii="Arial" w:hAnsi="Arial" w:cs="Arial"/>
                <w:b/>
                <w:bCs/>
                <w:sz w:val="28"/>
                <w:szCs w:val="28"/>
                <w:rtl/>
              </w:rPr>
            </w:pPr>
            <w:r w:rsidRPr="00764B5A">
              <w:rPr>
                <w:rFonts w:ascii="Arial" w:hAnsi="Arial" w:cs="Arial"/>
                <w:b/>
                <w:bCs/>
                <w:sz w:val="28"/>
                <w:szCs w:val="28"/>
                <w:rtl/>
              </w:rPr>
              <w:t>נגד</w:t>
            </w:r>
          </w:p>
          <w:p w14:paraId="2F0F1ABA" w14:textId="77777777" w:rsidR="00467B9E" w:rsidRPr="00764B5A" w:rsidRDefault="00467B9E">
            <w:pPr>
              <w:jc w:val="both"/>
              <w:rPr>
                <w:rFonts w:ascii="Arial" w:hAnsi="Arial" w:cs="Arial"/>
                <w:b/>
                <w:bCs/>
                <w:sz w:val="28"/>
                <w:szCs w:val="28"/>
              </w:rPr>
            </w:pPr>
          </w:p>
        </w:tc>
      </w:tr>
      <w:tr w:rsidR="00467B9E" w:rsidRPr="00764B5A" w14:paraId="196CD234" w14:textId="77777777">
        <w:trPr>
          <w:trHeight w:val="355"/>
          <w:jc w:val="center"/>
        </w:trPr>
        <w:tc>
          <w:tcPr>
            <w:tcW w:w="960" w:type="dxa"/>
            <w:tcBorders>
              <w:top w:val="nil"/>
              <w:left w:val="nil"/>
              <w:bottom w:val="nil"/>
              <w:right w:val="nil"/>
            </w:tcBorders>
          </w:tcPr>
          <w:p w14:paraId="036B2CD2" w14:textId="77777777" w:rsidR="00467B9E" w:rsidRPr="00764B5A" w:rsidRDefault="00467B9E">
            <w:pPr>
              <w:rPr>
                <w:rFonts w:ascii="Arial" w:hAnsi="Arial" w:cs="Arial"/>
                <w:b/>
                <w:bCs/>
                <w:sz w:val="28"/>
                <w:szCs w:val="28"/>
                <w:rtl/>
              </w:rPr>
            </w:pPr>
          </w:p>
        </w:tc>
        <w:tc>
          <w:tcPr>
            <w:tcW w:w="4105" w:type="dxa"/>
            <w:tcBorders>
              <w:top w:val="nil"/>
              <w:left w:val="nil"/>
              <w:bottom w:val="nil"/>
              <w:right w:val="nil"/>
            </w:tcBorders>
          </w:tcPr>
          <w:p w14:paraId="41A32777" w14:textId="77777777" w:rsidR="00467B9E" w:rsidRPr="00764B5A" w:rsidRDefault="00764B5A">
            <w:pPr>
              <w:rPr>
                <w:rFonts w:ascii="Arial" w:hAnsi="Arial" w:cs="Arial"/>
                <w:b/>
                <w:bCs/>
                <w:rtl/>
              </w:rPr>
            </w:pPr>
            <w:r w:rsidRPr="00764B5A">
              <w:rPr>
                <w:rFonts w:ascii="Arial" w:hAnsi="Arial" w:cs="Arial"/>
                <w:b/>
                <w:bCs/>
                <w:sz w:val="28"/>
                <w:szCs w:val="28"/>
                <w:rtl/>
              </w:rPr>
              <w:t xml:space="preserve">דוד מגידיש </w:t>
            </w:r>
            <w:r w:rsidRPr="00764B5A">
              <w:rPr>
                <w:rFonts w:ascii="Arial" w:hAnsi="Arial" w:cs="Arial"/>
                <w:b/>
                <w:bCs/>
                <w:sz w:val="28"/>
                <w:szCs w:val="28"/>
                <w:rtl/>
              </w:rPr>
              <w:br/>
            </w:r>
            <w:r w:rsidRPr="00764B5A">
              <w:rPr>
                <w:rFonts w:ascii="Arial" w:hAnsi="Arial" w:cs="Arial"/>
                <w:b/>
                <w:bCs/>
                <w:rtl/>
              </w:rPr>
              <w:t xml:space="preserve">ע"י ב"כ עו"ד מיכה גבאי </w:t>
            </w:r>
          </w:p>
        </w:tc>
        <w:tc>
          <w:tcPr>
            <w:tcW w:w="3755" w:type="dxa"/>
            <w:tcBorders>
              <w:top w:val="nil"/>
              <w:left w:val="nil"/>
              <w:bottom w:val="nil"/>
              <w:right w:val="nil"/>
            </w:tcBorders>
          </w:tcPr>
          <w:p w14:paraId="2B2DDC65" w14:textId="77777777" w:rsidR="00467B9E" w:rsidRPr="00764B5A" w:rsidRDefault="00467B9E">
            <w:pPr>
              <w:jc w:val="right"/>
              <w:rPr>
                <w:rFonts w:ascii="Arial" w:hAnsi="Arial" w:cs="Arial"/>
                <w:b/>
                <w:bCs/>
                <w:sz w:val="28"/>
                <w:szCs w:val="28"/>
              </w:rPr>
            </w:pPr>
          </w:p>
        </w:tc>
      </w:tr>
      <w:tr w:rsidR="00467B9E" w:rsidRPr="00764B5A" w14:paraId="119509B8" w14:textId="77777777">
        <w:trPr>
          <w:trHeight w:val="355"/>
          <w:jc w:val="center"/>
        </w:trPr>
        <w:tc>
          <w:tcPr>
            <w:tcW w:w="960" w:type="dxa"/>
            <w:tcBorders>
              <w:top w:val="nil"/>
              <w:left w:val="nil"/>
              <w:bottom w:val="nil"/>
              <w:right w:val="nil"/>
            </w:tcBorders>
          </w:tcPr>
          <w:p w14:paraId="7EC8E19D" w14:textId="77777777" w:rsidR="00467B9E" w:rsidRPr="00764B5A" w:rsidRDefault="00467B9E">
            <w:pPr>
              <w:jc w:val="both"/>
              <w:rPr>
                <w:rFonts w:ascii="Arial" w:hAnsi="Arial" w:cs="Arial"/>
                <w:b/>
                <w:bCs/>
                <w:sz w:val="28"/>
                <w:szCs w:val="28"/>
                <w:rtl/>
              </w:rPr>
            </w:pPr>
          </w:p>
        </w:tc>
        <w:tc>
          <w:tcPr>
            <w:tcW w:w="4105" w:type="dxa"/>
            <w:tcBorders>
              <w:top w:val="nil"/>
              <w:left w:val="nil"/>
              <w:bottom w:val="nil"/>
              <w:right w:val="nil"/>
            </w:tcBorders>
          </w:tcPr>
          <w:p w14:paraId="7B84443C" w14:textId="77777777" w:rsidR="00467B9E" w:rsidRPr="00764B5A" w:rsidRDefault="00467B9E">
            <w:pPr>
              <w:jc w:val="both"/>
              <w:rPr>
                <w:rFonts w:ascii="Arial" w:hAnsi="Arial" w:cs="Arial"/>
                <w:b/>
                <w:bCs/>
                <w:rtl/>
              </w:rPr>
            </w:pPr>
          </w:p>
        </w:tc>
        <w:tc>
          <w:tcPr>
            <w:tcW w:w="3755" w:type="dxa"/>
            <w:tcBorders>
              <w:top w:val="nil"/>
              <w:left w:val="nil"/>
              <w:bottom w:val="nil"/>
              <w:right w:val="nil"/>
            </w:tcBorders>
          </w:tcPr>
          <w:p w14:paraId="1C3AA9E9" w14:textId="77777777" w:rsidR="00467B9E" w:rsidRPr="00764B5A" w:rsidRDefault="00764B5A">
            <w:pPr>
              <w:jc w:val="right"/>
              <w:rPr>
                <w:rFonts w:ascii="Arial" w:hAnsi="Arial" w:cs="Arial"/>
                <w:b/>
                <w:bCs/>
                <w:sz w:val="28"/>
                <w:szCs w:val="28"/>
              </w:rPr>
            </w:pPr>
            <w:r w:rsidRPr="00764B5A">
              <w:rPr>
                <w:rFonts w:ascii="Arial" w:hAnsi="Arial" w:cs="Arial"/>
                <w:b/>
                <w:bCs/>
                <w:sz w:val="28"/>
                <w:szCs w:val="28"/>
                <w:rtl/>
              </w:rPr>
              <w:t>הנאשם</w:t>
            </w:r>
          </w:p>
        </w:tc>
      </w:tr>
    </w:tbl>
    <w:p w14:paraId="1DA2828E" w14:textId="77777777" w:rsidR="005118A3" w:rsidRDefault="005118A3">
      <w:pPr>
        <w:rPr>
          <w:rFonts w:ascii="Arial" w:hAnsi="Arial" w:cs="Arial"/>
          <w:rtl/>
        </w:rPr>
      </w:pPr>
      <w:bookmarkStart w:id="3" w:name="LawTable"/>
      <w:bookmarkEnd w:id="3"/>
    </w:p>
    <w:p w14:paraId="7E774997" w14:textId="77777777" w:rsidR="005118A3" w:rsidRPr="005118A3" w:rsidRDefault="005118A3" w:rsidP="005118A3">
      <w:pPr>
        <w:spacing w:after="120" w:line="240" w:lineRule="exact"/>
        <w:ind w:left="283" w:hanging="283"/>
        <w:jc w:val="both"/>
        <w:rPr>
          <w:rFonts w:ascii="FrankRuehl" w:hAnsi="FrankRuehl" w:cs="FrankRuehl"/>
          <w:rtl/>
        </w:rPr>
      </w:pPr>
      <w:r w:rsidRPr="005118A3">
        <w:rPr>
          <w:rFonts w:ascii="FrankRuehl" w:hAnsi="FrankRuehl" w:cs="FrankRuehl"/>
          <w:rtl/>
        </w:rPr>
        <w:t xml:space="preserve">חקיקה שאוזכרה: </w:t>
      </w:r>
    </w:p>
    <w:p w14:paraId="414F150D" w14:textId="77777777" w:rsidR="005118A3" w:rsidRPr="005118A3" w:rsidRDefault="005118A3" w:rsidP="005118A3">
      <w:pPr>
        <w:spacing w:after="120" w:line="240" w:lineRule="exact"/>
        <w:ind w:left="283" w:hanging="283"/>
        <w:jc w:val="both"/>
        <w:rPr>
          <w:rFonts w:ascii="FrankRuehl" w:hAnsi="FrankRuehl" w:cs="FrankRuehl"/>
          <w:color w:val="0000FF"/>
          <w:u w:val="single"/>
          <w:rtl/>
        </w:rPr>
      </w:pPr>
      <w:hyperlink r:id="rId7" w:history="1">
        <w:r w:rsidRPr="005118A3">
          <w:rPr>
            <w:rStyle w:val="Hyperlink"/>
            <w:rFonts w:ascii="FrankRuehl" w:hAnsi="FrankRuehl" w:cs="FrankRuehl"/>
            <w:rtl/>
          </w:rPr>
          <w:t>חוק העונשין, תשל"ז-1977</w:t>
        </w:r>
      </w:hyperlink>
      <w:r w:rsidRPr="005118A3">
        <w:rPr>
          <w:rFonts w:ascii="FrankRuehl" w:hAnsi="FrankRuehl" w:cs="FrankRuehl"/>
          <w:color w:val="0000FF"/>
          <w:u w:val="single"/>
          <w:rtl/>
        </w:rPr>
        <w:t xml:space="preserve">: סע'  </w:t>
      </w:r>
      <w:hyperlink r:id="rId8" w:history="1">
        <w:r w:rsidRPr="005118A3">
          <w:rPr>
            <w:rStyle w:val="Hyperlink"/>
            <w:rFonts w:ascii="FrankRuehl" w:hAnsi="FrankRuehl" w:cs="FrankRuehl"/>
          </w:rPr>
          <w:t>40</w:t>
        </w:r>
        <w:r w:rsidRPr="005118A3">
          <w:rPr>
            <w:rStyle w:val="Hyperlink"/>
            <w:rFonts w:ascii="FrankRuehl" w:hAnsi="FrankRuehl" w:cs="FrankRuehl"/>
            <w:rtl/>
          </w:rPr>
          <w:t>ב</w:t>
        </w:r>
      </w:hyperlink>
      <w:r w:rsidRPr="005118A3">
        <w:rPr>
          <w:rFonts w:ascii="FrankRuehl" w:hAnsi="FrankRuehl" w:cs="FrankRuehl"/>
          <w:color w:val="0000FF"/>
          <w:u w:val="single"/>
          <w:rtl/>
        </w:rPr>
        <w:t xml:space="preserve">, </w:t>
      </w:r>
      <w:hyperlink r:id="rId9" w:history="1">
        <w:r w:rsidRPr="005118A3">
          <w:rPr>
            <w:rStyle w:val="Hyperlink"/>
            <w:rFonts w:ascii="FrankRuehl" w:hAnsi="FrankRuehl" w:cs="FrankRuehl"/>
          </w:rPr>
          <w:t xml:space="preserve">40 </w:t>
        </w:r>
        <w:r w:rsidRPr="005118A3">
          <w:rPr>
            <w:rStyle w:val="Hyperlink"/>
            <w:rFonts w:ascii="FrankRuehl" w:hAnsi="FrankRuehl" w:cs="FrankRuehl"/>
            <w:rtl/>
          </w:rPr>
          <w:t>ו</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10" w:history="1">
        <w:r w:rsidRPr="005118A3">
          <w:rPr>
            <w:rStyle w:val="Hyperlink"/>
            <w:rFonts w:ascii="FrankRuehl" w:hAnsi="FrankRuehl" w:cs="FrankRuehl"/>
            <w:rtl/>
          </w:rPr>
          <w:t>ז</w:t>
        </w:r>
      </w:hyperlink>
      <w:r w:rsidRPr="005118A3">
        <w:rPr>
          <w:rFonts w:ascii="FrankRuehl" w:hAnsi="FrankRuehl" w:cs="FrankRuehl"/>
          <w:color w:val="0000FF"/>
          <w:u w:val="single"/>
          <w:rtl/>
        </w:rPr>
        <w:t xml:space="preserve">, </w:t>
      </w:r>
      <w:hyperlink r:id="rId11" w:history="1">
        <w:r w:rsidRPr="005118A3">
          <w:rPr>
            <w:rStyle w:val="Hyperlink"/>
            <w:rFonts w:ascii="FrankRuehl" w:hAnsi="FrankRuehl" w:cs="FrankRuehl"/>
          </w:rPr>
          <w:t>40</w:t>
        </w:r>
        <w:r w:rsidRPr="005118A3">
          <w:rPr>
            <w:rStyle w:val="Hyperlink"/>
            <w:rFonts w:ascii="FrankRuehl" w:hAnsi="FrankRuehl" w:cs="FrankRuehl"/>
            <w:rtl/>
          </w:rPr>
          <w:t>ט</w:t>
        </w:r>
      </w:hyperlink>
      <w:r w:rsidRPr="005118A3">
        <w:rPr>
          <w:rFonts w:ascii="FrankRuehl" w:hAnsi="FrankRuehl" w:cs="FrankRuehl"/>
          <w:color w:val="0000FF"/>
          <w:u w:val="single"/>
          <w:rtl/>
        </w:rPr>
        <w:t xml:space="preserve">, </w:t>
      </w:r>
      <w:hyperlink r:id="rId12" w:history="1">
        <w:r w:rsidRPr="005118A3">
          <w:rPr>
            <w:rStyle w:val="Hyperlink"/>
            <w:rFonts w:ascii="FrankRuehl" w:hAnsi="FrankRuehl" w:cs="FrankRuehl"/>
          </w:rPr>
          <w:t xml:space="preserve">40 </w:t>
        </w:r>
        <w:r w:rsidRPr="005118A3">
          <w:rPr>
            <w:rStyle w:val="Hyperlink"/>
            <w:rFonts w:ascii="FrankRuehl" w:hAnsi="FrankRuehl" w:cs="FrankRuehl"/>
            <w:rtl/>
          </w:rPr>
          <w:t>ט (א</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13" w:history="1">
        <w:r w:rsidRPr="005118A3">
          <w:rPr>
            <w:rStyle w:val="Hyperlink"/>
            <w:rFonts w:ascii="FrankRuehl" w:hAnsi="FrankRuehl" w:cs="FrankRuehl"/>
          </w:rPr>
          <w:t>40</w:t>
        </w:r>
        <w:r w:rsidRPr="005118A3">
          <w:rPr>
            <w:rStyle w:val="Hyperlink"/>
            <w:rFonts w:ascii="FrankRuehl" w:hAnsi="FrankRuehl" w:cs="FrankRuehl"/>
            <w:rtl/>
          </w:rPr>
          <w:t>יא</w:t>
        </w:r>
      </w:hyperlink>
      <w:r w:rsidRPr="005118A3">
        <w:rPr>
          <w:rFonts w:ascii="FrankRuehl" w:hAnsi="FrankRuehl" w:cs="FrankRuehl"/>
          <w:color w:val="0000FF"/>
          <w:u w:val="single"/>
          <w:rtl/>
        </w:rPr>
        <w:t xml:space="preserve">, </w:t>
      </w:r>
      <w:hyperlink r:id="rId14" w:history="1">
        <w:r w:rsidRPr="005118A3">
          <w:rPr>
            <w:rStyle w:val="Hyperlink"/>
            <w:rFonts w:ascii="FrankRuehl" w:hAnsi="FrankRuehl" w:cs="FrankRuehl"/>
          </w:rPr>
          <w:t>40</w:t>
        </w:r>
        <w:r w:rsidRPr="005118A3">
          <w:rPr>
            <w:rStyle w:val="Hyperlink"/>
            <w:rFonts w:ascii="FrankRuehl" w:hAnsi="FrankRuehl" w:cs="FrankRuehl"/>
            <w:rtl/>
          </w:rPr>
          <w:t>יג</w:t>
        </w:r>
      </w:hyperlink>
      <w:r w:rsidRPr="005118A3">
        <w:rPr>
          <w:rFonts w:ascii="FrankRuehl" w:hAnsi="FrankRuehl" w:cs="FrankRuehl"/>
          <w:color w:val="0000FF"/>
          <w:u w:val="single"/>
          <w:rtl/>
        </w:rPr>
        <w:t xml:space="preserve">, </w:t>
      </w:r>
      <w:hyperlink r:id="rId15" w:history="1">
        <w:r w:rsidRPr="005118A3">
          <w:rPr>
            <w:rStyle w:val="Hyperlink"/>
            <w:rFonts w:ascii="FrankRuehl" w:hAnsi="FrankRuehl" w:cs="FrankRuehl"/>
          </w:rPr>
          <w:t>40</w:t>
        </w:r>
        <w:r w:rsidRPr="005118A3">
          <w:rPr>
            <w:rStyle w:val="Hyperlink"/>
            <w:rFonts w:ascii="FrankRuehl" w:hAnsi="FrankRuehl" w:cs="FrankRuehl"/>
            <w:rtl/>
          </w:rPr>
          <w:t>יג.א</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16" w:history="1">
        <w:r w:rsidRPr="005118A3">
          <w:rPr>
            <w:rStyle w:val="Hyperlink"/>
            <w:rFonts w:ascii="FrankRuehl" w:hAnsi="FrankRuehl" w:cs="FrankRuehl"/>
          </w:rPr>
          <w:t>40</w:t>
        </w:r>
        <w:r w:rsidRPr="005118A3">
          <w:rPr>
            <w:rStyle w:val="Hyperlink"/>
            <w:rFonts w:ascii="FrankRuehl" w:hAnsi="FrankRuehl" w:cs="FrankRuehl"/>
            <w:rtl/>
          </w:rPr>
          <w:t>יג.ב</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17" w:history="1">
        <w:r w:rsidRPr="005118A3">
          <w:rPr>
            <w:rStyle w:val="Hyperlink"/>
            <w:rFonts w:ascii="FrankRuehl" w:hAnsi="FrankRuehl" w:cs="FrankRuehl"/>
          </w:rPr>
          <w:t>40</w:t>
        </w:r>
        <w:r w:rsidRPr="005118A3">
          <w:rPr>
            <w:rStyle w:val="Hyperlink"/>
            <w:rFonts w:ascii="FrankRuehl" w:hAnsi="FrankRuehl" w:cs="FrankRuehl"/>
            <w:rtl/>
          </w:rPr>
          <w:t>יג.ג</w:t>
        </w:r>
      </w:hyperlink>
      <w:r w:rsidRPr="005118A3">
        <w:rPr>
          <w:rFonts w:ascii="FrankRuehl" w:hAnsi="FrankRuehl" w:cs="FrankRuehl"/>
          <w:color w:val="0000FF"/>
          <w:u w:val="single"/>
          <w:rtl/>
        </w:rPr>
        <w:t xml:space="preserve">, </w:t>
      </w:r>
      <w:hyperlink r:id="rId18" w:history="1">
        <w:r w:rsidRPr="005118A3">
          <w:rPr>
            <w:rStyle w:val="Hyperlink"/>
            <w:rFonts w:ascii="FrankRuehl" w:hAnsi="FrankRuehl" w:cs="FrankRuehl"/>
          </w:rPr>
          <w:t>498(</w:t>
        </w:r>
        <w:r w:rsidRPr="005118A3">
          <w:rPr>
            <w:rStyle w:val="Hyperlink"/>
            <w:rFonts w:ascii="FrankRuehl" w:hAnsi="FrankRuehl" w:cs="FrankRuehl"/>
            <w:rtl/>
          </w:rPr>
          <w:t>א</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19" w:history="1">
        <w:r w:rsidRPr="005118A3">
          <w:rPr>
            <w:rStyle w:val="Hyperlink"/>
            <w:rFonts w:ascii="FrankRuehl" w:hAnsi="FrankRuehl" w:cs="FrankRuehl"/>
          </w:rPr>
          <w:t>499(</w:t>
        </w:r>
        <w:r w:rsidRPr="005118A3">
          <w:rPr>
            <w:rStyle w:val="Hyperlink"/>
            <w:rFonts w:ascii="FrankRuehl" w:hAnsi="FrankRuehl" w:cs="FrankRuehl"/>
            <w:rtl/>
          </w:rPr>
          <w:t>א</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20" w:history="1">
        <w:r w:rsidRPr="005118A3">
          <w:rPr>
            <w:rStyle w:val="Hyperlink"/>
            <w:rFonts w:ascii="FrankRuehl" w:hAnsi="FrankRuehl" w:cs="FrankRuehl"/>
          </w:rPr>
          <w:t>499 (</w:t>
        </w:r>
        <w:r w:rsidRPr="005118A3">
          <w:rPr>
            <w:rStyle w:val="Hyperlink"/>
            <w:rFonts w:ascii="FrankRuehl" w:hAnsi="FrankRuehl" w:cs="FrankRuehl"/>
            <w:rtl/>
          </w:rPr>
          <w:t>א)(1</w:t>
        </w:r>
        <w:r w:rsidRPr="005118A3">
          <w:rPr>
            <w:rStyle w:val="Hyperlink"/>
            <w:rFonts w:ascii="FrankRuehl" w:hAnsi="FrankRuehl" w:cs="FrankRuehl"/>
          </w:rPr>
          <w:t>)</w:t>
        </w:r>
      </w:hyperlink>
    </w:p>
    <w:p w14:paraId="11E75C7B" w14:textId="77777777" w:rsidR="005118A3" w:rsidRPr="005118A3" w:rsidRDefault="005118A3" w:rsidP="005118A3">
      <w:pPr>
        <w:spacing w:after="120" w:line="240" w:lineRule="exact"/>
        <w:ind w:left="283" w:hanging="283"/>
        <w:jc w:val="both"/>
        <w:rPr>
          <w:rFonts w:ascii="FrankRuehl" w:hAnsi="FrankRuehl" w:cs="FrankRuehl"/>
          <w:color w:val="0000FF"/>
          <w:u w:val="single"/>
          <w:rtl/>
        </w:rPr>
      </w:pPr>
      <w:hyperlink r:id="rId21" w:history="1">
        <w:r w:rsidRPr="005118A3">
          <w:rPr>
            <w:rStyle w:val="Hyperlink"/>
            <w:rFonts w:ascii="FrankRuehl" w:hAnsi="FrankRuehl" w:cs="FrankRuehl"/>
            <w:rtl/>
          </w:rPr>
          <w:t>פקודת הסמים המסוכנים [נוסח חדש], תשל"ג-1973</w:t>
        </w:r>
      </w:hyperlink>
      <w:r w:rsidRPr="005118A3">
        <w:rPr>
          <w:rFonts w:ascii="FrankRuehl" w:hAnsi="FrankRuehl" w:cs="FrankRuehl"/>
          <w:color w:val="0000FF"/>
          <w:u w:val="single"/>
          <w:rtl/>
        </w:rPr>
        <w:t xml:space="preserve">: סע'  </w:t>
      </w:r>
      <w:hyperlink r:id="rId22" w:history="1">
        <w:r w:rsidRPr="005118A3">
          <w:rPr>
            <w:rStyle w:val="Hyperlink"/>
            <w:rFonts w:ascii="FrankRuehl" w:hAnsi="FrankRuehl" w:cs="FrankRuehl"/>
          </w:rPr>
          <w:t>7.</w:t>
        </w:r>
        <w:r w:rsidRPr="005118A3">
          <w:rPr>
            <w:rStyle w:val="Hyperlink"/>
            <w:rFonts w:ascii="FrankRuehl" w:hAnsi="FrankRuehl" w:cs="FrankRuehl"/>
            <w:rtl/>
          </w:rPr>
          <w:t>א</w:t>
        </w:r>
        <w:r w:rsidRPr="005118A3">
          <w:rPr>
            <w:rStyle w:val="Hyperlink"/>
            <w:rFonts w:ascii="FrankRuehl" w:hAnsi="FrankRuehl" w:cs="FrankRuehl"/>
          </w:rPr>
          <w:t>.</w:t>
        </w:r>
      </w:hyperlink>
      <w:r w:rsidRPr="005118A3">
        <w:rPr>
          <w:rFonts w:ascii="FrankRuehl" w:hAnsi="FrankRuehl" w:cs="FrankRuehl"/>
          <w:color w:val="0000FF"/>
          <w:u w:val="single"/>
          <w:rtl/>
        </w:rPr>
        <w:t xml:space="preserve">, </w:t>
      </w:r>
      <w:hyperlink r:id="rId23" w:history="1">
        <w:r w:rsidRPr="005118A3">
          <w:rPr>
            <w:rStyle w:val="Hyperlink"/>
            <w:rFonts w:ascii="FrankRuehl" w:hAnsi="FrankRuehl" w:cs="FrankRuehl"/>
          </w:rPr>
          <w:t>7.</w:t>
        </w:r>
        <w:r w:rsidRPr="005118A3">
          <w:rPr>
            <w:rStyle w:val="Hyperlink"/>
            <w:rFonts w:ascii="FrankRuehl" w:hAnsi="FrankRuehl" w:cs="FrankRuehl"/>
            <w:rtl/>
          </w:rPr>
          <w:t>ג</w:t>
        </w:r>
      </w:hyperlink>
    </w:p>
    <w:p w14:paraId="73D39C78" w14:textId="77777777" w:rsidR="005118A3" w:rsidRPr="005118A3" w:rsidRDefault="005118A3" w:rsidP="005118A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7B9E" w:rsidRPr="00764B5A" w14:paraId="6024F68A" w14:textId="77777777">
        <w:trPr>
          <w:trHeight w:val="355"/>
          <w:jc w:val="center"/>
        </w:trPr>
        <w:tc>
          <w:tcPr>
            <w:tcW w:w="8820" w:type="dxa"/>
            <w:tcBorders>
              <w:top w:val="nil"/>
              <w:left w:val="nil"/>
              <w:bottom w:val="nil"/>
              <w:right w:val="nil"/>
            </w:tcBorders>
          </w:tcPr>
          <w:p w14:paraId="182693DE" w14:textId="77777777" w:rsidR="00764B5A" w:rsidRPr="00764B5A" w:rsidRDefault="00764B5A" w:rsidP="00764B5A">
            <w:pPr>
              <w:jc w:val="center"/>
              <w:rPr>
                <w:rFonts w:ascii="Arial" w:hAnsi="Arial" w:cs="Arial"/>
                <w:b/>
                <w:bCs/>
                <w:sz w:val="32"/>
                <w:szCs w:val="32"/>
                <w:rtl/>
              </w:rPr>
            </w:pPr>
            <w:bookmarkStart w:id="4" w:name="LawTable_End"/>
            <w:bookmarkStart w:id="5" w:name="PsakDin" w:colFirst="0" w:colLast="0"/>
            <w:bookmarkEnd w:id="4"/>
          </w:p>
          <w:p w14:paraId="1B037142" w14:textId="77777777" w:rsidR="00764B5A" w:rsidRPr="00764B5A" w:rsidRDefault="00764B5A" w:rsidP="00764B5A">
            <w:pPr>
              <w:jc w:val="center"/>
              <w:rPr>
                <w:rFonts w:ascii="Arial" w:hAnsi="Arial" w:cs="Arial"/>
                <w:b/>
                <w:bCs/>
                <w:sz w:val="32"/>
                <w:szCs w:val="32"/>
                <w:rtl/>
              </w:rPr>
            </w:pPr>
            <w:r w:rsidRPr="00764B5A">
              <w:rPr>
                <w:rFonts w:ascii="Arial" w:hAnsi="Arial" w:cs="Arial"/>
                <w:b/>
                <w:bCs/>
                <w:sz w:val="32"/>
                <w:szCs w:val="32"/>
                <w:rtl/>
              </w:rPr>
              <w:t>גזר דין</w:t>
            </w:r>
          </w:p>
          <w:p w14:paraId="6E1CC0FF" w14:textId="77777777" w:rsidR="00467B9E" w:rsidRPr="00764B5A" w:rsidRDefault="00467B9E" w:rsidP="00764B5A">
            <w:pPr>
              <w:jc w:val="center"/>
              <w:rPr>
                <w:rFonts w:ascii="Arial" w:hAnsi="Arial" w:cs="Arial"/>
                <w:b/>
                <w:bCs/>
                <w:sz w:val="32"/>
                <w:szCs w:val="32"/>
                <w:rtl/>
              </w:rPr>
            </w:pPr>
          </w:p>
        </w:tc>
      </w:tr>
      <w:bookmarkEnd w:id="5"/>
    </w:tbl>
    <w:p w14:paraId="0512E860" w14:textId="77777777" w:rsidR="00467B9E" w:rsidRDefault="00467B9E">
      <w:pPr>
        <w:rPr>
          <w:rFonts w:ascii="Arial" w:hAnsi="Arial" w:cs="Arial"/>
          <w:rtl/>
        </w:rPr>
      </w:pPr>
    </w:p>
    <w:p w14:paraId="41694EFE" w14:textId="77777777" w:rsidR="00467B9E" w:rsidRDefault="00764B5A">
      <w:pPr>
        <w:spacing w:line="360" w:lineRule="auto"/>
        <w:jc w:val="both"/>
        <w:rPr>
          <w:rFonts w:ascii="Arial" w:hAnsi="Arial" w:cs="Arial"/>
          <w:b/>
          <w:bCs/>
          <w:u w:val="single"/>
          <w:rtl/>
        </w:rPr>
      </w:pPr>
      <w:r>
        <w:rPr>
          <w:rFonts w:ascii="Arial" w:hAnsi="Arial" w:cs="Arial"/>
          <w:b/>
          <w:bCs/>
          <w:u w:val="single"/>
          <w:rtl/>
        </w:rPr>
        <w:t>השופט א. ואגו</w:t>
      </w:r>
    </w:p>
    <w:p w14:paraId="00082EE2" w14:textId="77777777" w:rsidR="00467B9E" w:rsidRDefault="00764B5A">
      <w:pPr>
        <w:spacing w:line="360" w:lineRule="auto"/>
        <w:jc w:val="both"/>
        <w:rPr>
          <w:rFonts w:ascii="Arial" w:hAnsi="Arial" w:cs="Arial"/>
          <w:rtl/>
        </w:rPr>
      </w:pPr>
      <w:bookmarkStart w:id="6" w:name="ABSTRACT_START"/>
      <w:bookmarkEnd w:id="6"/>
      <w:r>
        <w:rPr>
          <w:rFonts w:ascii="Arial" w:hAnsi="Arial" w:cs="Arial"/>
          <w:rtl/>
        </w:rPr>
        <w:t xml:space="preserve">בהכרעת דין, שניתנה על ידינו, ביום 3.4.14, לאחר שמיעת הראיות בתיק, הוחלט על זיכויו של הנאשם בשלושה מתוך חמשת האישומים נשוא כתב האישום שהוגש כנגד הנאשם (אישומים 1-3 שם יוחסו לו, בין השאר, שתי עבירות של ניסיון לרצח), ועל הרשעתו בשניים הנותרים- האישומים 4 ו- 5. </w:t>
      </w:r>
    </w:p>
    <w:p w14:paraId="54FB47F3" w14:textId="77777777" w:rsidR="00467B9E" w:rsidRDefault="00467B9E">
      <w:pPr>
        <w:spacing w:line="360" w:lineRule="auto"/>
        <w:jc w:val="both"/>
        <w:rPr>
          <w:rFonts w:ascii="Arial" w:hAnsi="Arial" w:cs="Arial"/>
          <w:rtl/>
        </w:rPr>
      </w:pPr>
      <w:bookmarkStart w:id="7" w:name="ABSTRACT_END"/>
      <w:bookmarkEnd w:id="7"/>
    </w:p>
    <w:p w14:paraId="470429CB" w14:textId="77777777" w:rsidR="00467B9E" w:rsidRDefault="00764B5A">
      <w:pPr>
        <w:spacing w:line="360" w:lineRule="auto"/>
        <w:jc w:val="both"/>
        <w:rPr>
          <w:rFonts w:ascii="Arial" w:hAnsi="Arial" w:cs="Arial"/>
          <w:rtl/>
        </w:rPr>
      </w:pPr>
      <w:r>
        <w:rPr>
          <w:rFonts w:ascii="Arial" w:hAnsi="Arial" w:cs="Arial"/>
          <w:u w:val="single"/>
          <w:rtl/>
        </w:rPr>
        <w:t>במסגרת האישום הרביעי</w:t>
      </w:r>
      <w:r>
        <w:rPr>
          <w:rFonts w:ascii="Arial" w:hAnsi="Arial" w:cs="Arial"/>
          <w:rtl/>
        </w:rPr>
        <w:t xml:space="preserve"> - הורשע הנאשם בשתי עבירות, </w:t>
      </w:r>
      <w:r>
        <w:rPr>
          <w:rFonts w:ascii="Arial" w:hAnsi="Arial" w:cs="Arial"/>
          <w:b/>
          <w:bCs/>
          <w:sz w:val="22"/>
          <w:szCs w:val="22"/>
          <w:rtl/>
        </w:rPr>
        <w:t>מתן אמצעים לביצוע פשע</w:t>
      </w:r>
      <w:r>
        <w:rPr>
          <w:rFonts w:ascii="Arial" w:hAnsi="Arial" w:cs="Arial"/>
          <w:b/>
          <w:bCs/>
          <w:rtl/>
        </w:rPr>
        <w:t>,</w:t>
      </w:r>
      <w:r>
        <w:rPr>
          <w:rFonts w:ascii="Arial" w:hAnsi="Arial" w:cs="Arial"/>
          <w:rtl/>
        </w:rPr>
        <w:t xml:space="preserve"> עבירה לפי </w:t>
      </w:r>
      <w:hyperlink r:id="rId24" w:history="1">
        <w:r w:rsidR="005118A3" w:rsidRPr="005118A3">
          <w:rPr>
            <w:rStyle w:val="Hyperlink"/>
            <w:rFonts w:ascii="Arial" w:hAnsi="Arial" w:cs="Arial"/>
            <w:b/>
            <w:bCs/>
            <w:sz w:val="22"/>
            <w:szCs w:val="22"/>
            <w:rtl/>
          </w:rPr>
          <w:t>סעיף 498(א)</w:t>
        </w:r>
      </w:hyperlink>
      <w:r>
        <w:rPr>
          <w:rFonts w:ascii="Arial" w:hAnsi="Arial" w:cs="Arial"/>
          <w:sz w:val="22"/>
          <w:szCs w:val="22"/>
          <w:rtl/>
        </w:rPr>
        <w:t xml:space="preserve"> </w:t>
      </w:r>
      <w:r>
        <w:rPr>
          <w:rFonts w:ascii="Arial" w:hAnsi="Arial" w:cs="Arial"/>
          <w:b/>
          <w:bCs/>
          <w:sz w:val="22"/>
          <w:szCs w:val="22"/>
          <w:rtl/>
        </w:rPr>
        <w:t>ל</w:t>
      </w:r>
      <w:hyperlink r:id="rId25" w:history="1">
        <w:r w:rsidRPr="00764B5A">
          <w:rPr>
            <w:rFonts w:ascii="Arial" w:hAnsi="Arial" w:cs="Arial"/>
            <w:b/>
            <w:bCs/>
            <w:color w:val="0000FF"/>
            <w:sz w:val="22"/>
            <w:szCs w:val="22"/>
            <w:u w:val="single"/>
            <w:rtl/>
          </w:rPr>
          <w:t>חוק העונשין</w:t>
        </w:r>
      </w:hyperlink>
      <w:r>
        <w:rPr>
          <w:rFonts w:ascii="Arial" w:hAnsi="Arial" w:cs="Arial"/>
          <w:b/>
          <w:bCs/>
          <w:sz w:val="22"/>
          <w:szCs w:val="22"/>
          <w:rtl/>
        </w:rPr>
        <w:t xml:space="preserve"> תשל"ז -1977</w:t>
      </w:r>
      <w:r>
        <w:rPr>
          <w:rFonts w:ascii="Arial" w:hAnsi="Arial" w:cs="Arial"/>
          <w:rtl/>
        </w:rPr>
        <w:t xml:space="preserve">; ועבירה של </w:t>
      </w:r>
      <w:r>
        <w:rPr>
          <w:rFonts w:ascii="Arial" w:hAnsi="Arial" w:cs="Arial"/>
          <w:b/>
          <w:bCs/>
          <w:sz w:val="22"/>
          <w:szCs w:val="22"/>
          <w:rtl/>
        </w:rPr>
        <w:t>קשירת קשר לפשע</w:t>
      </w:r>
      <w:r>
        <w:rPr>
          <w:rFonts w:ascii="Arial" w:hAnsi="Arial" w:cs="Arial"/>
          <w:sz w:val="22"/>
          <w:szCs w:val="22"/>
          <w:rtl/>
        </w:rPr>
        <w:t>,</w:t>
      </w:r>
      <w:r>
        <w:rPr>
          <w:rFonts w:ascii="Arial" w:hAnsi="Arial" w:cs="Arial"/>
          <w:rtl/>
        </w:rPr>
        <w:t xml:space="preserve"> לפי </w:t>
      </w:r>
      <w:hyperlink r:id="rId26" w:history="1">
        <w:r w:rsidR="005118A3" w:rsidRPr="005118A3">
          <w:rPr>
            <w:rStyle w:val="Hyperlink"/>
            <w:rFonts w:ascii="Arial" w:hAnsi="Arial" w:cs="Arial"/>
            <w:b/>
            <w:bCs/>
            <w:sz w:val="22"/>
            <w:szCs w:val="22"/>
            <w:rtl/>
          </w:rPr>
          <w:t>סעיף 499(א)</w:t>
        </w:r>
      </w:hyperlink>
      <w:r>
        <w:rPr>
          <w:rFonts w:ascii="Arial" w:hAnsi="Arial" w:cs="Arial"/>
          <w:rtl/>
        </w:rPr>
        <w:t xml:space="preserve"> לחוק; </w:t>
      </w:r>
    </w:p>
    <w:p w14:paraId="05C4232C" w14:textId="77777777" w:rsidR="00467B9E" w:rsidRDefault="00764B5A">
      <w:pPr>
        <w:spacing w:line="360" w:lineRule="auto"/>
        <w:jc w:val="both"/>
        <w:rPr>
          <w:rFonts w:ascii="Arial" w:hAnsi="Arial" w:cs="Arial"/>
          <w:rtl/>
        </w:rPr>
      </w:pPr>
      <w:r>
        <w:rPr>
          <w:rFonts w:ascii="Arial" w:hAnsi="Arial" w:cs="Arial"/>
          <w:rtl/>
        </w:rPr>
        <w:lastRenderedPageBreak/>
        <w:t xml:space="preserve">העבירה הראשונה מבין השתיים נעברה בכך שהנאשם השתתף, לפי קביעתנו, באופן פעיל, בשיחה שהתנהלה בחצר ביתו עם מספר אנשים, ובהם מי שהופעל על ידי המשטרה כסוכן בפרשה, והמשוחחים קיימו "סיעור מוחות" ביחס לטיפול והשמשה של אקדח תקול שהיה ברשות הסוכן ואחרים. האקדח הוחזק על ידי אלה שלא כדין </w:t>
      </w:r>
      <w:r>
        <w:rPr>
          <w:rFonts w:ascii="Arial" w:hAnsi="Arial" w:cs="Arial"/>
          <w:sz w:val="22"/>
          <w:szCs w:val="22"/>
          <w:rtl/>
        </w:rPr>
        <w:t>(הכלי נגנב מאזרח שנים קודם לכן. הנאשם וחבריו לשיחה היו מודעים לכך שבעבר בוצע ממנו ירי על ידי אדם המקורב ומוכר לנאשם)</w:t>
      </w:r>
      <w:r>
        <w:rPr>
          <w:rFonts w:ascii="Arial" w:hAnsi="Arial" w:cs="Arial"/>
          <w:rtl/>
        </w:rPr>
        <w:t xml:space="preserve">, וכאשר ביצעו בו ניסוי ירי, הוא התגלה כלא תקין. הנאשם נתן עצות והנחיות כיצד להשמיש את האקדח, על ידי פירוקו וניקויו, ואף האיץ באחיו, שהיה נוכח בפגישה, להזדרז ולסייע לסוכן ולחברו לתקן את הנשק, לצורך שימוש עתידי.  </w:t>
      </w:r>
    </w:p>
    <w:p w14:paraId="5085FAF7" w14:textId="77777777" w:rsidR="00467B9E" w:rsidRDefault="00467B9E">
      <w:pPr>
        <w:spacing w:line="360" w:lineRule="auto"/>
        <w:jc w:val="both"/>
        <w:rPr>
          <w:rFonts w:ascii="Arial" w:hAnsi="Arial" w:cs="Arial"/>
          <w:rtl/>
        </w:rPr>
      </w:pPr>
    </w:p>
    <w:p w14:paraId="3EF9C779" w14:textId="77777777" w:rsidR="00467B9E" w:rsidRDefault="00764B5A">
      <w:pPr>
        <w:spacing w:line="360" w:lineRule="auto"/>
        <w:jc w:val="both"/>
        <w:rPr>
          <w:rFonts w:ascii="Arial" w:hAnsi="Arial" w:cs="Arial"/>
          <w:rtl/>
        </w:rPr>
      </w:pPr>
      <w:r>
        <w:rPr>
          <w:rFonts w:ascii="Arial" w:hAnsi="Arial" w:cs="Arial"/>
          <w:rtl/>
        </w:rPr>
        <w:t xml:space="preserve">העבירה השנייה, במסגרת אישום זה, אף היא נעברה במהלך השיחה הנזכרת, כאשר משתתפיה קשרו קשר לרכוש, שלא כדין, נשק ארוך טווח - רובה שעליו ניתן יהיה להתקין טלסקופ צלפים, וזאת מסוחר מהמשולש </w:t>
      </w:r>
      <w:r>
        <w:rPr>
          <w:rFonts w:ascii="Arial" w:hAnsi="Arial" w:cs="Arial"/>
          <w:sz w:val="22"/>
          <w:szCs w:val="22"/>
          <w:rtl/>
        </w:rPr>
        <w:t>(שהיה בעצם איש משטרה שהתחזה)</w:t>
      </w:r>
      <w:r>
        <w:rPr>
          <w:rFonts w:ascii="Arial" w:hAnsi="Arial" w:cs="Arial"/>
          <w:rtl/>
        </w:rPr>
        <w:t xml:space="preserve">, ובתיווכו, כביכול, של הסוכן, מי שהיה עד התביעה המרכזי במשפט. העסקה לא יצאה אל הפועל, ובוטלה בהוראת הנאשם, משהתעורר חשדו בדבר האותנטיות של אותו סוחר הנשק כביכול מהמשולש. </w:t>
      </w:r>
    </w:p>
    <w:p w14:paraId="0F663C76" w14:textId="77777777" w:rsidR="00467B9E" w:rsidRDefault="00467B9E">
      <w:pPr>
        <w:spacing w:line="360" w:lineRule="auto"/>
        <w:jc w:val="both"/>
        <w:rPr>
          <w:rFonts w:ascii="Arial" w:hAnsi="Arial" w:cs="Arial"/>
          <w:rtl/>
        </w:rPr>
      </w:pPr>
    </w:p>
    <w:p w14:paraId="602A23A0" w14:textId="77777777" w:rsidR="00467B9E" w:rsidRDefault="00764B5A">
      <w:pPr>
        <w:spacing w:line="360" w:lineRule="auto"/>
        <w:jc w:val="both"/>
        <w:rPr>
          <w:rFonts w:ascii="Arial" w:hAnsi="Arial" w:cs="Arial"/>
          <w:rtl/>
        </w:rPr>
      </w:pPr>
      <w:r>
        <w:rPr>
          <w:rFonts w:ascii="Arial" w:hAnsi="Arial" w:cs="Arial"/>
          <w:u w:val="single"/>
          <w:rtl/>
        </w:rPr>
        <w:t>במסגרת האישום החמישי</w:t>
      </w:r>
      <w:r>
        <w:rPr>
          <w:rFonts w:ascii="Arial" w:hAnsi="Arial" w:cs="Arial"/>
          <w:rtl/>
        </w:rPr>
        <w:t xml:space="preserve"> - הורשע הנאשם בעבירה של </w:t>
      </w:r>
      <w:r>
        <w:rPr>
          <w:rFonts w:ascii="Arial" w:hAnsi="Arial" w:cs="Arial"/>
          <w:b/>
          <w:bCs/>
          <w:sz w:val="22"/>
          <w:szCs w:val="22"/>
          <w:rtl/>
        </w:rPr>
        <w:t>החזקת סם מסוכן</w:t>
      </w:r>
      <w:r>
        <w:rPr>
          <w:rFonts w:ascii="Arial" w:hAnsi="Arial" w:cs="Arial"/>
          <w:sz w:val="22"/>
          <w:szCs w:val="22"/>
          <w:rtl/>
        </w:rPr>
        <w:t xml:space="preserve"> </w:t>
      </w:r>
      <w:r>
        <w:rPr>
          <w:rFonts w:ascii="Arial" w:hAnsi="Arial" w:cs="Arial"/>
          <w:b/>
          <w:bCs/>
          <w:sz w:val="22"/>
          <w:szCs w:val="22"/>
          <w:rtl/>
        </w:rPr>
        <w:t>שלא לשימוש עצמי,</w:t>
      </w:r>
      <w:r>
        <w:rPr>
          <w:rFonts w:ascii="Arial" w:hAnsi="Arial" w:cs="Arial"/>
          <w:rtl/>
        </w:rPr>
        <w:t xml:space="preserve"> עבירה לפי </w:t>
      </w:r>
      <w:hyperlink r:id="rId27" w:history="1">
        <w:r w:rsidR="005118A3" w:rsidRPr="005118A3">
          <w:rPr>
            <w:rStyle w:val="Hyperlink"/>
            <w:rFonts w:ascii="Arial" w:hAnsi="Arial" w:cs="Arial"/>
            <w:b/>
            <w:bCs/>
            <w:rtl/>
          </w:rPr>
          <w:t>סעיף 7(א)+(ג)</w:t>
        </w:r>
      </w:hyperlink>
      <w:r>
        <w:rPr>
          <w:rFonts w:ascii="Arial" w:hAnsi="Arial" w:cs="Arial"/>
          <w:rtl/>
        </w:rPr>
        <w:t xml:space="preserve"> ל</w:t>
      </w:r>
      <w:hyperlink r:id="rId28" w:history="1">
        <w:r w:rsidRPr="00764B5A">
          <w:rPr>
            <w:rFonts w:ascii="Arial" w:hAnsi="Arial" w:cs="Arial"/>
            <w:color w:val="0000FF"/>
            <w:u w:val="single"/>
            <w:rtl/>
          </w:rPr>
          <w:t>פקודת הסמים המסוכנים</w:t>
        </w:r>
      </w:hyperlink>
      <w:r>
        <w:rPr>
          <w:rFonts w:ascii="Arial" w:hAnsi="Arial" w:cs="Arial"/>
          <w:rtl/>
        </w:rPr>
        <w:t xml:space="preserve"> [נוסח חדש תשל"ג -1973]. </w:t>
      </w:r>
    </w:p>
    <w:p w14:paraId="4BA5AA22" w14:textId="77777777" w:rsidR="00467B9E" w:rsidRDefault="00764B5A">
      <w:pPr>
        <w:spacing w:line="360" w:lineRule="auto"/>
        <w:jc w:val="both"/>
        <w:rPr>
          <w:rFonts w:ascii="Arial" w:hAnsi="Arial" w:cs="Arial"/>
          <w:rtl/>
        </w:rPr>
      </w:pPr>
      <w:r>
        <w:rPr>
          <w:rFonts w:ascii="Arial" w:hAnsi="Arial" w:cs="Arial"/>
          <w:rtl/>
        </w:rPr>
        <w:t xml:space="preserve">מדובר בסם מסוג קוקאין במשקל </w:t>
      </w:r>
      <w:smartTag w:uri="urn:schemas-microsoft-com:office:smarttags" w:element="metricconverter">
        <w:smartTagPr>
          <w:attr w:name="ProductID" w:val="0.5169 גרם"/>
        </w:smartTagPr>
        <w:r>
          <w:rPr>
            <w:rFonts w:ascii="Arial" w:hAnsi="Arial" w:cs="Arial"/>
            <w:rtl/>
          </w:rPr>
          <w:t>0.5169 גרם</w:t>
        </w:r>
      </w:smartTag>
      <w:r>
        <w:rPr>
          <w:rFonts w:ascii="Arial" w:hAnsi="Arial" w:cs="Arial"/>
          <w:rtl/>
        </w:rPr>
        <w:t xml:space="preserve"> נטו, שהיה מוסלק בתוך שקית שנמצאה על גופו של הנאשם כאשר נעצר כחשוד בביצוע העבירות האחרות שעליהן הוגש האישום. </w:t>
      </w:r>
    </w:p>
    <w:p w14:paraId="2D7CC19B" w14:textId="77777777" w:rsidR="00467B9E" w:rsidRDefault="00467B9E">
      <w:pPr>
        <w:jc w:val="both"/>
        <w:rPr>
          <w:rFonts w:ascii="Arial" w:hAnsi="Arial" w:cs="Arial"/>
          <w:rtl/>
        </w:rPr>
      </w:pPr>
    </w:p>
    <w:p w14:paraId="261C1653" w14:textId="77777777" w:rsidR="00467B9E" w:rsidRDefault="00467B9E">
      <w:pPr>
        <w:rPr>
          <w:rFonts w:ascii="Arial" w:hAnsi="Arial" w:cs="Arial"/>
          <w:rtl/>
        </w:rPr>
      </w:pPr>
    </w:p>
    <w:p w14:paraId="1E913EC7" w14:textId="77777777" w:rsidR="00467B9E" w:rsidRDefault="00764B5A">
      <w:pPr>
        <w:spacing w:line="360" w:lineRule="auto"/>
        <w:jc w:val="both"/>
        <w:rPr>
          <w:rFonts w:ascii="Arial" w:hAnsi="Arial" w:cs="Arial"/>
          <w:rtl/>
        </w:rPr>
      </w:pPr>
      <w:r>
        <w:rPr>
          <w:rFonts w:ascii="Arial" w:hAnsi="Arial" w:cs="Arial"/>
          <w:rtl/>
        </w:rPr>
        <w:t xml:space="preserve">הנאשם שלפנינו הוא יליד 1975, רווק, שיש לו ילדה כבת 11. על פי גיליון ההרשעות הקודמות שהוגש בפנינו </w:t>
      </w:r>
      <w:r>
        <w:rPr>
          <w:rFonts w:ascii="Arial" w:hAnsi="Arial" w:cs="Arial"/>
          <w:b/>
          <w:bCs/>
          <w:sz w:val="22"/>
          <w:szCs w:val="22"/>
          <w:rtl/>
        </w:rPr>
        <w:t>(ת/1 לעונש),</w:t>
      </w:r>
      <w:r>
        <w:rPr>
          <w:rFonts w:ascii="Arial" w:hAnsi="Arial" w:cs="Arial"/>
          <w:rtl/>
        </w:rPr>
        <w:t xml:space="preserve"> יש לחובתו רישומים בגין הרשעות במגוון עבירות, בתחום ההימורים האסורים, ועבירות נלוות בתחום המס והלבנת הון, החזקת סם לצריכה עצמית, ושלא לצריכה עצמית, הפרת הוראה חוקית, התנהגות פרועה ואיומים, תקיפת שוטר ועבירות רכוש ותעבורה. בגין הרשעתו האחרונה, שעניינה עבירות הימורים ועבירות נלוות, נגזר דינו של הנאשם ל- 3 שנות מאסר, שאותן החל לרצות לאחר שנדחה ערעורו בביהמ"ש העליון, במרץ 2011, ואת העבירות שעליהן הורשע כעת, על ידינו, ביצע אך ימים ספורים לאחר שחרורו מהכלא. </w:t>
      </w:r>
    </w:p>
    <w:p w14:paraId="45221CDA" w14:textId="77777777" w:rsidR="00467B9E" w:rsidRDefault="00467B9E">
      <w:pPr>
        <w:rPr>
          <w:rFonts w:ascii="Arial" w:hAnsi="Arial" w:cs="Arial"/>
          <w:rtl/>
        </w:rPr>
      </w:pPr>
    </w:p>
    <w:p w14:paraId="48B9B8C0" w14:textId="77777777" w:rsidR="00467B9E" w:rsidRDefault="00764B5A">
      <w:pPr>
        <w:rPr>
          <w:rFonts w:ascii="Arial" w:hAnsi="Arial" w:cs="Arial"/>
          <w:rtl/>
        </w:rPr>
      </w:pPr>
      <w:r>
        <w:rPr>
          <w:rFonts w:ascii="Arial" w:hAnsi="Arial" w:cs="Arial"/>
          <w:rtl/>
        </w:rPr>
        <w:lastRenderedPageBreak/>
        <w:t xml:space="preserve">למן מעצרו, בפרשה הנוכחית, ביום 19.9.12, נתון הנאשם במעצר עד תום ההליכים. </w:t>
      </w:r>
    </w:p>
    <w:p w14:paraId="17F18AA0" w14:textId="77777777" w:rsidR="00467B9E" w:rsidRDefault="00467B9E">
      <w:pPr>
        <w:spacing w:line="360" w:lineRule="auto"/>
        <w:jc w:val="both"/>
        <w:rPr>
          <w:rFonts w:ascii="Arial" w:hAnsi="Arial" w:cs="Arial"/>
          <w:rtl/>
        </w:rPr>
      </w:pPr>
    </w:p>
    <w:p w14:paraId="285FCCAE" w14:textId="77777777" w:rsidR="00467B9E" w:rsidRDefault="00764B5A">
      <w:pPr>
        <w:spacing w:line="360" w:lineRule="auto"/>
        <w:jc w:val="both"/>
        <w:rPr>
          <w:rFonts w:ascii="Arial" w:hAnsi="Arial" w:cs="Arial"/>
          <w:rtl/>
        </w:rPr>
      </w:pPr>
      <w:r>
        <w:rPr>
          <w:rFonts w:ascii="Arial" w:hAnsi="Arial" w:cs="Arial"/>
          <w:rtl/>
        </w:rPr>
        <w:t>המאשימה, שהגישה טיעוניה לעונש בכתב, עותרת להשית על הנאשם עונש מאסר בפועל ממושך לצד מאסר על תנאי וקנס.</w:t>
      </w:r>
    </w:p>
    <w:p w14:paraId="7E3BFDA8" w14:textId="77777777" w:rsidR="00467B9E" w:rsidRDefault="00764B5A">
      <w:pPr>
        <w:spacing w:line="360" w:lineRule="auto"/>
        <w:jc w:val="both"/>
        <w:rPr>
          <w:rFonts w:ascii="Arial" w:hAnsi="Arial" w:cs="Arial"/>
          <w:rtl/>
        </w:rPr>
      </w:pPr>
      <w:r>
        <w:rPr>
          <w:rFonts w:ascii="Arial" w:hAnsi="Arial" w:cs="Arial"/>
          <w:rtl/>
        </w:rPr>
        <w:t xml:space="preserve"> </w:t>
      </w:r>
    </w:p>
    <w:p w14:paraId="5E7F1D0D" w14:textId="77777777" w:rsidR="00467B9E" w:rsidRDefault="00764B5A">
      <w:pPr>
        <w:spacing w:line="360" w:lineRule="auto"/>
        <w:jc w:val="both"/>
        <w:rPr>
          <w:rFonts w:ascii="Arial" w:hAnsi="Arial" w:cs="Arial"/>
          <w:rtl/>
        </w:rPr>
      </w:pPr>
      <w:r>
        <w:rPr>
          <w:rFonts w:ascii="Arial" w:hAnsi="Arial" w:cs="Arial"/>
          <w:rtl/>
        </w:rPr>
        <w:t xml:space="preserve">טיעוני באת כח המאשימה, עו"ד מ. עמר, נגזרים מהעקרונות וההתוויות שעל פי </w:t>
      </w:r>
      <w:r>
        <w:rPr>
          <w:rFonts w:ascii="Arial" w:hAnsi="Arial" w:cs="Arial"/>
          <w:b/>
          <w:bCs/>
          <w:sz w:val="22"/>
          <w:szCs w:val="22"/>
          <w:rtl/>
        </w:rPr>
        <w:t>תיקון 113</w:t>
      </w:r>
      <w:r>
        <w:rPr>
          <w:rFonts w:ascii="Arial" w:hAnsi="Arial" w:cs="Arial"/>
          <w:rtl/>
        </w:rPr>
        <w:t xml:space="preserve"> ל</w:t>
      </w:r>
      <w:hyperlink r:id="rId29" w:history="1">
        <w:r w:rsidRPr="00764B5A">
          <w:rPr>
            <w:rFonts w:ascii="Arial" w:hAnsi="Arial" w:cs="Arial"/>
            <w:color w:val="0000FF"/>
            <w:u w:val="single"/>
            <w:rtl/>
          </w:rPr>
          <w:t>חוק העונשין</w:t>
        </w:r>
      </w:hyperlink>
      <w:r>
        <w:rPr>
          <w:rFonts w:ascii="Arial" w:hAnsi="Arial" w:cs="Arial"/>
          <w:rtl/>
        </w:rPr>
        <w:t xml:space="preserve">. כידוע, העיקרון המנחה בקביעת מתחם הענישה הינו עקרון ההלימה הנקוב </w:t>
      </w:r>
      <w:hyperlink r:id="rId30" w:history="1">
        <w:r w:rsidR="005118A3" w:rsidRPr="005118A3">
          <w:rPr>
            <w:rStyle w:val="Hyperlink"/>
            <w:rFonts w:ascii="Arial" w:hAnsi="Arial" w:cs="Arial"/>
            <w:b/>
            <w:bCs/>
            <w:sz w:val="22"/>
            <w:szCs w:val="22"/>
            <w:rtl/>
          </w:rPr>
          <w:t>בסעיף 40ב</w:t>
        </w:r>
      </w:hyperlink>
      <w:r>
        <w:rPr>
          <w:rFonts w:ascii="Arial" w:hAnsi="Arial" w:cs="Arial"/>
          <w:rtl/>
        </w:rPr>
        <w:t xml:space="preserve"> של החוק. </w:t>
      </w:r>
    </w:p>
    <w:p w14:paraId="4D8A61D9" w14:textId="77777777" w:rsidR="00467B9E" w:rsidRDefault="00764B5A">
      <w:pPr>
        <w:spacing w:line="360" w:lineRule="auto"/>
        <w:jc w:val="both"/>
        <w:rPr>
          <w:rFonts w:ascii="Arial" w:hAnsi="Arial" w:cs="Arial"/>
          <w:rtl/>
        </w:rPr>
      </w:pPr>
      <w:r>
        <w:rPr>
          <w:rFonts w:ascii="Arial" w:hAnsi="Arial" w:cs="Arial"/>
          <w:rtl/>
        </w:rPr>
        <w:t xml:space="preserve">התביעה גורסת, כי </w:t>
      </w:r>
      <w:r>
        <w:rPr>
          <w:rFonts w:ascii="Arial" w:hAnsi="Arial" w:cs="Arial"/>
          <w:u w:val="single"/>
          <w:rtl/>
        </w:rPr>
        <w:t>הענישה על עבירות האישום הרביעי</w:t>
      </w:r>
      <w:r>
        <w:rPr>
          <w:rFonts w:ascii="Arial" w:hAnsi="Arial" w:cs="Arial"/>
          <w:rtl/>
        </w:rPr>
        <w:t xml:space="preserve">, צריכה להביא לביטוי ערכים מוגנים שבבסיס עבירות הנשק, ככלל, כלומר - הגנה על הציבור ובטחונו מפני "מירוץ התחמשות" של עבריינים, וליישם מדיניות ברורה של מלחמת חורמה בהחזקת נשק לא חוקי והעברתו מיד ליד, כאשר הוא נועד, בעליל, לשימוש עברייני. התובעת המלומדה הפנתה לפסיקה המתווה קו מחמיר בכגון דא, בשים לב לפוטנציאל הסיכון הרב הטמון בנשק חם המוחזק בעולם הפשע, סיכון הנשקף גם לאזרחים תמימים שעלולים להיקלע לקו האש. הפסיקה גם הטעימה את הסיכון המוגבר הקיים בהחזקה ובהעברה מיד ליד של נשק שעל-פי טיבו הוא "התקפי", כמו רובה הצלפים, נשוא ענייננו, ובשונה מנשק הנרכש להגנה עצמית. </w:t>
      </w:r>
    </w:p>
    <w:p w14:paraId="50D8B1C6" w14:textId="77777777" w:rsidR="00467B9E" w:rsidRDefault="00467B9E">
      <w:pPr>
        <w:spacing w:line="360" w:lineRule="auto"/>
        <w:jc w:val="both"/>
        <w:rPr>
          <w:rFonts w:ascii="Arial" w:hAnsi="Arial" w:cs="Arial"/>
          <w:rtl/>
        </w:rPr>
      </w:pPr>
    </w:p>
    <w:p w14:paraId="2428E102" w14:textId="77777777" w:rsidR="00467B9E" w:rsidRDefault="00764B5A">
      <w:pPr>
        <w:spacing w:line="360" w:lineRule="auto"/>
        <w:jc w:val="both"/>
        <w:rPr>
          <w:rFonts w:ascii="Arial" w:hAnsi="Arial" w:cs="Arial"/>
          <w:rtl/>
        </w:rPr>
      </w:pPr>
      <w:r>
        <w:rPr>
          <w:rFonts w:ascii="Arial" w:hAnsi="Arial" w:cs="Arial"/>
          <w:rtl/>
        </w:rPr>
        <w:t xml:space="preserve">המאשימה מציעה מתחם ענישה ראוי בגין העבירות באישום הרביעי, שיעמוד על </w:t>
      </w:r>
      <w:r>
        <w:rPr>
          <w:rFonts w:ascii="Arial" w:hAnsi="Arial" w:cs="Arial"/>
          <w:u w:val="single"/>
          <w:rtl/>
        </w:rPr>
        <w:t>בין 2 ל- 4 שנות מאסר בפועל</w:t>
      </w:r>
      <w:r>
        <w:rPr>
          <w:rFonts w:ascii="Arial" w:hAnsi="Arial" w:cs="Arial"/>
          <w:rtl/>
        </w:rPr>
        <w:t xml:space="preserve">.   </w:t>
      </w:r>
    </w:p>
    <w:p w14:paraId="4F4CC8AA" w14:textId="77777777" w:rsidR="00467B9E" w:rsidRDefault="00467B9E">
      <w:pPr>
        <w:spacing w:line="360" w:lineRule="auto"/>
        <w:jc w:val="both"/>
        <w:rPr>
          <w:rFonts w:ascii="Arial" w:hAnsi="Arial" w:cs="Arial"/>
          <w:rtl/>
        </w:rPr>
      </w:pPr>
    </w:p>
    <w:p w14:paraId="4FBB11C6" w14:textId="77777777" w:rsidR="00467B9E" w:rsidRDefault="00764B5A">
      <w:pPr>
        <w:spacing w:line="360" w:lineRule="auto"/>
        <w:jc w:val="both"/>
        <w:rPr>
          <w:rFonts w:ascii="Arial" w:hAnsi="Arial" w:cs="Arial"/>
          <w:rtl/>
        </w:rPr>
      </w:pPr>
      <w:r>
        <w:rPr>
          <w:rFonts w:ascii="Arial" w:hAnsi="Arial" w:cs="Arial"/>
          <w:rtl/>
        </w:rPr>
        <w:t xml:space="preserve">לעניין הנסיבות הקשורות בביצוע העבירה, שיש בהן להשפיע על חומרת העבירה ועל מידת אשמו של הנאשם </w:t>
      </w:r>
      <w:r>
        <w:rPr>
          <w:rFonts w:ascii="Arial" w:hAnsi="Arial" w:cs="Arial"/>
          <w:sz w:val="22"/>
          <w:szCs w:val="22"/>
          <w:rtl/>
        </w:rPr>
        <w:t>(</w:t>
      </w:r>
      <w:hyperlink r:id="rId31" w:history="1">
        <w:r w:rsidR="005118A3" w:rsidRPr="005118A3">
          <w:rPr>
            <w:rStyle w:val="Hyperlink"/>
            <w:rFonts w:ascii="Arial" w:hAnsi="Arial" w:cs="Arial"/>
            <w:b/>
            <w:bCs/>
            <w:sz w:val="22"/>
            <w:szCs w:val="22"/>
            <w:rtl/>
          </w:rPr>
          <w:t>סעיף 40ט</w:t>
        </w:r>
      </w:hyperlink>
      <w:r>
        <w:rPr>
          <w:rFonts w:ascii="Arial" w:hAnsi="Arial" w:cs="Arial"/>
          <w:sz w:val="22"/>
          <w:szCs w:val="22"/>
          <w:rtl/>
        </w:rPr>
        <w:t xml:space="preserve"> לחוק),</w:t>
      </w:r>
      <w:r>
        <w:rPr>
          <w:rFonts w:ascii="Arial" w:hAnsi="Arial" w:cs="Arial"/>
          <w:rtl/>
        </w:rPr>
        <w:t xml:space="preserve"> מצביעה עו"ד עמר על התכנון המוקדם, שלפיו ביקש הנאשם לשלוח אדם מטעמו לבדוק את הרובה המועמד לרכישה אצל הסוחר, מטעמי זהירות, ושהוא חפץ לוודא שלא נעשה בנשק שימוש קודם ושהוא "נקי". המאשימה סבורה שלמרות שהעבירה לא הושלמה והדברים היו בשלב מקדמי, וכאשר ביטול העסקה לא בא מחרטה אלא משיקולים נקודתיים של הנאשם </w:t>
      </w:r>
      <w:r>
        <w:rPr>
          <w:rFonts w:ascii="Arial" w:hAnsi="Arial" w:cs="Arial"/>
          <w:sz w:val="22"/>
          <w:szCs w:val="22"/>
          <w:rtl/>
        </w:rPr>
        <w:t>(חשדו התעורר),</w:t>
      </w:r>
      <w:r>
        <w:rPr>
          <w:rFonts w:ascii="Arial" w:hAnsi="Arial" w:cs="Arial"/>
          <w:rtl/>
        </w:rPr>
        <w:t xml:space="preserve"> יש להשית עונש חמור כדי להרתיע עבריינים פוטנציאליים, גם כאשר התפיסה נעשתה טרם שהצליחו לבצע מעשים חמורים עם אותו נשק. כמו-כן, הוטעם חלקו האקטיבי של הנאשם בשיחה בעניין האקדח התקול, כשהוא נשמע מנחה ונותן הוראות. </w:t>
      </w:r>
    </w:p>
    <w:p w14:paraId="56A5C7F9" w14:textId="77777777" w:rsidR="00467B9E" w:rsidRDefault="00467B9E">
      <w:pPr>
        <w:spacing w:line="360" w:lineRule="auto"/>
        <w:jc w:val="both"/>
        <w:rPr>
          <w:rFonts w:ascii="Arial" w:hAnsi="Arial" w:cs="Arial"/>
          <w:rtl/>
        </w:rPr>
      </w:pPr>
    </w:p>
    <w:p w14:paraId="30F57CA4" w14:textId="77777777" w:rsidR="00467B9E" w:rsidRDefault="00764B5A">
      <w:pPr>
        <w:spacing w:line="360" w:lineRule="auto"/>
        <w:jc w:val="both"/>
        <w:rPr>
          <w:rFonts w:ascii="Arial" w:hAnsi="Arial" w:cs="Arial"/>
          <w:rtl/>
        </w:rPr>
      </w:pPr>
      <w:r>
        <w:rPr>
          <w:rFonts w:ascii="Arial" w:hAnsi="Arial" w:cs="Arial"/>
          <w:rtl/>
        </w:rPr>
        <w:t xml:space="preserve">המאשימה גורסת כי ניתן לשער מה הניע את הנאשם לבצע את העבירות הללו, שהרי מאחורי הרצון להצטייד בנשק צלפים ארוך ולהשמיש את האקדח הגנוב, נקל להבין שעומד מניע וכוונה להשתמש באלה בעתיד. </w:t>
      </w:r>
    </w:p>
    <w:p w14:paraId="54BB699B" w14:textId="77777777" w:rsidR="00467B9E" w:rsidRDefault="00467B9E">
      <w:pPr>
        <w:spacing w:line="360" w:lineRule="auto"/>
        <w:jc w:val="both"/>
        <w:rPr>
          <w:rFonts w:ascii="Arial" w:hAnsi="Arial" w:cs="Arial"/>
          <w:rtl/>
        </w:rPr>
      </w:pPr>
    </w:p>
    <w:p w14:paraId="34CF4AD5" w14:textId="77777777" w:rsidR="00467B9E" w:rsidRDefault="00764B5A">
      <w:pPr>
        <w:spacing w:line="360" w:lineRule="auto"/>
        <w:jc w:val="both"/>
        <w:rPr>
          <w:rFonts w:ascii="Arial" w:hAnsi="Arial" w:cs="Arial"/>
          <w:rtl/>
        </w:rPr>
      </w:pPr>
      <w:r>
        <w:rPr>
          <w:rFonts w:ascii="Arial" w:hAnsi="Arial" w:cs="Arial"/>
          <w:rtl/>
        </w:rPr>
        <w:t xml:space="preserve">בכל האמור בנסיבות שאינן קשורות בביצוע העבירה </w:t>
      </w:r>
      <w:r>
        <w:rPr>
          <w:rFonts w:ascii="Arial" w:hAnsi="Arial" w:cs="Arial"/>
          <w:sz w:val="22"/>
          <w:szCs w:val="22"/>
          <w:rtl/>
        </w:rPr>
        <w:t>(</w:t>
      </w:r>
      <w:hyperlink r:id="rId32" w:history="1">
        <w:r w:rsidR="005118A3" w:rsidRPr="005118A3">
          <w:rPr>
            <w:rStyle w:val="Hyperlink"/>
            <w:rFonts w:ascii="Arial" w:hAnsi="Arial" w:cs="Arial"/>
            <w:b/>
            <w:bCs/>
            <w:sz w:val="22"/>
            <w:szCs w:val="22"/>
            <w:rtl/>
          </w:rPr>
          <w:t>סעיף 40יא</w:t>
        </w:r>
      </w:hyperlink>
      <w:r>
        <w:rPr>
          <w:rFonts w:ascii="Arial" w:hAnsi="Arial" w:cs="Arial"/>
          <w:sz w:val="22"/>
          <w:szCs w:val="22"/>
          <w:rtl/>
        </w:rPr>
        <w:t xml:space="preserve"> שלאחר תיקון </w:t>
      </w:r>
      <w:r>
        <w:rPr>
          <w:rFonts w:ascii="Arial" w:hAnsi="Arial" w:cs="Arial"/>
          <w:b/>
          <w:bCs/>
          <w:sz w:val="22"/>
          <w:szCs w:val="22"/>
          <w:rtl/>
        </w:rPr>
        <w:t>113</w:t>
      </w:r>
      <w:r>
        <w:rPr>
          <w:rFonts w:ascii="Arial" w:hAnsi="Arial" w:cs="Arial"/>
          <w:sz w:val="22"/>
          <w:szCs w:val="22"/>
          <w:rtl/>
        </w:rPr>
        <w:t>)</w:t>
      </w:r>
      <w:r>
        <w:rPr>
          <w:rFonts w:ascii="Arial" w:hAnsi="Arial" w:cs="Arial"/>
          <w:rtl/>
        </w:rPr>
        <w:t xml:space="preserve">, אין התביעה מוצאת נסיבות מקלות, הן בשל הרשעותיו הקודמות של הנאשם, והן בשל הזמן המאוד קצר שחלף משחרורו ממאסר קודם ועד הסתבכותו באירועים הנוכחיים. בשל שיקולי הרתעה אישית והרתעת הרבים, ובהיעדר שיקולי שיקום שיאזנו זאת, מבקשת המאשימה להעניש הנאשם בחומרה. </w:t>
      </w:r>
    </w:p>
    <w:p w14:paraId="0F7699F5" w14:textId="77777777" w:rsidR="00467B9E" w:rsidRDefault="00467B9E">
      <w:pPr>
        <w:spacing w:line="360" w:lineRule="auto"/>
        <w:jc w:val="both"/>
        <w:rPr>
          <w:rFonts w:ascii="Arial" w:hAnsi="Arial" w:cs="Arial"/>
          <w:rtl/>
        </w:rPr>
      </w:pPr>
    </w:p>
    <w:p w14:paraId="53FD17E8" w14:textId="77777777" w:rsidR="00467B9E" w:rsidRDefault="00764B5A">
      <w:pPr>
        <w:spacing w:line="360" w:lineRule="auto"/>
        <w:jc w:val="both"/>
        <w:rPr>
          <w:rFonts w:ascii="Arial" w:hAnsi="Arial" w:cs="Arial"/>
          <w:rtl/>
        </w:rPr>
      </w:pPr>
      <w:r>
        <w:rPr>
          <w:rFonts w:ascii="Arial" w:hAnsi="Arial" w:cs="Arial"/>
          <w:rtl/>
        </w:rPr>
        <w:t xml:space="preserve">אשר לעונש בעבירת הסם - </w:t>
      </w:r>
      <w:r>
        <w:rPr>
          <w:rFonts w:ascii="Arial" w:hAnsi="Arial" w:cs="Arial"/>
          <w:u w:val="single"/>
          <w:rtl/>
        </w:rPr>
        <w:t>נשוא האישום החמישי</w:t>
      </w:r>
      <w:r>
        <w:rPr>
          <w:rFonts w:ascii="Arial" w:hAnsi="Arial" w:cs="Arial"/>
          <w:rtl/>
        </w:rPr>
        <w:t xml:space="preserve"> - מציעה המאשימה </w:t>
      </w:r>
      <w:r>
        <w:rPr>
          <w:rFonts w:ascii="Arial" w:hAnsi="Arial" w:cs="Arial"/>
          <w:u w:val="single"/>
          <w:rtl/>
        </w:rPr>
        <w:t>מתחם ענישה שבין מאסר על תנאי לשנת מאסר בפועל</w:t>
      </w:r>
      <w:r>
        <w:rPr>
          <w:rFonts w:ascii="Arial" w:hAnsi="Arial" w:cs="Arial"/>
          <w:rtl/>
        </w:rPr>
        <w:t xml:space="preserve">. התובעת ציינה, שהנאשם הורשע בעבר בהחזקה, הן לשימוש עצמי והן בהחזקה שלא לשימוש עצמי, כמו כעת. משלא נרתע מהרשעותיו הקודמות בתחום זה, גורסת התובעת שיש להחמיר עם הנאשם ולהרתיעו, והזכירה את מגמת הפסיקה להחמיר בענישה על החזקת סמים שלא לצריכה עצמית. </w:t>
      </w:r>
    </w:p>
    <w:p w14:paraId="2F8AF932" w14:textId="77777777" w:rsidR="00467B9E" w:rsidRDefault="00467B9E">
      <w:pPr>
        <w:spacing w:line="360" w:lineRule="auto"/>
        <w:jc w:val="both"/>
        <w:rPr>
          <w:rFonts w:ascii="Arial" w:hAnsi="Arial" w:cs="Arial"/>
          <w:rtl/>
        </w:rPr>
      </w:pPr>
    </w:p>
    <w:p w14:paraId="0186CBCF" w14:textId="77777777" w:rsidR="00467B9E" w:rsidRDefault="00764B5A">
      <w:pPr>
        <w:spacing w:line="360" w:lineRule="auto"/>
        <w:jc w:val="both"/>
        <w:rPr>
          <w:rFonts w:ascii="Arial" w:hAnsi="Arial" w:cs="Arial"/>
          <w:rtl/>
        </w:rPr>
      </w:pPr>
      <w:r>
        <w:rPr>
          <w:rFonts w:ascii="Arial" w:hAnsi="Arial" w:cs="Arial"/>
          <w:rtl/>
        </w:rPr>
        <w:t xml:space="preserve">אשר לשאלת צבירת העונשים </w:t>
      </w:r>
      <w:r>
        <w:rPr>
          <w:rFonts w:ascii="Arial" w:hAnsi="Arial" w:cs="Arial"/>
          <w:sz w:val="22"/>
          <w:szCs w:val="22"/>
          <w:rtl/>
        </w:rPr>
        <w:t>(</w:t>
      </w:r>
      <w:hyperlink r:id="rId33" w:history="1">
        <w:r w:rsidR="005118A3" w:rsidRPr="005118A3">
          <w:rPr>
            <w:rStyle w:val="Hyperlink"/>
            <w:rFonts w:ascii="Arial" w:hAnsi="Arial" w:cs="Arial"/>
            <w:b/>
            <w:bCs/>
            <w:sz w:val="22"/>
            <w:szCs w:val="22"/>
            <w:rtl/>
          </w:rPr>
          <w:t>סעיף 40יג</w:t>
        </w:r>
      </w:hyperlink>
      <w:r>
        <w:rPr>
          <w:rFonts w:ascii="Arial" w:hAnsi="Arial" w:cs="Arial"/>
          <w:sz w:val="22"/>
          <w:szCs w:val="22"/>
          <w:rtl/>
        </w:rPr>
        <w:t xml:space="preserve"> שלאחר התיקון),</w:t>
      </w:r>
      <w:r>
        <w:rPr>
          <w:rFonts w:ascii="Arial" w:hAnsi="Arial" w:cs="Arial"/>
          <w:rtl/>
        </w:rPr>
        <w:t xml:space="preserve"> ולקביעת העונש על כל עבירה בתוך המתחם, סבורה המאשימה שיש לקבוע עונש ראוי ברף העליון של כל מנעד שהוצג, ואף להורות על צבירת העונשים, באופן שהמאסר המצטבר ישקף את החומרה והמסוכנות של כל אחד מהאירועים בנפרד. בנוסף - התבקש להטיל מע"ת ממושך ומרתיע וכן קנס משמעותי. </w:t>
      </w:r>
    </w:p>
    <w:p w14:paraId="2B45731B" w14:textId="77777777" w:rsidR="00467B9E" w:rsidRDefault="00467B9E">
      <w:pPr>
        <w:spacing w:line="360" w:lineRule="auto"/>
        <w:jc w:val="both"/>
        <w:rPr>
          <w:rFonts w:ascii="Arial" w:hAnsi="Arial" w:cs="Arial"/>
          <w:rtl/>
        </w:rPr>
      </w:pPr>
    </w:p>
    <w:p w14:paraId="225DA169" w14:textId="77777777" w:rsidR="00467B9E" w:rsidRDefault="00764B5A">
      <w:pPr>
        <w:spacing w:line="360" w:lineRule="auto"/>
        <w:jc w:val="both"/>
        <w:rPr>
          <w:rFonts w:ascii="Arial" w:hAnsi="Arial" w:cs="Arial"/>
          <w:rtl/>
        </w:rPr>
      </w:pPr>
      <w:r>
        <w:rPr>
          <w:rFonts w:ascii="Arial" w:hAnsi="Arial" w:cs="Arial"/>
          <w:rtl/>
        </w:rPr>
        <w:t>ההגנה פתחה טיעוניה לעונש בכך שהסניגור, עו"ד מ. גבאי, מחה על כך שב"כ</w:t>
      </w:r>
      <w:r>
        <w:rPr>
          <w:rFonts w:ascii="Arial" w:hAnsi="Arial" w:cs="Arial"/>
        </w:rPr>
        <w:t xml:space="preserve"> </w:t>
      </w:r>
      <w:r>
        <w:rPr>
          <w:rFonts w:ascii="Arial" w:hAnsi="Arial" w:cs="Arial"/>
          <w:rtl/>
        </w:rPr>
        <w:t>המאשימה הציעה מתחמי ענישה גבוהים, לשיטתו, מבלי לעגן טיעוניה בפסיקה מתאימה שתוצג בפני ביהמ"ש. הסניגור גורס, כי מתחם הענישה בענייננו צריך להיות מושפע במידה רבה מהנסיבות, שכן כאשר מדובר בעבירה של מתן אמצעי לפשע, יש הבדל בין עזרה ברכב, למשל, או בנשק, לבין מתן עצה גרידא. הוא הדין גם בעבירה של קשירת קשר לפשע שיש לה משרעת רחבה של נסיבות אפשריות.</w:t>
      </w:r>
      <w:r>
        <w:rPr>
          <w:rFonts w:ascii="Arial" w:hAnsi="Arial" w:cs="Arial"/>
        </w:rPr>
        <w:t xml:space="preserve"> </w:t>
      </w:r>
      <w:r>
        <w:rPr>
          <w:rFonts w:ascii="Arial" w:hAnsi="Arial" w:cs="Arial"/>
          <w:rtl/>
        </w:rPr>
        <w:t xml:space="preserve"> </w:t>
      </w:r>
    </w:p>
    <w:p w14:paraId="7D060CE0" w14:textId="77777777" w:rsidR="00467B9E" w:rsidRDefault="00467B9E">
      <w:pPr>
        <w:spacing w:line="360" w:lineRule="auto"/>
        <w:jc w:val="both"/>
        <w:rPr>
          <w:rFonts w:ascii="Arial" w:hAnsi="Arial" w:cs="Arial"/>
          <w:rtl/>
        </w:rPr>
      </w:pPr>
    </w:p>
    <w:p w14:paraId="6C28D9C2" w14:textId="77777777" w:rsidR="00467B9E" w:rsidRDefault="00764B5A">
      <w:pPr>
        <w:spacing w:line="360" w:lineRule="auto"/>
        <w:jc w:val="both"/>
        <w:rPr>
          <w:rFonts w:ascii="Arial" w:hAnsi="Arial" w:cs="Arial"/>
          <w:rtl/>
        </w:rPr>
      </w:pPr>
      <w:r>
        <w:rPr>
          <w:rFonts w:ascii="Arial" w:hAnsi="Arial" w:cs="Arial"/>
          <w:rtl/>
        </w:rPr>
        <w:t xml:space="preserve">עו"ד גבאי צייד אותנו בשורה של פסקי דין </w:t>
      </w:r>
      <w:r>
        <w:rPr>
          <w:rFonts w:ascii="Arial" w:hAnsi="Arial" w:cs="Arial"/>
          <w:sz w:val="22"/>
          <w:szCs w:val="22"/>
          <w:rtl/>
        </w:rPr>
        <w:t>(ועל כך בהמשך),</w:t>
      </w:r>
      <w:r>
        <w:rPr>
          <w:rFonts w:ascii="Arial" w:hAnsi="Arial" w:cs="Arial"/>
          <w:rtl/>
        </w:rPr>
        <w:t xml:space="preserve"> שמהם ניתן לגזור, לשיטתו, שאף בנסיבות חמורות יותר, בתי המשפט גזרו עונשים המצויים במתחם נמוך יותר מזה שהוצע על ידי המדינה כאן, וכי אף בתוך המתחמים שנקבעו היו העונשים יחסית על הצד המתון. </w:t>
      </w:r>
    </w:p>
    <w:p w14:paraId="7636CAC1" w14:textId="77777777" w:rsidR="00467B9E" w:rsidRDefault="00467B9E">
      <w:pPr>
        <w:spacing w:line="360" w:lineRule="auto"/>
        <w:jc w:val="both"/>
        <w:rPr>
          <w:rFonts w:ascii="Arial" w:hAnsi="Arial" w:cs="Arial"/>
          <w:rtl/>
        </w:rPr>
      </w:pPr>
    </w:p>
    <w:p w14:paraId="2F0D41E1" w14:textId="77777777" w:rsidR="00467B9E" w:rsidRDefault="00764B5A">
      <w:pPr>
        <w:spacing w:line="360" w:lineRule="auto"/>
        <w:jc w:val="both"/>
        <w:rPr>
          <w:rFonts w:ascii="Arial" w:hAnsi="Arial" w:cs="Arial"/>
          <w:rtl/>
        </w:rPr>
      </w:pPr>
      <w:r>
        <w:rPr>
          <w:rFonts w:ascii="Arial" w:hAnsi="Arial" w:cs="Arial"/>
          <w:rtl/>
        </w:rPr>
        <w:t xml:space="preserve">אשר לעבירות הספציפיות שהנאשם הורשע בהן, הטעים עו"ד גבאי, שקשירת הקשר לרכישת רובה הצלפים לא רק שלא הסתיימה בעסקה לקנייתו, אלא אף בוטלה ביוזמת הנאשם, תהא הסיבה לכך אשר תהא. לדבריו, גם המתחם שהוצע על ידי התובעת בשל החזקת הסם, ובשים לב לכך שמדובר בכמות של חצי גרם, הוא מוגזם, כהגדרתו, ונגזרו בעבר על נאשמים בכמות גדולה הרבה יותר, עונשים שרוצו בעבודת שירות. הסנגור ביקש ליישם מתחם ענישה הדומה לזה הנוהג בהחזקת סם לשימוש עצמי, בין מאסר על תנאי לבין מאסר בעבודות שירות. </w:t>
      </w:r>
    </w:p>
    <w:p w14:paraId="2AA520A4" w14:textId="77777777" w:rsidR="00467B9E" w:rsidRDefault="00467B9E">
      <w:pPr>
        <w:spacing w:line="360" w:lineRule="auto"/>
        <w:jc w:val="both"/>
        <w:rPr>
          <w:rFonts w:ascii="Arial" w:hAnsi="Arial" w:cs="Arial"/>
          <w:rtl/>
        </w:rPr>
      </w:pPr>
    </w:p>
    <w:p w14:paraId="1BE20D7F" w14:textId="77777777" w:rsidR="00467B9E" w:rsidRDefault="00764B5A">
      <w:pPr>
        <w:spacing w:line="360" w:lineRule="auto"/>
        <w:jc w:val="both"/>
        <w:rPr>
          <w:rFonts w:ascii="Arial" w:hAnsi="Arial" w:cs="Arial"/>
          <w:rtl/>
        </w:rPr>
      </w:pPr>
      <w:r>
        <w:rPr>
          <w:rFonts w:ascii="Arial" w:hAnsi="Arial" w:cs="Arial"/>
          <w:rtl/>
        </w:rPr>
        <w:t xml:space="preserve">עוד טוענת ההגנה, שיש נפקות לכך שבהכרעת הדין אוזכר חלקו של אחי הנאשם, מאור, שהועמד לדין בכתב אישום נפרד, וכי צויין בהכרעתנו בדבר היתכנות תרחיש שלפיו חלקו של האח בפרשה היה אף דומיננטי יותר מזה של הנאשם דכאן. מאחר שבעניינו של מאור הושג הסדר טיעון, שבמסגרתו המדינה הסתפקה במאסר של 18 חודשים, סבור הסנגור שיש להתחשב גם בכך. </w:t>
      </w:r>
    </w:p>
    <w:p w14:paraId="4A2C736A" w14:textId="77777777" w:rsidR="00467B9E" w:rsidRDefault="00467B9E">
      <w:pPr>
        <w:spacing w:line="360" w:lineRule="auto"/>
        <w:jc w:val="both"/>
        <w:rPr>
          <w:rFonts w:ascii="Arial" w:hAnsi="Arial" w:cs="Arial"/>
          <w:rtl/>
        </w:rPr>
      </w:pPr>
    </w:p>
    <w:p w14:paraId="26547EC7" w14:textId="77777777" w:rsidR="00467B9E" w:rsidRDefault="00764B5A">
      <w:pPr>
        <w:spacing w:line="360" w:lineRule="auto"/>
        <w:jc w:val="both"/>
        <w:rPr>
          <w:rFonts w:ascii="Arial" w:hAnsi="Arial" w:cs="Arial"/>
          <w:rtl/>
        </w:rPr>
      </w:pPr>
      <w:r>
        <w:rPr>
          <w:rFonts w:ascii="Arial" w:hAnsi="Arial" w:cs="Arial"/>
          <w:rtl/>
        </w:rPr>
        <w:t xml:space="preserve">את הנקודה המרכזית והיא "הכי חשובה", לפי הגדרת עו"ד גבאי, הוא רואה בכך שהנאשם עמד בפני סיכון רב כאשר הוגש נגדו כתב אישום שכלל עבירות חמורות ביותר של ניסיון לרצח, וקשירת קשר לרצח, ומאלה הוא זוכה. לסברת הסנגור, לו היה כתב האישום מצומצם מתחילה לעבירות שבהן הורשע מרשו, לבסוף, סביר שלא היה נעצר כלל עד תום ההליכים כפי שקרה בפועל. יוצא, גם, שאין מדובר בנאשם שניהל "הגנת בדים", בכך שמיצה את ההליך ועמד על שמיעת הראיות במלואן. </w:t>
      </w:r>
    </w:p>
    <w:p w14:paraId="129066E5" w14:textId="77777777" w:rsidR="00467B9E" w:rsidRDefault="00467B9E">
      <w:pPr>
        <w:spacing w:line="360" w:lineRule="auto"/>
        <w:jc w:val="both"/>
        <w:rPr>
          <w:rFonts w:ascii="Arial" w:hAnsi="Arial" w:cs="Arial"/>
          <w:rtl/>
        </w:rPr>
      </w:pPr>
    </w:p>
    <w:p w14:paraId="48C8276C" w14:textId="77777777" w:rsidR="00467B9E" w:rsidRDefault="00764B5A">
      <w:pPr>
        <w:spacing w:line="360" w:lineRule="auto"/>
        <w:jc w:val="both"/>
        <w:rPr>
          <w:rFonts w:ascii="Arial" w:hAnsi="Arial" w:cs="Arial"/>
          <w:rtl/>
        </w:rPr>
      </w:pPr>
      <w:r>
        <w:rPr>
          <w:rFonts w:ascii="Arial" w:hAnsi="Arial" w:cs="Arial"/>
          <w:rtl/>
        </w:rPr>
        <w:t xml:space="preserve">לטעמו של עו"ד גבאי, התקופה שבה הנאשם עצור בתיק זה די בה והותר כדי "לכסות" את משך המאסר המירבי שיכול להלום את העבירות, על נסיבותיהן, ולפיכך, יש להסתפק בתקופה זו. ככל שנסבור  שיש להטיל עונש נפרד ומצטבר בשל עבירת הסם, מציעה ההגנה להסתפק בעונש שירוצה בעבודות שירות. </w:t>
      </w:r>
    </w:p>
    <w:p w14:paraId="419D37F8" w14:textId="77777777" w:rsidR="00467B9E" w:rsidRDefault="00467B9E">
      <w:pPr>
        <w:spacing w:line="360" w:lineRule="auto"/>
        <w:jc w:val="both"/>
        <w:rPr>
          <w:rFonts w:ascii="Arial" w:hAnsi="Arial" w:cs="Arial"/>
          <w:rtl/>
        </w:rPr>
      </w:pPr>
    </w:p>
    <w:p w14:paraId="477907D9" w14:textId="77777777" w:rsidR="00467B9E" w:rsidRDefault="00764B5A">
      <w:pPr>
        <w:spacing w:line="360" w:lineRule="auto"/>
        <w:jc w:val="both"/>
        <w:rPr>
          <w:rFonts w:ascii="Arial" w:hAnsi="Arial" w:cs="Arial"/>
          <w:rtl/>
        </w:rPr>
      </w:pPr>
      <w:r>
        <w:rPr>
          <w:rFonts w:ascii="Arial" w:hAnsi="Arial" w:cs="Arial"/>
          <w:rtl/>
        </w:rPr>
        <w:t xml:space="preserve">כאשר ניתן לנאשם, כפי זכותו, לומר דברים בפני ביהמ"ש, בסיום הטיעונים, הוא הסתפק בכך שציין כי </w:t>
      </w:r>
      <w:r>
        <w:rPr>
          <w:rFonts w:ascii="Arial" w:hAnsi="Arial" w:cs="Arial"/>
          <w:b/>
          <w:bCs/>
          <w:sz w:val="22"/>
          <w:szCs w:val="22"/>
          <w:rtl/>
        </w:rPr>
        <w:t xml:space="preserve">"אני אמרתי כל הזמן, הכל נכפה עלי, וזה היה בלתי נמנע ואין לי מה להוסיף".  </w:t>
      </w:r>
      <w:r>
        <w:rPr>
          <w:rFonts w:ascii="Arial" w:hAnsi="Arial" w:cs="Arial"/>
          <w:rtl/>
        </w:rPr>
        <w:t>נדמה, שבכך ביקש הנאשם לרמוז, כפי שגם עשה בעת הצגת גרסתו בביהמ"ש, שאין הוא הדמות הדומיננטית באירועי כתב האישום, לרבות האישום הרביעי, שבו הורשע, וכי מטעמים השמורים עמו, אינו יכול להציף את חלקם של אחרים, ולהראות שחלקו מזערי, אם בכלל.</w:t>
      </w:r>
    </w:p>
    <w:p w14:paraId="092EF91C" w14:textId="77777777" w:rsidR="00467B9E" w:rsidRDefault="00467B9E">
      <w:pPr>
        <w:spacing w:line="360" w:lineRule="auto"/>
        <w:jc w:val="both"/>
        <w:rPr>
          <w:rFonts w:ascii="Arial" w:hAnsi="Arial" w:cs="Arial"/>
          <w:rtl/>
        </w:rPr>
      </w:pPr>
    </w:p>
    <w:p w14:paraId="6A176283" w14:textId="77777777" w:rsidR="00467B9E" w:rsidRDefault="00764B5A">
      <w:pPr>
        <w:spacing w:line="360" w:lineRule="auto"/>
        <w:jc w:val="both"/>
        <w:rPr>
          <w:rFonts w:ascii="Arial" w:hAnsi="Arial" w:cs="Arial"/>
          <w:rtl/>
        </w:rPr>
      </w:pPr>
      <w:r>
        <w:rPr>
          <w:rFonts w:ascii="Arial" w:hAnsi="Arial" w:cs="Arial"/>
          <w:rtl/>
        </w:rPr>
        <w:t xml:space="preserve">בבואנו לשקול טענות הצדדים ולגבש קביעותינו ביחס לעונש ההולם שיושת על הנאשם, </w:t>
      </w:r>
      <w:r>
        <w:rPr>
          <w:rFonts w:ascii="Arial" w:hAnsi="Arial" w:cs="Arial" w:hint="cs"/>
          <w:rtl/>
        </w:rPr>
        <w:t xml:space="preserve">ניתן </w:t>
      </w:r>
      <w:r>
        <w:rPr>
          <w:rFonts w:ascii="Arial" w:hAnsi="Arial" w:cs="Arial"/>
          <w:rtl/>
        </w:rPr>
        <w:t xml:space="preserve">לתמצת את נקודת המוצא באופן הבא: העבירות שחטא בהן הנאשם בעניין השמשת האקדח ובעניין החזקת הסם, הן כאלה שחומרתן, כשלעצמן, רבה, אולם, בנסיבותיהן הפרטניות דכאן- </w:t>
      </w:r>
      <w:r>
        <w:rPr>
          <w:rFonts w:ascii="Arial" w:hAnsi="Arial" w:cs="Arial" w:hint="cs"/>
          <w:rtl/>
        </w:rPr>
        <w:t xml:space="preserve">ניתן לומר כי </w:t>
      </w:r>
      <w:r>
        <w:rPr>
          <w:rFonts w:ascii="Arial" w:hAnsi="Arial" w:cs="Arial"/>
          <w:rtl/>
        </w:rPr>
        <w:t xml:space="preserve">אינן ברף גבוה וחמור במיוחד. </w:t>
      </w:r>
      <w:r>
        <w:rPr>
          <w:rFonts w:ascii="Arial" w:hAnsi="Arial" w:cs="Arial" w:hint="cs"/>
          <w:rtl/>
        </w:rPr>
        <w:t xml:space="preserve">לא כך בנוגע לעבירה הנוספת </w:t>
      </w:r>
      <w:r>
        <w:rPr>
          <w:rFonts w:ascii="Arial" w:hAnsi="Arial" w:cs="Arial"/>
          <w:rtl/>
        </w:rPr>
        <w:t>שחטא בה</w:t>
      </w:r>
      <w:r>
        <w:rPr>
          <w:rFonts w:ascii="Arial" w:hAnsi="Arial" w:cs="Arial" w:hint="cs"/>
          <w:rtl/>
        </w:rPr>
        <w:t>,</w:t>
      </w:r>
      <w:r>
        <w:rPr>
          <w:rFonts w:ascii="Arial" w:hAnsi="Arial" w:cs="Arial"/>
          <w:rtl/>
        </w:rPr>
        <w:t xml:space="preserve"> לעניין קשירת הקשר לרכישת הרובה- </w:t>
      </w:r>
      <w:r>
        <w:rPr>
          <w:rFonts w:ascii="Arial" w:hAnsi="Arial" w:cs="Arial" w:hint="cs"/>
          <w:rtl/>
        </w:rPr>
        <w:t xml:space="preserve">שהיא </w:t>
      </w:r>
      <w:r>
        <w:rPr>
          <w:rFonts w:ascii="Arial" w:hAnsi="Arial" w:cs="Arial"/>
          <w:rtl/>
        </w:rPr>
        <w:t xml:space="preserve">חמורה במהותה, וגם בנסיבותיה דכאן. להלן </w:t>
      </w:r>
      <w:r>
        <w:rPr>
          <w:rFonts w:ascii="Arial" w:hAnsi="Arial" w:cs="Arial" w:hint="cs"/>
          <w:rtl/>
        </w:rPr>
        <w:t xml:space="preserve">תפורט ותנומק </w:t>
      </w:r>
      <w:r>
        <w:rPr>
          <w:rFonts w:ascii="Arial" w:hAnsi="Arial" w:cs="Arial"/>
          <w:rtl/>
        </w:rPr>
        <w:t>מסקנה זו.</w:t>
      </w:r>
    </w:p>
    <w:p w14:paraId="1E2B3666" w14:textId="77777777" w:rsidR="00467B9E" w:rsidRDefault="00467B9E">
      <w:pPr>
        <w:spacing w:line="360" w:lineRule="auto"/>
        <w:jc w:val="both"/>
        <w:rPr>
          <w:rFonts w:ascii="Arial" w:hAnsi="Arial" w:cs="Arial"/>
          <w:rtl/>
        </w:rPr>
      </w:pPr>
    </w:p>
    <w:p w14:paraId="7AD2B5BA" w14:textId="77777777" w:rsidR="00467B9E" w:rsidRDefault="00764B5A">
      <w:pPr>
        <w:spacing w:line="360" w:lineRule="auto"/>
        <w:jc w:val="both"/>
        <w:rPr>
          <w:rFonts w:ascii="Arial" w:hAnsi="Arial" w:cs="Arial"/>
          <w:rtl/>
        </w:rPr>
      </w:pPr>
      <w:r>
        <w:rPr>
          <w:rFonts w:ascii="Arial" w:hAnsi="Arial" w:cs="Arial"/>
          <w:rtl/>
        </w:rPr>
        <w:t xml:space="preserve">העבירה של </w:t>
      </w:r>
      <w:r>
        <w:rPr>
          <w:rFonts w:ascii="Arial" w:hAnsi="Arial" w:cs="Arial"/>
          <w:u w:val="single"/>
          <w:rtl/>
        </w:rPr>
        <w:t>מתן אמצעים לביצוע פשע</w:t>
      </w:r>
      <w:r>
        <w:rPr>
          <w:rFonts w:ascii="Arial" w:hAnsi="Arial" w:cs="Arial"/>
          <w:rtl/>
        </w:rPr>
        <w:t xml:space="preserve">, שעונשה המירבי מאסר של 3 שנים, מחילה עצמה על מגוון תרחישים. מתן אמצעים חומריים ומוחשיים </w:t>
      </w:r>
      <w:r>
        <w:rPr>
          <w:rFonts w:ascii="Arial" w:hAnsi="Arial" w:cs="Arial"/>
          <w:sz w:val="22"/>
          <w:szCs w:val="22"/>
          <w:rtl/>
        </w:rPr>
        <w:t>(</w:t>
      </w:r>
      <w:r>
        <w:rPr>
          <w:rFonts w:ascii="Arial" w:hAnsi="Arial" w:cs="Arial"/>
          <w:b/>
          <w:bCs/>
          <w:sz w:val="22"/>
          <w:szCs w:val="22"/>
          <w:rtl/>
        </w:rPr>
        <w:t>"כלים חמרים, כסף...")</w:t>
      </w:r>
      <w:r>
        <w:rPr>
          <w:rFonts w:ascii="Arial" w:hAnsi="Arial" w:cs="Arial"/>
          <w:rtl/>
        </w:rPr>
        <w:t xml:space="preserve"> ולצד זה- אמצעים "עקיפים" שאינם מוחשיים </w:t>
      </w:r>
      <w:r>
        <w:rPr>
          <w:rFonts w:ascii="Arial" w:hAnsi="Arial" w:cs="Arial"/>
          <w:sz w:val="22"/>
          <w:szCs w:val="22"/>
          <w:rtl/>
        </w:rPr>
        <w:t>(</w:t>
      </w:r>
      <w:r>
        <w:rPr>
          <w:rFonts w:ascii="Arial" w:hAnsi="Arial" w:cs="Arial"/>
          <w:b/>
          <w:bCs/>
          <w:sz w:val="22"/>
          <w:szCs w:val="22"/>
          <w:rtl/>
        </w:rPr>
        <w:t>"מידע או כל אמצעי אחר....")</w:t>
      </w:r>
      <w:r>
        <w:rPr>
          <w:rFonts w:ascii="Arial" w:hAnsi="Arial" w:cs="Arial"/>
          <w:rtl/>
        </w:rPr>
        <w:t xml:space="preserve">. כמו-כן, נותן האמצעים נדרש לדעת, לצורך הקמת יסודות העבירה, שהדבר עלול לשמש </w:t>
      </w:r>
      <w:r>
        <w:rPr>
          <w:rFonts w:ascii="Arial" w:hAnsi="Arial" w:cs="Arial"/>
          <w:b/>
          <w:bCs/>
          <w:sz w:val="22"/>
          <w:szCs w:val="22"/>
          <w:rtl/>
        </w:rPr>
        <w:t>"במישרין או בעקיפין"</w:t>
      </w:r>
      <w:r>
        <w:rPr>
          <w:rFonts w:ascii="Arial" w:hAnsi="Arial" w:cs="Arial"/>
          <w:rtl/>
        </w:rPr>
        <w:t xml:space="preserve"> בין לביצוע פשע (בחלופה הרלוונטית) ובין </w:t>
      </w:r>
      <w:r>
        <w:rPr>
          <w:rFonts w:ascii="Arial" w:hAnsi="Arial" w:cs="Arial"/>
          <w:b/>
          <w:bCs/>
          <w:sz w:val="22"/>
          <w:szCs w:val="22"/>
          <w:rtl/>
        </w:rPr>
        <w:t>"להקלת ביצועו".</w:t>
      </w:r>
      <w:r>
        <w:rPr>
          <w:rFonts w:ascii="Arial" w:hAnsi="Arial" w:cs="Arial"/>
          <w:rtl/>
        </w:rPr>
        <w:t xml:space="preserve"> </w:t>
      </w:r>
    </w:p>
    <w:p w14:paraId="00929623" w14:textId="77777777" w:rsidR="00467B9E" w:rsidRDefault="00764B5A">
      <w:pPr>
        <w:spacing w:line="360" w:lineRule="auto"/>
        <w:jc w:val="both"/>
        <w:rPr>
          <w:rFonts w:ascii="Arial" w:hAnsi="Arial" w:cs="Arial"/>
          <w:rtl/>
        </w:rPr>
      </w:pPr>
      <w:r>
        <w:rPr>
          <w:rFonts w:ascii="Arial" w:hAnsi="Arial" w:cs="Arial"/>
          <w:rtl/>
        </w:rPr>
        <w:t xml:space="preserve">בענייננו- הנאשם לא סיפק אמצעי מוחשי כלשהו, והמידע- יעוץ שנתן לשם השמשת האקדח לא הוכח כמתייחס במישרין לביצוע פשע </w:t>
      </w:r>
      <w:r>
        <w:rPr>
          <w:rFonts w:ascii="Arial" w:hAnsi="Arial" w:cs="Arial"/>
          <w:u w:val="single"/>
          <w:rtl/>
        </w:rPr>
        <w:t>ספציפי</w:t>
      </w:r>
      <w:r>
        <w:rPr>
          <w:rFonts w:ascii="Arial" w:hAnsi="Arial" w:cs="Arial"/>
          <w:rtl/>
        </w:rPr>
        <w:t xml:space="preserve"> או להקלה על ביצועו. ככל שדברים אמורים במידע שבא מפיו, במהלך השיחה, ועניינו - הדרך המיטבית לטיפול וניקוי נשק- עסקינן בידע שאינו ייחודי לנאשם, והוא נחלת רבים, ואין בו הקלה משמעותית על היתכנות ביצוע פשע עתידי. האלמנט המצוי ברף גבוה יותר של חומרה, הינו אותו משפט שבו הנאשם מנחה את אחיו מאור כי </w:t>
      </w:r>
      <w:r>
        <w:rPr>
          <w:rFonts w:ascii="Arial" w:hAnsi="Arial" w:cs="Arial"/>
          <w:b/>
          <w:bCs/>
          <w:sz w:val="22"/>
          <w:szCs w:val="22"/>
          <w:rtl/>
        </w:rPr>
        <w:t>"עדיף שתסדר להם אותו למה, את ההוא כבר, צריך לזוז איתו"</w:t>
      </w:r>
      <w:r>
        <w:rPr>
          <w:rFonts w:ascii="Arial" w:hAnsi="Arial" w:cs="Arial"/>
          <w:sz w:val="22"/>
          <w:szCs w:val="22"/>
          <w:rtl/>
        </w:rPr>
        <w:t>.</w:t>
      </w:r>
      <w:r>
        <w:rPr>
          <w:rFonts w:ascii="Arial" w:hAnsi="Arial" w:cs="Arial"/>
          <w:rtl/>
        </w:rPr>
        <w:t xml:space="preserve"> הנחייה זו שמשתבצת אל תוך "חלופת הסל" הנקובה בסעיף הנ"ל, בגדר ההגדרה "כל אמצעי אחר", שיכול לשמש לביצוע פשע או להקל עליו, משקפת אקט אופרטיבי ופעולה לקידום פעילות שהיא בעליל בלתי חוקית ומסוכנת - עשיית שימוש באקדח לאחר שיושמש, הגם שמחמת הספק לא ניתן היה לקבוע מהותו ומועדו של הפשע שבמסגרתו ישמש האקדח. הגם החומרה היחסית של אמירה זו, ביחס ליעוץ הכללי שקדם לכך, עדיין, מדובר  על "מתן אמצעי", באורח עקיף, על ידי הנחיית אדם אחר, וללא נקיטת פעולה אופרטיבית מצידו של הנאשם. </w:t>
      </w:r>
    </w:p>
    <w:p w14:paraId="1296700B" w14:textId="77777777" w:rsidR="00467B9E" w:rsidRDefault="00467B9E">
      <w:pPr>
        <w:spacing w:line="360" w:lineRule="auto"/>
        <w:jc w:val="both"/>
        <w:rPr>
          <w:rFonts w:ascii="Arial" w:hAnsi="Arial" w:cs="Arial"/>
          <w:rtl/>
        </w:rPr>
      </w:pPr>
    </w:p>
    <w:p w14:paraId="305519BC" w14:textId="77777777" w:rsidR="00467B9E" w:rsidRDefault="00764B5A">
      <w:pPr>
        <w:spacing w:line="360" w:lineRule="auto"/>
        <w:jc w:val="both"/>
        <w:rPr>
          <w:rFonts w:ascii="Arial" w:hAnsi="Arial" w:cs="Arial"/>
          <w:rtl/>
        </w:rPr>
      </w:pPr>
      <w:r>
        <w:rPr>
          <w:rFonts w:ascii="Arial" w:hAnsi="Arial" w:cs="Arial"/>
          <w:rtl/>
        </w:rPr>
        <w:t xml:space="preserve">בשקלול של הנסיבות הקשורות בביצוע העבירה, לאור האמור, והשפעתן על חומרת המעשה ועל אשמו של הנאשם </w:t>
      </w:r>
      <w:r>
        <w:rPr>
          <w:rFonts w:ascii="Arial" w:hAnsi="Arial" w:cs="Arial"/>
          <w:sz w:val="22"/>
          <w:szCs w:val="22"/>
          <w:rtl/>
        </w:rPr>
        <w:t>[</w:t>
      </w:r>
      <w:hyperlink r:id="rId34" w:history="1">
        <w:r w:rsidR="005118A3" w:rsidRPr="005118A3">
          <w:rPr>
            <w:rStyle w:val="Hyperlink"/>
            <w:rFonts w:ascii="Arial" w:hAnsi="Arial" w:cs="Arial"/>
            <w:b/>
            <w:bCs/>
            <w:sz w:val="22"/>
            <w:szCs w:val="22"/>
            <w:rtl/>
          </w:rPr>
          <w:t>סעיף 40 ט (א)</w:t>
        </w:r>
      </w:hyperlink>
      <w:r>
        <w:rPr>
          <w:rFonts w:ascii="Arial" w:hAnsi="Arial" w:cs="Arial"/>
          <w:sz w:val="22"/>
          <w:szCs w:val="22"/>
          <w:rtl/>
        </w:rPr>
        <w:t>]</w:t>
      </w:r>
      <w:r>
        <w:rPr>
          <w:rFonts w:ascii="Arial" w:hAnsi="Arial" w:cs="Arial"/>
          <w:rtl/>
        </w:rPr>
        <w:t xml:space="preserve"> לחוק, הייתי קובע מתחם ענישתי הולם למעשה הנדון, שיהיה בין</w:t>
      </w:r>
      <w:r>
        <w:rPr>
          <w:rFonts w:ascii="Arial" w:hAnsi="Arial" w:cs="Arial"/>
          <w:u w:val="single"/>
          <w:rtl/>
        </w:rPr>
        <w:t xml:space="preserve"> </w:t>
      </w:r>
      <w:r>
        <w:rPr>
          <w:rFonts w:ascii="Arial" w:hAnsi="Arial" w:cs="Arial" w:hint="cs"/>
          <w:u w:val="single"/>
          <w:rtl/>
        </w:rPr>
        <w:t>1- 2</w:t>
      </w:r>
      <w:r>
        <w:rPr>
          <w:rFonts w:ascii="Arial" w:hAnsi="Arial" w:cs="Arial"/>
          <w:u w:val="single"/>
          <w:rtl/>
        </w:rPr>
        <w:t xml:space="preserve"> שנות מאסר.</w:t>
      </w:r>
    </w:p>
    <w:p w14:paraId="4BC90811" w14:textId="77777777" w:rsidR="00467B9E" w:rsidRDefault="00467B9E">
      <w:pPr>
        <w:spacing w:line="360" w:lineRule="auto"/>
        <w:jc w:val="both"/>
        <w:rPr>
          <w:rFonts w:ascii="Arial" w:hAnsi="Arial" w:cs="Arial"/>
          <w:b/>
          <w:bCs/>
          <w:rtl/>
        </w:rPr>
      </w:pPr>
    </w:p>
    <w:p w14:paraId="7A47504C" w14:textId="77777777" w:rsidR="00467B9E" w:rsidRDefault="00764B5A">
      <w:pPr>
        <w:spacing w:line="360" w:lineRule="auto"/>
        <w:jc w:val="both"/>
        <w:rPr>
          <w:rFonts w:ascii="Arial" w:hAnsi="Arial" w:cs="Arial"/>
          <w:rtl/>
        </w:rPr>
      </w:pPr>
      <w:r>
        <w:rPr>
          <w:rFonts w:ascii="Arial" w:hAnsi="Arial" w:cs="Arial"/>
          <w:u w:val="single"/>
          <w:rtl/>
        </w:rPr>
        <w:t>העבירה של החזקת סם מסוכן שלא לשימוש עצמי</w:t>
      </w:r>
      <w:r>
        <w:rPr>
          <w:rFonts w:ascii="Arial" w:hAnsi="Arial" w:cs="Arial"/>
          <w:rtl/>
        </w:rPr>
        <w:t xml:space="preserve"> – כשלעצמה, זו עבירה חמורה ומסוכנת, שאין צורך להכביר מילים על חומרתה, ועל הערכים החברתיים הנפגעים מהתקיימותה. הפסיקה בעניין זה נרחבת וידועה. אולם – אין להתעלם מכך שבמקרה הספציפי הנדון, מדובר בכמות סם שחרגה אך במעט מאוד מהרף שהמחוקק קבע כקו גבול בין כמות המוחזקת כמיועדת לשימוש עצמי, לבין כמות שאינה כזו. משמע – מהיבט זה החומרה אינה ברף גבוה.</w:t>
      </w:r>
    </w:p>
    <w:p w14:paraId="1CE06D25" w14:textId="77777777" w:rsidR="00467B9E" w:rsidRDefault="00467B9E">
      <w:pPr>
        <w:spacing w:line="360" w:lineRule="auto"/>
        <w:jc w:val="both"/>
        <w:rPr>
          <w:rFonts w:ascii="Arial" w:hAnsi="Arial" w:cs="Arial"/>
          <w:rtl/>
        </w:rPr>
      </w:pPr>
    </w:p>
    <w:p w14:paraId="68C7EFE4" w14:textId="77777777" w:rsidR="00467B9E" w:rsidRDefault="00764B5A">
      <w:pPr>
        <w:spacing w:line="360" w:lineRule="auto"/>
        <w:jc w:val="both"/>
        <w:rPr>
          <w:rFonts w:ascii="Arial" w:hAnsi="Arial" w:cs="Arial"/>
          <w:rtl/>
        </w:rPr>
      </w:pPr>
      <w:r>
        <w:rPr>
          <w:rFonts w:ascii="Arial" w:hAnsi="Arial" w:cs="Arial"/>
          <w:rtl/>
        </w:rPr>
        <w:t xml:space="preserve">מתחם הענישה המוצע על ידי המאשימה לנדון נראה מתאים והולם. הוא יקבע, איפוא, כמצוי בין </w:t>
      </w:r>
      <w:r>
        <w:rPr>
          <w:rFonts w:ascii="Arial" w:hAnsi="Arial" w:cs="Arial"/>
          <w:u w:val="single"/>
          <w:rtl/>
        </w:rPr>
        <w:t>מאסר על תנאי, ל-שנת מאסר בפועל</w:t>
      </w:r>
      <w:r>
        <w:rPr>
          <w:rFonts w:ascii="Arial" w:hAnsi="Arial" w:cs="Arial"/>
          <w:rtl/>
        </w:rPr>
        <w:t xml:space="preserve">. </w:t>
      </w:r>
    </w:p>
    <w:p w14:paraId="594AFAA8" w14:textId="77777777" w:rsidR="00467B9E" w:rsidRDefault="00467B9E">
      <w:pPr>
        <w:spacing w:line="360" w:lineRule="auto"/>
        <w:jc w:val="both"/>
        <w:rPr>
          <w:rFonts w:ascii="Arial" w:hAnsi="Arial" w:cs="Arial"/>
          <w:rtl/>
        </w:rPr>
      </w:pPr>
    </w:p>
    <w:p w14:paraId="2C7EF066" w14:textId="77777777" w:rsidR="00467B9E" w:rsidRDefault="00764B5A">
      <w:pPr>
        <w:spacing w:line="360" w:lineRule="auto"/>
        <w:jc w:val="both"/>
        <w:rPr>
          <w:rFonts w:ascii="Arial" w:hAnsi="Arial" w:cs="Arial"/>
          <w:rtl/>
        </w:rPr>
      </w:pPr>
      <w:r>
        <w:rPr>
          <w:rFonts w:ascii="Arial" w:hAnsi="Arial" w:cs="Arial"/>
          <w:u w:val="single"/>
          <w:rtl/>
        </w:rPr>
        <w:t>העבירה של קשירת קשר לפשע בהקשר רכישת הרובה</w:t>
      </w:r>
      <w:r>
        <w:rPr>
          <w:rFonts w:ascii="Arial" w:hAnsi="Arial" w:cs="Arial"/>
          <w:rtl/>
        </w:rPr>
        <w:t xml:space="preserve"> – על פי </w:t>
      </w:r>
      <w:hyperlink r:id="rId35" w:history="1">
        <w:r w:rsidR="005118A3" w:rsidRPr="005118A3">
          <w:rPr>
            <w:rStyle w:val="Hyperlink"/>
            <w:rFonts w:ascii="Arial" w:hAnsi="Arial" w:cs="Arial"/>
            <w:b/>
            <w:bCs/>
            <w:sz w:val="22"/>
            <w:szCs w:val="22"/>
            <w:rtl/>
          </w:rPr>
          <w:t>סעיף 499 (א)(1)</w:t>
        </w:r>
      </w:hyperlink>
      <w:r>
        <w:rPr>
          <w:rFonts w:ascii="Arial" w:hAnsi="Arial" w:cs="Arial"/>
          <w:rtl/>
        </w:rPr>
        <w:t xml:space="preserve"> ל</w:t>
      </w:r>
      <w:hyperlink r:id="rId36" w:history="1">
        <w:r w:rsidRPr="00764B5A">
          <w:rPr>
            <w:rFonts w:ascii="Arial" w:hAnsi="Arial" w:cs="Arial"/>
            <w:color w:val="0000FF"/>
            <w:u w:val="single"/>
            <w:rtl/>
          </w:rPr>
          <w:t>חוק העונשין</w:t>
        </w:r>
      </w:hyperlink>
      <w:r>
        <w:rPr>
          <w:rFonts w:ascii="Arial" w:hAnsi="Arial" w:cs="Arial"/>
          <w:rtl/>
        </w:rPr>
        <w:t xml:space="preserve">, העונש המרבי הינו מאסר של 7 שנים. קשירת הקשר, כשלעצמה, היא עבירה מוגמרת. כידוע, עניין לנו במעין כריתת "חוזה פלילי" בין הקושרים, ואין התקיימות העבירה מותנית בביצוע הפשע שלגביו נקשר הקשר. במישור זה, אין משמעות רבה להערתו של הסנגור על כי בסופו של יום העסקה לרכישת רובה הצלפים לא יצאה אל הפועל, ובוטלה ביוזמת הנאשם ומטעמיו </w:t>
      </w:r>
      <w:r>
        <w:rPr>
          <w:rFonts w:ascii="Arial" w:hAnsi="Arial" w:cs="Arial"/>
          <w:sz w:val="22"/>
          <w:szCs w:val="22"/>
          <w:rtl/>
        </w:rPr>
        <w:t xml:space="preserve">(שלא נבעו מחרטה מצידו אלא משיקולים פרקטיים). עם זאת, </w:t>
      </w:r>
      <w:r>
        <w:rPr>
          <w:rFonts w:ascii="Arial" w:hAnsi="Arial" w:cs="Arial"/>
          <w:rtl/>
        </w:rPr>
        <w:t xml:space="preserve">ברי, שיש זיקה בין קביעת מתחם הענישה הספציפי בעבירה זו, לבין טיבו ומהותו של "פשע היעד", שאליו כיוונו הקושרים את תוכניתם העבריינית. מתחם הענישה ביחס לקשר המכוון להצטיידות בנשק חם ולשם שימוש פוטנציאלי קטלני, נגזר מהאינטרסים החברתיים העלולים להיפגע מאותו "פשע יעד". </w:t>
      </w:r>
    </w:p>
    <w:p w14:paraId="1CD94C14" w14:textId="77777777" w:rsidR="00467B9E" w:rsidRDefault="00467B9E">
      <w:pPr>
        <w:jc w:val="both"/>
        <w:rPr>
          <w:rFonts w:ascii="Arial" w:hAnsi="Arial" w:cs="Arial"/>
          <w:rtl/>
        </w:rPr>
      </w:pPr>
    </w:p>
    <w:p w14:paraId="574858A1" w14:textId="77777777" w:rsidR="00467B9E" w:rsidRDefault="00764B5A">
      <w:pPr>
        <w:spacing w:line="360" w:lineRule="auto"/>
        <w:jc w:val="both"/>
        <w:rPr>
          <w:rFonts w:ascii="Arial" w:hAnsi="Arial" w:cs="Arial"/>
          <w:rtl/>
        </w:rPr>
      </w:pPr>
      <w:r>
        <w:rPr>
          <w:rFonts w:ascii="Arial" w:hAnsi="Arial" w:cs="Arial" w:hint="cs"/>
          <w:rtl/>
        </w:rPr>
        <w:t xml:space="preserve">ניתן ללמוד על חומרת הקשר שבפנינו גם מתוך </w:t>
      </w:r>
      <w:r>
        <w:rPr>
          <w:rFonts w:ascii="Arial" w:hAnsi="Arial" w:cs="Arial"/>
          <w:rtl/>
        </w:rPr>
        <w:t>מדרג הענישה בעבירות המבוצעות בנשק</w:t>
      </w:r>
      <w:r>
        <w:rPr>
          <w:rFonts w:ascii="Arial" w:hAnsi="Arial" w:cs="Arial" w:hint="cs"/>
          <w:rtl/>
        </w:rPr>
        <w:t xml:space="preserve">. מדרג זה </w:t>
      </w:r>
      <w:r>
        <w:rPr>
          <w:rFonts w:ascii="Arial" w:hAnsi="Arial" w:cs="Arial"/>
          <w:rtl/>
        </w:rPr>
        <w:t xml:space="preserve">נקבע, בין השאר, על פי סוג, איכות וכמות הנשק שנעשה בו שימוש, וכאשר מדובר בנשק שעל פי טיבו אינו מיועד להגנה עצמית, וכל כולו נשק התקפי רב עוצמה, אשר השימוש בו יכול להביא להרג ללא הבחנה, יש חומרה מיוחדת בעבירות ההחזקה והנשיאה של אותו נשק </w:t>
      </w:r>
      <w:r>
        <w:rPr>
          <w:rFonts w:ascii="Arial" w:hAnsi="Arial" w:cs="Arial"/>
          <w:sz w:val="22"/>
          <w:szCs w:val="22"/>
          <w:rtl/>
        </w:rPr>
        <w:t xml:space="preserve">[ראה </w:t>
      </w:r>
      <w:hyperlink r:id="rId37" w:history="1">
        <w:r w:rsidRPr="00764B5A">
          <w:rPr>
            <w:rFonts w:ascii="Arial" w:hAnsi="Arial" w:cs="Arial"/>
            <w:b/>
            <w:bCs/>
            <w:color w:val="0000FF"/>
            <w:sz w:val="22"/>
            <w:szCs w:val="22"/>
            <w:u w:val="single"/>
            <w:rtl/>
          </w:rPr>
          <w:t>ע.פ 1332/04 פס נ' מדינת ישראל, פד"י נח</w:t>
        </w:r>
      </w:hyperlink>
      <w:r>
        <w:rPr>
          <w:rFonts w:ascii="Arial" w:hAnsi="Arial" w:cs="Arial"/>
          <w:b/>
          <w:bCs/>
          <w:sz w:val="22"/>
          <w:szCs w:val="22"/>
          <w:rtl/>
        </w:rPr>
        <w:t xml:space="preserve"> (5), 541]</w:t>
      </w:r>
      <w:r>
        <w:rPr>
          <w:rFonts w:ascii="Arial" w:hAnsi="Arial" w:cs="Arial"/>
          <w:rtl/>
        </w:rPr>
        <w:t>, כנגזר מכך,</w:t>
      </w:r>
      <w:r>
        <w:rPr>
          <w:rFonts w:ascii="Arial" w:hAnsi="Arial" w:cs="Arial" w:hint="cs"/>
          <w:rtl/>
        </w:rPr>
        <w:t xml:space="preserve"> כאמור,</w:t>
      </w:r>
      <w:r>
        <w:rPr>
          <w:rFonts w:ascii="Arial" w:hAnsi="Arial" w:cs="Arial"/>
          <w:rtl/>
        </w:rPr>
        <w:t xml:space="preserve"> יש חומרה מיוחדת, גם לעבירת קשירת הקשר שמיועדת להוביל להחזקה ונשיאה ואף לשימוש באותו נשק. </w:t>
      </w:r>
    </w:p>
    <w:p w14:paraId="0D7D0FA1" w14:textId="77777777" w:rsidR="00467B9E" w:rsidRDefault="00467B9E">
      <w:pPr>
        <w:spacing w:line="360" w:lineRule="auto"/>
        <w:jc w:val="both"/>
        <w:rPr>
          <w:rFonts w:ascii="Arial" w:hAnsi="Arial" w:cs="Arial"/>
          <w:rtl/>
        </w:rPr>
      </w:pPr>
    </w:p>
    <w:p w14:paraId="11CD3FA0" w14:textId="77777777" w:rsidR="00467B9E" w:rsidRDefault="00764B5A">
      <w:pPr>
        <w:spacing w:line="360" w:lineRule="auto"/>
        <w:jc w:val="both"/>
        <w:rPr>
          <w:rFonts w:ascii="Arial" w:hAnsi="Arial" w:cs="Arial"/>
          <w:rtl/>
        </w:rPr>
      </w:pPr>
      <w:r>
        <w:rPr>
          <w:rFonts w:ascii="Arial" w:hAnsi="Arial" w:cs="Arial"/>
          <w:rtl/>
        </w:rPr>
        <w:t xml:space="preserve">הפסיקה, ברוח זו, ואליה מפנה התביעה, בטיעוניה לעונש, מגוונת, אך עקבית במישור זה. כך למשל, התייחס לסוגיה זו </w:t>
      </w:r>
      <w:r>
        <w:rPr>
          <w:rFonts w:ascii="Arial" w:hAnsi="Arial" w:cs="Arial" w:hint="cs"/>
          <w:rtl/>
        </w:rPr>
        <w:t>ביהמ"ש</w:t>
      </w:r>
      <w:r>
        <w:rPr>
          <w:rFonts w:ascii="Arial" w:hAnsi="Arial" w:cs="Arial"/>
          <w:rtl/>
        </w:rPr>
        <w:t xml:space="preserve">, בגזר הדין </w:t>
      </w:r>
      <w:r>
        <w:rPr>
          <w:rFonts w:ascii="Arial" w:hAnsi="Arial" w:cs="Arial"/>
          <w:b/>
          <w:bCs/>
          <w:sz w:val="22"/>
          <w:szCs w:val="22"/>
          <w:rtl/>
        </w:rPr>
        <w:t>ב</w:t>
      </w:r>
      <w:hyperlink r:id="rId38" w:history="1">
        <w:r w:rsidRPr="00764B5A">
          <w:rPr>
            <w:rFonts w:ascii="Arial" w:hAnsi="Arial" w:cs="Arial"/>
            <w:b/>
            <w:bCs/>
            <w:color w:val="0000FF"/>
            <w:sz w:val="22"/>
            <w:szCs w:val="22"/>
            <w:u w:val="single"/>
            <w:rtl/>
          </w:rPr>
          <w:t>ת"פ (ב"ש) 24817-06-10</w:t>
        </w:r>
      </w:hyperlink>
      <w:r>
        <w:rPr>
          <w:rFonts w:ascii="Arial" w:hAnsi="Arial" w:cs="Arial"/>
          <w:b/>
          <w:bCs/>
          <w:sz w:val="22"/>
          <w:szCs w:val="22"/>
          <w:rtl/>
        </w:rPr>
        <w:t>, מדינת ישראל נ' סאלם אלטורי</w:t>
      </w:r>
      <w:r>
        <w:rPr>
          <w:rFonts w:ascii="Arial" w:hAnsi="Arial" w:cs="Arial"/>
          <w:rtl/>
        </w:rPr>
        <w:t xml:space="preserve"> (פורסם באתר נבו):</w:t>
      </w:r>
    </w:p>
    <w:p w14:paraId="0A0E9014" w14:textId="77777777" w:rsidR="00467B9E" w:rsidRDefault="00764B5A">
      <w:pPr>
        <w:spacing w:line="360" w:lineRule="auto"/>
        <w:jc w:val="both"/>
        <w:rPr>
          <w:rFonts w:ascii="Arial" w:hAnsi="Arial" w:cs="Arial"/>
          <w:b/>
          <w:bCs/>
          <w:sz w:val="22"/>
          <w:szCs w:val="22"/>
          <w:rtl/>
        </w:rPr>
      </w:pPr>
      <w:r>
        <w:rPr>
          <w:rFonts w:ascii="Arial" w:hAnsi="Arial" w:cs="Arial"/>
          <w:b/>
          <w:bCs/>
          <w:sz w:val="22"/>
          <w:szCs w:val="22"/>
          <w:rtl/>
        </w:rPr>
        <w:t xml:space="preserve">"הסכנה הנשקפת לציבור כתוצאה מעבירות הקשורות בהחזקת נשק, מחייבים לתת ביטוי הולם וכבד משקל להגנה על הערך החברתי שנפגע כתוצאה מפעילות עבריינית זו, הגנה על שלום הציבור מפני פגיעות בגוף או בנפש, ולהחמיר את עונשי המאסר המוטלים...". </w:t>
      </w:r>
    </w:p>
    <w:p w14:paraId="6BBA1685" w14:textId="77777777" w:rsidR="00467B9E" w:rsidRDefault="00467B9E">
      <w:pPr>
        <w:spacing w:line="360" w:lineRule="auto"/>
        <w:jc w:val="both"/>
        <w:rPr>
          <w:rFonts w:ascii="Arial" w:hAnsi="Arial" w:cs="Arial"/>
          <w:rtl/>
        </w:rPr>
      </w:pPr>
    </w:p>
    <w:p w14:paraId="5CFEE28D" w14:textId="77777777" w:rsidR="00467B9E" w:rsidRDefault="00764B5A">
      <w:pPr>
        <w:spacing w:line="360" w:lineRule="auto"/>
        <w:jc w:val="both"/>
        <w:rPr>
          <w:rFonts w:ascii="Arial" w:hAnsi="Arial" w:cs="Arial"/>
          <w:b/>
          <w:bCs/>
          <w:sz w:val="22"/>
          <w:szCs w:val="22"/>
          <w:rtl/>
        </w:rPr>
      </w:pPr>
      <w:r>
        <w:rPr>
          <w:rFonts w:ascii="Arial" w:hAnsi="Arial" w:cs="Arial"/>
          <w:rtl/>
        </w:rPr>
        <w:t>באותו מקרה, שאף במסגרתו לא הוכח היעוד המדוייק להחזקת הנשק והשימוש העברייני העתידי בו, בדומה אף לענייננו, העיר</w:t>
      </w:r>
      <w:r>
        <w:rPr>
          <w:rFonts w:ascii="Arial" w:hAnsi="Arial" w:cs="Arial" w:hint="cs"/>
          <w:rtl/>
        </w:rPr>
        <w:t xml:space="preserve"> ביהמ"ש </w:t>
      </w:r>
      <w:r>
        <w:rPr>
          <w:rFonts w:ascii="Arial" w:hAnsi="Arial" w:cs="Arial"/>
          <w:sz w:val="22"/>
          <w:szCs w:val="22"/>
          <w:rtl/>
        </w:rPr>
        <w:t>(ואציין כי בעניין אלטורי מדובר היה "רק" באקדח ולא ברובה ארוך טווח)</w:t>
      </w:r>
      <w:r>
        <w:rPr>
          <w:rFonts w:ascii="Arial" w:hAnsi="Arial" w:cs="Arial"/>
          <w:rtl/>
        </w:rPr>
        <w:t xml:space="preserve">, כי </w:t>
      </w:r>
      <w:r>
        <w:rPr>
          <w:rFonts w:ascii="Arial" w:hAnsi="Arial" w:cs="Arial"/>
          <w:sz w:val="22"/>
          <w:szCs w:val="22"/>
          <w:rtl/>
        </w:rPr>
        <w:t>"</w:t>
      </w:r>
      <w:r>
        <w:rPr>
          <w:rFonts w:ascii="Arial" w:hAnsi="Arial" w:cs="Arial"/>
          <w:b/>
          <w:bCs/>
          <w:sz w:val="22"/>
          <w:szCs w:val="22"/>
          <w:rtl/>
        </w:rPr>
        <w:t xml:space="preserve">אומנם נכון, כי בענייננו לא הוכחה מטרת החזקת הנשק, ולא הוכח הקשר בין האישומים בהם הורשע הנאשם, אולם, כפי שגם צויין לעיל, כאשר מדובר בהחזקת נשק, העבירה, על פי טיבה, היא בעלת חומרה יתרה ופוטנציאל סיכון רב". </w:t>
      </w:r>
    </w:p>
    <w:p w14:paraId="39462D57" w14:textId="77777777" w:rsidR="00467B9E" w:rsidRDefault="00467B9E">
      <w:pPr>
        <w:spacing w:line="360" w:lineRule="auto"/>
        <w:jc w:val="both"/>
        <w:rPr>
          <w:rFonts w:ascii="Arial" w:hAnsi="Arial" w:cs="Arial"/>
          <w:b/>
          <w:bCs/>
          <w:sz w:val="22"/>
          <w:szCs w:val="22"/>
          <w:rtl/>
        </w:rPr>
      </w:pPr>
    </w:p>
    <w:p w14:paraId="54462E95" w14:textId="77777777" w:rsidR="00467B9E" w:rsidRDefault="00764B5A">
      <w:pPr>
        <w:spacing w:line="360" w:lineRule="auto"/>
        <w:jc w:val="both"/>
        <w:rPr>
          <w:rFonts w:ascii="Arial" w:hAnsi="Arial" w:cs="Arial"/>
          <w:rtl/>
        </w:rPr>
      </w:pPr>
      <w:r>
        <w:rPr>
          <w:rFonts w:ascii="Arial" w:hAnsi="Arial" w:cs="Arial"/>
          <w:rtl/>
        </w:rPr>
        <w:t xml:space="preserve">דברים אלה יפים לענייננו, על דרך האנלוגיה, שהרי, בנדון כאן, אין מדובר על עבירת החזקה בפועל אלא על קשירת קשר להשגתו ולהחזקתו של הנשק. </w:t>
      </w:r>
    </w:p>
    <w:p w14:paraId="2375EB03" w14:textId="77777777" w:rsidR="00467B9E" w:rsidRDefault="00467B9E">
      <w:pPr>
        <w:jc w:val="both"/>
        <w:rPr>
          <w:rFonts w:ascii="Arial" w:hAnsi="Arial" w:cs="Arial"/>
          <w:rtl/>
        </w:rPr>
      </w:pPr>
    </w:p>
    <w:p w14:paraId="7DC5A69B" w14:textId="77777777" w:rsidR="00467B9E" w:rsidRDefault="00764B5A">
      <w:pPr>
        <w:spacing w:line="360" w:lineRule="auto"/>
        <w:jc w:val="both"/>
        <w:rPr>
          <w:rFonts w:ascii="Arial" w:hAnsi="Arial" w:cs="Arial"/>
          <w:rtl/>
        </w:rPr>
      </w:pPr>
      <w:r>
        <w:rPr>
          <w:rFonts w:ascii="Arial" w:hAnsi="Arial" w:cs="Arial"/>
          <w:rtl/>
        </w:rPr>
        <w:t>כאשר מדובר ברובה, להבדיל מאקדח, ולא כל שכן, כאשר הקושרים בוחנים את היתכנות התקנת הטלסקופ עליו, נעלה מספק, שאין מדובר בנשק שמיועד להגנה עצמית, או כפי התירוץ הניתן לעיתים על ידי הרוכש – "לצורך ירי באוויר בשמחות", אלא, במובהק, עסקינן בכלי קטלני שנקל לשער למה הוא עתיד לשמש אצל אלה שיחזיקו בו לאחר מימוש הקשר לרכישתו.</w:t>
      </w:r>
    </w:p>
    <w:p w14:paraId="22958451" w14:textId="77777777" w:rsidR="00467B9E" w:rsidRDefault="00467B9E">
      <w:pPr>
        <w:spacing w:line="360" w:lineRule="auto"/>
        <w:jc w:val="both"/>
        <w:rPr>
          <w:rFonts w:ascii="Arial" w:hAnsi="Arial" w:cs="Arial"/>
          <w:rtl/>
        </w:rPr>
      </w:pPr>
    </w:p>
    <w:p w14:paraId="5D01E294" w14:textId="77777777" w:rsidR="00467B9E" w:rsidRDefault="00764B5A">
      <w:pPr>
        <w:spacing w:line="360" w:lineRule="auto"/>
        <w:jc w:val="both"/>
        <w:rPr>
          <w:rFonts w:ascii="Arial" w:hAnsi="Arial" w:cs="Arial"/>
          <w:u w:val="single"/>
          <w:rtl/>
        </w:rPr>
      </w:pPr>
      <w:r>
        <w:rPr>
          <w:rFonts w:ascii="Arial" w:hAnsi="Arial" w:cs="Arial"/>
          <w:rtl/>
        </w:rPr>
        <w:t xml:space="preserve">עיינו בפסיקה שצירף הסנגור, ושבגדרה נגזרו על הנאשמים שם עונשים יחסית מתונים בנסיבות דומות </w:t>
      </w:r>
      <w:r>
        <w:rPr>
          <w:rFonts w:ascii="Arial" w:hAnsi="Arial" w:cs="Arial"/>
          <w:sz w:val="22"/>
          <w:szCs w:val="22"/>
          <w:rtl/>
        </w:rPr>
        <w:t>(אם כי בהחלט ניתן לאבחן בין מרבית דוגמאות אלה לענייננו, אולם, לטעמ</w:t>
      </w:r>
      <w:r>
        <w:rPr>
          <w:rFonts w:ascii="Arial" w:hAnsi="Arial" w:cs="Arial" w:hint="cs"/>
          <w:sz w:val="22"/>
          <w:szCs w:val="22"/>
          <w:rtl/>
        </w:rPr>
        <w:t>נו</w:t>
      </w:r>
      <w:r>
        <w:rPr>
          <w:rFonts w:ascii="Arial" w:hAnsi="Arial" w:cs="Arial"/>
          <w:sz w:val="22"/>
          <w:szCs w:val="22"/>
          <w:rtl/>
        </w:rPr>
        <w:t xml:space="preserve"> אין צורך להיכנס לניתוח פרטני זה)</w:t>
      </w:r>
      <w:r>
        <w:rPr>
          <w:rFonts w:ascii="Arial" w:hAnsi="Arial" w:cs="Arial"/>
          <w:rtl/>
        </w:rPr>
        <w:t>, ואכן, ניתן לראות בפסיקה מנעד די נרחב של ענישה, מותאמת נסיבות ושנעשתה לאחר שיקלול היבטים אישיים ושיקומיים של הנאשמים השונים, אולם, דעת</w:t>
      </w:r>
      <w:r>
        <w:rPr>
          <w:rFonts w:ascii="Arial" w:hAnsi="Arial" w:cs="Arial" w:hint="cs"/>
          <w:rtl/>
        </w:rPr>
        <w:t>נו</w:t>
      </w:r>
      <w:r>
        <w:rPr>
          <w:rFonts w:ascii="Arial" w:hAnsi="Arial" w:cs="Arial"/>
          <w:rtl/>
        </w:rPr>
        <w:t xml:space="preserve"> היא שמתחם הענישה שהתבקש על ידי התביעה גם בגין העבירה הזו, סביר בהחלט, ויש למקמו בין </w:t>
      </w:r>
      <w:r>
        <w:rPr>
          <w:rFonts w:ascii="Arial" w:hAnsi="Arial" w:cs="Arial"/>
          <w:u w:val="single"/>
          <w:rtl/>
        </w:rPr>
        <w:t>2 ל- 4 שנות מאסר בפועל.</w:t>
      </w:r>
    </w:p>
    <w:p w14:paraId="2C5E28B9" w14:textId="77777777" w:rsidR="00467B9E" w:rsidRDefault="00467B9E">
      <w:pPr>
        <w:spacing w:line="360" w:lineRule="auto"/>
        <w:jc w:val="both"/>
        <w:rPr>
          <w:rFonts w:ascii="Arial" w:hAnsi="Arial" w:cs="Arial"/>
          <w:u w:val="single"/>
          <w:rtl/>
        </w:rPr>
      </w:pPr>
    </w:p>
    <w:p w14:paraId="334D1CB2" w14:textId="77777777" w:rsidR="00467B9E" w:rsidRDefault="00764B5A">
      <w:pPr>
        <w:spacing w:line="360" w:lineRule="auto"/>
        <w:jc w:val="both"/>
        <w:rPr>
          <w:rFonts w:ascii="Arial" w:hAnsi="Arial" w:cs="Arial"/>
          <w:sz w:val="22"/>
          <w:szCs w:val="22"/>
          <w:rtl/>
        </w:rPr>
      </w:pPr>
      <w:r>
        <w:rPr>
          <w:rFonts w:ascii="Arial" w:hAnsi="Arial" w:cs="Arial"/>
          <w:rtl/>
        </w:rPr>
        <w:t xml:space="preserve">שיקולי הרתעה, הן של הרבים, בהינתן פגיעתן הרבה והקשה של עבירות נשק בציבור ובתחושת ביטחונו, והן של היחיד – הנאשם, המוסיף לעבור עבירות, גם זמן קצר לאחר שחרורו ממאסר, מצדיקים הימנעות מלהסתפק ברף הנמוך של משרעת העונשים בתוך המתחמים </w:t>
      </w:r>
      <w:r>
        <w:rPr>
          <w:rFonts w:ascii="Arial" w:hAnsi="Arial" w:cs="Arial"/>
          <w:sz w:val="22"/>
          <w:szCs w:val="22"/>
          <w:rtl/>
        </w:rPr>
        <w:t>(</w:t>
      </w:r>
      <w:hyperlink r:id="rId39" w:history="1">
        <w:r w:rsidR="005118A3" w:rsidRPr="005118A3">
          <w:rPr>
            <w:rStyle w:val="Hyperlink"/>
            <w:rFonts w:ascii="Arial" w:hAnsi="Arial" w:cs="Arial"/>
            <w:b/>
            <w:bCs/>
            <w:sz w:val="22"/>
            <w:szCs w:val="22"/>
            <w:rtl/>
          </w:rPr>
          <w:t>סעיף 40 ו'</w:t>
        </w:r>
      </w:hyperlink>
      <w:r>
        <w:rPr>
          <w:rFonts w:ascii="Arial" w:hAnsi="Arial" w:cs="Arial"/>
          <w:b/>
          <w:bCs/>
          <w:sz w:val="22"/>
          <w:szCs w:val="22"/>
          <w:rtl/>
        </w:rPr>
        <w:t xml:space="preserve"> +</w:t>
      </w:r>
      <w:hyperlink r:id="rId40" w:history="1">
        <w:r w:rsidR="005118A3" w:rsidRPr="005118A3">
          <w:rPr>
            <w:rStyle w:val="Hyperlink"/>
            <w:rFonts w:ascii="Arial" w:hAnsi="Arial" w:cs="Arial"/>
            <w:b/>
            <w:bCs/>
            <w:sz w:val="22"/>
            <w:szCs w:val="22"/>
            <w:rtl/>
          </w:rPr>
          <w:t>ז</w:t>
        </w:r>
      </w:hyperlink>
      <w:r>
        <w:rPr>
          <w:rFonts w:ascii="Arial" w:hAnsi="Arial" w:cs="Arial"/>
          <w:b/>
          <w:bCs/>
          <w:sz w:val="22"/>
          <w:szCs w:val="22"/>
          <w:rtl/>
        </w:rPr>
        <w:t xml:space="preserve"> </w:t>
      </w:r>
      <w:r>
        <w:rPr>
          <w:rFonts w:ascii="Arial" w:hAnsi="Arial" w:cs="Arial"/>
          <w:sz w:val="22"/>
          <w:szCs w:val="22"/>
          <w:rtl/>
        </w:rPr>
        <w:t>שלאחר תיקון</w:t>
      </w:r>
      <w:r>
        <w:rPr>
          <w:rFonts w:ascii="Arial" w:hAnsi="Arial" w:cs="Arial"/>
          <w:b/>
          <w:bCs/>
          <w:sz w:val="22"/>
          <w:szCs w:val="22"/>
          <w:rtl/>
        </w:rPr>
        <w:t xml:space="preserve"> 113</w:t>
      </w:r>
      <w:r>
        <w:rPr>
          <w:rFonts w:ascii="Arial" w:hAnsi="Arial" w:cs="Arial"/>
          <w:sz w:val="22"/>
          <w:szCs w:val="22"/>
          <w:rtl/>
        </w:rPr>
        <w:t xml:space="preserve">). </w:t>
      </w:r>
    </w:p>
    <w:p w14:paraId="3052AA30" w14:textId="77777777" w:rsidR="00467B9E" w:rsidRDefault="00467B9E">
      <w:pPr>
        <w:spacing w:line="360" w:lineRule="auto"/>
        <w:jc w:val="both"/>
        <w:rPr>
          <w:rFonts w:ascii="Arial" w:hAnsi="Arial" w:cs="Arial"/>
          <w:sz w:val="22"/>
          <w:szCs w:val="22"/>
          <w:rtl/>
        </w:rPr>
      </w:pPr>
    </w:p>
    <w:p w14:paraId="6E57BEE3" w14:textId="77777777" w:rsidR="00467B9E" w:rsidRDefault="00764B5A">
      <w:pPr>
        <w:spacing w:line="360" w:lineRule="auto"/>
        <w:jc w:val="both"/>
        <w:rPr>
          <w:rFonts w:ascii="Arial" w:hAnsi="Arial" w:cs="Arial"/>
          <w:rtl/>
        </w:rPr>
      </w:pPr>
      <w:r>
        <w:rPr>
          <w:rFonts w:ascii="Arial" w:hAnsi="Arial" w:cs="Arial"/>
          <w:rtl/>
        </w:rPr>
        <w:t xml:space="preserve">עברו המכביד של הנאשם, והעדר שיקולי שיקום פרטניים לגביו, אינם מצדיקים, אף הם, הקלה בעונש, בתוך המתחם שנקבע. </w:t>
      </w:r>
    </w:p>
    <w:p w14:paraId="3743074C" w14:textId="77777777" w:rsidR="00467B9E" w:rsidRDefault="00467B9E">
      <w:pPr>
        <w:spacing w:line="360" w:lineRule="auto"/>
        <w:jc w:val="both"/>
        <w:rPr>
          <w:rFonts w:ascii="Arial" w:hAnsi="Arial" w:cs="Arial"/>
          <w:rtl/>
        </w:rPr>
      </w:pPr>
    </w:p>
    <w:p w14:paraId="217BB9C4" w14:textId="77777777" w:rsidR="00467B9E" w:rsidRDefault="00764B5A">
      <w:pPr>
        <w:spacing w:line="360" w:lineRule="auto"/>
        <w:jc w:val="both"/>
        <w:rPr>
          <w:rFonts w:ascii="Arial" w:hAnsi="Arial" w:cs="Arial"/>
          <w:rtl/>
        </w:rPr>
      </w:pPr>
      <w:r>
        <w:rPr>
          <w:rFonts w:ascii="Arial" w:hAnsi="Arial" w:cs="Arial"/>
          <w:rtl/>
        </w:rPr>
        <w:t xml:space="preserve">אשר לצבירת העונשים או לחפיפה ביניהם, ולשאלה של ענישה בריבוי עבירות </w:t>
      </w:r>
      <w:r>
        <w:rPr>
          <w:rFonts w:ascii="Arial" w:hAnsi="Arial" w:cs="Arial"/>
          <w:sz w:val="22"/>
          <w:szCs w:val="22"/>
          <w:rtl/>
        </w:rPr>
        <w:t>[</w:t>
      </w:r>
      <w:hyperlink r:id="rId41" w:history="1">
        <w:r w:rsidR="005118A3" w:rsidRPr="005118A3">
          <w:rPr>
            <w:rStyle w:val="Hyperlink"/>
            <w:rFonts w:ascii="Arial" w:hAnsi="Arial" w:cs="Arial"/>
            <w:b/>
            <w:bCs/>
            <w:sz w:val="22"/>
            <w:szCs w:val="22"/>
            <w:rtl/>
          </w:rPr>
          <w:t>סעיף 40 יג (א-ג)</w:t>
        </w:r>
      </w:hyperlink>
      <w:r>
        <w:rPr>
          <w:rFonts w:ascii="Arial" w:hAnsi="Arial" w:cs="Arial"/>
          <w:sz w:val="22"/>
          <w:szCs w:val="22"/>
          <w:rtl/>
        </w:rPr>
        <w:t>]</w:t>
      </w:r>
      <w:r>
        <w:rPr>
          <w:rFonts w:ascii="Arial" w:hAnsi="Arial" w:cs="Arial"/>
          <w:rtl/>
        </w:rPr>
        <w:t xml:space="preserve">, נראה, שיש לגזור עונש כולל על שני האירועים הקשורים בנשק, בהם הורשע הנאשם, </w:t>
      </w:r>
      <w:r>
        <w:rPr>
          <w:rFonts w:ascii="Arial" w:hAnsi="Arial" w:cs="Arial"/>
          <w:sz w:val="22"/>
          <w:szCs w:val="22"/>
          <w:rtl/>
        </w:rPr>
        <w:t>(השמשת האקדח והקשר לרכוש רובה)</w:t>
      </w:r>
      <w:r>
        <w:rPr>
          <w:rFonts w:ascii="Arial" w:hAnsi="Arial" w:cs="Arial"/>
          <w:rtl/>
        </w:rPr>
        <w:t xml:space="preserve">, ולגזור עונש נפרד, שירוצה במצטבר על קודמו, לעניין עבירת הסם שהיא הן במהותה והן בנסיבותיה כאן, נפרדת ונעדרת הקשר ענייני לשתי העבירות האחרות. </w:t>
      </w:r>
    </w:p>
    <w:p w14:paraId="22924ECD" w14:textId="77777777" w:rsidR="00467B9E" w:rsidRDefault="00467B9E">
      <w:pPr>
        <w:spacing w:line="360" w:lineRule="auto"/>
        <w:jc w:val="both"/>
        <w:rPr>
          <w:rFonts w:ascii="Arial" w:hAnsi="Arial" w:cs="Arial"/>
          <w:rtl/>
        </w:rPr>
      </w:pPr>
    </w:p>
    <w:p w14:paraId="61E5C398" w14:textId="77777777" w:rsidR="00467B9E" w:rsidRDefault="00764B5A">
      <w:pPr>
        <w:spacing w:line="360" w:lineRule="auto"/>
        <w:jc w:val="both"/>
        <w:rPr>
          <w:rFonts w:ascii="Arial" w:hAnsi="Arial" w:cs="Arial"/>
          <w:rtl/>
        </w:rPr>
      </w:pPr>
      <w:r>
        <w:rPr>
          <w:rFonts w:ascii="Arial" w:hAnsi="Arial" w:cs="Arial" w:hint="cs"/>
          <w:rtl/>
        </w:rPr>
        <w:t>נוסיף ונ</w:t>
      </w:r>
      <w:r>
        <w:rPr>
          <w:rFonts w:ascii="Arial" w:hAnsi="Arial" w:cs="Arial"/>
          <w:rtl/>
        </w:rPr>
        <w:t xml:space="preserve">עיר, </w:t>
      </w:r>
      <w:r>
        <w:rPr>
          <w:rFonts w:ascii="Arial" w:hAnsi="Arial" w:cs="Arial" w:hint="cs"/>
          <w:rtl/>
        </w:rPr>
        <w:t xml:space="preserve">כי אין </w:t>
      </w:r>
      <w:r>
        <w:rPr>
          <w:rFonts w:ascii="Arial" w:hAnsi="Arial" w:cs="Arial"/>
          <w:rtl/>
        </w:rPr>
        <w:t xml:space="preserve">לייחס משקל </w:t>
      </w:r>
      <w:r>
        <w:rPr>
          <w:rFonts w:ascii="Arial" w:hAnsi="Arial" w:cs="Arial" w:hint="cs"/>
          <w:rtl/>
        </w:rPr>
        <w:t xml:space="preserve">של ממש </w:t>
      </w:r>
      <w:r>
        <w:rPr>
          <w:rFonts w:ascii="Arial" w:hAnsi="Arial" w:cs="Arial"/>
          <w:rtl/>
        </w:rPr>
        <w:t>בשיקולי הענישה, לגבי העבירות שבהן הורשע הנאשם, לכך, שהוא זוכה, מחמת הספק, מחלק אחר של כתב האישום, הגם שהעבירות מהן זוכה, היו חמורות עוד יותר. הנאשם נותן את הדין ונענש, אך ורק על מה שהוכח מעבר לספק סביר, ושבגינו הורשע. התביעה לא ביקשה, ובצדק, להחמיר עימו בשל ניהול "הגנת בדים", כהגדרת הסנגור.</w:t>
      </w:r>
    </w:p>
    <w:p w14:paraId="468D961B" w14:textId="77777777" w:rsidR="00467B9E" w:rsidRDefault="00467B9E">
      <w:pPr>
        <w:jc w:val="both"/>
        <w:rPr>
          <w:rFonts w:ascii="Arial" w:hAnsi="Arial" w:cs="Arial"/>
          <w:rtl/>
        </w:rPr>
      </w:pPr>
    </w:p>
    <w:p w14:paraId="40C45543" w14:textId="77777777" w:rsidR="00467B9E" w:rsidRDefault="00764B5A">
      <w:pPr>
        <w:spacing w:line="360" w:lineRule="auto"/>
        <w:jc w:val="both"/>
        <w:rPr>
          <w:rFonts w:ascii="Arial" w:hAnsi="Arial" w:cs="Arial"/>
          <w:rtl/>
        </w:rPr>
      </w:pPr>
      <w:r>
        <w:rPr>
          <w:rFonts w:ascii="Arial" w:hAnsi="Arial" w:cs="Arial"/>
          <w:rtl/>
        </w:rPr>
        <w:t>לאור כל האמור, ולאחר עריכת האיזון בין השיקולים השונים, הצריכים לפסיקת עונש הולם על פי העיקרון המנחה שעליו אנו מצווים על פי החוק, נמצא שיש לגזור את דינו של הנאשם לעונשים הבאים:</w:t>
      </w:r>
    </w:p>
    <w:p w14:paraId="4707C1CF" w14:textId="77777777" w:rsidR="00467B9E" w:rsidRDefault="00764B5A">
      <w:pPr>
        <w:pStyle w:val="ListParagraph"/>
        <w:numPr>
          <w:ilvl w:val="0"/>
          <w:numId w:val="1"/>
        </w:numPr>
        <w:spacing w:line="360" w:lineRule="auto"/>
        <w:jc w:val="both"/>
        <w:rPr>
          <w:rFonts w:ascii="Arial" w:hAnsi="Arial" w:cs="Arial"/>
        </w:rPr>
      </w:pPr>
      <w:r>
        <w:rPr>
          <w:rFonts w:ascii="Arial" w:hAnsi="Arial" w:cs="Arial"/>
          <w:rtl/>
        </w:rPr>
        <w:t xml:space="preserve">בגין העבירות של מתן אמצעים לביצוע פשע וקשירת קשר לפשע – מאסר בפועל למשך 30 חודשים. </w:t>
      </w:r>
    </w:p>
    <w:p w14:paraId="0FA2ED35" w14:textId="77777777" w:rsidR="00467B9E" w:rsidRDefault="00764B5A">
      <w:pPr>
        <w:pStyle w:val="ListParagraph"/>
        <w:numPr>
          <w:ilvl w:val="0"/>
          <w:numId w:val="1"/>
        </w:numPr>
        <w:spacing w:line="360" w:lineRule="auto"/>
        <w:jc w:val="both"/>
        <w:rPr>
          <w:rFonts w:ascii="Arial" w:hAnsi="Arial" w:cs="Arial"/>
        </w:rPr>
      </w:pPr>
      <w:r>
        <w:rPr>
          <w:rFonts w:ascii="Arial" w:hAnsi="Arial" w:cs="Arial"/>
          <w:rtl/>
        </w:rPr>
        <w:t xml:space="preserve">בגין עבירת החזקת הסם – מאסר בפועל למשך 4 חודשים שירוצו במצטבר למאסר שנגזר לעיל, וסה"כ על הנאשם לרצות 34 חודשי מאסר, בניכוי ימי מעצרו בתיק זה מיום 19.9.12. </w:t>
      </w:r>
    </w:p>
    <w:p w14:paraId="7872B6E8" w14:textId="77777777" w:rsidR="00467B9E" w:rsidRDefault="00764B5A">
      <w:pPr>
        <w:pStyle w:val="ListParagraph"/>
        <w:numPr>
          <w:ilvl w:val="0"/>
          <w:numId w:val="1"/>
        </w:numPr>
        <w:spacing w:line="360" w:lineRule="auto"/>
        <w:jc w:val="both"/>
        <w:rPr>
          <w:rFonts w:ascii="Arial" w:hAnsi="Arial" w:cs="Arial"/>
        </w:rPr>
      </w:pPr>
      <w:r>
        <w:rPr>
          <w:rFonts w:ascii="Arial" w:hAnsi="Arial" w:cs="Arial"/>
          <w:rtl/>
        </w:rPr>
        <w:t xml:space="preserve">מאסר על תנאי של 8 חודשים למשך שלוש שנים מיום שחרורו, על כל עבירה מסוג פשע, ומאסר על תנאי של 4 חודשים, למשך שלוש שנים מיום שחרורו, על כל עבירה כנגד </w:t>
      </w:r>
      <w:hyperlink r:id="rId42" w:history="1">
        <w:r w:rsidRPr="00764B5A">
          <w:rPr>
            <w:rFonts w:ascii="Arial" w:hAnsi="Arial" w:cs="Arial"/>
            <w:color w:val="0000FF"/>
            <w:u w:val="single"/>
            <w:rtl/>
          </w:rPr>
          <w:t>פקודת הסמים המסוכנים</w:t>
        </w:r>
      </w:hyperlink>
      <w:r>
        <w:rPr>
          <w:rFonts w:ascii="Arial" w:hAnsi="Arial" w:cs="Arial"/>
          <w:rtl/>
        </w:rPr>
        <w:t xml:space="preserve">. </w:t>
      </w:r>
    </w:p>
    <w:p w14:paraId="63DFEC5F" w14:textId="77777777" w:rsidR="00467B9E" w:rsidRDefault="00764B5A">
      <w:pPr>
        <w:pStyle w:val="ListParagraph"/>
        <w:spacing w:line="360" w:lineRule="auto"/>
        <w:jc w:val="both"/>
        <w:rPr>
          <w:rFonts w:ascii="Arial" w:hAnsi="Arial" w:cs="Arial"/>
          <w:rtl/>
        </w:rPr>
      </w:pPr>
      <w:r>
        <w:rPr>
          <w:rFonts w:ascii="Arial" w:hAnsi="Arial" w:cs="Arial"/>
          <w:rtl/>
        </w:rPr>
        <w:t>לא מצאנו לנכון להוסיף ולהטיל קנס כספי, כפי שהתבקש על ידי המאשימה.</w:t>
      </w:r>
    </w:p>
    <w:p w14:paraId="207BEFBA" w14:textId="77777777" w:rsidR="00467B9E" w:rsidRDefault="00467B9E">
      <w:pPr>
        <w:pStyle w:val="ListParagraph"/>
        <w:jc w:val="both"/>
        <w:rPr>
          <w:rFonts w:ascii="Arial" w:hAnsi="Arial" w:cs="Arial"/>
          <w:rtl/>
        </w:rPr>
      </w:pPr>
    </w:p>
    <w:p w14:paraId="4DA865AC" w14:textId="77777777" w:rsidR="00467B9E" w:rsidRDefault="00764B5A">
      <w:pPr>
        <w:spacing w:line="360" w:lineRule="auto"/>
        <w:jc w:val="both"/>
        <w:rPr>
          <w:rFonts w:ascii="Arial" w:hAnsi="Arial" w:cs="Arial"/>
          <w:b/>
          <w:bCs/>
          <w:rtl/>
        </w:rPr>
      </w:pPr>
      <w:r>
        <w:rPr>
          <w:rFonts w:ascii="Arial" w:hAnsi="Arial" w:cs="Arial"/>
          <w:b/>
          <w:bCs/>
          <w:rtl/>
        </w:rPr>
        <w:tab/>
        <w:t>הודעה זכות הערעור לבית המשפט העליון בתוך 45 יום</w:t>
      </w:r>
      <w:r>
        <w:rPr>
          <w:rFonts w:ascii="Arial" w:hAnsi="Arial" w:cs="Arial" w:hint="cs"/>
          <w:b/>
          <w:bCs/>
          <w:rtl/>
        </w:rPr>
        <w:t>.</w:t>
      </w:r>
    </w:p>
    <w:p w14:paraId="50514CAD" w14:textId="77777777" w:rsidR="00467B9E" w:rsidRDefault="00764B5A">
      <w:pPr>
        <w:spacing w:line="360" w:lineRule="auto"/>
        <w:jc w:val="both"/>
        <w:rPr>
          <w:rFonts w:ascii="Arial" w:hAnsi="Arial" w:cs="Arial"/>
          <w:b/>
          <w:bCs/>
          <w:rtl/>
        </w:rPr>
      </w:pPr>
      <w:r w:rsidRPr="00764B5A">
        <w:rPr>
          <w:rFonts w:ascii="Arial" w:hAnsi="Arial" w:cs="Arial"/>
          <w:b/>
          <w:bCs/>
          <w:color w:val="FFFFFF"/>
          <w:sz w:val="2"/>
          <w:szCs w:val="2"/>
          <w:rtl/>
        </w:rPr>
        <w:t>5129371</w:t>
      </w:r>
      <w:r>
        <w:rPr>
          <w:rFonts w:ascii="Arial" w:hAnsi="Arial" w:cs="Arial"/>
          <w:b/>
          <w:bCs/>
          <w:rtl/>
        </w:rPr>
        <w:t xml:space="preserve">ניתן היום,  יג' אייר תשע"ד,13  במאי 2014, במעמד הצדדים. </w:t>
      </w:r>
    </w:p>
    <w:tbl>
      <w:tblPr>
        <w:bidiVisual/>
        <w:tblW w:w="0" w:type="auto"/>
        <w:tblLook w:val="01E0" w:firstRow="1" w:lastRow="1" w:firstColumn="1" w:lastColumn="1" w:noHBand="0" w:noVBand="0"/>
      </w:tblPr>
      <w:tblGrid>
        <w:gridCol w:w="2654"/>
        <w:gridCol w:w="236"/>
        <w:gridCol w:w="2104"/>
        <w:gridCol w:w="236"/>
        <w:gridCol w:w="3008"/>
      </w:tblGrid>
      <w:tr w:rsidR="00467B9E" w14:paraId="2AEFDFC7" w14:textId="77777777">
        <w:tc>
          <w:tcPr>
            <w:tcW w:w="2654" w:type="dxa"/>
            <w:tcBorders>
              <w:top w:val="nil"/>
              <w:left w:val="nil"/>
              <w:bottom w:val="single" w:sz="4" w:space="0" w:color="auto"/>
              <w:right w:val="nil"/>
            </w:tcBorders>
            <w:vAlign w:val="center"/>
          </w:tcPr>
          <w:p w14:paraId="59F776D7" w14:textId="77777777" w:rsidR="00467B9E" w:rsidRPr="00764B5A" w:rsidRDefault="00764B5A">
            <w:pPr>
              <w:jc w:val="center"/>
              <w:rPr>
                <w:rFonts w:ascii="Arial" w:hAnsi="Arial" w:cs="Arial"/>
                <w:b/>
                <w:bCs/>
                <w:color w:val="FFFFFF"/>
                <w:sz w:val="2"/>
                <w:szCs w:val="2"/>
              </w:rPr>
            </w:pPr>
            <w:r w:rsidRPr="00764B5A">
              <w:rPr>
                <w:rFonts w:ascii="Arial" w:hAnsi="Arial" w:cs="Arial"/>
                <w:b/>
                <w:bCs/>
                <w:color w:val="FFFFFF"/>
                <w:sz w:val="2"/>
                <w:szCs w:val="2"/>
                <w:rtl/>
              </w:rPr>
              <w:t>54678313</w:t>
            </w:r>
          </w:p>
        </w:tc>
        <w:tc>
          <w:tcPr>
            <w:tcW w:w="236" w:type="dxa"/>
            <w:vAlign w:val="center"/>
          </w:tcPr>
          <w:p w14:paraId="059708D3" w14:textId="77777777" w:rsidR="00467B9E" w:rsidRDefault="00467B9E">
            <w:pPr>
              <w:jc w:val="center"/>
              <w:rPr>
                <w:rFonts w:ascii="Arial" w:hAnsi="Arial" w:cs="Arial"/>
                <w:b/>
                <w:bCs/>
              </w:rPr>
            </w:pPr>
          </w:p>
        </w:tc>
        <w:tc>
          <w:tcPr>
            <w:tcW w:w="2104" w:type="dxa"/>
            <w:tcBorders>
              <w:top w:val="nil"/>
              <w:left w:val="nil"/>
              <w:bottom w:val="single" w:sz="4" w:space="0" w:color="auto"/>
              <w:right w:val="nil"/>
            </w:tcBorders>
            <w:vAlign w:val="center"/>
          </w:tcPr>
          <w:p w14:paraId="0E3A3DA7" w14:textId="77777777" w:rsidR="00467B9E" w:rsidRDefault="00467B9E">
            <w:pPr>
              <w:jc w:val="center"/>
              <w:rPr>
                <w:rFonts w:ascii="Arial" w:hAnsi="Arial" w:cs="Arial"/>
                <w:b/>
                <w:bCs/>
                <w:sz w:val="20"/>
                <w:szCs w:val="20"/>
              </w:rPr>
            </w:pPr>
          </w:p>
        </w:tc>
        <w:tc>
          <w:tcPr>
            <w:tcW w:w="236" w:type="dxa"/>
            <w:vAlign w:val="center"/>
          </w:tcPr>
          <w:p w14:paraId="6B5BEF94" w14:textId="77777777" w:rsidR="00467B9E" w:rsidRDefault="00467B9E">
            <w:pPr>
              <w:jc w:val="center"/>
              <w:rPr>
                <w:rFonts w:ascii="Arial" w:hAnsi="Arial" w:cs="Arial"/>
                <w:b/>
                <w:bCs/>
              </w:rPr>
            </w:pPr>
          </w:p>
        </w:tc>
        <w:tc>
          <w:tcPr>
            <w:tcW w:w="3008" w:type="dxa"/>
            <w:tcBorders>
              <w:top w:val="nil"/>
              <w:left w:val="nil"/>
              <w:bottom w:val="single" w:sz="4" w:space="0" w:color="auto"/>
              <w:right w:val="nil"/>
            </w:tcBorders>
            <w:vAlign w:val="center"/>
          </w:tcPr>
          <w:p w14:paraId="4102FEA5" w14:textId="77777777" w:rsidR="00467B9E" w:rsidRDefault="00467B9E">
            <w:pPr>
              <w:jc w:val="center"/>
              <w:rPr>
                <w:rFonts w:ascii="Arial" w:hAnsi="Arial" w:cs="Arial"/>
                <w:b/>
                <w:bCs/>
                <w:sz w:val="20"/>
                <w:szCs w:val="20"/>
              </w:rPr>
            </w:pPr>
          </w:p>
        </w:tc>
      </w:tr>
      <w:tr w:rsidR="00467B9E" w14:paraId="5D7F9B3C" w14:textId="77777777">
        <w:tc>
          <w:tcPr>
            <w:tcW w:w="2654" w:type="dxa"/>
            <w:tcBorders>
              <w:top w:val="single" w:sz="4" w:space="0" w:color="auto"/>
              <w:left w:val="nil"/>
              <w:bottom w:val="nil"/>
              <w:right w:val="nil"/>
            </w:tcBorders>
            <w:vAlign w:val="bottom"/>
          </w:tcPr>
          <w:p w14:paraId="4F6894FB" w14:textId="77777777" w:rsidR="00467B9E" w:rsidRDefault="00764B5A">
            <w:pPr>
              <w:jc w:val="center"/>
              <w:rPr>
                <w:rFonts w:ascii="Arial" w:hAnsi="Arial" w:cs="Arial"/>
              </w:rPr>
            </w:pPr>
            <w:r>
              <w:rPr>
                <w:rFonts w:ascii="Arial" w:hAnsi="Arial" w:cs="Arial"/>
                <w:b/>
                <w:bCs/>
                <w:rtl/>
              </w:rPr>
              <w:t>ס.הנשיא, רויטל יפה-כ"ץ</w:t>
            </w:r>
          </w:p>
          <w:p w14:paraId="7A284A28" w14:textId="77777777" w:rsidR="00467B9E" w:rsidRDefault="00764B5A">
            <w:pPr>
              <w:jc w:val="center"/>
              <w:rPr>
                <w:rFonts w:ascii="Arial" w:hAnsi="Arial" w:cs="Arial"/>
                <w:rtl/>
              </w:rPr>
            </w:pPr>
            <w:r>
              <w:rPr>
                <w:rFonts w:ascii="Arial" w:hAnsi="Arial" w:cs="Arial"/>
                <w:b/>
                <w:bCs/>
                <w:rtl/>
              </w:rPr>
              <w:t>אב"ד</w:t>
            </w:r>
          </w:p>
          <w:p w14:paraId="76B1CCBA" w14:textId="77777777" w:rsidR="00467B9E" w:rsidRDefault="00467B9E">
            <w:pPr>
              <w:jc w:val="center"/>
              <w:rPr>
                <w:rFonts w:ascii="Arial" w:hAnsi="Arial" w:cs="Arial"/>
                <w:b/>
                <w:bCs/>
              </w:rPr>
            </w:pPr>
          </w:p>
        </w:tc>
        <w:tc>
          <w:tcPr>
            <w:tcW w:w="236" w:type="dxa"/>
            <w:vAlign w:val="bottom"/>
          </w:tcPr>
          <w:p w14:paraId="1E07E080" w14:textId="77777777" w:rsidR="00467B9E" w:rsidRDefault="00467B9E">
            <w:pPr>
              <w:jc w:val="center"/>
              <w:rPr>
                <w:rFonts w:ascii="Arial" w:hAnsi="Arial" w:cs="Arial"/>
                <w:b/>
                <w:bCs/>
              </w:rPr>
            </w:pPr>
          </w:p>
        </w:tc>
        <w:tc>
          <w:tcPr>
            <w:tcW w:w="2104" w:type="dxa"/>
            <w:tcBorders>
              <w:top w:val="single" w:sz="4" w:space="0" w:color="auto"/>
              <w:left w:val="nil"/>
              <w:bottom w:val="nil"/>
              <w:right w:val="nil"/>
            </w:tcBorders>
          </w:tcPr>
          <w:p w14:paraId="2F3C5BC1" w14:textId="77777777" w:rsidR="00467B9E" w:rsidRDefault="00764B5A">
            <w:pPr>
              <w:jc w:val="center"/>
              <w:rPr>
                <w:rFonts w:ascii="Arial" w:hAnsi="Arial" w:cs="Arial"/>
                <w:b/>
                <w:bCs/>
              </w:rPr>
            </w:pPr>
            <w:r>
              <w:rPr>
                <w:rFonts w:ascii="Arial" w:hAnsi="Arial" w:cs="Arial"/>
                <w:b/>
                <w:bCs/>
                <w:rtl/>
              </w:rPr>
              <w:t>אריאל ואגו, שופט</w:t>
            </w:r>
          </w:p>
        </w:tc>
        <w:tc>
          <w:tcPr>
            <w:tcW w:w="236" w:type="dxa"/>
          </w:tcPr>
          <w:p w14:paraId="3998B901" w14:textId="77777777" w:rsidR="00467B9E" w:rsidRDefault="00467B9E">
            <w:pPr>
              <w:jc w:val="center"/>
              <w:rPr>
                <w:rFonts w:ascii="Arial" w:hAnsi="Arial" w:cs="Arial"/>
                <w:b/>
                <w:bCs/>
              </w:rPr>
            </w:pPr>
          </w:p>
        </w:tc>
        <w:tc>
          <w:tcPr>
            <w:tcW w:w="3008" w:type="dxa"/>
            <w:tcBorders>
              <w:top w:val="single" w:sz="4" w:space="0" w:color="auto"/>
              <w:left w:val="nil"/>
              <w:bottom w:val="nil"/>
              <w:right w:val="nil"/>
            </w:tcBorders>
          </w:tcPr>
          <w:p w14:paraId="32FE368D" w14:textId="77777777" w:rsidR="00467B9E" w:rsidRDefault="00764B5A">
            <w:pPr>
              <w:jc w:val="center"/>
              <w:rPr>
                <w:rFonts w:ascii="Arial" w:hAnsi="Arial" w:cs="Arial"/>
                <w:b/>
                <w:bCs/>
              </w:rPr>
            </w:pPr>
            <w:r>
              <w:rPr>
                <w:rFonts w:ascii="Arial" w:hAnsi="Arial" w:cs="Arial"/>
                <w:b/>
                <w:bCs/>
                <w:rtl/>
              </w:rPr>
              <w:t>יורם צלקובניק, שופט</w:t>
            </w:r>
          </w:p>
        </w:tc>
      </w:tr>
    </w:tbl>
    <w:p w14:paraId="037328BD" w14:textId="77777777" w:rsidR="00467B9E" w:rsidRPr="005118A3" w:rsidRDefault="005118A3">
      <w:pPr>
        <w:rPr>
          <w:rFonts w:ascii="Arial" w:hAnsi="Arial" w:cs="Arial"/>
          <w:color w:val="FFFFFF"/>
          <w:sz w:val="2"/>
          <w:szCs w:val="2"/>
          <w:rtl/>
        </w:rPr>
      </w:pPr>
      <w:r w:rsidRPr="005118A3">
        <w:rPr>
          <w:rFonts w:ascii="Arial" w:hAnsi="Arial" w:cs="Arial"/>
          <w:color w:val="FFFFFF"/>
          <w:sz w:val="2"/>
          <w:szCs w:val="2"/>
          <w:rtl/>
        </w:rPr>
        <w:t>5129371</w:t>
      </w:r>
    </w:p>
    <w:p w14:paraId="73EE8943" w14:textId="77777777" w:rsidR="00764B5A" w:rsidRPr="005118A3" w:rsidRDefault="005118A3" w:rsidP="00764B5A">
      <w:pPr>
        <w:keepNext/>
        <w:rPr>
          <w:rFonts w:ascii="David" w:hAnsi="David"/>
          <w:color w:val="FFFFFF"/>
          <w:sz w:val="2"/>
          <w:szCs w:val="2"/>
          <w:rtl/>
        </w:rPr>
      </w:pPr>
      <w:r w:rsidRPr="005118A3">
        <w:rPr>
          <w:rFonts w:ascii="David" w:hAnsi="David"/>
          <w:color w:val="FFFFFF"/>
          <w:sz w:val="2"/>
          <w:szCs w:val="2"/>
          <w:rtl/>
        </w:rPr>
        <w:t>54678313</w:t>
      </w:r>
    </w:p>
    <w:p w14:paraId="2114CECC" w14:textId="77777777" w:rsidR="00764B5A" w:rsidRDefault="00764B5A" w:rsidP="00764B5A">
      <w:pPr>
        <w:rPr>
          <w:rtl/>
        </w:rPr>
      </w:pPr>
    </w:p>
    <w:p w14:paraId="364E1A89" w14:textId="77777777" w:rsidR="005118A3" w:rsidRPr="005118A3" w:rsidRDefault="005118A3" w:rsidP="005118A3">
      <w:pPr>
        <w:keepNext/>
        <w:rPr>
          <w:rFonts w:ascii="David" w:hAnsi="David"/>
          <w:color w:val="000000"/>
          <w:sz w:val="22"/>
          <w:szCs w:val="22"/>
          <w:rtl/>
        </w:rPr>
      </w:pPr>
    </w:p>
    <w:p w14:paraId="6D5CDCF9" w14:textId="77777777" w:rsidR="005118A3" w:rsidRPr="005118A3" w:rsidRDefault="005118A3" w:rsidP="005118A3">
      <w:pPr>
        <w:keepNext/>
        <w:rPr>
          <w:rFonts w:ascii="David" w:hAnsi="David"/>
          <w:color w:val="000000"/>
          <w:sz w:val="22"/>
          <w:szCs w:val="22"/>
          <w:rtl/>
        </w:rPr>
      </w:pPr>
      <w:r w:rsidRPr="005118A3">
        <w:rPr>
          <w:rFonts w:ascii="David" w:hAnsi="David"/>
          <w:color w:val="000000"/>
          <w:sz w:val="22"/>
          <w:szCs w:val="22"/>
          <w:rtl/>
        </w:rPr>
        <w:t>רויטל יפה כ</w:t>
      </w:r>
      <w:r>
        <w:rPr>
          <w:rFonts w:ascii="David" w:hAnsi="David" w:hint="cs"/>
          <w:color w:val="000000"/>
          <w:sz w:val="22"/>
          <w:szCs w:val="22"/>
          <w:rtl/>
        </w:rPr>
        <w:t>"</w:t>
      </w:r>
      <w:r w:rsidRPr="005118A3">
        <w:rPr>
          <w:rFonts w:ascii="David" w:hAnsi="David"/>
          <w:color w:val="000000"/>
          <w:sz w:val="22"/>
          <w:szCs w:val="22"/>
          <w:rtl/>
        </w:rPr>
        <w:t>ץ   54678313-/</w:t>
      </w:r>
    </w:p>
    <w:p w14:paraId="1E96292E" w14:textId="77777777" w:rsidR="005118A3" w:rsidRDefault="005118A3" w:rsidP="005118A3">
      <w:pPr>
        <w:rPr>
          <w:rFonts w:hint="cs"/>
          <w:color w:val="000000"/>
          <w:u w:val="single"/>
          <w:rtl/>
        </w:rPr>
      </w:pPr>
      <w:r w:rsidRPr="005118A3">
        <w:rPr>
          <w:color w:val="000000"/>
          <w:u w:val="single"/>
          <w:rtl/>
        </w:rPr>
        <w:t>נוסח מסמך זה כפוף לשינויי ניסוח ועריכה</w:t>
      </w:r>
    </w:p>
    <w:p w14:paraId="01B692C5" w14:textId="77777777" w:rsidR="005118A3" w:rsidRPr="00764B5A" w:rsidRDefault="005118A3" w:rsidP="005118A3">
      <w:pPr>
        <w:rPr>
          <w:rFonts w:hint="cs"/>
          <w:color w:val="0000FF"/>
          <w:u w:val="single"/>
        </w:rPr>
      </w:pPr>
    </w:p>
    <w:p w14:paraId="542946DD" w14:textId="77777777" w:rsidR="00764B5A" w:rsidRDefault="00764B5A" w:rsidP="00764B5A">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E906813" w14:textId="77777777" w:rsidR="005118A3" w:rsidRPr="005118A3" w:rsidRDefault="005118A3">
      <w:pPr>
        <w:rPr>
          <w:rFonts w:ascii="David" w:hAnsi="David"/>
          <w:color w:val="000000"/>
          <w:sz w:val="22"/>
          <w:szCs w:val="22"/>
          <w:rtl/>
        </w:rPr>
      </w:pPr>
    </w:p>
    <w:sectPr w:rsidR="005118A3" w:rsidRPr="005118A3" w:rsidSect="005118A3">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4C1AB" w14:textId="77777777" w:rsidR="008026B3" w:rsidRPr="00FB1DD8" w:rsidRDefault="008026B3">
      <w:pPr>
        <w:rPr>
          <w:rFonts w:cs="Arial"/>
          <w:szCs w:val="20"/>
        </w:rPr>
      </w:pPr>
      <w:r>
        <w:separator/>
      </w:r>
    </w:p>
  </w:endnote>
  <w:endnote w:type="continuationSeparator" w:id="0">
    <w:p w14:paraId="0B67746E" w14:textId="77777777" w:rsidR="008026B3" w:rsidRPr="00FB1DD8" w:rsidRDefault="008026B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39C08" w14:textId="77777777" w:rsidR="005118A3" w:rsidRDefault="005118A3" w:rsidP="005118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85C4BB" w14:textId="77777777" w:rsidR="00467B9E" w:rsidRPr="005118A3" w:rsidRDefault="005118A3" w:rsidP="005118A3">
    <w:pPr>
      <w:pStyle w:val="a5"/>
      <w:pBdr>
        <w:top w:val="single" w:sz="4" w:space="1" w:color="auto"/>
        <w:between w:val="single" w:sz="4" w:space="0" w:color="auto"/>
      </w:pBdr>
      <w:spacing w:after="60"/>
      <w:jc w:val="center"/>
      <w:rPr>
        <w:rFonts w:ascii="FrankRuehl" w:hAnsi="FrankRuehl" w:cs="FrankRuehl"/>
        <w:color w:val="000000"/>
      </w:rPr>
    </w:pPr>
    <w:r w:rsidRPr="005118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ACC80" w14:textId="77777777" w:rsidR="005118A3" w:rsidRDefault="005118A3" w:rsidP="005118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0F3C">
      <w:rPr>
        <w:rFonts w:ascii="FrankRuehl" w:hAnsi="FrankRuehl" w:cs="FrankRuehl"/>
        <w:noProof/>
        <w:rtl/>
      </w:rPr>
      <w:t>1</w:t>
    </w:r>
    <w:r>
      <w:rPr>
        <w:rFonts w:ascii="FrankRuehl" w:hAnsi="FrankRuehl" w:cs="FrankRuehl"/>
        <w:rtl/>
      </w:rPr>
      <w:fldChar w:fldCharType="end"/>
    </w:r>
  </w:p>
  <w:p w14:paraId="0143EF85" w14:textId="77777777" w:rsidR="00467B9E" w:rsidRPr="005118A3" w:rsidRDefault="005118A3" w:rsidP="005118A3">
    <w:pPr>
      <w:pStyle w:val="a5"/>
      <w:pBdr>
        <w:top w:val="single" w:sz="4" w:space="1" w:color="auto"/>
        <w:between w:val="single" w:sz="4" w:space="0" w:color="auto"/>
      </w:pBdr>
      <w:spacing w:after="60"/>
      <w:jc w:val="center"/>
      <w:rPr>
        <w:rFonts w:ascii="FrankRuehl" w:hAnsi="FrankRuehl" w:cs="FrankRuehl"/>
        <w:color w:val="000000"/>
      </w:rPr>
    </w:pPr>
    <w:r w:rsidRPr="005118A3">
      <w:rPr>
        <w:rFonts w:ascii="FrankRuehl" w:hAnsi="FrankRuehl" w:cs="FrankRuehl"/>
        <w:color w:val="000000"/>
      </w:rPr>
      <w:pict w14:anchorId="0B721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39574" w14:textId="77777777" w:rsidR="008026B3" w:rsidRPr="00FB1DD8" w:rsidRDefault="008026B3">
      <w:pPr>
        <w:rPr>
          <w:rFonts w:cs="Arial"/>
          <w:szCs w:val="20"/>
        </w:rPr>
      </w:pPr>
      <w:r>
        <w:separator/>
      </w:r>
    </w:p>
  </w:footnote>
  <w:footnote w:type="continuationSeparator" w:id="0">
    <w:p w14:paraId="52289CAA" w14:textId="77777777" w:rsidR="008026B3" w:rsidRPr="00FB1DD8" w:rsidRDefault="008026B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36E7B" w14:textId="77777777" w:rsidR="00764B5A" w:rsidRPr="005118A3" w:rsidRDefault="005118A3" w:rsidP="005118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12866-10-12</w:t>
    </w:r>
    <w:r>
      <w:rPr>
        <w:rFonts w:ascii="David" w:hAnsi="David"/>
        <w:color w:val="000000"/>
        <w:sz w:val="22"/>
        <w:szCs w:val="22"/>
        <w:rtl/>
      </w:rPr>
      <w:tab/>
      <w:t xml:space="preserve"> מדינת ישראל נ' דוד מגידיש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61A64" w14:textId="77777777" w:rsidR="00764B5A" w:rsidRPr="005118A3" w:rsidRDefault="005118A3" w:rsidP="005118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12866-10-12</w:t>
    </w:r>
    <w:r>
      <w:rPr>
        <w:rFonts w:ascii="David" w:hAnsi="David"/>
        <w:color w:val="000000"/>
        <w:sz w:val="22"/>
        <w:szCs w:val="22"/>
        <w:rtl/>
      </w:rPr>
      <w:tab/>
      <w:t xml:space="preserve"> מדינת ישראל נ' דוד מגידיש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74A1"/>
    <w:multiLevelType w:val="hybridMultilevel"/>
    <w:tmpl w:val="134E12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4834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7B9E"/>
    <w:rsid w:val="00270F3C"/>
    <w:rsid w:val="00467B9E"/>
    <w:rsid w:val="005118A3"/>
    <w:rsid w:val="00513860"/>
    <w:rsid w:val="00764B5A"/>
    <w:rsid w:val="008026B3"/>
    <w:rsid w:val="00AA67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BDF2AA9"/>
  <w15:chartTrackingRefBased/>
  <w15:docId w15:val="{26AC0818-A5FA-45CD-9DF1-30F7AB29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7B9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67B9E"/>
    <w:pPr>
      <w:tabs>
        <w:tab w:val="center" w:pos="4153"/>
        <w:tab w:val="right" w:pos="8306"/>
      </w:tabs>
    </w:pPr>
  </w:style>
  <w:style w:type="paragraph" w:styleId="a5">
    <w:name w:val="footer"/>
    <w:basedOn w:val="a"/>
    <w:rsid w:val="00467B9E"/>
    <w:pPr>
      <w:tabs>
        <w:tab w:val="center" w:pos="4153"/>
        <w:tab w:val="right" w:pos="8306"/>
      </w:tabs>
    </w:pPr>
  </w:style>
  <w:style w:type="character" w:styleId="a6">
    <w:name w:val="page number"/>
    <w:basedOn w:val="a0"/>
    <w:rsid w:val="00467B9E"/>
  </w:style>
  <w:style w:type="character" w:customStyle="1" w:styleId="a4">
    <w:name w:val="כותרת עליונה תו"/>
    <w:basedOn w:val="a0"/>
    <w:link w:val="a3"/>
    <w:locked/>
    <w:rsid w:val="00467B9E"/>
    <w:rPr>
      <w:rFonts w:cs="David"/>
      <w:sz w:val="24"/>
      <w:szCs w:val="24"/>
      <w:lang w:val="en-US" w:eastAsia="en-US" w:bidi="he-IL"/>
    </w:rPr>
  </w:style>
  <w:style w:type="paragraph" w:customStyle="1" w:styleId="ListParagraph">
    <w:name w:val="List Paragraph"/>
    <w:basedOn w:val="a"/>
    <w:rsid w:val="00467B9E"/>
    <w:pPr>
      <w:ind w:left="720"/>
      <w:contextualSpacing/>
    </w:pPr>
  </w:style>
  <w:style w:type="character" w:styleId="Hyperlink">
    <w:name w:val="Hyperlink"/>
    <w:basedOn w:val="a0"/>
    <w:rsid w:val="00764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98.a" TargetMode="External"/><Relationship Id="rId26" Type="http://schemas.openxmlformats.org/officeDocument/2006/relationships/hyperlink" Target="http://www.nevo.co.il/law/70301/499.a" TargetMode="External"/><Relationship Id="rId39" Type="http://schemas.openxmlformats.org/officeDocument/2006/relationships/hyperlink" Target="http://www.nevo.co.il/law/70301/40f"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40i.a"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98.a"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inks/psika/?link=&#1506;&#1508;%201332/04&amp;Pvol=&#1504;&#1495;" TargetMode="External"/><Relationship Id="rId40" Type="http://schemas.openxmlformats.org/officeDocument/2006/relationships/hyperlink" Target="http://www.nevo.co.il/law/70301/40g"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c.a."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40g" TargetMode="External"/><Relationship Id="rId19" Type="http://schemas.openxmlformats.org/officeDocument/2006/relationships/hyperlink" Target="http://www.nevo.co.il/law/70301/499.a" TargetMode="External"/><Relationship Id="rId31" Type="http://schemas.openxmlformats.org/officeDocument/2006/relationships/hyperlink" Target="http://www.nevo.co.il/law/70301/40i"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f"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70301/40b" TargetMode="External"/><Relationship Id="rId35" Type="http://schemas.openxmlformats.org/officeDocument/2006/relationships/hyperlink" Target="http://www.nevo.co.il/law/70301/499.a.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40jc.c"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case/4858054" TargetMode="External"/><Relationship Id="rId46" Type="http://schemas.openxmlformats.org/officeDocument/2006/relationships/footer" Target="footer1.xml"/><Relationship Id="rId20" Type="http://schemas.openxmlformats.org/officeDocument/2006/relationships/hyperlink" Target="http://www.nevo.co.il/law/70301/499.a.1" TargetMode="External"/><Relationship Id="rId41" Type="http://schemas.openxmlformats.org/officeDocument/2006/relationships/hyperlink" Target="http://www.nevo.co.il/law/70301/40jc.a.;40jc.b.;40jc.c"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2918</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17474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6684709</vt:i4>
      </vt:variant>
      <vt:variant>
        <vt:i4>102</vt:i4>
      </vt:variant>
      <vt:variant>
        <vt:i4>0</vt:i4>
      </vt:variant>
      <vt:variant>
        <vt:i4>5</vt:i4>
      </vt:variant>
      <vt:variant>
        <vt:lpwstr>http://www.nevo.co.il/law/70301/40jc.a.;40jc.b.;40jc.c</vt:lpwstr>
      </vt:variant>
      <vt:variant>
        <vt:lpwstr/>
      </vt:variant>
      <vt:variant>
        <vt:i4>6619233</vt:i4>
      </vt:variant>
      <vt:variant>
        <vt:i4>99</vt:i4>
      </vt:variant>
      <vt:variant>
        <vt:i4>0</vt:i4>
      </vt:variant>
      <vt:variant>
        <vt:i4>5</vt:i4>
      </vt:variant>
      <vt:variant>
        <vt:lpwstr>http://www.nevo.co.il/law/70301/40g</vt:lpwstr>
      </vt:variant>
      <vt:variant>
        <vt:lpwstr/>
      </vt:variant>
      <vt:variant>
        <vt:i4>6619233</vt:i4>
      </vt:variant>
      <vt:variant>
        <vt:i4>96</vt:i4>
      </vt:variant>
      <vt:variant>
        <vt:i4>0</vt:i4>
      </vt:variant>
      <vt:variant>
        <vt:i4>5</vt:i4>
      </vt:variant>
      <vt:variant>
        <vt:lpwstr>http://www.nevo.co.il/law/70301/40f</vt:lpwstr>
      </vt:variant>
      <vt:variant>
        <vt:lpwstr/>
      </vt:variant>
      <vt:variant>
        <vt:i4>3473521</vt:i4>
      </vt:variant>
      <vt:variant>
        <vt:i4>93</vt:i4>
      </vt:variant>
      <vt:variant>
        <vt:i4>0</vt:i4>
      </vt:variant>
      <vt:variant>
        <vt:i4>5</vt:i4>
      </vt:variant>
      <vt:variant>
        <vt:lpwstr>http://www.nevo.co.il/case/4858054</vt:lpwstr>
      </vt:variant>
      <vt:variant>
        <vt:lpwstr/>
      </vt:variant>
      <vt:variant>
        <vt:i4>1638496</vt:i4>
      </vt:variant>
      <vt:variant>
        <vt:i4>90</vt:i4>
      </vt:variant>
      <vt:variant>
        <vt:i4>0</vt:i4>
      </vt:variant>
      <vt:variant>
        <vt:i4>5</vt:i4>
      </vt:variant>
      <vt:variant>
        <vt:lpwstr>http://www.nevo.co.il/links/psika/?link=עפ 1332/04&amp;Pvol=נח</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7077945</vt:i4>
      </vt:variant>
      <vt:variant>
        <vt:i4>84</vt:i4>
      </vt:variant>
      <vt:variant>
        <vt:i4>0</vt:i4>
      </vt:variant>
      <vt:variant>
        <vt:i4>5</vt:i4>
      </vt:variant>
      <vt:variant>
        <vt:lpwstr>http://www.nevo.co.il/law/70301/499.a.1</vt:lpwstr>
      </vt:variant>
      <vt:variant>
        <vt:lpwstr/>
      </vt:variant>
      <vt:variant>
        <vt:i4>4915208</vt:i4>
      </vt:variant>
      <vt:variant>
        <vt:i4>81</vt:i4>
      </vt:variant>
      <vt:variant>
        <vt:i4>0</vt:i4>
      </vt:variant>
      <vt:variant>
        <vt:i4>5</vt:i4>
      </vt:variant>
      <vt:variant>
        <vt:lpwstr>http://www.nevo.co.il/law/70301/40i.a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4325464</vt:i4>
      </vt:variant>
      <vt:variant>
        <vt:i4>57</vt:i4>
      </vt:variant>
      <vt:variant>
        <vt:i4>0</vt:i4>
      </vt:variant>
      <vt:variant>
        <vt:i4>5</vt:i4>
      </vt:variant>
      <vt:variant>
        <vt:lpwstr>http://www.nevo.co.il/law/70301/499.a</vt:lpwstr>
      </vt:variant>
      <vt:variant>
        <vt:lpwstr/>
      </vt:variant>
      <vt:variant>
        <vt:i4>7995492</vt:i4>
      </vt:variant>
      <vt:variant>
        <vt:i4>54</vt:i4>
      </vt:variant>
      <vt:variant>
        <vt:i4>0</vt:i4>
      </vt:variant>
      <vt:variant>
        <vt:i4>5</vt:i4>
      </vt:variant>
      <vt:variant>
        <vt:lpwstr>http://www.nevo.co.il/law/70301</vt:lpwstr>
      </vt:variant>
      <vt:variant>
        <vt:lpwstr/>
      </vt:variant>
      <vt:variant>
        <vt:i4>4325465</vt:i4>
      </vt:variant>
      <vt:variant>
        <vt:i4>51</vt:i4>
      </vt:variant>
      <vt:variant>
        <vt:i4>0</vt:i4>
      </vt:variant>
      <vt:variant>
        <vt:i4>5</vt:i4>
      </vt:variant>
      <vt:variant>
        <vt:lpwstr>http://www.nevo.co.il/law/70301/498.a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4325464</vt:i4>
      </vt:variant>
      <vt:variant>
        <vt:i4>36</vt:i4>
      </vt:variant>
      <vt:variant>
        <vt:i4>0</vt:i4>
      </vt:variant>
      <vt:variant>
        <vt:i4>5</vt:i4>
      </vt:variant>
      <vt:variant>
        <vt:lpwstr>http://www.nevo.co.il/law/70301/499.a</vt:lpwstr>
      </vt:variant>
      <vt:variant>
        <vt:lpwstr/>
      </vt:variant>
      <vt:variant>
        <vt:i4>4325465</vt:i4>
      </vt:variant>
      <vt:variant>
        <vt:i4>33</vt:i4>
      </vt:variant>
      <vt:variant>
        <vt:i4>0</vt:i4>
      </vt:variant>
      <vt:variant>
        <vt:i4>5</vt:i4>
      </vt:variant>
      <vt:variant>
        <vt:lpwstr>http://www.nevo.co.il/law/70301/498.a</vt:lpwstr>
      </vt:variant>
      <vt:variant>
        <vt:lpwstr/>
      </vt:variant>
      <vt:variant>
        <vt:i4>6619173</vt:i4>
      </vt:variant>
      <vt:variant>
        <vt:i4>30</vt:i4>
      </vt:variant>
      <vt:variant>
        <vt:i4>0</vt:i4>
      </vt:variant>
      <vt:variant>
        <vt:i4>5</vt:i4>
      </vt:variant>
      <vt:variant>
        <vt:lpwstr>http://www.nevo.co.il/law/70301/40jc.c</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2025-04-22T20:24:00Z</dcterms:created>
  <dcterms:modified xsi:type="dcterms:W3CDTF">2025-04-22T20:24:00Z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12866</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דוד מגידיש</vt:lpwstr>
  </property>
  <property fmtid="{D5CDD505-2E9C-101B-9397-08002B2CF9AE}" pid="10" name="LAWYER">
    <vt:lpwstr>מירב עמר;מיכה גבאי</vt:lpwstr>
  </property>
  <property fmtid="{D5CDD505-2E9C-101B-9397-08002B2CF9AE}" pid="11" name="JUDGE">
    <vt:lpwstr>רויטל יפה כ#ץ  </vt:lpwstr>
  </property>
  <property fmtid="{D5CDD505-2E9C-101B-9397-08002B2CF9AE}" pid="12" name="CITY">
    <vt:lpwstr>ב"ש</vt:lpwstr>
  </property>
  <property fmtid="{D5CDD505-2E9C-101B-9397-08002B2CF9AE}" pid="13" name="DATE">
    <vt:lpwstr>20140513</vt:lpwstr>
  </property>
  <property fmtid="{D5CDD505-2E9C-101B-9397-08002B2CF9AE}" pid="14" name="TYPE_N_DATE">
    <vt:lpwstr>39020140513</vt:lpwstr>
  </property>
  <property fmtid="{D5CDD505-2E9C-101B-9397-08002B2CF9AE}" pid="15" name="CASESLISTTMP1">
    <vt:lpwstr>4858054</vt:lpwstr>
  </property>
  <property fmtid="{D5CDD505-2E9C-101B-9397-08002B2CF9AE}" pid="16" name="CASENOTES1">
    <vt:lpwstr>ProcID=133;209&amp;PartA=1332&amp;PartC=04</vt:lpwstr>
  </property>
  <property fmtid="{D5CDD505-2E9C-101B-9397-08002B2CF9AE}" pid="17" name="WORDNUMPAGES">
    <vt:lpwstr>10</vt:lpwstr>
  </property>
  <property fmtid="{D5CDD505-2E9C-101B-9397-08002B2CF9AE}" pid="18" name="TYPE_ABS_DATE">
    <vt:lpwstr>390020140513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70301/498.a;499.a;040b;040i;40ja;40jc;040i.a;499.a.1;040f;040g;40jc.a.;40jc.b.;40jc.c</vt:lpwstr>
  </property>
  <property fmtid="{D5CDD505-2E9C-101B-9397-08002B2CF9AE}" pid="38" name="LAWLISTTMP2">
    <vt:lpwstr>4216/007.a.;007.c</vt:lpwstr>
  </property>
</Properties>
</file>