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970D50" w:rsidRPr="00B8039C" w14:paraId="0F80E80D" w14:textId="77777777">
        <w:trPr>
          <w:trHeight w:hRule="exact" w:val="418"/>
          <w:jc w:val="center"/>
        </w:trPr>
        <w:tc>
          <w:tcPr>
            <w:tcW w:w="8721" w:type="dxa"/>
            <w:gridSpan w:val="2"/>
          </w:tcPr>
          <w:p w14:paraId="49099409" w14:textId="77777777" w:rsidR="00970D50" w:rsidRPr="00B8039C" w:rsidRDefault="00B8039C">
            <w:pPr>
              <w:pStyle w:val="a3"/>
              <w:jc w:val="center"/>
              <w:rPr>
                <w:rFonts w:ascii="Tahoma" w:hAnsi="Tahoma" w:cs="Tahoma"/>
                <w:color w:val="000080"/>
                <w:rtl/>
              </w:rPr>
            </w:pPr>
            <w:bookmarkStart w:id="0" w:name="LastJudge"/>
            <w:r w:rsidRPr="00B8039C">
              <w:rPr>
                <w:rFonts w:ascii="Tahoma" w:hAnsi="Tahoma" w:cs="Tahoma"/>
                <w:b/>
                <w:bCs/>
                <w:color w:val="000080"/>
                <w:rtl/>
              </w:rPr>
              <w:t>בית המשפט המחוזי מרכז-לוד</w:t>
            </w:r>
          </w:p>
        </w:tc>
      </w:tr>
      <w:tr w:rsidR="00970D50" w:rsidRPr="00B8039C" w14:paraId="09413765" w14:textId="77777777">
        <w:trPr>
          <w:trHeight w:val="337"/>
          <w:jc w:val="center"/>
        </w:trPr>
        <w:tc>
          <w:tcPr>
            <w:tcW w:w="5056" w:type="dxa"/>
          </w:tcPr>
          <w:p w14:paraId="5F52F8D6" w14:textId="77777777" w:rsidR="00970D50" w:rsidRPr="00B8039C" w:rsidRDefault="00B8039C">
            <w:pPr>
              <w:rPr>
                <w:rFonts w:ascii="Arial" w:hAnsi="Arial" w:cs="Arial"/>
                <w:b/>
                <w:bCs/>
                <w:rtl/>
              </w:rPr>
            </w:pPr>
            <w:r w:rsidRPr="00B8039C">
              <w:rPr>
                <w:rFonts w:ascii="Arial" w:hAnsi="Arial" w:cs="Arial"/>
                <w:b/>
                <w:bCs/>
                <w:rtl/>
              </w:rPr>
              <w:t>ת"פ 40440-10-12 מדינת ישראל נ' קנסרירט</w:t>
            </w:r>
          </w:p>
          <w:p w14:paraId="0D2119D7" w14:textId="77777777" w:rsidR="00970D50" w:rsidRPr="00B8039C" w:rsidRDefault="00970D50">
            <w:pPr>
              <w:pStyle w:val="a3"/>
              <w:rPr>
                <w:rFonts w:cs="FrankRuehl"/>
                <w:sz w:val="28"/>
                <w:szCs w:val="28"/>
                <w:rtl/>
              </w:rPr>
            </w:pPr>
          </w:p>
        </w:tc>
        <w:tc>
          <w:tcPr>
            <w:tcW w:w="3665" w:type="dxa"/>
          </w:tcPr>
          <w:p w14:paraId="49E8F664" w14:textId="77777777" w:rsidR="00970D50" w:rsidRPr="00B8039C" w:rsidRDefault="00970D50">
            <w:pPr>
              <w:pStyle w:val="a3"/>
              <w:jc w:val="right"/>
              <w:rPr>
                <w:rFonts w:cs="FrankRuehl"/>
                <w:sz w:val="28"/>
                <w:szCs w:val="28"/>
                <w:rtl/>
              </w:rPr>
            </w:pPr>
          </w:p>
        </w:tc>
      </w:tr>
    </w:tbl>
    <w:p w14:paraId="25F6C1BC" w14:textId="77777777" w:rsidR="00970D50" w:rsidRPr="00B8039C" w:rsidRDefault="00B8039C" w:rsidP="00AC64E3">
      <w:pPr>
        <w:pStyle w:val="a3"/>
        <w:rPr>
          <w:rFonts w:ascii="Arial" w:hAnsi="Arial" w:cs="Arial"/>
          <w:rtl/>
        </w:rPr>
      </w:pPr>
      <w:r w:rsidRPr="00B8039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70D50" w:rsidRPr="00B8039C" w14:paraId="5A7011CA" w14:textId="77777777">
        <w:trPr>
          <w:trHeight w:val="295"/>
          <w:jc w:val="center"/>
        </w:trPr>
        <w:tc>
          <w:tcPr>
            <w:tcW w:w="923" w:type="dxa"/>
            <w:tcBorders>
              <w:top w:val="nil"/>
              <w:left w:val="nil"/>
              <w:bottom w:val="nil"/>
              <w:right w:val="nil"/>
            </w:tcBorders>
          </w:tcPr>
          <w:p w14:paraId="06730AF0" w14:textId="77777777" w:rsidR="00970D50" w:rsidRPr="00B8039C" w:rsidRDefault="00B8039C">
            <w:pPr>
              <w:jc w:val="both"/>
              <w:rPr>
                <w:rFonts w:ascii="Arial" w:hAnsi="Arial" w:cs="Arial"/>
                <w:b/>
                <w:bCs/>
              </w:rPr>
            </w:pPr>
            <w:r w:rsidRPr="00B8039C">
              <w:rPr>
                <w:rFonts w:ascii="Arial" w:hAnsi="Arial" w:cs="Arial"/>
                <w:b/>
                <w:bCs/>
                <w:rtl/>
              </w:rPr>
              <w:t xml:space="preserve">בפני </w:t>
            </w:r>
          </w:p>
        </w:tc>
        <w:tc>
          <w:tcPr>
            <w:tcW w:w="7897" w:type="dxa"/>
            <w:gridSpan w:val="2"/>
            <w:tcBorders>
              <w:top w:val="nil"/>
              <w:left w:val="nil"/>
              <w:bottom w:val="nil"/>
              <w:right w:val="nil"/>
            </w:tcBorders>
          </w:tcPr>
          <w:p w14:paraId="0677512A" w14:textId="77777777" w:rsidR="00970D50" w:rsidRPr="00B8039C" w:rsidRDefault="00B8039C" w:rsidP="00AC64E3">
            <w:pPr>
              <w:rPr>
                <w:rFonts w:ascii="Arial" w:hAnsi="Arial" w:cs="Arial"/>
                <w:b/>
                <w:bCs/>
                <w:rtl/>
              </w:rPr>
            </w:pPr>
            <w:r w:rsidRPr="00B8039C">
              <w:rPr>
                <w:rFonts w:ascii="Arial" w:hAnsi="Arial" w:cs="Arial"/>
                <w:b/>
                <w:bCs/>
                <w:rtl/>
              </w:rPr>
              <w:t>כב' השופטת  מיכל ברנט</w:t>
            </w:r>
          </w:p>
          <w:p w14:paraId="2A715FAC" w14:textId="77777777" w:rsidR="00970D50" w:rsidRPr="00B8039C" w:rsidRDefault="00970D50">
            <w:pPr>
              <w:jc w:val="both"/>
              <w:rPr>
                <w:rFonts w:ascii="Arial" w:hAnsi="Arial" w:cs="Arial"/>
                <w:b/>
                <w:bCs/>
              </w:rPr>
            </w:pPr>
          </w:p>
        </w:tc>
      </w:tr>
      <w:tr w:rsidR="00970D50" w:rsidRPr="00B8039C" w14:paraId="60F2AE1D" w14:textId="77777777">
        <w:trPr>
          <w:trHeight w:val="355"/>
          <w:jc w:val="center"/>
        </w:trPr>
        <w:tc>
          <w:tcPr>
            <w:tcW w:w="923" w:type="dxa"/>
            <w:tcBorders>
              <w:top w:val="nil"/>
              <w:left w:val="nil"/>
              <w:bottom w:val="nil"/>
              <w:right w:val="nil"/>
            </w:tcBorders>
          </w:tcPr>
          <w:p w14:paraId="18675717" w14:textId="77777777" w:rsidR="00970D50" w:rsidRPr="00B8039C" w:rsidRDefault="00B8039C">
            <w:pPr>
              <w:jc w:val="both"/>
              <w:rPr>
                <w:rFonts w:ascii="Arial" w:hAnsi="Arial" w:cs="Arial"/>
                <w:b/>
                <w:bCs/>
              </w:rPr>
            </w:pPr>
            <w:bookmarkStart w:id="1" w:name="FirstAppellant"/>
            <w:r w:rsidRPr="00B8039C">
              <w:rPr>
                <w:rFonts w:ascii="Arial" w:hAnsi="Arial" w:cs="Arial"/>
                <w:b/>
                <w:bCs/>
                <w:rtl/>
              </w:rPr>
              <w:t>בעניין:</w:t>
            </w:r>
          </w:p>
        </w:tc>
        <w:tc>
          <w:tcPr>
            <w:tcW w:w="4126" w:type="dxa"/>
            <w:tcBorders>
              <w:top w:val="nil"/>
              <w:left w:val="nil"/>
              <w:bottom w:val="nil"/>
              <w:right w:val="nil"/>
            </w:tcBorders>
          </w:tcPr>
          <w:p w14:paraId="4F84C5A0" w14:textId="77777777" w:rsidR="00970D50" w:rsidRPr="00B8039C" w:rsidRDefault="00B8039C">
            <w:pPr>
              <w:rPr>
                <w:rFonts w:ascii="Arial" w:hAnsi="Arial" w:cs="Arial"/>
                <w:b/>
                <w:bCs/>
              </w:rPr>
            </w:pPr>
            <w:r w:rsidRPr="00B8039C">
              <w:rPr>
                <w:rFonts w:ascii="Arial" w:hAnsi="Arial" w:cs="Arial"/>
                <w:b/>
                <w:bCs/>
                <w:rtl/>
              </w:rPr>
              <w:t>מדינת ישראל</w:t>
            </w:r>
          </w:p>
        </w:tc>
        <w:tc>
          <w:tcPr>
            <w:tcW w:w="3771" w:type="dxa"/>
            <w:tcBorders>
              <w:top w:val="nil"/>
              <w:left w:val="nil"/>
              <w:bottom w:val="nil"/>
              <w:right w:val="nil"/>
            </w:tcBorders>
          </w:tcPr>
          <w:p w14:paraId="339E74C6" w14:textId="77777777" w:rsidR="00970D50" w:rsidRPr="00B8039C" w:rsidRDefault="00970D50">
            <w:pPr>
              <w:jc w:val="both"/>
              <w:rPr>
                <w:rFonts w:ascii="Arial" w:hAnsi="Arial" w:cs="Arial"/>
                <w:b/>
                <w:bCs/>
              </w:rPr>
            </w:pPr>
          </w:p>
        </w:tc>
      </w:tr>
      <w:bookmarkEnd w:id="1"/>
      <w:tr w:rsidR="00970D50" w:rsidRPr="00B8039C" w14:paraId="7C4FF6EE" w14:textId="77777777">
        <w:trPr>
          <w:trHeight w:val="355"/>
          <w:jc w:val="center"/>
        </w:trPr>
        <w:tc>
          <w:tcPr>
            <w:tcW w:w="923" w:type="dxa"/>
            <w:tcBorders>
              <w:top w:val="nil"/>
              <w:left w:val="nil"/>
              <w:bottom w:val="nil"/>
              <w:right w:val="nil"/>
            </w:tcBorders>
          </w:tcPr>
          <w:p w14:paraId="590E74BC" w14:textId="77777777" w:rsidR="00970D50" w:rsidRPr="00B8039C" w:rsidRDefault="00970D50">
            <w:pPr>
              <w:jc w:val="both"/>
              <w:rPr>
                <w:rFonts w:ascii="Arial" w:hAnsi="Arial" w:cs="Arial"/>
                <w:b/>
                <w:bCs/>
                <w:rtl/>
              </w:rPr>
            </w:pPr>
          </w:p>
        </w:tc>
        <w:tc>
          <w:tcPr>
            <w:tcW w:w="4126" w:type="dxa"/>
            <w:tcBorders>
              <w:top w:val="nil"/>
              <w:left w:val="nil"/>
              <w:bottom w:val="nil"/>
              <w:right w:val="nil"/>
            </w:tcBorders>
          </w:tcPr>
          <w:p w14:paraId="1AA14736" w14:textId="77777777" w:rsidR="00970D50" w:rsidRPr="00B8039C" w:rsidRDefault="00970D50">
            <w:pPr>
              <w:jc w:val="both"/>
              <w:rPr>
                <w:rFonts w:ascii="Arial" w:hAnsi="Arial" w:cs="Arial"/>
                <w:b/>
                <w:bCs/>
                <w:rtl/>
              </w:rPr>
            </w:pPr>
          </w:p>
        </w:tc>
        <w:tc>
          <w:tcPr>
            <w:tcW w:w="3771" w:type="dxa"/>
            <w:tcBorders>
              <w:top w:val="nil"/>
              <w:left w:val="nil"/>
              <w:bottom w:val="nil"/>
              <w:right w:val="nil"/>
            </w:tcBorders>
          </w:tcPr>
          <w:p w14:paraId="3835A036" w14:textId="77777777" w:rsidR="00970D50" w:rsidRPr="00B8039C" w:rsidRDefault="00B8039C">
            <w:pPr>
              <w:jc w:val="right"/>
              <w:rPr>
                <w:rFonts w:ascii="Arial" w:hAnsi="Arial" w:cs="Arial"/>
                <w:b/>
                <w:bCs/>
                <w:rtl/>
              </w:rPr>
            </w:pPr>
            <w:r w:rsidRPr="00B8039C">
              <w:rPr>
                <w:rFonts w:ascii="Arial" w:hAnsi="Arial" w:cs="Arial"/>
                <w:b/>
                <w:bCs/>
                <w:rtl/>
              </w:rPr>
              <w:t>המאשימה</w:t>
            </w:r>
          </w:p>
        </w:tc>
      </w:tr>
      <w:tr w:rsidR="00970D50" w:rsidRPr="00B8039C" w14:paraId="356B8571" w14:textId="77777777">
        <w:trPr>
          <w:trHeight w:val="355"/>
          <w:jc w:val="center"/>
        </w:trPr>
        <w:tc>
          <w:tcPr>
            <w:tcW w:w="923" w:type="dxa"/>
            <w:tcBorders>
              <w:top w:val="nil"/>
              <w:left w:val="nil"/>
              <w:bottom w:val="nil"/>
              <w:right w:val="nil"/>
            </w:tcBorders>
          </w:tcPr>
          <w:p w14:paraId="22C0F4F6" w14:textId="77777777" w:rsidR="00970D50" w:rsidRPr="00B8039C" w:rsidRDefault="00970D50">
            <w:pPr>
              <w:jc w:val="both"/>
              <w:rPr>
                <w:rFonts w:ascii="Arial" w:hAnsi="Arial" w:cs="Arial"/>
                <w:b/>
                <w:bCs/>
                <w:rtl/>
              </w:rPr>
            </w:pPr>
          </w:p>
        </w:tc>
        <w:tc>
          <w:tcPr>
            <w:tcW w:w="7897" w:type="dxa"/>
            <w:gridSpan w:val="2"/>
            <w:tcBorders>
              <w:top w:val="nil"/>
              <w:left w:val="nil"/>
              <w:bottom w:val="nil"/>
              <w:right w:val="nil"/>
            </w:tcBorders>
          </w:tcPr>
          <w:p w14:paraId="5F823571" w14:textId="77777777" w:rsidR="00970D50" w:rsidRPr="00B8039C" w:rsidRDefault="00970D50">
            <w:pPr>
              <w:jc w:val="center"/>
              <w:rPr>
                <w:rFonts w:ascii="Arial" w:hAnsi="Arial" w:cs="Arial"/>
                <w:b/>
                <w:bCs/>
                <w:rtl/>
              </w:rPr>
            </w:pPr>
          </w:p>
          <w:p w14:paraId="2149131C" w14:textId="77777777" w:rsidR="00970D50" w:rsidRPr="00B8039C" w:rsidRDefault="00B8039C">
            <w:pPr>
              <w:jc w:val="center"/>
              <w:rPr>
                <w:rFonts w:ascii="Arial" w:hAnsi="Arial" w:cs="Arial"/>
                <w:b/>
                <w:bCs/>
                <w:rtl/>
              </w:rPr>
            </w:pPr>
            <w:r w:rsidRPr="00B8039C">
              <w:rPr>
                <w:rFonts w:ascii="Arial" w:hAnsi="Arial" w:cs="Arial"/>
                <w:b/>
                <w:bCs/>
                <w:rtl/>
              </w:rPr>
              <w:t>נגד</w:t>
            </w:r>
          </w:p>
          <w:p w14:paraId="0B6ED199" w14:textId="77777777" w:rsidR="00970D50" w:rsidRPr="00B8039C" w:rsidRDefault="00970D50">
            <w:pPr>
              <w:jc w:val="both"/>
              <w:rPr>
                <w:rFonts w:ascii="Arial" w:hAnsi="Arial" w:cs="Arial"/>
                <w:b/>
                <w:bCs/>
              </w:rPr>
            </w:pPr>
          </w:p>
        </w:tc>
      </w:tr>
      <w:tr w:rsidR="00970D50" w:rsidRPr="00B8039C" w14:paraId="3A705254" w14:textId="77777777">
        <w:trPr>
          <w:trHeight w:val="355"/>
          <w:jc w:val="center"/>
        </w:trPr>
        <w:tc>
          <w:tcPr>
            <w:tcW w:w="923" w:type="dxa"/>
            <w:tcBorders>
              <w:top w:val="nil"/>
              <w:left w:val="nil"/>
              <w:bottom w:val="nil"/>
              <w:right w:val="nil"/>
            </w:tcBorders>
          </w:tcPr>
          <w:p w14:paraId="78EB15FE" w14:textId="77777777" w:rsidR="00970D50" w:rsidRPr="00B8039C" w:rsidRDefault="00970D50">
            <w:pPr>
              <w:rPr>
                <w:rFonts w:ascii="Arial" w:hAnsi="Arial" w:cs="Arial"/>
                <w:b/>
                <w:bCs/>
                <w:rtl/>
              </w:rPr>
            </w:pPr>
          </w:p>
        </w:tc>
        <w:tc>
          <w:tcPr>
            <w:tcW w:w="4126" w:type="dxa"/>
            <w:tcBorders>
              <w:top w:val="nil"/>
              <w:left w:val="nil"/>
              <w:bottom w:val="nil"/>
              <w:right w:val="nil"/>
            </w:tcBorders>
          </w:tcPr>
          <w:p w14:paraId="6DB79839" w14:textId="77777777" w:rsidR="00970D50" w:rsidRPr="00B8039C" w:rsidRDefault="00B8039C">
            <w:pPr>
              <w:rPr>
                <w:rFonts w:ascii="Arial" w:hAnsi="Arial" w:cs="Arial"/>
                <w:b/>
                <w:bCs/>
                <w:rtl/>
              </w:rPr>
            </w:pPr>
            <w:r w:rsidRPr="00B8039C">
              <w:rPr>
                <w:rFonts w:ascii="Arial" w:hAnsi="Arial" w:cs="Arial"/>
                <w:b/>
                <w:bCs/>
                <w:rtl/>
              </w:rPr>
              <w:t xml:space="preserve">סומפונג קנסרירט </w:t>
            </w:r>
          </w:p>
        </w:tc>
        <w:tc>
          <w:tcPr>
            <w:tcW w:w="3771" w:type="dxa"/>
            <w:tcBorders>
              <w:top w:val="nil"/>
              <w:left w:val="nil"/>
              <w:bottom w:val="nil"/>
              <w:right w:val="nil"/>
            </w:tcBorders>
          </w:tcPr>
          <w:p w14:paraId="3757B2BA" w14:textId="77777777" w:rsidR="00970D50" w:rsidRPr="00B8039C" w:rsidRDefault="00970D50">
            <w:pPr>
              <w:jc w:val="right"/>
              <w:rPr>
                <w:rFonts w:ascii="Arial" w:hAnsi="Arial" w:cs="Arial"/>
                <w:b/>
                <w:bCs/>
              </w:rPr>
            </w:pPr>
          </w:p>
        </w:tc>
      </w:tr>
      <w:tr w:rsidR="00970D50" w:rsidRPr="00B8039C" w14:paraId="2074FD4B" w14:textId="77777777">
        <w:trPr>
          <w:trHeight w:val="355"/>
          <w:jc w:val="center"/>
        </w:trPr>
        <w:tc>
          <w:tcPr>
            <w:tcW w:w="923" w:type="dxa"/>
            <w:tcBorders>
              <w:top w:val="nil"/>
              <w:left w:val="nil"/>
              <w:bottom w:val="nil"/>
              <w:right w:val="nil"/>
            </w:tcBorders>
          </w:tcPr>
          <w:p w14:paraId="0213224F" w14:textId="77777777" w:rsidR="00970D50" w:rsidRPr="00B8039C" w:rsidRDefault="00970D50">
            <w:pPr>
              <w:jc w:val="both"/>
              <w:rPr>
                <w:rFonts w:ascii="Arial" w:hAnsi="Arial" w:cs="Arial"/>
                <w:b/>
                <w:bCs/>
                <w:rtl/>
              </w:rPr>
            </w:pPr>
          </w:p>
        </w:tc>
        <w:tc>
          <w:tcPr>
            <w:tcW w:w="4126" w:type="dxa"/>
            <w:tcBorders>
              <w:top w:val="nil"/>
              <w:left w:val="nil"/>
              <w:bottom w:val="nil"/>
              <w:right w:val="nil"/>
            </w:tcBorders>
          </w:tcPr>
          <w:p w14:paraId="3317D03F" w14:textId="77777777" w:rsidR="00970D50" w:rsidRPr="00B8039C" w:rsidRDefault="00970D50">
            <w:pPr>
              <w:jc w:val="both"/>
              <w:rPr>
                <w:rFonts w:ascii="Arial" w:hAnsi="Arial" w:cs="Arial"/>
                <w:b/>
                <w:bCs/>
                <w:rtl/>
              </w:rPr>
            </w:pPr>
          </w:p>
        </w:tc>
        <w:tc>
          <w:tcPr>
            <w:tcW w:w="3771" w:type="dxa"/>
            <w:tcBorders>
              <w:top w:val="nil"/>
              <w:left w:val="nil"/>
              <w:bottom w:val="nil"/>
              <w:right w:val="nil"/>
            </w:tcBorders>
          </w:tcPr>
          <w:p w14:paraId="339CC66C" w14:textId="77777777" w:rsidR="00970D50" w:rsidRPr="00B8039C" w:rsidRDefault="00B8039C">
            <w:pPr>
              <w:jc w:val="right"/>
              <w:rPr>
                <w:rFonts w:ascii="Arial" w:hAnsi="Arial" w:cs="Arial"/>
                <w:b/>
                <w:bCs/>
              </w:rPr>
            </w:pPr>
            <w:r w:rsidRPr="00B8039C">
              <w:rPr>
                <w:rFonts w:ascii="Arial" w:hAnsi="Arial" w:cs="Arial"/>
                <w:b/>
                <w:bCs/>
                <w:rtl/>
              </w:rPr>
              <w:t>הנאשם</w:t>
            </w:r>
          </w:p>
        </w:tc>
      </w:tr>
    </w:tbl>
    <w:p w14:paraId="4325FAD7" w14:textId="77777777" w:rsidR="00970D50" w:rsidRPr="00B8039C" w:rsidRDefault="00970D50">
      <w:pPr>
        <w:rPr>
          <w:rFonts w:ascii="Arial" w:hAnsi="Arial" w:cs="Arial"/>
          <w:b/>
          <w:bCs/>
          <w:rtl/>
        </w:rPr>
      </w:pPr>
    </w:p>
    <w:p w14:paraId="2314E6B8" w14:textId="77777777" w:rsidR="00970D50" w:rsidRPr="00B8039C" w:rsidRDefault="00B8039C">
      <w:pPr>
        <w:rPr>
          <w:rFonts w:ascii="Arial" w:hAnsi="Arial" w:cs="Arial"/>
          <w:b/>
          <w:bCs/>
          <w:rtl/>
        </w:rPr>
      </w:pPr>
      <w:r w:rsidRPr="00B8039C">
        <w:rPr>
          <w:rFonts w:ascii="Arial" w:hAnsi="Arial" w:cs="Arial" w:hint="cs"/>
          <w:b/>
          <w:bCs/>
          <w:rtl/>
        </w:rPr>
        <w:t xml:space="preserve">נוכחים: </w:t>
      </w:r>
      <w:bookmarkStart w:id="2" w:name="FirstLawyer"/>
      <w:r w:rsidRPr="00B8039C">
        <w:rPr>
          <w:rFonts w:ascii="Arial" w:hAnsi="Arial" w:cs="Arial" w:hint="cs"/>
          <w:b/>
          <w:bCs/>
          <w:rtl/>
        </w:rPr>
        <w:t>ב"כ</w:t>
      </w:r>
      <w:bookmarkEnd w:id="2"/>
      <w:r w:rsidRPr="00B8039C">
        <w:rPr>
          <w:rFonts w:ascii="Arial" w:hAnsi="Arial" w:cs="Arial" w:hint="cs"/>
          <w:b/>
          <w:bCs/>
          <w:rtl/>
        </w:rPr>
        <w:t xml:space="preserve"> המאשימה עו"ד שרה טל</w:t>
      </w:r>
    </w:p>
    <w:p w14:paraId="73E3E7CC" w14:textId="77777777" w:rsidR="00970D50" w:rsidRPr="00B8039C" w:rsidRDefault="00B8039C">
      <w:pPr>
        <w:rPr>
          <w:rFonts w:ascii="Arial" w:hAnsi="Arial" w:cs="Arial"/>
          <w:b/>
          <w:bCs/>
          <w:rtl/>
        </w:rPr>
      </w:pPr>
      <w:r w:rsidRPr="00B8039C">
        <w:rPr>
          <w:rFonts w:ascii="Arial" w:hAnsi="Arial" w:cs="Arial" w:hint="cs"/>
          <w:b/>
          <w:bCs/>
          <w:rtl/>
        </w:rPr>
        <w:tab/>
        <w:t xml:space="preserve"> ב"כ הנאשם עו"ד איל שמחוני</w:t>
      </w:r>
    </w:p>
    <w:p w14:paraId="09407DD7" w14:textId="77777777" w:rsidR="009D658F" w:rsidRDefault="00B8039C" w:rsidP="00AC64E3">
      <w:pPr>
        <w:rPr>
          <w:rFonts w:ascii="Arial" w:hAnsi="Arial" w:cs="Arial"/>
          <w:b/>
          <w:bCs/>
          <w:rtl/>
        </w:rPr>
      </w:pPr>
      <w:r w:rsidRPr="00B8039C">
        <w:rPr>
          <w:rFonts w:ascii="Arial" w:hAnsi="Arial" w:cs="Arial" w:hint="cs"/>
          <w:b/>
          <w:bCs/>
          <w:rtl/>
        </w:rPr>
        <w:tab/>
        <w:t xml:space="preserve"> הנאשם בעצמו</w:t>
      </w:r>
      <w:bookmarkStart w:id="3" w:name="LawTable"/>
      <w:bookmarkEnd w:id="3"/>
    </w:p>
    <w:p w14:paraId="0A2856FC" w14:textId="77777777" w:rsidR="009D658F" w:rsidRPr="009D658F" w:rsidRDefault="009D658F" w:rsidP="009D658F">
      <w:pPr>
        <w:spacing w:after="120" w:line="240" w:lineRule="exact"/>
        <w:ind w:left="283" w:hanging="283"/>
        <w:jc w:val="both"/>
        <w:rPr>
          <w:rFonts w:ascii="FrankRuehl" w:hAnsi="FrankRuehl" w:cs="FrankRuehl"/>
          <w:rtl/>
        </w:rPr>
      </w:pPr>
    </w:p>
    <w:p w14:paraId="489DA5AA" w14:textId="77777777" w:rsidR="009D658F" w:rsidRPr="009D658F" w:rsidRDefault="009D658F" w:rsidP="009D658F">
      <w:pPr>
        <w:spacing w:after="120" w:line="240" w:lineRule="exact"/>
        <w:ind w:left="283" w:hanging="283"/>
        <w:jc w:val="both"/>
        <w:rPr>
          <w:rFonts w:ascii="FrankRuehl" w:hAnsi="FrankRuehl" w:cs="FrankRuehl"/>
          <w:rtl/>
        </w:rPr>
      </w:pPr>
      <w:r w:rsidRPr="009D658F">
        <w:rPr>
          <w:rFonts w:ascii="FrankRuehl" w:hAnsi="FrankRuehl" w:cs="FrankRuehl"/>
          <w:rtl/>
        </w:rPr>
        <w:t xml:space="preserve">חקיקה שאוזכרה: </w:t>
      </w:r>
    </w:p>
    <w:p w14:paraId="62E9335D" w14:textId="77777777" w:rsidR="009D658F" w:rsidRPr="009D658F" w:rsidRDefault="009D658F" w:rsidP="009D658F">
      <w:pPr>
        <w:spacing w:after="120" w:line="240" w:lineRule="exact"/>
        <w:ind w:left="283" w:hanging="283"/>
        <w:jc w:val="both"/>
        <w:rPr>
          <w:rFonts w:ascii="FrankRuehl" w:hAnsi="FrankRuehl" w:cs="FrankRuehl"/>
          <w:color w:val="0000FF"/>
          <w:u w:val="single"/>
          <w:rtl/>
        </w:rPr>
      </w:pPr>
      <w:hyperlink r:id="rId7" w:history="1">
        <w:r w:rsidRPr="009D658F">
          <w:rPr>
            <w:rStyle w:val="Hyperlink"/>
            <w:rFonts w:ascii="FrankRuehl" w:hAnsi="FrankRuehl" w:cs="FrankRuehl"/>
            <w:rtl/>
          </w:rPr>
          <w:t>פקודת הסמים המסוכנים [נוסח חדש], תשל"ג-1973</w:t>
        </w:r>
      </w:hyperlink>
      <w:r w:rsidRPr="009D658F">
        <w:rPr>
          <w:rFonts w:ascii="FrankRuehl" w:hAnsi="FrankRuehl" w:cs="FrankRuehl"/>
          <w:color w:val="0000FF"/>
          <w:u w:val="single"/>
          <w:rtl/>
        </w:rPr>
        <w:t xml:space="preserve">: סע'  </w:t>
      </w:r>
      <w:hyperlink r:id="rId8" w:history="1">
        <w:r w:rsidRPr="009D658F">
          <w:rPr>
            <w:rStyle w:val="Hyperlink"/>
            <w:rFonts w:ascii="FrankRuehl" w:hAnsi="FrankRuehl" w:cs="FrankRuehl"/>
          </w:rPr>
          <w:t>13</w:t>
        </w:r>
      </w:hyperlink>
      <w:r w:rsidRPr="009D658F">
        <w:rPr>
          <w:rFonts w:ascii="FrankRuehl" w:hAnsi="FrankRuehl" w:cs="FrankRuehl"/>
          <w:color w:val="0000FF"/>
          <w:u w:val="single"/>
          <w:rtl/>
        </w:rPr>
        <w:t xml:space="preserve">, </w:t>
      </w:r>
      <w:hyperlink r:id="rId9" w:history="1">
        <w:r w:rsidRPr="009D658F">
          <w:rPr>
            <w:rStyle w:val="Hyperlink"/>
            <w:rFonts w:ascii="FrankRuehl" w:hAnsi="FrankRuehl" w:cs="FrankRuehl"/>
          </w:rPr>
          <w:t>19</w:t>
        </w:r>
        <w:r w:rsidRPr="009D658F">
          <w:rPr>
            <w:rStyle w:val="Hyperlink"/>
            <w:rFonts w:ascii="FrankRuehl" w:hAnsi="FrankRuehl" w:cs="FrankRuehl"/>
            <w:rtl/>
          </w:rPr>
          <w:t>א</w:t>
        </w:r>
      </w:hyperlink>
    </w:p>
    <w:p w14:paraId="27645100" w14:textId="77777777" w:rsidR="009D658F" w:rsidRPr="009D658F" w:rsidRDefault="009D658F" w:rsidP="009D658F">
      <w:pPr>
        <w:spacing w:after="120" w:line="240" w:lineRule="exact"/>
        <w:ind w:left="283" w:hanging="283"/>
        <w:jc w:val="both"/>
        <w:rPr>
          <w:rFonts w:ascii="FrankRuehl" w:hAnsi="FrankRuehl" w:cs="FrankRuehl"/>
          <w:color w:val="0000FF"/>
          <w:u w:val="single"/>
          <w:rtl/>
        </w:rPr>
      </w:pPr>
      <w:hyperlink r:id="rId10" w:history="1">
        <w:r w:rsidRPr="009D658F">
          <w:rPr>
            <w:rStyle w:val="Hyperlink"/>
            <w:rFonts w:ascii="FrankRuehl" w:hAnsi="FrankRuehl" w:cs="FrankRuehl"/>
            <w:rtl/>
          </w:rPr>
          <w:t>חוק העונשין, תשל"ז-1977</w:t>
        </w:r>
      </w:hyperlink>
      <w:r w:rsidRPr="009D658F">
        <w:rPr>
          <w:rFonts w:ascii="FrankRuehl" w:hAnsi="FrankRuehl" w:cs="FrankRuehl"/>
          <w:color w:val="0000FF"/>
          <w:u w:val="single"/>
          <w:rtl/>
        </w:rPr>
        <w:t xml:space="preserve">: סע'  </w:t>
      </w:r>
      <w:hyperlink r:id="rId11" w:history="1">
        <w:r w:rsidRPr="009D658F">
          <w:rPr>
            <w:rStyle w:val="Hyperlink"/>
            <w:rFonts w:ascii="FrankRuehl" w:hAnsi="FrankRuehl" w:cs="FrankRuehl"/>
          </w:rPr>
          <w:t>40</w:t>
        </w:r>
        <w:r w:rsidRPr="009D658F">
          <w:rPr>
            <w:rStyle w:val="Hyperlink"/>
            <w:rFonts w:ascii="FrankRuehl" w:hAnsi="FrankRuehl" w:cs="FrankRuehl"/>
            <w:rtl/>
          </w:rPr>
          <w:t>ד(א</w:t>
        </w:r>
        <w:r w:rsidRPr="009D658F">
          <w:rPr>
            <w:rStyle w:val="Hyperlink"/>
            <w:rFonts w:ascii="FrankRuehl" w:hAnsi="FrankRuehl" w:cs="FrankRuehl"/>
          </w:rPr>
          <w:t>)</w:t>
        </w:r>
      </w:hyperlink>
      <w:r w:rsidRPr="009D658F">
        <w:rPr>
          <w:rFonts w:ascii="FrankRuehl" w:hAnsi="FrankRuehl" w:cs="FrankRuehl"/>
          <w:color w:val="0000FF"/>
          <w:u w:val="single"/>
          <w:rtl/>
        </w:rPr>
        <w:t xml:space="preserve">, </w:t>
      </w:r>
      <w:hyperlink r:id="rId12" w:history="1">
        <w:r w:rsidRPr="009D658F">
          <w:rPr>
            <w:rStyle w:val="Hyperlink"/>
            <w:rFonts w:ascii="FrankRuehl" w:hAnsi="FrankRuehl" w:cs="FrankRuehl"/>
          </w:rPr>
          <w:t>40</w:t>
        </w:r>
        <w:r w:rsidRPr="009D658F">
          <w:rPr>
            <w:rStyle w:val="Hyperlink"/>
            <w:rFonts w:ascii="FrankRuehl" w:hAnsi="FrankRuehl" w:cs="FrankRuehl"/>
            <w:rtl/>
          </w:rPr>
          <w:t>ט(א</w:t>
        </w:r>
        <w:r w:rsidRPr="009D658F">
          <w:rPr>
            <w:rStyle w:val="Hyperlink"/>
            <w:rFonts w:ascii="FrankRuehl" w:hAnsi="FrankRuehl" w:cs="FrankRuehl"/>
          </w:rPr>
          <w:t>)</w:t>
        </w:r>
      </w:hyperlink>
    </w:p>
    <w:p w14:paraId="4E843B26" w14:textId="77777777" w:rsidR="009D658F" w:rsidRPr="009D658F" w:rsidRDefault="009D658F" w:rsidP="009D658F">
      <w:pPr>
        <w:spacing w:after="120" w:line="240" w:lineRule="exact"/>
        <w:ind w:left="283" w:hanging="283"/>
        <w:jc w:val="both"/>
        <w:rPr>
          <w:rFonts w:ascii="FrankRuehl" w:hAnsi="FrankRuehl" w:cs="FrankRuehl"/>
          <w:rtl/>
        </w:rPr>
      </w:pPr>
    </w:p>
    <w:p w14:paraId="41DE0BF4" w14:textId="77777777" w:rsidR="009D658F" w:rsidRPr="009D658F" w:rsidRDefault="009D658F" w:rsidP="00AC64E3">
      <w:pPr>
        <w:rPr>
          <w:rFonts w:ascii="Arial" w:hAnsi="Arial" w:cs="Arial"/>
          <w:rtl/>
        </w:rPr>
      </w:pPr>
      <w:bookmarkStart w:id="4" w:name="LawTable_End"/>
      <w:bookmarkEnd w:id="4"/>
    </w:p>
    <w:p w14:paraId="7E7D5FBC" w14:textId="77777777" w:rsidR="009D658F" w:rsidRPr="009D658F" w:rsidRDefault="009D658F" w:rsidP="00AC64E3">
      <w:pPr>
        <w:rPr>
          <w:rFonts w:ascii="Arial" w:hAnsi="Arial" w:cs="Arial"/>
          <w:b/>
          <w:bCs/>
          <w:rtl/>
        </w:rPr>
      </w:pPr>
    </w:p>
    <w:p w14:paraId="2ACEB62B" w14:textId="77777777" w:rsidR="00970D50" w:rsidRPr="009D658F" w:rsidRDefault="00970D50" w:rsidP="00AC64E3">
      <w:pPr>
        <w:rPr>
          <w:rFonts w:ascii="Arial" w:hAnsi="Arial" w:cs="Arial"/>
          <w:b/>
          <w:bCs/>
          <w:rtl/>
        </w:rPr>
      </w:pPr>
    </w:p>
    <w:p w14:paraId="572F67A9" w14:textId="77777777" w:rsidR="00994422" w:rsidRPr="00994422" w:rsidRDefault="00994422">
      <w:pPr>
        <w:rPr>
          <w:rFonts w:ascii="Arial" w:hAnsi="Arial" w:cs="Arial"/>
          <w:rtl/>
        </w:rPr>
      </w:pPr>
    </w:p>
    <w:p w14:paraId="50A8A8A4" w14:textId="77777777" w:rsidR="00994422" w:rsidRPr="00994422" w:rsidRDefault="00994422">
      <w:pPr>
        <w:rPr>
          <w:rFonts w:ascii="Arial" w:hAnsi="Arial" w:cs="Arial"/>
          <w:b/>
          <w:bCs/>
          <w:rtl/>
        </w:rPr>
      </w:pPr>
    </w:p>
    <w:p w14:paraId="715A8B25" w14:textId="77777777" w:rsidR="00970D50" w:rsidRPr="00994422" w:rsidRDefault="00970D50">
      <w:pPr>
        <w:rPr>
          <w:rFonts w:ascii="Arial" w:hAnsi="Arial" w:cs="Arial"/>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70D50" w14:paraId="4050F97E" w14:textId="77777777">
        <w:trPr>
          <w:trHeight w:val="355"/>
          <w:jc w:val="center"/>
        </w:trPr>
        <w:tc>
          <w:tcPr>
            <w:tcW w:w="8820" w:type="dxa"/>
            <w:tcBorders>
              <w:top w:val="nil"/>
              <w:left w:val="nil"/>
              <w:bottom w:val="nil"/>
              <w:right w:val="nil"/>
            </w:tcBorders>
          </w:tcPr>
          <w:p w14:paraId="3998F60A" w14:textId="77777777" w:rsidR="00B8039C" w:rsidRPr="00B8039C" w:rsidRDefault="00B8039C" w:rsidP="00B8039C">
            <w:pPr>
              <w:jc w:val="center"/>
              <w:rPr>
                <w:rFonts w:ascii="Arial" w:hAnsi="Arial" w:cs="Arial"/>
                <w:b/>
                <w:bCs/>
                <w:u w:val="single"/>
                <w:rtl/>
              </w:rPr>
            </w:pPr>
            <w:bookmarkStart w:id="5" w:name="PsakDin" w:colFirst="0" w:colLast="0"/>
            <w:bookmarkEnd w:id="0"/>
            <w:r w:rsidRPr="00B8039C">
              <w:rPr>
                <w:rFonts w:ascii="Arial" w:hAnsi="Arial" w:cs="Arial"/>
                <w:b/>
                <w:bCs/>
                <w:u w:val="single"/>
                <w:rtl/>
              </w:rPr>
              <w:t>גזר דין</w:t>
            </w:r>
          </w:p>
          <w:p w14:paraId="3C23B12E" w14:textId="77777777" w:rsidR="00970D50" w:rsidRPr="00B8039C" w:rsidRDefault="00970D50" w:rsidP="00B8039C">
            <w:pPr>
              <w:jc w:val="center"/>
              <w:rPr>
                <w:rFonts w:ascii="Arial" w:hAnsi="Arial" w:cs="Arial"/>
                <w:b/>
                <w:bCs/>
                <w:u w:val="single"/>
                <w:rtl/>
              </w:rPr>
            </w:pPr>
          </w:p>
        </w:tc>
      </w:tr>
      <w:bookmarkEnd w:id="5"/>
    </w:tbl>
    <w:p w14:paraId="7D80310F" w14:textId="77777777" w:rsidR="00970D50" w:rsidRDefault="00970D50">
      <w:pPr>
        <w:rPr>
          <w:rFonts w:ascii="Arial" w:hAnsi="Arial" w:cs="Arial"/>
          <w:b/>
          <w:bCs/>
          <w:rtl/>
        </w:rPr>
      </w:pPr>
    </w:p>
    <w:p w14:paraId="39E707EF" w14:textId="77777777" w:rsidR="00970D50" w:rsidRDefault="00B8039C">
      <w:pPr>
        <w:spacing w:after="240" w:line="360" w:lineRule="auto"/>
        <w:jc w:val="both"/>
        <w:rPr>
          <w:rFonts w:ascii="Arial" w:hAnsi="Arial" w:cs="Arial"/>
        </w:rPr>
      </w:pPr>
      <w:bookmarkStart w:id="6" w:name="ABSTRACT_START"/>
      <w:bookmarkEnd w:id="6"/>
      <w:r>
        <w:rPr>
          <w:rFonts w:ascii="Arial" w:hAnsi="Arial" w:cs="Arial"/>
          <w:rtl/>
        </w:rPr>
        <w:t xml:space="preserve">לאחר ניהול הליך הוכחות הורשע הנאשם בעבירה של יבוא סם מסוכן, עבירה לפי </w:t>
      </w:r>
      <w:hyperlink r:id="rId13" w:history="1">
        <w:r w:rsidR="009D658F" w:rsidRPr="009D658F">
          <w:rPr>
            <w:rStyle w:val="Hyperlink"/>
            <w:rFonts w:ascii="Arial" w:hAnsi="Arial" w:cs="Arial"/>
            <w:rtl/>
          </w:rPr>
          <w:t>סעיף 13</w:t>
        </w:r>
      </w:hyperlink>
      <w:r>
        <w:rPr>
          <w:rFonts w:ascii="Arial" w:hAnsi="Arial" w:cs="Arial"/>
          <w:rtl/>
        </w:rPr>
        <w:t xml:space="preserve"> יחד עם </w:t>
      </w:r>
      <w:hyperlink r:id="rId14" w:history="1">
        <w:r w:rsidR="009D658F" w:rsidRPr="009D658F">
          <w:rPr>
            <w:rStyle w:val="Hyperlink"/>
            <w:rFonts w:ascii="Arial" w:hAnsi="Arial" w:cs="Arial"/>
            <w:rtl/>
          </w:rPr>
          <w:t>סעיף 19א</w:t>
        </w:r>
      </w:hyperlink>
      <w:r>
        <w:rPr>
          <w:rFonts w:ascii="Arial" w:hAnsi="Arial" w:cs="Arial"/>
          <w:rtl/>
        </w:rPr>
        <w:t xml:space="preserve"> ל</w:t>
      </w:r>
      <w:r w:rsidR="00994422" w:rsidRPr="009D658F">
        <w:rPr>
          <w:rFonts w:ascii="Arial" w:hAnsi="Arial" w:cs="Arial"/>
          <w:rtl/>
        </w:rPr>
        <w:t>פקודת הסמים המסוכנים</w:t>
      </w:r>
      <w:r>
        <w:rPr>
          <w:rFonts w:ascii="Arial" w:hAnsi="Arial" w:cs="Arial"/>
          <w:rtl/>
        </w:rPr>
        <w:t xml:space="preserve"> התשל"ג – 1973.</w:t>
      </w:r>
    </w:p>
    <w:p w14:paraId="6F281C7C" w14:textId="77777777" w:rsidR="00970D50" w:rsidRDefault="00B8039C">
      <w:pPr>
        <w:spacing w:after="240" w:line="360" w:lineRule="auto"/>
        <w:jc w:val="both"/>
        <w:rPr>
          <w:rFonts w:ascii="Arial" w:hAnsi="Arial" w:cs="Arial"/>
          <w:rtl/>
        </w:rPr>
      </w:pPr>
      <w:bookmarkStart w:id="7" w:name="ABSTRACT_END"/>
      <w:bookmarkEnd w:id="7"/>
      <w:r>
        <w:rPr>
          <w:rFonts w:ascii="Arial" w:hAnsi="Arial" w:cs="Arial"/>
          <w:rtl/>
        </w:rPr>
        <w:t>על-פי עובדות כתב האישום המתוקן ייבא הנאשם לישראל 706 כדורי "יאבה" המכילים סם מסוכן מסוג מתאמפטאמין.</w:t>
      </w:r>
    </w:p>
    <w:p w14:paraId="70D9B7E1" w14:textId="77777777" w:rsidR="00970D50" w:rsidRDefault="00B8039C">
      <w:pPr>
        <w:spacing w:after="240" w:line="360" w:lineRule="auto"/>
        <w:jc w:val="both"/>
        <w:rPr>
          <w:rFonts w:ascii="Arial" w:hAnsi="Arial" w:cs="Arial"/>
          <w:rtl/>
        </w:rPr>
      </w:pPr>
      <w:r>
        <w:rPr>
          <w:rFonts w:ascii="Arial" w:hAnsi="Arial" w:cs="Arial"/>
          <w:rtl/>
        </w:rPr>
        <w:lastRenderedPageBreak/>
        <w:t>בטיעוניה, אשר הוגשו בכתב, הפנתה ב"כ המאשימה, עו"ד שרה טל, לערכים המוגנים בהם פגע הנאשם עת ייבא לישראל סם מסוכן. בהמשך דבריה הפנתה להיותו של נגע הסמים "מכת מדינה" המשליכה על חיי הפרט והכלל בחברה הישראלית.</w:t>
      </w:r>
    </w:p>
    <w:p w14:paraId="6B70363C" w14:textId="77777777" w:rsidR="00970D50" w:rsidRDefault="00B8039C">
      <w:pPr>
        <w:spacing w:after="240" w:line="360" w:lineRule="auto"/>
        <w:jc w:val="both"/>
        <w:rPr>
          <w:rFonts w:ascii="Arial" w:hAnsi="Arial" w:cs="Arial"/>
          <w:rtl/>
        </w:rPr>
      </w:pPr>
      <w:r>
        <w:rPr>
          <w:rFonts w:ascii="Arial" w:hAnsi="Arial" w:cs="Arial"/>
          <w:rtl/>
        </w:rPr>
        <w:t>אשר לנסיבות ביצוע העבירה, בהתאם ל</w:t>
      </w:r>
      <w:hyperlink r:id="rId15" w:history="1">
        <w:r w:rsidR="009D658F" w:rsidRPr="009D658F">
          <w:rPr>
            <w:rStyle w:val="Hyperlink"/>
            <w:rFonts w:ascii="Arial" w:hAnsi="Arial" w:cs="Arial"/>
            <w:rtl/>
          </w:rPr>
          <w:t>סעיף 40ט(א)</w:t>
        </w:r>
      </w:hyperlink>
      <w:r>
        <w:rPr>
          <w:rFonts w:ascii="Arial" w:hAnsi="Arial" w:cs="Arial"/>
          <w:rtl/>
        </w:rPr>
        <w:t xml:space="preserve"> ל</w:t>
      </w:r>
      <w:r w:rsidR="00994422" w:rsidRPr="009D658F">
        <w:rPr>
          <w:rFonts w:ascii="Arial" w:hAnsi="Arial" w:cs="Arial"/>
          <w:rtl/>
        </w:rPr>
        <w:t>חוק העונשין</w:t>
      </w:r>
      <w:r>
        <w:rPr>
          <w:rFonts w:ascii="Arial" w:hAnsi="Arial" w:cs="Arial"/>
          <w:rtl/>
        </w:rPr>
        <w:t xml:space="preserve"> התשל"ז – 1977 (להלן: "</w:t>
      </w:r>
      <w:r>
        <w:rPr>
          <w:rFonts w:ascii="Arial" w:hAnsi="Arial" w:cs="Arial"/>
          <w:b/>
          <w:bCs/>
          <w:rtl/>
        </w:rPr>
        <w:t>החוק</w:t>
      </w:r>
      <w:r>
        <w:rPr>
          <w:rFonts w:ascii="Arial" w:hAnsi="Arial" w:cs="Arial"/>
          <w:rtl/>
        </w:rPr>
        <w:t>"), הדגישה את התכנון המקדים, את חלקו הדומיננטי של המשיב, את הנזקים הצפויים מן הסם ואת המניע הכלכלי אשר עמד אל מול עיניו של הנאשם.</w:t>
      </w:r>
    </w:p>
    <w:p w14:paraId="4ADD939B" w14:textId="77777777" w:rsidR="00970D50" w:rsidRDefault="00B8039C">
      <w:pPr>
        <w:spacing w:after="240" w:line="360" w:lineRule="auto"/>
        <w:jc w:val="both"/>
        <w:rPr>
          <w:rFonts w:ascii="Arial" w:hAnsi="Arial" w:cs="Arial"/>
          <w:rtl/>
        </w:rPr>
      </w:pPr>
      <w:r>
        <w:rPr>
          <w:rFonts w:ascii="Arial" w:hAnsi="Arial" w:cs="Arial"/>
          <w:rtl/>
        </w:rPr>
        <w:t>בהתאם לנסיבות אל</w:t>
      </w:r>
      <w:r>
        <w:rPr>
          <w:rFonts w:ascii="Arial" w:hAnsi="Arial" w:cs="Arial" w:hint="cs"/>
          <w:rtl/>
        </w:rPr>
        <w:t>ה</w:t>
      </w:r>
      <w:r>
        <w:rPr>
          <w:rFonts w:ascii="Arial" w:hAnsi="Arial" w:cs="Arial"/>
          <w:rtl/>
        </w:rPr>
        <w:t xml:space="preserve"> ונוכח הפסיקה שהגישה עתרה ב"כ המבקשת לקביעת מתחם ענישה הכולל עונש מאסר בפועל הנע בין שנתיים וחצי לארבע שנות מאסר, מאסר מותנה וקנס בהיקף של עשרות אלפי שקלים.</w:t>
      </w:r>
    </w:p>
    <w:p w14:paraId="31748C3C" w14:textId="77777777" w:rsidR="00970D50" w:rsidRDefault="00970D50">
      <w:pPr>
        <w:spacing w:after="240" w:line="360" w:lineRule="auto"/>
        <w:jc w:val="both"/>
        <w:rPr>
          <w:rFonts w:ascii="Arial" w:hAnsi="Arial" w:cs="Arial"/>
          <w:rtl/>
        </w:rPr>
      </w:pPr>
    </w:p>
    <w:p w14:paraId="5F3494FD" w14:textId="77777777" w:rsidR="00970D50" w:rsidRDefault="00970D50">
      <w:pPr>
        <w:spacing w:after="240" w:line="360" w:lineRule="auto"/>
        <w:jc w:val="both"/>
        <w:rPr>
          <w:rFonts w:ascii="Arial" w:hAnsi="Arial" w:cs="Arial"/>
          <w:rtl/>
        </w:rPr>
      </w:pPr>
    </w:p>
    <w:p w14:paraId="7F449AC7" w14:textId="77777777" w:rsidR="00970D50" w:rsidRDefault="00B8039C">
      <w:pPr>
        <w:spacing w:after="240" w:line="360" w:lineRule="auto"/>
        <w:jc w:val="both"/>
        <w:rPr>
          <w:rFonts w:ascii="Arial" w:hAnsi="Arial" w:cs="Arial"/>
          <w:rtl/>
        </w:rPr>
      </w:pPr>
      <w:r>
        <w:rPr>
          <w:rFonts w:ascii="Arial" w:hAnsi="Arial" w:cs="Arial"/>
          <w:rtl/>
        </w:rPr>
        <w:t>לבסוף הבהירה כי הנאשם ניהל את משפטו ולא הביע חרטה על מעשיו כך שהוא אינו זכאי להקלה לה זוכים נאשמים אשר הודו במיוחס להם.</w:t>
      </w:r>
    </w:p>
    <w:p w14:paraId="05F2C194" w14:textId="77777777" w:rsidR="00970D50" w:rsidRDefault="00B8039C">
      <w:pPr>
        <w:spacing w:after="240" w:line="360" w:lineRule="auto"/>
        <w:jc w:val="both"/>
        <w:rPr>
          <w:rFonts w:ascii="Arial" w:hAnsi="Arial" w:cs="Arial"/>
          <w:rtl/>
        </w:rPr>
      </w:pPr>
      <w:r>
        <w:rPr>
          <w:rFonts w:ascii="Arial" w:hAnsi="Arial" w:cs="Arial"/>
          <w:rtl/>
        </w:rPr>
        <w:t>עוד הטעימה כי נסיבותיו האישיות של הנאשם אינן יוצאות דופן המצדיקות סטייה לקולא ממתחם הענישה בהתאם ל</w:t>
      </w:r>
      <w:hyperlink r:id="rId16" w:history="1">
        <w:r w:rsidR="009D658F" w:rsidRPr="009D658F">
          <w:rPr>
            <w:rStyle w:val="Hyperlink"/>
            <w:rFonts w:ascii="Arial" w:hAnsi="Arial" w:cs="Arial"/>
            <w:rtl/>
          </w:rPr>
          <w:t>סעיף 40ד(א)</w:t>
        </w:r>
      </w:hyperlink>
      <w:r>
        <w:rPr>
          <w:rFonts w:ascii="Arial" w:hAnsi="Arial" w:cs="Arial"/>
          <w:rtl/>
        </w:rPr>
        <w:t xml:space="preserve"> לחוק.  </w:t>
      </w:r>
    </w:p>
    <w:p w14:paraId="4CF8F2DA" w14:textId="77777777" w:rsidR="00970D50" w:rsidRDefault="00B8039C">
      <w:pPr>
        <w:spacing w:after="240" w:line="360" w:lineRule="auto"/>
        <w:jc w:val="both"/>
        <w:rPr>
          <w:rFonts w:ascii="Arial" w:hAnsi="Arial" w:cs="Arial"/>
          <w:rtl/>
        </w:rPr>
      </w:pPr>
      <w:r>
        <w:rPr>
          <w:rFonts w:ascii="Arial" w:hAnsi="Arial" w:cs="Arial"/>
          <w:rtl/>
        </w:rPr>
        <w:t>לאור האמור עתרה להשתת עונש מקסימלי בהתאם למתחם עליו עמדה.</w:t>
      </w:r>
    </w:p>
    <w:p w14:paraId="058975DB" w14:textId="77777777" w:rsidR="00970D50" w:rsidRDefault="00B8039C">
      <w:pPr>
        <w:spacing w:after="240" w:line="360" w:lineRule="auto"/>
        <w:jc w:val="both"/>
        <w:rPr>
          <w:rFonts w:ascii="Arial" w:hAnsi="Arial" w:cs="Arial"/>
          <w:rtl/>
        </w:rPr>
      </w:pPr>
      <w:r>
        <w:rPr>
          <w:rFonts w:ascii="Arial" w:hAnsi="Arial" w:cs="Arial"/>
          <w:rtl/>
        </w:rPr>
        <w:t>ב"כ הנאשם, עו"ד אייל שמחוני, אשר טען על-פה, עמד על כך שלא ניתן לראות בניהול ההוכחות כבזבוז זמנו של בית המשפט לאור ויתורו על רוב העדים והתמקדותו במחלוקת העובדתית המצומצמת אשר הוכרעה לבסוף לחובת הנאשם רק בעקבות צבר ראיות נסיבתיות.</w:t>
      </w:r>
    </w:p>
    <w:p w14:paraId="057B122D" w14:textId="77777777" w:rsidR="00970D50" w:rsidRDefault="00B8039C">
      <w:pPr>
        <w:spacing w:after="240" w:line="360" w:lineRule="auto"/>
        <w:jc w:val="both"/>
        <w:rPr>
          <w:rFonts w:ascii="Arial" w:hAnsi="Arial" w:cs="Arial"/>
          <w:rtl/>
        </w:rPr>
      </w:pPr>
      <w:r>
        <w:rPr>
          <w:rFonts w:ascii="Arial" w:hAnsi="Arial" w:cs="Arial" w:hint="cs"/>
          <w:rtl/>
        </w:rPr>
        <w:t>ב"כ הנאשם</w:t>
      </w:r>
      <w:r>
        <w:rPr>
          <w:rFonts w:ascii="Arial" w:hAnsi="Arial" w:cs="Arial"/>
          <w:rtl/>
        </w:rPr>
        <w:t xml:space="preserve"> התנגד למתחם אותו הציעה ב"כ המבקשת וציין כי אינו מכיר פסיקה בה הושתו על נאשם בעבירות מעין אל</w:t>
      </w:r>
      <w:r>
        <w:rPr>
          <w:rFonts w:ascii="Arial" w:hAnsi="Arial" w:cs="Arial" w:hint="cs"/>
          <w:rtl/>
        </w:rPr>
        <w:t>ה</w:t>
      </w:r>
      <w:r>
        <w:rPr>
          <w:rFonts w:ascii="Arial" w:hAnsi="Arial" w:cs="Arial"/>
          <w:rtl/>
        </w:rPr>
        <w:t xml:space="preserve"> עונש של ארבע שנות מאסר. לחיזוק דבריו הפנה לפסיקות שונות בהן הועמד העונש, לכל היותר, על 32 חודשי מאסר.</w:t>
      </w:r>
    </w:p>
    <w:p w14:paraId="5D7503FD" w14:textId="77777777" w:rsidR="00970D50" w:rsidRDefault="00B8039C">
      <w:pPr>
        <w:spacing w:after="240" w:line="360" w:lineRule="auto"/>
        <w:jc w:val="both"/>
        <w:rPr>
          <w:rFonts w:ascii="Arial" w:hAnsi="Arial" w:cs="Arial"/>
          <w:rtl/>
        </w:rPr>
      </w:pPr>
      <w:r>
        <w:rPr>
          <w:rFonts w:ascii="Arial" w:hAnsi="Arial" w:cs="Arial"/>
          <w:rtl/>
        </w:rPr>
        <w:t>לשיטתו, מתחם העונש הראוי נע בין שמונה חודשי מאסר לשותפים זוטרים לבין שלושים ושנים חודשי מאסר למורשעים ביבוא כמויות משמעותיות.</w:t>
      </w:r>
    </w:p>
    <w:p w14:paraId="6D26F13A" w14:textId="77777777" w:rsidR="00970D50" w:rsidRDefault="00B8039C">
      <w:pPr>
        <w:spacing w:after="240" w:line="360" w:lineRule="auto"/>
        <w:jc w:val="both"/>
        <w:rPr>
          <w:rFonts w:ascii="Arial" w:hAnsi="Arial" w:cs="Arial"/>
          <w:rtl/>
        </w:rPr>
      </w:pPr>
      <w:r>
        <w:rPr>
          <w:rFonts w:ascii="Arial" w:hAnsi="Arial" w:cs="Arial"/>
          <w:rtl/>
        </w:rPr>
        <w:lastRenderedPageBreak/>
        <w:t>בנסיבות העניין ותוך מתן דגש לעברו הפלילי הנקי של הנאשם עתר להשתת עונש מאסר בפועל של 12 חודשים.</w:t>
      </w:r>
    </w:p>
    <w:p w14:paraId="0A0122A1" w14:textId="77777777" w:rsidR="00970D50" w:rsidRDefault="00B8039C">
      <w:pPr>
        <w:spacing w:after="240" w:line="360" w:lineRule="auto"/>
        <w:jc w:val="both"/>
        <w:rPr>
          <w:rFonts w:ascii="Arial" w:hAnsi="Arial" w:cs="Arial"/>
          <w:rtl/>
        </w:rPr>
      </w:pPr>
      <w:r>
        <w:rPr>
          <w:rFonts w:ascii="Arial" w:hAnsi="Arial" w:cs="Arial"/>
          <w:rtl/>
        </w:rPr>
        <w:t>באחרית דבריו קבל על דרישתה של המאשימה בנוגע להשתת קנס ועמד על מצבו הכלכלי העגום של הנאשם אשר חי במחסן ומקבל שכר זעום הנשלח למשפחתו בחו"ל ל</w:t>
      </w:r>
      <w:r>
        <w:rPr>
          <w:rFonts w:ascii="Arial" w:hAnsi="Arial" w:cs="Arial" w:hint="cs"/>
          <w:rtl/>
        </w:rPr>
        <w:t>סיפוק</w:t>
      </w:r>
      <w:r>
        <w:rPr>
          <w:rFonts w:ascii="Arial" w:hAnsi="Arial" w:cs="Arial"/>
          <w:rtl/>
        </w:rPr>
        <w:t xml:space="preserve"> צרכי מחייה בסיסיים.</w:t>
      </w:r>
    </w:p>
    <w:p w14:paraId="689A24F8" w14:textId="77777777" w:rsidR="00970D50" w:rsidRDefault="00B8039C">
      <w:pPr>
        <w:spacing w:after="240" w:line="360" w:lineRule="auto"/>
        <w:jc w:val="both"/>
        <w:rPr>
          <w:rFonts w:ascii="Arial" w:hAnsi="Arial" w:cs="Arial"/>
          <w:rtl/>
        </w:rPr>
      </w:pPr>
      <w:r>
        <w:rPr>
          <w:rFonts w:ascii="Arial" w:hAnsi="Arial" w:cs="Arial"/>
          <w:rtl/>
        </w:rPr>
        <w:t xml:space="preserve">כפי האמור לעיל, ייבא הנאשם לישראל 706 כדורי יאבה כאשר לנגד עיניו עמד הרווח הקל שבמכירת הסם. </w:t>
      </w:r>
    </w:p>
    <w:p w14:paraId="7C893DEB" w14:textId="77777777" w:rsidR="00970D50" w:rsidRDefault="00970D50">
      <w:pPr>
        <w:spacing w:after="240" w:line="360" w:lineRule="auto"/>
        <w:jc w:val="both"/>
        <w:rPr>
          <w:rFonts w:ascii="Arial" w:hAnsi="Arial" w:cs="Arial"/>
          <w:rtl/>
        </w:rPr>
      </w:pPr>
    </w:p>
    <w:p w14:paraId="38195BEE" w14:textId="77777777" w:rsidR="00970D50" w:rsidRDefault="00970D50">
      <w:pPr>
        <w:spacing w:after="240" w:line="360" w:lineRule="auto"/>
        <w:jc w:val="both"/>
        <w:rPr>
          <w:rFonts w:ascii="Arial" w:hAnsi="Arial" w:cs="Arial"/>
          <w:rtl/>
        </w:rPr>
      </w:pPr>
    </w:p>
    <w:p w14:paraId="3FE8812B" w14:textId="77777777" w:rsidR="00970D50" w:rsidRDefault="00970D50">
      <w:pPr>
        <w:spacing w:after="240" w:line="360" w:lineRule="auto"/>
        <w:jc w:val="both"/>
        <w:rPr>
          <w:rFonts w:ascii="Arial" w:hAnsi="Arial" w:cs="Arial"/>
          <w:rtl/>
        </w:rPr>
      </w:pPr>
    </w:p>
    <w:p w14:paraId="55B021F1" w14:textId="77777777" w:rsidR="00970D50" w:rsidRDefault="00B8039C">
      <w:pPr>
        <w:spacing w:after="240" w:line="360" w:lineRule="auto"/>
        <w:jc w:val="both"/>
        <w:rPr>
          <w:rFonts w:ascii="Arial" w:hAnsi="Arial" w:cs="Arial"/>
          <w:rtl/>
        </w:rPr>
      </w:pPr>
      <w:r>
        <w:rPr>
          <w:rFonts w:ascii="Arial" w:hAnsi="Arial" w:cs="Arial"/>
          <w:rtl/>
        </w:rPr>
        <w:t>לא אחת עמד בית המשפט על החומרה שבעבירות הסמים השונות ובכלל</w:t>
      </w:r>
      <w:r>
        <w:rPr>
          <w:rFonts w:ascii="Arial" w:hAnsi="Arial" w:cs="Arial" w:hint="cs"/>
          <w:rtl/>
        </w:rPr>
        <w:t>ן</w:t>
      </w:r>
      <w:r>
        <w:rPr>
          <w:rFonts w:ascii="Arial" w:hAnsi="Arial" w:cs="Arial"/>
          <w:rtl/>
        </w:rPr>
        <w:t xml:space="preserve"> עבירות הייבוא. ראו בעניין זה דבריו של כבוד השופט מלצר:</w:t>
      </w:r>
    </w:p>
    <w:p w14:paraId="6112F3CA" w14:textId="77777777" w:rsidR="00970D50" w:rsidRDefault="00B8039C">
      <w:pPr>
        <w:spacing w:after="240" w:line="360" w:lineRule="auto"/>
        <w:ind w:left="1502" w:right="1276"/>
        <w:jc w:val="both"/>
        <w:rPr>
          <w:rFonts w:ascii="Arial" w:hAnsi="Arial" w:cs="Arial"/>
          <w:rtl/>
        </w:rPr>
      </w:pPr>
      <w:r>
        <w:rPr>
          <w:rFonts w:ascii="Arial" w:hAnsi="Arial" w:cs="Arial"/>
          <w:b/>
          <w:bCs/>
          <w:rtl/>
        </w:rPr>
        <w:t xml:space="preserve">"יש לזכור כי עבירות הסם שלא לשימוש עצמי, לרבות ייבוא, מכוערות הן בהיותן דומות לשילוח אש בשדה קוצים. לצערנו הנגע מגיע לכל פינה בחברה... נתון נוסף שמצביע על חומרת העבירה הוא היותה עבירת ייבוא. בצע הסם חוצה גבולות ולא מדובר רק בעבריינות פנימית" </w:t>
      </w:r>
      <w:r>
        <w:rPr>
          <w:rFonts w:ascii="Arial" w:hAnsi="Arial" w:cs="Arial"/>
          <w:rtl/>
        </w:rPr>
        <w:t>(</w:t>
      </w:r>
      <w:hyperlink r:id="rId17" w:history="1">
        <w:r w:rsidR="009D658F" w:rsidRPr="009D658F">
          <w:rPr>
            <w:rStyle w:val="Hyperlink"/>
            <w:rFonts w:ascii="Arial" w:hAnsi="Arial" w:cs="Arial"/>
            <w:rtl/>
          </w:rPr>
          <w:t>ע"פ 5741/11</w:t>
        </w:r>
        <w:r w:rsidR="009D658F" w:rsidRPr="009D658F">
          <w:rPr>
            <w:rStyle w:val="Hyperlink"/>
            <w:rFonts w:ascii="Arial" w:hAnsi="Arial" w:cs="Arial"/>
            <w:rtl/>
          </w:rPr>
          <w:t xml:space="preserve"> </w:t>
        </w:r>
        <w:r w:rsidR="009D658F" w:rsidRPr="009D658F">
          <w:rPr>
            <w:rStyle w:val="Hyperlink"/>
            <w:rFonts w:ascii="Arial" w:hAnsi="Arial" w:cs="Arial"/>
            <w:rtl/>
          </w:rPr>
          <w:t>נאיף סוארכה נ' מדינת ישראל</w:t>
        </w:r>
      </w:hyperlink>
      <w:r>
        <w:rPr>
          <w:rFonts w:ascii="Arial" w:hAnsi="Arial" w:cs="Arial"/>
          <w:rtl/>
        </w:rPr>
        <w:t>).</w:t>
      </w:r>
    </w:p>
    <w:p w14:paraId="2F1F7309" w14:textId="77777777" w:rsidR="00970D50" w:rsidRDefault="00B8039C">
      <w:pPr>
        <w:spacing w:after="240" w:line="360" w:lineRule="auto"/>
        <w:jc w:val="both"/>
        <w:rPr>
          <w:rFonts w:ascii="Arial" w:hAnsi="Arial" w:cs="Arial"/>
          <w:rtl/>
        </w:rPr>
      </w:pPr>
      <w:r>
        <w:rPr>
          <w:rFonts w:ascii="Arial" w:hAnsi="Arial" w:cs="Arial"/>
          <w:rtl/>
        </w:rPr>
        <w:t>עיינתי בפסיקה אשר הוגשה על-ידי הצדדים ובפסיק</w:t>
      </w:r>
      <w:r>
        <w:rPr>
          <w:rFonts w:ascii="Arial" w:hAnsi="Arial" w:cs="Arial" w:hint="cs"/>
          <w:rtl/>
        </w:rPr>
        <w:t>ה</w:t>
      </w:r>
      <w:r>
        <w:rPr>
          <w:rFonts w:ascii="Arial" w:hAnsi="Arial" w:cs="Arial"/>
          <w:rtl/>
        </w:rPr>
        <w:t xml:space="preserve"> נוספת של בית המשפט העליון ובתי המשפט המחוזיים ולטעמי המתחם הראוי בנסיבות העניין הינו בין שמונה עשר חודשי מאסר לבין שלושים ושישה חודשי מאסר.  </w:t>
      </w:r>
    </w:p>
    <w:p w14:paraId="648CF443" w14:textId="77777777" w:rsidR="00970D50" w:rsidRDefault="00B8039C">
      <w:pPr>
        <w:spacing w:after="240" w:line="360" w:lineRule="auto"/>
        <w:jc w:val="both"/>
        <w:rPr>
          <w:rFonts w:ascii="Arial" w:hAnsi="Arial" w:cs="Arial"/>
          <w:rtl/>
        </w:rPr>
      </w:pPr>
      <w:r>
        <w:rPr>
          <w:rFonts w:ascii="Arial" w:hAnsi="Arial" w:cs="Arial"/>
          <w:rtl/>
        </w:rPr>
        <w:t>היותו של הנאשם עובד זר אינה מצדיקה גישה סלחנית שכן גישה מעין זו עלולה לגרום להנחה בקרב מייבאים פוטנציאליים כי הסיכון משתלם ולכל היותר במקרה בו יתפסו ירצו תקופת מאסר קצרה</w:t>
      </w:r>
      <w:r>
        <w:rPr>
          <w:rFonts w:ascii="Arial" w:hAnsi="Arial" w:cs="Arial" w:hint="cs"/>
          <w:rtl/>
        </w:rPr>
        <w:t>.</w:t>
      </w:r>
      <w:r>
        <w:rPr>
          <w:rFonts w:ascii="Arial" w:hAnsi="Arial" w:cs="Arial"/>
          <w:rtl/>
        </w:rPr>
        <w:t xml:space="preserve"> מאידך ברי לכל כי קשייו של אסיר זר עולים עשרות מונים על קשייו של אסיר מקומי.</w:t>
      </w:r>
    </w:p>
    <w:p w14:paraId="0E839FEF" w14:textId="77777777" w:rsidR="00970D50" w:rsidRDefault="00B8039C">
      <w:pPr>
        <w:spacing w:after="240" w:line="360" w:lineRule="auto"/>
        <w:jc w:val="both"/>
        <w:rPr>
          <w:rFonts w:ascii="Arial" w:hAnsi="Arial" w:cs="Arial"/>
          <w:rtl/>
        </w:rPr>
      </w:pPr>
      <w:r>
        <w:rPr>
          <w:rFonts w:ascii="Arial" w:hAnsi="Arial" w:cs="Arial"/>
          <w:rtl/>
        </w:rPr>
        <w:t>לאחרונה עמדה על הדברים כבוד השופטת ברק ארז באומרה:</w:t>
      </w:r>
    </w:p>
    <w:p w14:paraId="6A9B5562" w14:textId="77777777" w:rsidR="00970D50" w:rsidRDefault="00B8039C">
      <w:pPr>
        <w:spacing w:after="240" w:line="360" w:lineRule="auto"/>
        <w:ind w:left="1502" w:right="1276"/>
        <w:jc w:val="both"/>
        <w:rPr>
          <w:rFonts w:ascii="Arial" w:hAnsi="Arial" w:cs="Arial"/>
          <w:b/>
          <w:bCs/>
          <w:rtl/>
        </w:rPr>
      </w:pPr>
      <w:r>
        <w:rPr>
          <w:rFonts w:ascii="Arial" w:hAnsi="Arial" w:cs="Arial"/>
          <w:b/>
          <w:bCs/>
          <w:rtl/>
        </w:rPr>
        <w:t xml:space="preserve">"השאלות הנותרות בכל הנוגע לגזירת דינו של המשיב נגעו למאפייניו האישיים של המשיב כאזרח זר המתגורר בישראל. לאחר ששקלנו את הדברים, לא מצאנו שעובדה זו מצדיקה החמרה מיוחדת או הקלה מיוחדת עם המשיב. ככלל, עובדת היותו של המשיב אזרח זר, לכשעצמה, אינה מהווה נסיבה אשר מצדיקה להחמיר עמו (ראו גם: </w:t>
      </w:r>
      <w:r w:rsidR="00994422" w:rsidRPr="009D658F">
        <w:rPr>
          <w:rFonts w:ascii="Arial" w:hAnsi="Arial" w:cs="Arial"/>
          <w:b/>
          <w:bCs/>
          <w:rtl/>
        </w:rPr>
        <w:t>ע"פ 5535/12</w:t>
      </w:r>
      <w:r>
        <w:rPr>
          <w:rFonts w:ascii="Arial" w:hAnsi="Arial" w:cs="Arial"/>
          <w:b/>
          <w:bCs/>
          <w:rtl/>
        </w:rPr>
        <w:t xml:space="preserve"> כאברי נ' מדינת ישראל (1.5.2013), בפסקאו</w:t>
      </w:r>
      <w:r w:rsidRPr="0082081C">
        <w:rPr>
          <w:rFonts w:ascii="Arial" w:hAnsi="Arial" w:cs="Arial"/>
          <w:b/>
          <w:bCs/>
          <w:color w:val="000000"/>
          <w:rtl/>
        </w:rPr>
        <w:t>ת 17-16</w:t>
      </w:r>
      <w:r>
        <w:rPr>
          <w:rFonts w:ascii="Arial" w:hAnsi="Arial" w:cs="Arial"/>
          <w:b/>
          <w:bCs/>
          <w:rtl/>
        </w:rPr>
        <w:t xml:space="preserve"> לפסק דינו של </w:t>
      </w:r>
    </w:p>
    <w:p w14:paraId="64278E54" w14:textId="77777777" w:rsidR="00970D50" w:rsidRDefault="00970D50">
      <w:pPr>
        <w:spacing w:after="240" w:line="360" w:lineRule="auto"/>
        <w:ind w:left="1502" w:right="1276"/>
        <w:jc w:val="both"/>
        <w:rPr>
          <w:rFonts w:ascii="Arial" w:hAnsi="Arial" w:cs="Arial"/>
          <w:b/>
          <w:bCs/>
          <w:rtl/>
        </w:rPr>
      </w:pPr>
    </w:p>
    <w:p w14:paraId="5C8C24C6" w14:textId="77777777" w:rsidR="00970D50" w:rsidRDefault="00970D50">
      <w:pPr>
        <w:spacing w:after="240" w:line="360" w:lineRule="auto"/>
        <w:ind w:left="1502" w:right="1276"/>
        <w:jc w:val="both"/>
        <w:rPr>
          <w:rFonts w:ascii="Arial" w:hAnsi="Arial" w:cs="Arial"/>
          <w:b/>
          <w:bCs/>
          <w:rtl/>
        </w:rPr>
      </w:pPr>
    </w:p>
    <w:p w14:paraId="076BAE3A" w14:textId="77777777" w:rsidR="00970D50" w:rsidRDefault="00B8039C">
      <w:pPr>
        <w:spacing w:after="240" w:line="360" w:lineRule="auto"/>
        <w:ind w:left="1502" w:right="1276"/>
        <w:jc w:val="both"/>
        <w:rPr>
          <w:rFonts w:ascii="Arial" w:hAnsi="Arial" w:cs="Arial"/>
          <w:rtl/>
        </w:rPr>
      </w:pPr>
      <w:r>
        <w:rPr>
          <w:rFonts w:ascii="Arial" w:hAnsi="Arial" w:cs="Arial"/>
          <w:b/>
          <w:bCs/>
          <w:rtl/>
        </w:rPr>
        <w:t>השופט י' דנציגר). בדומה לכך, אין היא מהווה טעם "אוטומאטי" לקולא ואינה מקנה "חסינות" מענישה משמעותית, אם כי שומה על בית המשפט להתחשב בנסיבות שעשויות להיות קשורות בה, כגון העדר שליטה בשפה המאפשרת תקשורת עם כלואים אחרים והעדר תמיכה של משפחה וידידים"</w:t>
      </w:r>
      <w:r>
        <w:rPr>
          <w:rFonts w:ascii="Arial" w:hAnsi="Arial" w:cs="Arial"/>
          <w:rtl/>
        </w:rPr>
        <w:t xml:space="preserve"> (</w:t>
      </w:r>
      <w:hyperlink r:id="rId18" w:history="1">
        <w:r w:rsidR="009D658F" w:rsidRPr="009D658F">
          <w:rPr>
            <w:rStyle w:val="Hyperlink"/>
            <w:rFonts w:ascii="Arial" w:hAnsi="Arial" w:cs="Arial"/>
            <w:rtl/>
          </w:rPr>
          <w:t>ע"פ 764/12 מד</w:t>
        </w:r>
        <w:r w:rsidR="009D658F" w:rsidRPr="009D658F">
          <w:rPr>
            <w:rStyle w:val="Hyperlink"/>
            <w:rFonts w:ascii="Arial" w:hAnsi="Arial" w:cs="Arial"/>
            <w:rtl/>
          </w:rPr>
          <w:t>י</w:t>
        </w:r>
        <w:r w:rsidR="009D658F" w:rsidRPr="009D658F">
          <w:rPr>
            <w:rStyle w:val="Hyperlink"/>
            <w:rFonts w:ascii="Arial" w:hAnsi="Arial" w:cs="Arial"/>
            <w:rtl/>
          </w:rPr>
          <w:t>נת ישראל נ' ברהאן גרמסיון</w:t>
        </w:r>
      </w:hyperlink>
      <w:r>
        <w:rPr>
          <w:rFonts w:ascii="Arial" w:hAnsi="Arial" w:cs="Arial"/>
          <w:rtl/>
        </w:rPr>
        <w:t>).</w:t>
      </w:r>
    </w:p>
    <w:p w14:paraId="4907A8EF" w14:textId="77777777" w:rsidR="00970D50" w:rsidRDefault="00B8039C">
      <w:pPr>
        <w:spacing w:after="240" w:line="360" w:lineRule="auto"/>
        <w:jc w:val="both"/>
        <w:rPr>
          <w:rFonts w:ascii="Arial" w:hAnsi="Arial" w:cs="Arial"/>
          <w:rtl/>
        </w:rPr>
      </w:pPr>
      <w:r>
        <w:rPr>
          <w:rFonts w:ascii="Arial" w:hAnsi="Arial" w:cs="Arial"/>
          <w:rtl/>
        </w:rPr>
        <w:t>כמו כן לא מצאתי כי קיימת הצדקה לסטות מן המתחם לחומרה או לקולא.</w:t>
      </w:r>
    </w:p>
    <w:p w14:paraId="45E8A5B3" w14:textId="77777777" w:rsidR="00970D50" w:rsidRDefault="00B8039C">
      <w:pPr>
        <w:spacing w:after="240" w:line="360" w:lineRule="auto"/>
        <w:jc w:val="both"/>
        <w:rPr>
          <w:rFonts w:ascii="Arial" w:hAnsi="Arial" w:cs="Arial"/>
          <w:rtl/>
        </w:rPr>
      </w:pPr>
      <w:r>
        <w:rPr>
          <w:rFonts w:ascii="Arial" w:hAnsi="Arial" w:cs="Arial"/>
          <w:rtl/>
        </w:rPr>
        <w:t>מקובלת עלי עמדת ב"כ הנאשם כי במקרה דנן לא ניתן לייחס לנאשם בזבוז זמן שיפוטי בשל ניהול הליך קצר ותוך התייחסות ממוקדת לשאלות הנתונות במחלוקת. מאידך גיסא, ברי שלא ניתן לייחס לזכות הנאשם חסכון זמן שיפוטי שכן בחר הוא שלא להודות במיוחס לו.</w:t>
      </w:r>
    </w:p>
    <w:p w14:paraId="0929ABCF" w14:textId="77777777" w:rsidR="00970D50" w:rsidRDefault="00B8039C">
      <w:pPr>
        <w:spacing w:after="240" w:line="360" w:lineRule="auto"/>
        <w:jc w:val="both"/>
        <w:rPr>
          <w:rFonts w:ascii="Arial" w:hAnsi="Arial" w:cs="Arial"/>
          <w:rtl/>
        </w:rPr>
      </w:pPr>
      <w:r>
        <w:rPr>
          <w:rFonts w:ascii="Arial" w:hAnsi="Arial" w:cs="Arial"/>
          <w:rtl/>
        </w:rPr>
        <w:t>העדר עבר פלילי ונסיבות חייו של הנאשם לרבות מצבו הכלכלי הינם שיקולים ה</w:t>
      </w:r>
      <w:r>
        <w:rPr>
          <w:rFonts w:ascii="Arial" w:hAnsi="Arial" w:cs="Arial" w:hint="cs"/>
          <w:rtl/>
        </w:rPr>
        <w:t>נזקפים לזכותו</w:t>
      </w:r>
      <w:r>
        <w:rPr>
          <w:rFonts w:ascii="Arial" w:hAnsi="Arial" w:cs="Arial"/>
          <w:rtl/>
        </w:rPr>
        <w:t xml:space="preserve"> של הנאשם. לעומת זאת, לחומרה יש לזקוף את הנזק הצפוי, אם היה מממש את רצונו לסחור בסם, את התכנון המוקדם, את השימוש בשם הפיקטיבי ואת הסלקת הסם בשקיות הקפה.</w:t>
      </w:r>
    </w:p>
    <w:p w14:paraId="1EB0C745" w14:textId="77777777" w:rsidR="00970D50" w:rsidRDefault="00B8039C">
      <w:pPr>
        <w:spacing w:after="240" w:line="360" w:lineRule="auto"/>
        <w:jc w:val="both"/>
        <w:rPr>
          <w:rFonts w:ascii="Arial" w:hAnsi="Arial" w:cs="Arial"/>
        </w:rPr>
      </w:pPr>
      <w:r>
        <w:rPr>
          <w:rFonts w:ascii="Arial" w:hAnsi="Arial" w:cs="Arial"/>
          <w:rtl/>
        </w:rPr>
        <w:t>לאור כל האמור אני גוזרת על הנאשם את העונשים הבאים</w:t>
      </w:r>
      <w:r>
        <w:rPr>
          <w:rFonts w:ascii="Arial" w:hAnsi="Arial" w:cs="Arial" w:hint="cs"/>
          <w:rtl/>
        </w:rPr>
        <w:t>:</w:t>
      </w:r>
    </w:p>
    <w:p w14:paraId="7ED955D7" w14:textId="77777777" w:rsidR="00970D50" w:rsidRDefault="00B8039C">
      <w:pPr>
        <w:numPr>
          <w:ilvl w:val="0"/>
          <w:numId w:val="1"/>
        </w:numPr>
        <w:spacing w:after="240" w:line="360" w:lineRule="auto"/>
        <w:jc w:val="both"/>
        <w:rPr>
          <w:rFonts w:ascii="Arial" w:hAnsi="Arial" w:cs="Arial"/>
          <w:rtl/>
        </w:rPr>
      </w:pPr>
      <w:r>
        <w:rPr>
          <w:rFonts w:ascii="Arial" w:hAnsi="Arial" w:cs="Arial" w:hint="cs"/>
          <w:rtl/>
        </w:rPr>
        <w:t xml:space="preserve">20 </w:t>
      </w:r>
      <w:r>
        <w:rPr>
          <w:rFonts w:ascii="Arial" w:hAnsi="Arial" w:cs="Arial"/>
          <w:rtl/>
        </w:rPr>
        <w:t>חודשי מאסר בפועל בניכוי ימי מעצרו</w:t>
      </w:r>
      <w:r>
        <w:rPr>
          <w:rFonts w:ascii="Arial" w:hAnsi="Arial" w:cs="Arial" w:hint="cs"/>
          <w:rtl/>
        </w:rPr>
        <w:t xml:space="preserve"> מיום 18.10.12 ועד ליום 22.11.12.</w:t>
      </w:r>
    </w:p>
    <w:p w14:paraId="72BF06A6" w14:textId="77777777" w:rsidR="00970D50" w:rsidRDefault="00B8039C">
      <w:pPr>
        <w:numPr>
          <w:ilvl w:val="0"/>
          <w:numId w:val="1"/>
        </w:numPr>
        <w:spacing w:after="240" w:line="360" w:lineRule="auto"/>
        <w:jc w:val="both"/>
        <w:rPr>
          <w:rFonts w:ascii="Arial" w:hAnsi="Arial" w:cs="Arial"/>
        </w:rPr>
      </w:pPr>
      <w:r>
        <w:rPr>
          <w:rFonts w:ascii="Arial" w:hAnsi="Arial" w:cs="Arial"/>
          <w:rtl/>
        </w:rPr>
        <w:t>מאסר מותנה של 10 חודשים, לתקופה של 3 שנים מיום שחרורו ממאסר, והתנאי הוא שהנאשם לא יעבור עבירת סמים מסוג פשע.</w:t>
      </w:r>
    </w:p>
    <w:p w14:paraId="256EFDBA" w14:textId="77777777" w:rsidR="00970D50" w:rsidRDefault="00B8039C">
      <w:pPr>
        <w:numPr>
          <w:ilvl w:val="0"/>
          <w:numId w:val="1"/>
        </w:numPr>
        <w:spacing w:after="240" w:line="360" w:lineRule="auto"/>
        <w:jc w:val="both"/>
        <w:rPr>
          <w:rFonts w:ascii="Arial" w:hAnsi="Arial" w:cs="Arial"/>
        </w:rPr>
      </w:pPr>
      <w:r>
        <w:rPr>
          <w:rFonts w:ascii="Arial" w:hAnsi="Arial" w:cs="Arial"/>
          <w:rtl/>
        </w:rPr>
        <w:t>נוכח מצבו הכלכלי של הנאשם ובהתאם לפסיקה הנוהגת לא מצאתי לנכון לגזור קנס.</w:t>
      </w:r>
    </w:p>
    <w:p w14:paraId="2E087FF2" w14:textId="77777777" w:rsidR="00970D50" w:rsidRDefault="00B8039C">
      <w:pPr>
        <w:numPr>
          <w:ilvl w:val="0"/>
          <w:numId w:val="1"/>
        </w:numPr>
        <w:spacing w:after="240" w:line="360" w:lineRule="auto"/>
        <w:jc w:val="both"/>
        <w:rPr>
          <w:rFonts w:ascii="Arial" w:hAnsi="Arial" w:cs="Arial"/>
        </w:rPr>
      </w:pPr>
      <w:r>
        <w:rPr>
          <w:rFonts w:ascii="Arial" w:hAnsi="Arial" w:cs="Arial"/>
          <w:rtl/>
        </w:rPr>
        <w:t>הסם שנתפס יושמד.</w:t>
      </w:r>
    </w:p>
    <w:p w14:paraId="1721234F" w14:textId="77777777" w:rsidR="00970D50" w:rsidRDefault="00970D50">
      <w:pPr>
        <w:spacing w:after="240" w:line="360" w:lineRule="auto"/>
        <w:jc w:val="both"/>
        <w:rPr>
          <w:rFonts w:ascii="Arial" w:hAnsi="Arial" w:cs="Arial"/>
        </w:rPr>
      </w:pPr>
    </w:p>
    <w:p w14:paraId="6D54509C" w14:textId="77777777" w:rsidR="00970D50" w:rsidRDefault="00B8039C">
      <w:pPr>
        <w:spacing w:after="240" w:line="360" w:lineRule="auto"/>
        <w:jc w:val="both"/>
        <w:rPr>
          <w:rFonts w:ascii="Arial" w:hAnsi="Arial" w:cs="Arial"/>
        </w:rPr>
      </w:pPr>
      <w:r>
        <w:rPr>
          <w:rFonts w:ascii="Arial" w:hAnsi="Arial" w:cs="Arial"/>
          <w:b/>
          <w:bCs/>
          <w:rtl/>
        </w:rPr>
        <w:t>זכות ערעור תוך 45 יום</w:t>
      </w:r>
      <w:r>
        <w:rPr>
          <w:rFonts w:ascii="Arial" w:hAnsi="Arial" w:cs="Arial" w:hint="cs"/>
          <w:b/>
          <w:bCs/>
          <w:rtl/>
        </w:rPr>
        <w:t xml:space="preserve"> לבית המשפט העליון</w:t>
      </w:r>
      <w:r>
        <w:rPr>
          <w:rFonts w:ascii="Arial" w:hAnsi="Arial" w:cs="Arial"/>
          <w:b/>
          <w:bCs/>
          <w:rtl/>
        </w:rPr>
        <w:t>.</w:t>
      </w:r>
    </w:p>
    <w:p w14:paraId="56A55261" w14:textId="77777777" w:rsidR="00970D50" w:rsidRPr="00B8039C" w:rsidRDefault="00B8039C">
      <w:pPr>
        <w:spacing w:after="240" w:line="360" w:lineRule="auto"/>
        <w:ind w:left="720"/>
        <w:jc w:val="both"/>
        <w:rPr>
          <w:rFonts w:ascii="Arial" w:hAnsi="Arial" w:cs="Arial"/>
          <w:color w:val="FFFFFF"/>
          <w:sz w:val="2"/>
          <w:szCs w:val="2"/>
        </w:rPr>
      </w:pPr>
      <w:r w:rsidRPr="00B8039C">
        <w:rPr>
          <w:rFonts w:ascii="Arial" w:hAnsi="Arial" w:cs="Arial"/>
          <w:color w:val="FFFFFF"/>
          <w:sz w:val="2"/>
          <w:szCs w:val="2"/>
          <w:rtl/>
        </w:rPr>
        <w:t>5129371</w:t>
      </w:r>
    </w:p>
    <w:p w14:paraId="1F5627AF" w14:textId="77777777" w:rsidR="00970D50" w:rsidRDefault="00B8039C">
      <w:pPr>
        <w:rPr>
          <w:rFonts w:ascii="Arial" w:hAnsi="Arial" w:cs="Arial"/>
          <w:b/>
          <w:bCs/>
          <w:rtl/>
        </w:rPr>
      </w:pPr>
      <w:r w:rsidRPr="00B8039C">
        <w:rPr>
          <w:rFonts w:ascii="Arial" w:hAnsi="Arial" w:cs="Arial"/>
          <w:b/>
          <w:bCs/>
          <w:color w:val="FFFFFF"/>
          <w:sz w:val="2"/>
          <w:szCs w:val="2"/>
          <w:rtl/>
        </w:rPr>
        <w:t>54678313</w:t>
      </w:r>
      <w:r>
        <w:rPr>
          <w:rFonts w:ascii="Arial" w:hAnsi="Arial" w:cs="Arial"/>
          <w:b/>
          <w:bCs/>
          <w:rtl/>
        </w:rPr>
        <w:t xml:space="preserve">ניתן היום, י"ז תמוז תשע"ג, 25 יוני 2013, במעמד הצדדים. </w:t>
      </w:r>
    </w:p>
    <w:p w14:paraId="473D3340" w14:textId="77777777" w:rsidR="00B8039C" w:rsidRPr="00B8039C" w:rsidRDefault="00B8039C" w:rsidP="00B8039C">
      <w:pPr>
        <w:keepNext/>
        <w:rPr>
          <w:rFonts w:ascii="David" w:hAnsi="David"/>
          <w:color w:val="000000"/>
          <w:sz w:val="22"/>
          <w:szCs w:val="22"/>
          <w:rtl/>
        </w:rPr>
      </w:pPr>
    </w:p>
    <w:p w14:paraId="11E3ED74" w14:textId="77777777" w:rsidR="00970D50" w:rsidRPr="00AC64E3" w:rsidRDefault="00AC64E3">
      <w:pPr>
        <w:rPr>
          <w:rFonts w:ascii="Arial" w:hAnsi="Arial" w:cs="Arial"/>
          <w:b/>
          <w:bCs/>
          <w:color w:val="FFFFFF"/>
          <w:sz w:val="2"/>
          <w:szCs w:val="2"/>
          <w:rtl/>
        </w:rPr>
      </w:pPr>
      <w:r w:rsidRPr="00AC64E3">
        <w:rPr>
          <w:rFonts w:ascii="Arial" w:hAnsi="Arial" w:cs="Arial"/>
          <w:b/>
          <w:bCs/>
          <w:color w:val="FFFFFF"/>
          <w:sz w:val="2"/>
          <w:szCs w:val="2"/>
          <w:rtl/>
        </w:rPr>
        <w:t>54678313</w:t>
      </w:r>
    </w:p>
    <w:p w14:paraId="70192E64" w14:textId="77777777" w:rsidR="00AC64E3" w:rsidRPr="00AC64E3" w:rsidRDefault="00AC64E3" w:rsidP="00AC64E3">
      <w:pPr>
        <w:keepNext/>
        <w:rPr>
          <w:rFonts w:ascii="David" w:hAnsi="David"/>
          <w:color w:val="000000"/>
          <w:sz w:val="22"/>
          <w:szCs w:val="22"/>
          <w:rtl/>
        </w:rPr>
      </w:pPr>
    </w:p>
    <w:p w14:paraId="11159576" w14:textId="77777777" w:rsidR="00AC64E3" w:rsidRPr="00AC64E3" w:rsidRDefault="00AC64E3" w:rsidP="00AC64E3">
      <w:pPr>
        <w:keepNext/>
        <w:rPr>
          <w:rFonts w:ascii="David" w:hAnsi="David"/>
          <w:color w:val="000000"/>
          <w:sz w:val="22"/>
          <w:szCs w:val="22"/>
          <w:rtl/>
        </w:rPr>
      </w:pPr>
      <w:r w:rsidRPr="00AC64E3">
        <w:rPr>
          <w:rFonts w:ascii="David" w:hAnsi="David"/>
          <w:color w:val="000000"/>
          <w:sz w:val="22"/>
          <w:szCs w:val="22"/>
          <w:rtl/>
        </w:rPr>
        <w:t>מיכל ברנט 54678313-/</w:t>
      </w:r>
    </w:p>
    <w:p w14:paraId="04138F56" w14:textId="77777777" w:rsidR="00970D50" w:rsidRDefault="00B8039C">
      <w:pPr>
        <w:jc w:val="center"/>
        <w:rPr>
          <w:rFonts w:ascii="Arial" w:hAnsi="Arial" w:cs="Arial"/>
          <w:b/>
          <w:bCs/>
          <w:rtl/>
        </w:rPr>
      </w:pPr>
      <w:r>
        <w:rPr>
          <w:rFonts w:ascii="Arial" w:hAnsi="Arial" w:cs="Arial"/>
          <w:b/>
          <w:bCs/>
          <w:rtl/>
        </w:rPr>
        <w:t xml:space="preserve">   </w:t>
      </w:r>
      <w:r>
        <w:rPr>
          <w:rFonts w:ascii="Arial" w:hAnsi="Arial" w:cs="Arial"/>
          <w:b/>
          <w:bCs/>
          <w:rtl/>
        </w:rPr>
        <w:tab/>
      </w:r>
      <w:r>
        <w:rPr>
          <w:rFonts w:ascii="Arial" w:hAnsi="Arial" w:cs="Arial"/>
          <w:b/>
          <w:bCs/>
          <w:rtl/>
        </w:rPr>
        <w:tab/>
      </w:r>
      <w:r>
        <w:rPr>
          <w:rFonts w:ascii="Arial" w:hAnsi="Arial" w:cs="Arial"/>
          <w:b/>
          <w:bCs/>
          <w:rtl/>
        </w:rPr>
        <w:tab/>
      </w:r>
      <w:r>
        <w:rPr>
          <w:rFonts w:ascii="Arial" w:hAnsi="Arial" w:cs="Arial"/>
          <w:b/>
          <w:bCs/>
          <w:rtl/>
        </w:rPr>
        <w:tab/>
      </w:r>
      <w:r>
        <w:rPr>
          <w:rFonts w:ascii="Arial" w:hAnsi="Arial" w:cs="Arial"/>
          <w:b/>
          <w:bCs/>
          <w:rtl/>
        </w:rPr>
        <w:tab/>
      </w:r>
      <w:bookmarkStart w:id="8" w:name="_GoBack"/>
      <w:bookmarkEnd w:id="8"/>
      <w:r>
        <w:rPr>
          <w:rFonts w:ascii="Arial" w:hAnsi="Arial" w:cs="Arial"/>
          <w:b/>
          <w:bCs/>
          <w:rtl/>
        </w:rPr>
        <w:t>חתימה</w:t>
      </w:r>
    </w:p>
    <w:p w14:paraId="7D6E83F2" w14:textId="77777777" w:rsidR="00B8039C" w:rsidRDefault="00B8039C" w:rsidP="00B8039C">
      <w:r w:rsidRPr="00B8039C">
        <w:rPr>
          <w:color w:val="000000"/>
          <w:rtl/>
        </w:rPr>
        <w:t>נוסח מסמך זה כפוף לשינויי ניסוח ועריכה</w:t>
      </w:r>
    </w:p>
    <w:p w14:paraId="13C8D37A" w14:textId="77777777" w:rsidR="00B8039C" w:rsidRDefault="00B8039C" w:rsidP="00B8039C">
      <w:pPr>
        <w:rPr>
          <w:rtl/>
        </w:rPr>
      </w:pPr>
    </w:p>
    <w:p w14:paraId="1A65ACD7" w14:textId="77777777" w:rsidR="00B8039C" w:rsidRDefault="00B8039C" w:rsidP="00B8039C">
      <w:pPr>
        <w:jc w:val="center"/>
        <w:rPr>
          <w:color w:val="0000FF"/>
          <w:u w:val="single"/>
        </w:rPr>
      </w:pPr>
      <w:r w:rsidRPr="0082081C">
        <w:rPr>
          <w:color w:val="000000"/>
          <w:rtl/>
        </w:rPr>
        <w:t>בעניין עריכה ושינויים במסמכי פסיקה, חקיקה ועוד באתר נבו – הקש כאן</w:t>
      </w:r>
    </w:p>
    <w:sectPr w:rsidR="00B8039C" w:rsidSect="00AC64E3">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E42DD" w14:textId="77777777" w:rsidR="00570D61" w:rsidRPr="003E1F95" w:rsidRDefault="00570D61">
      <w:pPr>
        <w:rPr>
          <w:rFonts w:cs="Arial"/>
          <w:szCs w:val="20"/>
        </w:rPr>
      </w:pPr>
      <w:r>
        <w:separator/>
      </w:r>
    </w:p>
  </w:endnote>
  <w:endnote w:type="continuationSeparator" w:id="0">
    <w:p w14:paraId="56DE8FA1" w14:textId="77777777" w:rsidR="00570D61" w:rsidRPr="003E1F95" w:rsidRDefault="00570D6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386F6" w14:textId="77777777" w:rsidR="00CC7817" w:rsidRDefault="00CC7817" w:rsidP="00AC64E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A8D4FA0" w14:textId="77777777" w:rsidR="00CC7817" w:rsidRPr="00AC64E3" w:rsidRDefault="00CC7817" w:rsidP="00AC64E3">
    <w:pPr>
      <w:pStyle w:val="a4"/>
      <w:pBdr>
        <w:top w:val="single" w:sz="4" w:space="1" w:color="auto"/>
        <w:between w:val="single" w:sz="4" w:space="0" w:color="auto"/>
      </w:pBdr>
      <w:spacing w:after="60"/>
      <w:jc w:val="center"/>
      <w:rPr>
        <w:rFonts w:ascii="FrankRuehl" w:hAnsi="FrankRuehl" w:cs="FrankRuehl"/>
        <w:color w:val="000000"/>
      </w:rPr>
    </w:pPr>
    <w:r w:rsidRPr="00AC64E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503F9" w14:textId="77777777" w:rsidR="00CC7817" w:rsidRDefault="00CC7817" w:rsidP="00AC64E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C73DA">
      <w:rPr>
        <w:rFonts w:ascii="FrankRuehl" w:hAnsi="FrankRuehl" w:cs="FrankRuehl"/>
        <w:noProof/>
        <w:rtl/>
      </w:rPr>
      <w:t>1</w:t>
    </w:r>
    <w:r>
      <w:rPr>
        <w:rFonts w:ascii="FrankRuehl" w:hAnsi="FrankRuehl" w:cs="FrankRuehl"/>
        <w:rtl/>
      </w:rPr>
      <w:fldChar w:fldCharType="end"/>
    </w:r>
  </w:p>
  <w:p w14:paraId="12D6633E" w14:textId="77777777" w:rsidR="00CC7817" w:rsidRPr="00AC64E3" w:rsidRDefault="00CC7817" w:rsidP="00AC64E3">
    <w:pPr>
      <w:pStyle w:val="a4"/>
      <w:pBdr>
        <w:top w:val="single" w:sz="4" w:space="1" w:color="auto"/>
        <w:between w:val="single" w:sz="4" w:space="0" w:color="auto"/>
      </w:pBdr>
      <w:spacing w:after="60"/>
      <w:jc w:val="center"/>
      <w:rPr>
        <w:rFonts w:ascii="FrankRuehl" w:hAnsi="FrankRuehl" w:cs="FrankRuehl"/>
        <w:color w:val="000000"/>
      </w:rPr>
    </w:pPr>
    <w:r w:rsidRPr="00AC64E3">
      <w:rPr>
        <w:rFonts w:ascii="FrankRuehl" w:hAnsi="FrankRuehl" w:cs="FrankRuehl"/>
        <w:color w:val="000000"/>
      </w:rPr>
      <w:pict w14:anchorId="4F0DC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16865" w14:textId="77777777" w:rsidR="00570D61" w:rsidRPr="003E1F95" w:rsidRDefault="00570D61">
      <w:pPr>
        <w:rPr>
          <w:rFonts w:cs="Arial"/>
          <w:szCs w:val="20"/>
        </w:rPr>
      </w:pPr>
      <w:r>
        <w:separator/>
      </w:r>
    </w:p>
  </w:footnote>
  <w:footnote w:type="continuationSeparator" w:id="0">
    <w:p w14:paraId="697F06B0" w14:textId="77777777" w:rsidR="00570D61" w:rsidRPr="003E1F95" w:rsidRDefault="00570D6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B4B55" w14:textId="77777777" w:rsidR="00CC7817" w:rsidRPr="00AC64E3" w:rsidRDefault="00CC7817" w:rsidP="00AC64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40440-10-12</w:t>
    </w:r>
    <w:r>
      <w:rPr>
        <w:rFonts w:ascii="David" w:hAnsi="David"/>
        <w:color w:val="000000"/>
        <w:sz w:val="22"/>
        <w:szCs w:val="22"/>
        <w:rtl/>
      </w:rPr>
      <w:tab/>
      <w:t xml:space="preserve"> מדינת ישראל נ' סומפונג קנסרירט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07083" w14:textId="77777777" w:rsidR="00CC7817" w:rsidRPr="00AC64E3" w:rsidRDefault="00CC7817" w:rsidP="00AC64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40440-10-12</w:t>
    </w:r>
    <w:r>
      <w:rPr>
        <w:rFonts w:ascii="David" w:hAnsi="David"/>
        <w:color w:val="000000"/>
        <w:sz w:val="22"/>
        <w:szCs w:val="22"/>
        <w:rtl/>
      </w:rPr>
      <w:tab/>
      <w:t xml:space="preserve"> מדינת ישראל נ' סומפונג קנסרירט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21ADA"/>
    <w:multiLevelType w:val="hybridMultilevel"/>
    <w:tmpl w:val="6FE28E08"/>
    <w:lvl w:ilvl="0" w:tplc="54EC4682">
      <w:start w:val="1"/>
      <w:numFmt w:val="hebrew1"/>
      <w:lvlText w:val="%1."/>
      <w:lvlJc w:val="left"/>
      <w:pPr>
        <w:ind w:left="1080" w:hanging="360"/>
      </w:pPr>
      <w:rPr>
        <w:rFonts w:ascii="Arial" w:eastAsia="Times New Roman" w:hAnsi="Arial" w:cs="Arial"/>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2054568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0D50"/>
    <w:rsid w:val="001F339B"/>
    <w:rsid w:val="00570D61"/>
    <w:rsid w:val="006317C4"/>
    <w:rsid w:val="0082081C"/>
    <w:rsid w:val="008C73DA"/>
    <w:rsid w:val="00970D50"/>
    <w:rsid w:val="00994422"/>
    <w:rsid w:val="009D658F"/>
    <w:rsid w:val="00AC64E3"/>
    <w:rsid w:val="00AF2EEA"/>
    <w:rsid w:val="00AF55F0"/>
    <w:rsid w:val="00B8039C"/>
    <w:rsid w:val="00CC7817"/>
    <w:rsid w:val="00DB6AC5"/>
    <w:rsid w:val="00F961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469CFB"/>
  <w15:chartTrackingRefBased/>
  <w15:docId w15:val="{06F43090-4468-4CC7-8316-EF5D514D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0D5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70D50"/>
    <w:pPr>
      <w:tabs>
        <w:tab w:val="center" w:pos="4153"/>
        <w:tab w:val="right" w:pos="8306"/>
      </w:tabs>
    </w:pPr>
  </w:style>
  <w:style w:type="paragraph" w:styleId="a4">
    <w:name w:val="footer"/>
    <w:basedOn w:val="a"/>
    <w:rsid w:val="00970D50"/>
    <w:pPr>
      <w:tabs>
        <w:tab w:val="center" w:pos="4153"/>
        <w:tab w:val="right" w:pos="8306"/>
      </w:tabs>
    </w:pPr>
  </w:style>
  <w:style w:type="character" w:styleId="a5">
    <w:name w:val="page number"/>
    <w:basedOn w:val="a0"/>
    <w:rsid w:val="00970D50"/>
  </w:style>
  <w:style w:type="character" w:styleId="Hyperlink">
    <w:name w:val="Hyperlink"/>
    <w:basedOn w:val="a0"/>
    <w:rsid w:val="00B8039C"/>
    <w:rPr>
      <w:color w:val="0000FF"/>
      <w:u w:val="single"/>
    </w:rPr>
  </w:style>
  <w:style w:type="character" w:styleId="FollowedHyperlink">
    <w:name w:val="FollowedHyperlink"/>
    <w:basedOn w:val="a0"/>
    <w:rsid w:val="009D658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3" TargetMode="External"/><Relationship Id="rId18" Type="http://schemas.openxmlformats.org/officeDocument/2006/relationships/hyperlink" Target="http://www.nevo.co.il/case/557345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40i.a" TargetMode="External"/><Relationship Id="rId17" Type="http://schemas.openxmlformats.org/officeDocument/2006/relationships/hyperlink" Target="http://www.nevo.co.il/case/6030418" TargetMode="External"/><Relationship Id="rId2" Type="http://schemas.openxmlformats.org/officeDocument/2006/relationships/styles" Target="styles.xml"/><Relationship Id="rId16" Type="http://schemas.openxmlformats.org/officeDocument/2006/relationships/hyperlink" Target="http://www.nevo.co.il/law/70301/40d.a"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i.a" TargetMode="External"/><Relationship Id="rId23"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949</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5688</CharactersWithSpaces>
  <SharedDoc>false</SharedDoc>
  <HLinks>
    <vt:vector size="72" baseType="variant">
      <vt:variant>
        <vt:i4>3145847</vt:i4>
      </vt:variant>
      <vt:variant>
        <vt:i4>33</vt:i4>
      </vt:variant>
      <vt:variant>
        <vt:i4>0</vt:i4>
      </vt:variant>
      <vt:variant>
        <vt:i4>5</vt:i4>
      </vt:variant>
      <vt:variant>
        <vt:lpwstr>http://www.nevo.co.il/case/5573456</vt:lpwstr>
      </vt:variant>
      <vt:variant>
        <vt:lpwstr/>
      </vt:variant>
      <vt:variant>
        <vt:i4>3735669</vt:i4>
      </vt:variant>
      <vt:variant>
        <vt:i4>30</vt:i4>
      </vt:variant>
      <vt:variant>
        <vt:i4>0</vt:i4>
      </vt:variant>
      <vt:variant>
        <vt:i4>5</vt:i4>
      </vt:variant>
      <vt:variant>
        <vt:lpwstr>http://www.nevo.co.il/case/6030418</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4915208</vt:i4>
      </vt:variant>
      <vt:variant>
        <vt:i4>24</vt:i4>
      </vt:variant>
      <vt:variant>
        <vt:i4>0</vt:i4>
      </vt:variant>
      <vt:variant>
        <vt:i4>5</vt:i4>
      </vt:variant>
      <vt:variant>
        <vt:lpwstr>http://www.nevo.co.il/law/70301/40i.a</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4915208</vt:i4>
      </vt:variant>
      <vt:variant>
        <vt:i4>15</vt:i4>
      </vt:variant>
      <vt:variant>
        <vt:i4>0</vt:i4>
      </vt:variant>
      <vt:variant>
        <vt:i4>5</vt:i4>
      </vt:variant>
      <vt:variant>
        <vt:lpwstr>http://www.nevo.co.il/law/70301/40i.a</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2025-04-22T20:24:00Z</dcterms:created>
  <dcterms:modified xsi:type="dcterms:W3CDTF">2025-04-22T20:24:00Z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40440</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סומפונג קנסרירט</vt:lpwstr>
  </property>
  <property fmtid="{D5CDD505-2E9C-101B-9397-08002B2CF9AE}" pid="10" name="LAWYER">
    <vt:lpwstr>שרה טל;איל שמחוני</vt:lpwstr>
  </property>
  <property fmtid="{D5CDD505-2E9C-101B-9397-08002B2CF9AE}" pid="11" name="JUDGE">
    <vt:lpwstr>מיכל ברנט</vt:lpwstr>
  </property>
  <property fmtid="{D5CDD505-2E9C-101B-9397-08002B2CF9AE}" pid="12" name="CITY">
    <vt:lpwstr>מרכז</vt:lpwstr>
  </property>
  <property fmtid="{D5CDD505-2E9C-101B-9397-08002B2CF9AE}" pid="13" name="DATE">
    <vt:lpwstr>20130625</vt:lpwstr>
  </property>
  <property fmtid="{D5CDD505-2E9C-101B-9397-08002B2CF9AE}" pid="14" name="TYPE_N_DATE">
    <vt:lpwstr>39020130625</vt:lpwstr>
  </property>
  <property fmtid="{D5CDD505-2E9C-101B-9397-08002B2CF9AE}" pid="15" name="WORDNUMPAGES">
    <vt:lpwstr>5</vt:lpwstr>
  </property>
  <property fmtid="{D5CDD505-2E9C-101B-9397-08002B2CF9AE}" pid="16" name="TYPE_ABS_DATE">
    <vt:lpwstr>390020130625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6030418;5590454;5573456</vt:lpwstr>
  </property>
  <property fmtid="{D5CDD505-2E9C-101B-9397-08002B2CF9AE}" pid="36" name="CASENOTES1">
    <vt:lpwstr>ProcID=213&amp;PartA=17&amp;PartC=16</vt:lpwstr>
  </property>
  <property fmtid="{D5CDD505-2E9C-101B-9397-08002B2CF9AE}" pid="37" name="LAWLISTTMP1">
    <vt:lpwstr>4216/013;019a</vt:lpwstr>
  </property>
  <property fmtid="{D5CDD505-2E9C-101B-9397-08002B2CF9AE}" pid="38" name="LAWLISTTMP2">
    <vt:lpwstr>70301/040i.a;040d.a</vt:lpwstr>
  </property>
</Properties>
</file>