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EB6B1A" w:rsidRPr="00364277" w14:paraId="70B83126" w14:textId="77777777">
        <w:trPr>
          <w:trHeight w:hRule="exact" w:val="418"/>
          <w:jc w:val="center"/>
        </w:trPr>
        <w:tc>
          <w:tcPr>
            <w:tcW w:w="8721" w:type="dxa"/>
            <w:gridSpan w:val="2"/>
          </w:tcPr>
          <w:p w14:paraId="06C6DCF1" w14:textId="77777777" w:rsidR="00BF4483" w:rsidRDefault="00BF4483">
            <w:pPr>
              <w:pStyle w:val="a3"/>
              <w:jc w:val="center"/>
              <w:rPr>
                <w:rFonts w:ascii="Tahoma" w:hAnsi="Tahoma" w:cs="Tahoma"/>
                <w:b/>
                <w:bCs/>
                <w:color w:val="000080"/>
                <w:rtl/>
              </w:rPr>
            </w:pPr>
          </w:p>
          <w:p w14:paraId="1616C32C" w14:textId="77777777" w:rsidR="00B05DAF" w:rsidRDefault="00B05DAF">
            <w:pPr>
              <w:pStyle w:val="a3"/>
              <w:jc w:val="center"/>
              <w:rPr>
                <w:rFonts w:ascii="Tahoma" w:hAnsi="Tahoma" w:cs="Tahoma"/>
                <w:b/>
                <w:bCs/>
                <w:color w:val="000080"/>
                <w:rtl/>
              </w:rPr>
            </w:pPr>
          </w:p>
          <w:p w14:paraId="024A3C9D" w14:textId="77777777" w:rsidR="00BF4483" w:rsidRDefault="00BF4483">
            <w:pPr>
              <w:pStyle w:val="a3"/>
              <w:jc w:val="center"/>
              <w:rPr>
                <w:rFonts w:ascii="Tahoma" w:hAnsi="Tahoma" w:cs="Tahoma"/>
                <w:rtl/>
              </w:rPr>
            </w:pPr>
            <w:bookmarkStart w:id="0" w:name="LawTable"/>
            <w:bookmarkEnd w:id="0"/>
          </w:p>
          <w:p w14:paraId="75040D67" w14:textId="77777777" w:rsidR="00BF4483" w:rsidRPr="00BF4483" w:rsidRDefault="00BF4483" w:rsidP="00BF4483">
            <w:pPr>
              <w:pStyle w:val="a3"/>
              <w:spacing w:after="120" w:line="240" w:lineRule="exact"/>
              <w:ind w:left="283" w:hanging="283"/>
              <w:jc w:val="both"/>
              <w:rPr>
                <w:rFonts w:ascii="FrankRuehl" w:hAnsi="FrankRuehl" w:cs="FrankRuehl"/>
                <w:rtl/>
              </w:rPr>
            </w:pPr>
          </w:p>
          <w:p w14:paraId="3783155E" w14:textId="77777777" w:rsidR="00BF4483" w:rsidRPr="00BF4483" w:rsidRDefault="00BF4483" w:rsidP="00BF4483">
            <w:pPr>
              <w:pStyle w:val="a3"/>
              <w:spacing w:after="120" w:line="240" w:lineRule="exact"/>
              <w:ind w:left="283" w:hanging="283"/>
              <w:jc w:val="both"/>
              <w:rPr>
                <w:rFonts w:ascii="FrankRuehl" w:hAnsi="FrankRuehl" w:cs="FrankRuehl"/>
                <w:rtl/>
              </w:rPr>
            </w:pPr>
            <w:r w:rsidRPr="00BF4483">
              <w:rPr>
                <w:rFonts w:ascii="FrankRuehl" w:hAnsi="FrankRuehl" w:cs="FrankRuehl"/>
                <w:rtl/>
              </w:rPr>
              <w:t xml:space="preserve">חקיקה שאוזכרה: </w:t>
            </w:r>
          </w:p>
          <w:p w14:paraId="3AD785C0" w14:textId="77777777" w:rsidR="00BF4483" w:rsidRPr="00BF4483" w:rsidRDefault="00BF4483" w:rsidP="00BF4483">
            <w:pPr>
              <w:pStyle w:val="a3"/>
              <w:spacing w:after="120" w:line="240" w:lineRule="exact"/>
              <w:ind w:left="283" w:hanging="283"/>
              <w:jc w:val="both"/>
              <w:rPr>
                <w:rFonts w:ascii="FrankRuehl" w:hAnsi="FrankRuehl" w:cs="FrankRuehl"/>
                <w:rtl/>
              </w:rPr>
            </w:pPr>
            <w:hyperlink r:id="rId6" w:history="1">
              <w:r w:rsidRPr="00BF4483">
                <w:rPr>
                  <w:rFonts w:ascii="FrankRuehl" w:hAnsi="FrankRuehl" w:cs="FrankRuehl"/>
                  <w:color w:val="0000FF"/>
                  <w:u w:val="single"/>
                  <w:rtl/>
                </w:rPr>
                <w:t>חוק העונשין, תשל"ז-1977</w:t>
              </w:r>
            </w:hyperlink>
            <w:r w:rsidRPr="00BF4483">
              <w:rPr>
                <w:rFonts w:ascii="FrankRuehl" w:hAnsi="FrankRuehl" w:cs="FrankRuehl"/>
                <w:rtl/>
              </w:rPr>
              <w:t xml:space="preserve">: סע'  </w:t>
            </w:r>
            <w:hyperlink r:id="rId7" w:history="1">
              <w:r w:rsidRPr="00BF4483">
                <w:rPr>
                  <w:rFonts w:ascii="FrankRuehl" w:hAnsi="FrankRuehl" w:cs="FrankRuehl"/>
                  <w:color w:val="0000FF"/>
                  <w:u w:val="single"/>
                  <w:rtl/>
                </w:rPr>
                <w:t>345(ב)(3)</w:t>
              </w:r>
            </w:hyperlink>
            <w:r w:rsidRPr="00BF4483">
              <w:rPr>
                <w:rFonts w:ascii="FrankRuehl" w:hAnsi="FrankRuehl" w:cs="FrankRuehl"/>
                <w:rtl/>
              </w:rPr>
              <w:t xml:space="preserve">, </w:t>
            </w:r>
            <w:hyperlink r:id="rId8" w:history="1">
              <w:r w:rsidRPr="00BF4483">
                <w:rPr>
                  <w:rFonts w:ascii="FrankRuehl" w:hAnsi="FrankRuehl" w:cs="FrankRuehl"/>
                  <w:color w:val="0000FF"/>
                  <w:u w:val="single"/>
                  <w:rtl/>
                </w:rPr>
                <w:t>348(ב)</w:t>
              </w:r>
            </w:hyperlink>
          </w:p>
          <w:p w14:paraId="7932DEFA" w14:textId="77777777" w:rsidR="00BF4483" w:rsidRPr="00BF4483" w:rsidRDefault="00BF4483" w:rsidP="00BF4483">
            <w:pPr>
              <w:pStyle w:val="a3"/>
              <w:spacing w:after="120" w:line="240" w:lineRule="exact"/>
              <w:ind w:left="283" w:hanging="283"/>
              <w:jc w:val="both"/>
              <w:rPr>
                <w:rFonts w:ascii="FrankRuehl" w:hAnsi="FrankRuehl" w:cs="FrankRuehl"/>
                <w:rtl/>
              </w:rPr>
            </w:pPr>
          </w:p>
          <w:p w14:paraId="2FA120EC" w14:textId="77777777" w:rsidR="00BF4483" w:rsidRPr="00BF4483" w:rsidRDefault="00BF4483">
            <w:pPr>
              <w:pStyle w:val="a3"/>
              <w:jc w:val="center"/>
              <w:rPr>
                <w:rFonts w:ascii="Tahoma" w:hAnsi="Tahoma" w:cs="Tahoma"/>
                <w:rtl/>
              </w:rPr>
            </w:pPr>
            <w:bookmarkStart w:id="1" w:name="LawTable_End"/>
            <w:bookmarkEnd w:id="1"/>
          </w:p>
          <w:p w14:paraId="5378BA33" w14:textId="77777777" w:rsidR="00B05DAF" w:rsidRPr="00B05DAF" w:rsidRDefault="00B05DAF">
            <w:pPr>
              <w:pStyle w:val="a3"/>
              <w:jc w:val="center"/>
              <w:rPr>
                <w:rFonts w:ascii="Tahoma" w:hAnsi="Tahoma" w:cs="Tahoma"/>
                <w:rtl/>
              </w:rPr>
            </w:pPr>
          </w:p>
          <w:p w14:paraId="598C26C5" w14:textId="77777777" w:rsidR="00EB6B1A" w:rsidRPr="00364277" w:rsidRDefault="00364277">
            <w:pPr>
              <w:pStyle w:val="a3"/>
              <w:jc w:val="center"/>
              <w:rPr>
                <w:rFonts w:ascii="Tahoma" w:hAnsi="Tahoma" w:cs="Tahoma"/>
                <w:color w:val="000080"/>
                <w:rtl/>
              </w:rPr>
            </w:pPr>
            <w:r w:rsidRPr="00364277">
              <w:rPr>
                <w:rFonts w:ascii="Tahoma" w:hAnsi="Tahoma" w:cs="Tahoma"/>
                <w:b/>
                <w:bCs/>
                <w:color w:val="000080"/>
                <w:rtl/>
              </w:rPr>
              <w:t>בית המשפט המחוזי בבאר שבע</w:t>
            </w:r>
          </w:p>
        </w:tc>
      </w:tr>
      <w:tr w:rsidR="00EB6B1A" w:rsidRPr="00364277" w14:paraId="53C97F20" w14:textId="77777777">
        <w:trPr>
          <w:trHeight w:val="337"/>
          <w:jc w:val="center"/>
        </w:trPr>
        <w:tc>
          <w:tcPr>
            <w:tcW w:w="5048" w:type="dxa"/>
          </w:tcPr>
          <w:p w14:paraId="654279FC" w14:textId="77777777" w:rsidR="00EB6B1A" w:rsidRPr="00364277" w:rsidRDefault="00364277">
            <w:pPr>
              <w:rPr>
                <w:rFonts w:ascii="Arial" w:hAnsi="Arial" w:cs="Arial"/>
                <w:b/>
                <w:bCs/>
              </w:rPr>
            </w:pPr>
            <w:r w:rsidRPr="00364277">
              <w:rPr>
                <w:rFonts w:ascii="Arial" w:hAnsi="Arial" w:cs="Arial"/>
                <w:b/>
                <w:bCs/>
                <w:rtl/>
              </w:rPr>
              <w:t>בפני:</w:t>
            </w:r>
            <w:r w:rsidRPr="00364277">
              <w:rPr>
                <w:rFonts w:cs="FrankRuehl" w:hint="cs"/>
                <w:sz w:val="28"/>
                <w:szCs w:val="28"/>
                <w:rtl/>
              </w:rPr>
              <w:t xml:space="preserve"> </w:t>
            </w:r>
            <w:r w:rsidRPr="00364277">
              <w:rPr>
                <w:rFonts w:ascii="Arial" w:hAnsi="Arial" w:cs="Arial"/>
                <w:b/>
                <w:bCs/>
                <w:rtl/>
              </w:rPr>
              <w:t>כב' ס. הנשיא השופטת ר. יפה-כ"ץ,</w:t>
            </w:r>
            <w:r w:rsidRPr="00364277">
              <w:rPr>
                <w:rFonts w:ascii="Arial" w:hAnsi="Arial" w:cs="Arial" w:hint="cs"/>
                <w:b/>
                <w:bCs/>
                <w:rtl/>
              </w:rPr>
              <w:t xml:space="preserve"> </w:t>
            </w:r>
            <w:r w:rsidRPr="00364277">
              <w:rPr>
                <w:rFonts w:ascii="Arial" w:hAnsi="Arial" w:cs="Arial"/>
                <w:b/>
                <w:bCs/>
                <w:rtl/>
              </w:rPr>
              <w:t>אב"ד</w:t>
            </w:r>
          </w:p>
          <w:p w14:paraId="424EAA10" w14:textId="77777777" w:rsidR="00EB6B1A" w:rsidRPr="00364277" w:rsidRDefault="00364277">
            <w:pPr>
              <w:rPr>
                <w:rFonts w:ascii="Arial" w:hAnsi="Arial" w:cs="Arial"/>
                <w:b/>
                <w:bCs/>
                <w:rtl/>
              </w:rPr>
            </w:pPr>
            <w:r w:rsidRPr="00364277">
              <w:rPr>
                <w:rFonts w:ascii="Arial" w:hAnsi="Arial" w:cs="Arial" w:hint="cs"/>
                <w:b/>
                <w:bCs/>
                <w:rtl/>
              </w:rPr>
              <w:t xml:space="preserve">         </w:t>
            </w:r>
            <w:r w:rsidRPr="00364277">
              <w:rPr>
                <w:rFonts w:ascii="Arial" w:hAnsi="Arial" w:cs="Arial"/>
                <w:b/>
                <w:bCs/>
                <w:rtl/>
              </w:rPr>
              <w:t>כב' השופט א. ואגו</w:t>
            </w:r>
          </w:p>
          <w:p w14:paraId="5EDF08C5" w14:textId="77777777" w:rsidR="00EB6B1A" w:rsidRPr="00364277" w:rsidRDefault="00364277">
            <w:pPr>
              <w:pStyle w:val="a3"/>
              <w:rPr>
                <w:rFonts w:cs="FrankRuehl"/>
                <w:sz w:val="28"/>
                <w:szCs w:val="28"/>
                <w:rtl/>
              </w:rPr>
            </w:pPr>
            <w:r w:rsidRPr="00364277">
              <w:rPr>
                <w:rFonts w:ascii="Arial" w:hAnsi="Arial" w:cs="Arial" w:hint="cs"/>
                <w:b/>
                <w:bCs/>
                <w:rtl/>
              </w:rPr>
              <w:t xml:space="preserve">         </w:t>
            </w:r>
            <w:r w:rsidRPr="00364277">
              <w:rPr>
                <w:rFonts w:ascii="Arial" w:hAnsi="Arial" w:cs="Arial"/>
                <w:b/>
                <w:bCs/>
                <w:rtl/>
              </w:rPr>
              <w:t>כב' השופט י. צלקובניק</w:t>
            </w:r>
          </w:p>
        </w:tc>
        <w:tc>
          <w:tcPr>
            <w:tcW w:w="3673" w:type="dxa"/>
          </w:tcPr>
          <w:p w14:paraId="2D60490E" w14:textId="77777777" w:rsidR="00EB6B1A" w:rsidRPr="00364277" w:rsidRDefault="00364277">
            <w:pPr>
              <w:jc w:val="right"/>
              <w:rPr>
                <w:rFonts w:ascii="Arial" w:hAnsi="Arial" w:cs="Arial"/>
                <w:b/>
                <w:bCs/>
                <w:rtl/>
              </w:rPr>
            </w:pPr>
            <w:r w:rsidRPr="00364277">
              <w:rPr>
                <w:rFonts w:ascii="Arial" w:hAnsi="Arial" w:cs="Arial"/>
                <w:b/>
                <w:bCs/>
                <w:rtl/>
              </w:rPr>
              <w:t xml:space="preserve">תפ"ח 29984-11-12 </w:t>
            </w:r>
          </w:p>
          <w:p w14:paraId="61DF6F9B" w14:textId="77777777" w:rsidR="00EB6B1A" w:rsidRPr="00364277" w:rsidRDefault="00EB6B1A">
            <w:pPr>
              <w:pStyle w:val="a3"/>
              <w:jc w:val="right"/>
              <w:rPr>
                <w:rFonts w:ascii="Arial" w:hAnsi="Arial" w:cs="Arial"/>
                <w:b/>
                <w:bCs/>
                <w:rtl/>
              </w:rPr>
            </w:pPr>
          </w:p>
        </w:tc>
      </w:tr>
    </w:tbl>
    <w:p w14:paraId="741EC517" w14:textId="77777777" w:rsidR="00EB6B1A" w:rsidRPr="00364277" w:rsidRDefault="00364277">
      <w:pPr>
        <w:pStyle w:val="a3"/>
        <w:rPr>
          <w:sz w:val="16"/>
          <w:szCs w:val="16"/>
        </w:rPr>
      </w:pPr>
      <w:bookmarkStart w:id="2" w:name="LastJudge"/>
      <w:bookmarkEnd w:id="2"/>
      <w:r w:rsidRPr="00364277">
        <w:rPr>
          <w:rFonts w:hint="cs"/>
          <w:rtl/>
        </w:rPr>
        <w:t xml:space="preserve"> </w:t>
      </w:r>
    </w:p>
    <w:p w14:paraId="5B7BF4B8" w14:textId="77777777" w:rsidR="00EB6B1A" w:rsidRPr="00364277" w:rsidRDefault="00EB6B1A">
      <w:pPr>
        <w:jc w:val="both"/>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120"/>
        <w:gridCol w:w="1777"/>
      </w:tblGrid>
      <w:tr w:rsidR="00EB6B1A" w:rsidRPr="00364277" w14:paraId="067E6724" w14:textId="77777777">
        <w:trPr>
          <w:trHeight w:val="295"/>
          <w:jc w:val="center"/>
        </w:trPr>
        <w:tc>
          <w:tcPr>
            <w:tcW w:w="923" w:type="dxa"/>
            <w:tcBorders>
              <w:top w:val="nil"/>
              <w:left w:val="nil"/>
              <w:bottom w:val="nil"/>
              <w:right w:val="nil"/>
            </w:tcBorders>
          </w:tcPr>
          <w:p w14:paraId="3D68304E" w14:textId="77777777" w:rsidR="00EB6B1A" w:rsidRPr="00364277" w:rsidRDefault="00364277">
            <w:pPr>
              <w:jc w:val="both"/>
              <w:rPr>
                <w:rFonts w:ascii="Arial" w:hAnsi="Arial" w:cs="Arial"/>
                <w:b/>
                <w:bCs/>
              </w:rPr>
            </w:pPr>
            <w:bookmarkStart w:id="3" w:name="_GoBack"/>
            <w:bookmarkStart w:id="4" w:name="FirstAppellant"/>
            <w:bookmarkEnd w:id="3"/>
            <w:r w:rsidRPr="00364277">
              <w:rPr>
                <w:rFonts w:ascii="Arial" w:hAnsi="Arial" w:cs="Arial"/>
                <w:b/>
                <w:bCs/>
                <w:rtl/>
              </w:rPr>
              <w:t>בעניין:</w:t>
            </w:r>
          </w:p>
        </w:tc>
        <w:tc>
          <w:tcPr>
            <w:tcW w:w="7897" w:type="dxa"/>
            <w:gridSpan w:val="2"/>
            <w:tcBorders>
              <w:top w:val="nil"/>
              <w:left w:val="nil"/>
              <w:bottom w:val="nil"/>
              <w:right w:val="nil"/>
            </w:tcBorders>
          </w:tcPr>
          <w:p w14:paraId="6111E4AB" w14:textId="77777777" w:rsidR="00EB6B1A" w:rsidRPr="00364277" w:rsidRDefault="00364277">
            <w:pPr>
              <w:jc w:val="both"/>
              <w:rPr>
                <w:rFonts w:ascii="Arial" w:hAnsi="Arial" w:cs="Arial"/>
                <w:b/>
                <w:bCs/>
              </w:rPr>
            </w:pPr>
            <w:r w:rsidRPr="00364277">
              <w:rPr>
                <w:rFonts w:ascii="Arial" w:hAnsi="Arial" w:cs="Arial"/>
                <w:b/>
                <w:bCs/>
                <w:rtl/>
              </w:rPr>
              <w:t>מדינת ישראל</w:t>
            </w:r>
          </w:p>
        </w:tc>
      </w:tr>
      <w:tr w:rsidR="00EB6B1A" w:rsidRPr="00364277" w14:paraId="018AB92C" w14:textId="77777777">
        <w:trPr>
          <w:trHeight w:val="355"/>
          <w:jc w:val="center"/>
        </w:trPr>
        <w:tc>
          <w:tcPr>
            <w:tcW w:w="923" w:type="dxa"/>
            <w:tcBorders>
              <w:top w:val="nil"/>
              <w:left w:val="nil"/>
              <w:bottom w:val="nil"/>
              <w:right w:val="nil"/>
            </w:tcBorders>
          </w:tcPr>
          <w:p w14:paraId="3A477C96" w14:textId="77777777" w:rsidR="00EB6B1A" w:rsidRPr="00364277" w:rsidRDefault="00EB6B1A">
            <w:pPr>
              <w:jc w:val="both"/>
              <w:rPr>
                <w:rFonts w:ascii="Arial" w:hAnsi="Arial" w:cs="Arial"/>
                <w:rtl/>
              </w:rPr>
            </w:pPr>
            <w:bookmarkStart w:id="5" w:name="FirstLawyer"/>
            <w:bookmarkEnd w:id="4"/>
          </w:p>
        </w:tc>
        <w:tc>
          <w:tcPr>
            <w:tcW w:w="6120" w:type="dxa"/>
            <w:tcBorders>
              <w:top w:val="nil"/>
              <w:left w:val="nil"/>
              <w:bottom w:val="nil"/>
              <w:right w:val="nil"/>
            </w:tcBorders>
          </w:tcPr>
          <w:p w14:paraId="63835C49" w14:textId="77777777" w:rsidR="00EB6B1A" w:rsidRPr="00364277" w:rsidRDefault="00364277">
            <w:pPr>
              <w:rPr>
                <w:rFonts w:ascii="Arial" w:hAnsi="Arial" w:cs="Arial"/>
                <w:b/>
                <w:bCs/>
              </w:rPr>
            </w:pPr>
            <w:r w:rsidRPr="00364277">
              <w:rPr>
                <w:rFonts w:ascii="Arial" w:hAnsi="Arial" w:cs="Arial" w:hint="cs"/>
                <w:b/>
                <w:bCs/>
                <w:rtl/>
              </w:rPr>
              <w:t xml:space="preserve">  ע"י ב"כ</w:t>
            </w:r>
            <w:r w:rsidRPr="00364277">
              <w:rPr>
                <w:rFonts w:ascii="Arial" w:hAnsi="Arial" w:cs="Arial"/>
                <w:b/>
                <w:bCs/>
                <w:rtl/>
              </w:rPr>
              <w:t xml:space="preserve"> עו"ד </w:t>
            </w:r>
            <w:r w:rsidRPr="00364277">
              <w:rPr>
                <w:rFonts w:ascii="Arial" w:hAnsi="Arial" w:cs="Arial" w:hint="cs"/>
                <w:b/>
                <w:bCs/>
                <w:rtl/>
              </w:rPr>
              <w:t>ס. דהן, פמ"ד</w:t>
            </w:r>
          </w:p>
          <w:p w14:paraId="41783589" w14:textId="77777777" w:rsidR="00EB6B1A" w:rsidRPr="00364277" w:rsidRDefault="00EB6B1A">
            <w:pPr>
              <w:jc w:val="both"/>
              <w:rPr>
                <w:rFonts w:ascii="Arial" w:hAnsi="Arial" w:cs="Arial"/>
                <w:rtl/>
              </w:rPr>
            </w:pPr>
          </w:p>
        </w:tc>
        <w:tc>
          <w:tcPr>
            <w:tcW w:w="1777" w:type="dxa"/>
            <w:tcBorders>
              <w:top w:val="nil"/>
              <w:left w:val="nil"/>
              <w:bottom w:val="nil"/>
              <w:right w:val="nil"/>
            </w:tcBorders>
          </w:tcPr>
          <w:p w14:paraId="3BAA9A84" w14:textId="77777777" w:rsidR="00EB6B1A" w:rsidRPr="00364277" w:rsidRDefault="00EB6B1A">
            <w:pPr>
              <w:jc w:val="both"/>
              <w:rPr>
                <w:rFonts w:ascii="Arial" w:hAnsi="Arial" w:cs="Arial"/>
                <w:b/>
                <w:bCs/>
                <w:rtl/>
              </w:rPr>
            </w:pPr>
          </w:p>
          <w:p w14:paraId="1AF69A50" w14:textId="77777777" w:rsidR="00EB6B1A" w:rsidRPr="00364277" w:rsidRDefault="00364277">
            <w:pPr>
              <w:jc w:val="both"/>
              <w:rPr>
                <w:rFonts w:ascii="Arial" w:hAnsi="Arial" w:cs="Arial"/>
                <w:b/>
                <w:bCs/>
              </w:rPr>
            </w:pPr>
            <w:r w:rsidRPr="00364277">
              <w:rPr>
                <w:rFonts w:ascii="Arial" w:hAnsi="Arial" w:cs="Arial" w:hint="cs"/>
                <w:b/>
                <w:bCs/>
                <w:rtl/>
              </w:rPr>
              <w:t>המאשימה</w:t>
            </w:r>
          </w:p>
        </w:tc>
      </w:tr>
      <w:bookmarkEnd w:id="5"/>
      <w:tr w:rsidR="00EB6B1A" w:rsidRPr="00364277" w14:paraId="797C1AC7" w14:textId="77777777">
        <w:trPr>
          <w:trHeight w:val="355"/>
          <w:jc w:val="center"/>
        </w:trPr>
        <w:tc>
          <w:tcPr>
            <w:tcW w:w="923" w:type="dxa"/>
            <w:tcBorders>
              <w:top w:val="nil"/>
              <w:left w:val="nil"/>
              <w:bottom w:val="nil"/>
              <w:right w:val="nil"/>
            </w:tcBorders>
          </w:tcPr>
          <w:p w14:paraId="41EE72C0" w14:textId="77777777" w:rsidR="00EB6B1A" w:rsidRPr="00364277" w:rsidRDefault="00EB6B1A">
            <w:pPr>
              <w:jc w:val="both"/>
              <w:rPr>
                <w:rFonts w:ascii="Arial" w:hAnsi="Arial" w:cs="Arial"/>
                <w:rtl/>
              </w:rPr>
            </w:pPr>
          </w:p>
        </w:tc>
        <w:tc>
          <w:tcPr>
            <w:tcW w:w="6120" w:type="dxa"/>
            <w:tcBorders>
              <w:top w:val="nil"/>
              <w:left w:val="nil"/>
              <w:bottom w:val="nil"/>
              <w:right w:val="nil"/>
            </w:tcBorders>
          </w:tcPr>
          <w:p w14:paraId="73B4F834" w14:textId="77777777" w:rsidR="00EB6B1A" w:rsidRPr="00364277" w:rsidRDefault="00EB6B1A">
            <w:pPr>
              <w:jc w:val="center"/>
              <w:rPr>
                <w:rFonts w:ascii="Arial" w:hAnsi="Arial" w:cs="Arial"/>
                <w:b/>
                <w:bCs/>
                <w:rtl/>
              </w:rPr>
            </w:pPr>
          </w:p>
          <w:p w14:paraId="00A2E100" w14:textId="77777777" w:rsidR="00EB6B1A" w:rsidRPr="00364277" w:rsidRDefault="00364277">
            <w:pPr>
              <w:jc w:val="center"/>
              <w:rPr>
                <w:rFonts w:ascii="Arial" w:hAnsi="Arial" w:cs="Arial"/>
                <w:b/>
                <w:bCs/>
                <w:rtl/>
              </w:rPr>
            </w:pPr>
            <w:r w:rsidRPr="00364277">
              <w:rPr>
                <w:rFonts w:ascii="Arial" w:hAnsi="Arial" w:cs="Arial"/>
                <w:b/>
                <w:bCs/>
                <w:rtl/>
              </w:rPr>
              <w:t>נגד</w:t>
            </w:r>
          </w:p>
          <w:p w14:paraId="039E6517" w14:textId="77777777" w:rsidR="00EB6B1A" w:rsidRPr="00364277" w:rsidRDefault="00EB6B1A">
            <w:pPr>
              <w:jc w:val="both"/>
              <w:rPr>
                <w:rFonts w:ascii="Arial" w:hAnsi="Arial" w:cs="Arial"/>
              </w:rPr>
            </w:pPr>
          </w:p>
        </w:tc>
        <w:tc>
          <w:tcPr>
            <w:tcW w:w="1777" w:type="dxa"/>
            <w:tcBorders>
              <w:top w:val="nil"/>
              <w:left w:val="nil"/>
              <w:bottom w:val="nil"/>
              <w:right w:val="nil"/>
            </w:tcBorders>
          </w:tcPr>
          <w:p w14:paraId="6E98DDA6" w14:textId="77777777" w:rsidR="00EB6B1A" w:rsidRPr="00364277" w:rsidRDefault="00EB6B1A">
            <w:pPr>
              <w:jc w:val="right"/>
              <w:rPr>
                <w:rFonts w:ascii="Arial" w:hAnsi="Arial" w:cs="Arial"/>
                <w:rtl/>
              </w:rPr>
            </w:pPr>
          </w:p>
        </w:tc>
      </w:tr>
      <w:tr w:rsidR="00EB6B1A" w:rsidRPr="00364277" w14:paraId="64A49122" w14:textId="77777777">
        <w:trPr>
          <w:trHeight w:val="355"/>
          <w:jc w:val="center"/>
        </w:trPr>
        <w:tc>
          <w:tcPr>
            <w:tcW w:w="923" w:type="dxa"/>
            <w:tcBorders>
              <w:top w:val="nil"/>
              <w:left w:val="nil"/>
              <w:bottom w:val="nil"/>
              <w:right w:val="nil"/>
            </w:tcBorders>
          </w:tcPr>
          <w:p w14:paraId="291C2D6B" w14:textId="77777777" w:rsidR="00EB6B1A" w:rsidRPr="00364277" w:rsidRDefault="00EB6B1A">
            <w:pPr>
              <w:jc w:val="both"/>
              <w:rPr>
                <w:rFonts w:ascii="Arial" w:hAnsi="Arial" w:cs="Arial"/>
                <w:rtl/>
              </w:rPr>
            </w:pPr>
          </w:p>
        </w:tc>
        <w:tc>
          <w:tcPr>
            <w:tcW w:w="7897" w:type="dxa"/>
            <w:gridSpan w:val="2"/>
            <w:tcBorders>
              <w:top w:val="nil"/>
              <w:left w:val="nil"/>
              <w:bottom w:val="nil"/>
              <w:right w:val="nil"/>
            </w:tcBorders>
          </w:tcPr>
          <w:p w14:paraId="390735B7" w14:textId="77777777" w:rsidR="00EB6B1A" w:rsidRPr="00364277" w:rsidRDefault="00364277">
            <w:pPr>
              <w:jc w:val="both"/>
              <w:rPr>
                <w:rFonts w:ascii="Arial" w:hAnsi="Arial" w:cs="Arial"/>
                <w:b/>
                <w:bCs/>
                <w:rtl/>
              </w:rPr>
            </w:pPr>
            <w:r w:rsidRPr="00364277">
              <w:rPr>
                <w:rFonts w:ascii="Arial" w:hAnsi="Arial" w:cs="Arial"/>
                <w:b/>
                <w:bCs/>
                <w:rtl/>
              </w:rPr>
              <w:t>שלומי אברזיל</w:t>
            </w:r>
            <w:r w:rsidRPr="00364277">
              <w:rPr>
                <w:rFonts w:ascii="Arial" w:hAnsi="Arial" w:cs="Arial" w:hint="cs"/>
                <w:b/>
                <w:bCs/>
                <w:rtl/>
              </w:rPr>
              <w:t xml:space="preserve">, </w:t>
            </w:r>
            <w:r w:rsidRPr="00364277">
              <w:rPr>
                <w:rFonts w:ascii="Arial" w:hAnsi="Arial" w:cs="Arial"/>
                <w:b/>
                <w:bCs/>
                <w:rtl/>
              </w:rPr>
              <w:t>ת.ז.</w:t>
            </w:r>
            <w:r w:rsidRPr="00364277">
              <w:rPr>
                <w:rFonts w:ascii="Arial" w:hAnsi="Arial" w:cs="Arial" w:hint="cs"/>
                <w:b/>
                <w:bCs/>
                <w:rtl/>
              </w:rPr>
              <w:t xml:space="preserve"> </w:t>
            </w:r>
            <w:r w:rsidRPr="00364277">
              <w:rPr>
                <w:rFonts w:ascii="Arial" w:hAnsi="Arial" w:cs="Arial"/>
                <w:b/>
                <w:bCs/>
                <w:rtl/>
              </w:rPr>
              <w:t>025416512</w:t>
            </w:r>
          </w:p>
        </w:tc>
      </w:tr>
      <w:tr w:rsidR="00EB6B1A" w:rsidRPr="00364277" w14:paraId="351DB0AA" w14:textId="77777777">
        <w:trPr>
          <w:trHeight w:val="355"/>
          <w:jc w:val="center"/>
        </w:trPr>
        <w:tc>
          <w:tcPr>
            <w:tcW w:w="923" w:type="dxa"/>
            <w:tcBorders>
              <w:top w:val="nil"/>
              <w:left w:val="nil"/>
              <w:bottom w:val="nil"/>
              <w:right w:val="nil"/>
            </w:tcBorders>
          </w:tcPr>
          <w:p w14:paraId="1860B586" w14:textId="77777777" w:rsidR="00EB6B1A" w:rsidRPr="00364277" w:rsidRDefault="00EB6B1A">
            <w:pPr>
              <w:jc w:val="both"/>
              <w:rPr>
                <w:rFonts w:ascii="Arial" w:hAnsi="Arial" w:cs="Arial"/>
                <w:rtl/>
              </w:rPr>
            </w:pPr>
          </w:p>
        </w:tc>
        <w:tc>
          <w:tcPr>
            <w:tcW w:w="6120" w:type="dxa"/>
            <w:tcBorders>
              <w:top w:val="nil"/>
              <w:left w:val="nil"/>
              <w:bottom w:val="nil"/>
              <w:right w:val="nil"/>
            </w:tcBorders>
          </w:tcPr>
          <w:p w14:paraId="512085EF" w14:textId="77777777" w:rsidR="00EB6B1A" w:rsidRPr="00364277" w:rsidRDefault="00364277">
            <w:pPr>
              <w:ind w:left="720" w:hanging="720"/>
              <w:jc w:val="both"/>
              <w:rPr>
                <w:rFonts w:ascii="Arial" w:hAnsi="Arial" w:cs="Arial"/>
                <w:rtl/>
              </w:rPr>
            </w:pPr>
            <w:r w:rsidRPr="00364277">
              <w:rPr>
                <w:rFonts w:ascii="Arial" w:hAnsi="Arial" w:cs="Arial" w:hint="cs"/>
                <w:b/>
                <w:bCs/>
                <w:rtl/>
              </w:rPr>
              <w:t xml:space="preserve">  ע"י ב"כ </w:t>
            </w:r>
            <w:r w:rsidRPr="00364277">
              <w:rPr>
                <w:rFonts w:ascii="Arial" w:hAnsi="Arial" w:cs="Arial"/>
                <w:b/>
                <w:bCs/>
                <w:rtl/>
              </w:rPr>
              <w:t>עו"ד</w:t>
            </w:r>
            <w:r w:rsidRPr="00364277">
              <w:rPr>
                <w:rFonts w:ascii="Arial" w:hAnsi="Arial" w:cs="Arial" w:hint="cs"/>
                <w:rtl/>
              </w:rPr>
              <w:t xml:space="preserve"> </w:t>
            </w:r>
            <w:r w:rsidRPr="00364277">
              <w:rPr>
                <w:rFonts w:ascii="Arial" w:hAnsi="Arial" w:cs="Arial" w:hint="cs"/>
                <w:b/>
                <w:bCs/>
                <w:rtl/>
              </w:rPr>
              <w:t>ת. אורינוב</w:t>
            </w:r>
          </w:p>
        </w:tc>
        <w:tc>
          <w:tcPr>
            <w:tcW w:w="1777" w:type="dxa"/>
            <w:tcBorders>
              <w:top w:val="nil"/>
              <w:left w:val="nil"/>
              <w:bottom w:val="nil"/>
              <w:right w:val="nil"/>
            </w:tcBorders>
          </w:tcPr>
          <w:p w14:paraId="67BEFAC3" w14:textId="77777777" w:rsidR="00EB6B1A" w:rsidRPr="00364277" w:rsidRDefault="00EB6B1A">
            <w:pPr>
              <w:rPr>
                <w:rFonts w:ascii="Arial" w:hAnsi="Arial" w:cs="Arial"/>
                <w:b/>
                <w:bCs/>
                <w:rtl/>
              </w:rPr>
            </w:pPr>
          </w:p>
          <w:p w14:paraId="24A6FBFC" w14:textId="77777777" w:rsidR="00EB6B1A" w:rsidRPr="00364277" w:rsidRDefault="00364277">
            <w:pPr>
              <w:rPr>
                <w:rFonts w:ascii="Arial" w:hAnsi="Arial" w:cs="Arial"/>
              </w:rPr>
            </w:pPr>
            <w:r w:rsidRPr="00364277">
              <w:rPr>
                <w:rFonts w:ascii="Arial" w:hAnsi="Arial" w:cs="Arial"/>
                <w:b/>
                <w:bCs/>
                <w:rtl/>
              </w:rPr>
              <w:t>הנאשם</w:t>
            </w:r>
          </w:p>
        </w:tc>
      </w:tr>
      <w:tr w:rsidR="00EB6B1A" w:rsidRPr="00364277" w14:paraId="6C4CB9FE" w14:textId="77777777">
        <w:trPr>
          <w:trHeight w:val="355"/>
          <w:jc w:val="center"/>
        </w:trPr>
        <w:tc>
          <w:tcPr>
            <w:tcW w:w="923" w:type="dxa"/>
            <w:tcBorders>
              <w:top w:val="nil"/>
              <w:left w:val="nil"/>
              <w:bottom w:val="nil"/>
              <w:right w:val="nil"/>
            </w:tcBorders>
          </w:tcPr>
          <w:p w14:paraId="4F0F337D" w14:textId="77777777" w:rsidR="00EB6B1A" w:rsidRPr="00364277" w:rsidRDefault="00EB6B1A">
            <w:pPr>
              <w:jc w:val="both"/>
              <w:rPr>
                <w:rFonts w:ascii="Arial" w:hAnsi="Arial" w:cs="Arial"/>
                <w:rtl/>
              </w:rPr>
            </w:pPr>
          </w:p>
        </w:tc>
        <w:tc>
          <w:tcPr>
            <w:tcW w:w="6120" w:type="dxa"/>
            <w:tcBorders>
              <w:top w:val="nil"/>
              <w:left w:val="nil"/>
              <w:bottom w:val="nil"/>
              <w:right w:val="nil"/>
            </w:tcBorders>
          </w:tcPr>
          <w:p w14:paraId="15371210" w14:textId="77777777" w:rsidR="00EB6B1A" w:rsidRPr="00364277" w:rsidRDefault="00EB6B1A">
            <w:pPr>
              <w:jc w:val="both"/>
              <w:rPr>
                <w:rFonts w:ascii="Arial" w:hAnsi="Arial" w:cs="Arial"/>
                <w:rtl/>
              </w:rPr>
            </w:pPr>
          </w:p>
        </w:tc>
        <w:tc>
          <w:tcPr>
            <w:tcW w:w="1777" w:type="dxa"/>
            <w:tcBorders>
              <w:top w:val="nil"/>
              <w:left w:val="nil"/>
              <w:bottom w:val="nil"/>
              <w:right w:val="nil"/>
            </w:tcBorders>
          </w:tcPr>
          <w:p w14:paraId="7CBCA682" w14:textId="77777777" w:rsidR="00EB6B1A" w:rsidRPr="00364277" w:rsidRDefault="00EB6B1A">
            <w:pPr>
              <w:jc w:val="right"/>
              <w:rPr>
                <w:rFonts w:ascii="Arial" w:hAnsi="Arial" w:cs="Arial"/>
              </w:rPr>
            </w:pPr>
          </w:p>
        </w:tc>
      </w:tr>
      <w:tr w:rsidR="00EB6B1A" w:rsidRPr="00364277" w14:paraId="414094B6" w14:textId="77777777">
        <w:trPr>
          <w:trHeight w:val="355"/>
          <w:jc w:val="center"/>
        </w:trPr>
        <w:tc>
          <w:tcPr>
            <w:tcW w:w="8820" w:type="dxa"/>
            <w:gridSpan w:val="3"/>
            <w:tcBorders>
              <w:top w:val="nil"/>
              <w:left w:val="nil"/>
              <w:bottom w:val="nil"/>
              <w:right w:val="nil"/>
            </w:tcBorders>
          </w:tcPr>
          <w:p w14:paraId="56882D59" w14:textId="77777777" w:rsidR="00EB6B1A" w:rsidRPr="00364277" w:rsidRDefault="00364277">
            <w:pPr>
              <w:jc w:val="center"/>
              <w:rPr>
                <w:rFonts w:ascii="Arial" w:hAnsi="Arial" w:cs="Arial"/>
                <w:sz w:val="28"/>
                <w:szCs w:val="28"/>
                <w:rtl/>
              </w:rPr>
            </w:pPr>
            <w:bookmarkStart w:id="6" w:name="PsakDin"/>
            <w:r w:rsidRPr="00364277">
              <w:rPr>
                <w:rFonts w:ascii="Arial" w:hAnsi="Arial" w:cs="Arial"/>
                <w:b/>
                <w:bCs/>
                <w:sz w:val="28"/>
                <w:szCs w:val="28"/>
                <w:rtl/>
              </w:rPr>
              <w:t>ג</w:t>
            </w:r>
            <w:r w:rsidRPr="00364277">
              <w:rPr>
                <w:rFonts w:ascii="Arial" w:hAnsi="Arial" w:cs="Arial" w:hint="cs"/>
                <w:b/>
                <w:bCs/>
                <w:sz w:val="28"/>
                <w:szCs w:val="28"/>
                <w:rtl/>
              </w:rPr>
              <w:t xml:space="preserve"> </w:t>
            </w:r>
            <w:r w:rsidRPr="00364277">
              <w:rPr>
                <w:rFonts w:ascii="Arial" w:hAnsi="Arial" w:cs="Arial"/>
                <w:b/>
                <w:bCs/>
                <w:sz w:val="28"/>
                <w:szCs w:val="28"/>
                <w:rtl/>
              </w:rPr>
              <w:t>ז</w:t>
            </w:r>
            <w:r w:rsidRPr="00364277">
              <w:rPr>
                <w:rFonts w:ascii="Arial" w:hAnsi="Arial" w:cs="Arial" w:hint="cs"/>
                <w:b/>
                <w:bCs/>
                <w:sz w:val="28"/>
                <w:szCs w:val="28"/>
                <w:rtl/>
              </w:rPr>
              <w:t xml:space="preserve"> </w:t>
            </w:r>
            <w:r w:rsidRPr="00364277">
              <w:rPr>
                <w:rFonts w:ascii="Arial" w:hAnsi="Arial" w:cs="Arial"/>
                <w:b/>
                <w:bCs/>
                <w:sz w:val="28"/>
                <w:szCs w:val="28"/>
                <w:rtl/>
              </w:rPr>
              <w:t xml:space="preserve">ר </w:t>
            </w:r>
            <w:r w:rsidRPr="00364277">
              <w:rPr>
                <w:rFonts w:ascii="Arial" w:hAnsi="Arial" w:cs="Arial" w:hint="cs"/>
                <w:b/>
                <w:bCs/>
                <w:sz w:val="28"/>
                <w:szCs w:val="28"/>
                <w:rtl/>
              </w:rPr>
              <w:t xml:space="preserve">  -   </w:t>
            </w:r>
            <w:r w:rsidRPr="00364277">
              <w:rPr>
                <w:rFonts w:ascii="Arial" w:hAnsi="Arial" w:cs="Arial"/>
                <w:b/>
                <w:bCs/>
                <w:sz w:val="28"/>
                <w:szCs w:val="28"/>
                <w:rtl/>
              </w:rPr>
              <w:t>ד</w:t>
            </w:r>
            <w:r w:rsidRPr="00364277">
              <w:rPr>
                <w:rFonts w:ascii="Arial" w:hAnsi="Arial" w:cs="Arial" w:hint="cs"/>
                <w:b/>
                <w:bCs/>
                <w:sz w:val="28"/>
                <w:szCs w:val="28"/>
                <w:rtl/>
              </w:rPr>
              <w:t xml:space="preserve"> </w:t>
            </w:r>
            <w:r w:rsidRPr="00364277">
              <w:rPr>
                <w:rFonts w:ascii="Arial" w:hAnsi="Arial" w:cs="Arial"/>
                <w:b/>
                <w:bCs/>
                <w:sz w:val="28"/>
                <w:szCs w:val="28"/>
                <w:rtl/>
              </w:rPr>
              <w:t>י</w:t>
            </w:r>
            <w:r w:rsidRPr="00364277">
              <w:rPr>
                <w:rFonts w:ascii="Arial" w:hAnsi="Arial" w:cs="Arial" w:hint="cs"/>
                <w:b/>
                <w:bCs/>
                <w:sz w:val="28"/>
                <w:szCs w:val="28"/>
                <w:rtl/>
              </w:rPr>
              <w:t xml:space="preserve"> </w:t>
            </w:r>
            <w:r w:rsidRPr="00364277">
              <w:rPr>
                <w:rFonts w:ascii="Arial" w:hAnsi="Arial" w:cs="Arial"/>
                <w:b/>
                <w:bCs/>
                <w:sz w:val="28"/>
                <w:szCs w:val="28"/>
                <w:rtl/>
              </w:rPr>
              <w:t>ן</w:t>
            </w:r>
            <w:bookmarkEnd w:id="6"/>
            <w:r w:rsidR="00A00CA5">
              <w:rPr>
                <w:rFonts w:ascii="Arial" w:hAnsi="Arial" w:cs="Arial" w:hint="cs"/>
                <w:sz w:val="28"/>
                <w:szCs w:val="28"/>
                <w:rtl/>
              </w:rPr>
              <w:t xml:space="preserve"> </w:t>
            </w:r>
          </w:p>
        </w:tc>
      </w:tr>
    </w:tbl>
    <w:p w14:paraId="6595DABD" w14:textId="77777777" w:rsidR="00EB6B1A" w:rsidRPr="00364277" w:rsidRDefault="00EB6B1A">
      <w:pPr>
        <w:jc w:val="both"/>
        <w:rPr>
          <w:rFonts w:ascii="Arial" w:hAnsi="Arial" w:cs="Arial"/>
          <w:rtl/>
        </w:rPr>
      </w:pPr>
    </w:p>
    <w:p w14:paraId="40F56F95" w14:textId="77777777" w:rsidR="00EB6B1A" w:rsidRPr="00364277" w:rsidRDefault="00364277">
      <w:pPr>
        <w:spacing w:line="360" w:lineRule="auto"/>
        <w:jc w:val="both"/>
        <w:rPr>
          <w:rFonts w:ascii="Arial" w:hAnsi="Arial" w:cs="Arial"/>
          <w:rtl/>
        </w:rPr>
      </w:pPr>
      <w:r w:rsidRPr="00364277">
        <w:rPr>
          <w:rFonts w:ascii="Arial" w:hAnsi="Arial" w:cs="Arial" w:hint="cs"/>
          <w:b/>
          <w:bCs/>
          <w:rtl/>
        </w:rPr>
        <w:t>ס. הנשיא רויטל יפה-כ"ץ, אב"ד</w:t>
      </w:r>
      <w:r w:rsidRPr="00364277">
        <w:rPr>
          <w:rFonts w:ascii="Arial" w:hAnsi="Arial" w:cs="Arial" w:hint="cs"/>
          <w:rtl/>
        </w:rPr>
        <w:t>:</w:t>
      </w:r>
    </w:p>
    <w:p w14:paraId="22C688B0" w14:textId="77777777" w:rsidR="00EB6B1A" w:rsidRPr="00364277" w:rsidRDefault="00364277">
      <w:pPr>
        <w:spacing w:line="360" w:lineRule="auto"/>
        <w:ind w:left="720" w:hanging="720"/>
        <w:jc w:val="both"/>
        <w:rPr>
          <w:rFonts w:ascii="Arial" w:hAnsi="Arial" w:cs="Arial"/>
          <w:rtl/>
        </w:rPr>
      </w:pPr>
      <w:r w:rsidRPr="00364277">
        <w:rPr>
          <w:rFonts w:ascii="Arial" w:hAnsi="Arial" w:cs="Arial" w:hint="cs"/>
          <w:rtl/>
        </w:rPr>
        <w:t>1.</w:t>
      </w:r>
      <w:r w:rsidRPr="00364277">
        <w:rPr>
          <w:rFonts w:ascii="Arial" w:hAnsi="Arial" w:cs="Arial" w:hint="cs"/>
          <w:rtl/>
        </w:rPr>
        <w:tab/>
      </w:r>
      <w:bookmarkStart w:id="7" w:name="ABSTRACT_START"/>
      <w:bookmarkEnd w:id="7"/>
      <w:r w:rsidRPr="00364277">
        <w:rPr>
          <w:rFonts w:ascii="Arial" w:hAnsi="Arial" w:cs="Arial" w:hint="cs"/>
          <w:rtl/>
        </w:rPr>
        <w:t xml:space="preserve">במסגרת הסדר טיעון שנערך בין הצדדים, שכלל אך הסכמה בדבר תיקון כתב האישום בלא הסכמה לעניין העונש, תוקן כתב האישום המקורי שהוגש כנגד הנאשם, הוא הודה בעובדות שבכתב האישום המתוקן, ובהתאם, הורשע בעבירה של מעשה מגונה לפי </w:t>
      </w:r>
      <w:hyperlink r:id="rId9" w:history="1">
        <w:r w:rsidR="00BF4483" w:rsidRPr="00BF4483">
          <w:rPr>
            <w:rStyle w:val="Hyperlink"/>
            <w:rFonts w:ascii="Arial" w:hAnsi="Arial" w:cs="Arial" w:hint="eastAsia"/>
            <w:rtl/>
          </w:rPr>
          <w:t>סעיף</w:t>
        </w:r>
        <w:r w:rsidR="00BF4483" w:rsidRPr="00BF4483">
          <w:rPr>
            <w:rStyle w:val="Hyperlink"/>
            <w:rFonts w:ascii="Arial" w:hAnsi="Arial" w:cs="Arial"/>
            <w:rtl/>
          </w:rPr>
          <w:t xml:space="preserve"> 348(ב)</w:t>
        </w:r>
      </w:hyperlink>
      <w:r w:rsidRPr="00364277">
        <w:rPr>
          <w:rFonts w:ascii="Arial" w:hAnsi="Arial" w:cs="Arial" w:hint="cs"/>
          <w:rtl/>
        </w:rPr>
        <w:t xml:space="preserve"> בנסיבות </w:t>
      </w:r>
      <w:hyperlink r:id="rId10" w:history="1">
        <w:r w:rsidR="00BF4483" w:rsidRPr="00BF4483">
          <w:rPr>
            <w:rStyle w:val="Hyperlink"/>
            <w:rFonts w:ascii="Arial" w:hAnsi="Arial" w:cs="Arial" w:hint="eastAsia"/>
            <w:rtl/>
          </w:rPr>
          <w:t>סעיף</w:t>
        </w:r>
        <w:r w:rsidR="00BF4483" w:rsidRPr="00BF4483">
          <w:rPr>
            <w:rStyle w:val="Hyperlink"/>
            <w:rFonts w:ascii="Arial" w:hAnsi="Arial" w:cs="Arial"/>
            <w:rtl/>
          </w:rPr>
          <w:t xml:space="preserve"> 345(ב)(3)</w:t>
        </w:r>
      </w:hyperlink>
      <w:r w:rsidRPr="00364277">
        <w:rPr>
          <w:rFonts w:ascii="Arial" w:hAnsi="Arial" w:cs="Arial" w:hint="cs"/>
          <w:rtl/>
        </w:rPr>
        <w:t xml:space="preserve"> ל</w:t>
      </w:r>
      <w:hyperlink r:id="rId11" w:history="1">
        <w:r w:rsidR="00B05DAF" w:rsidRPr="00B05DAF">
          <w:rPr>
            <w:rStyle w:val="Hyperlink"/>
            <w:rFonts w:ascii="Arial" w:hAnsi="Arial" w:cs="Arial"/>
            <w:rtl/>
          </w:rPr>
          <w:t>חוק העונשין</w:t>
        </w:r>
      </w:hyperlink>
      <w:r w:rsidRPr="00364277">
        <w:rPr>
          <w:rFonts w:ascii="Arial" w:hAnsi="Arial" w:cs="Arial" w:hint="cs"/>
          <w:rtl/>
        </w:rPr>
        <w:t>, תשל"ז</w:t>
      </w:r>
      <w:r w:rsidRPr="00364277">
        <w:rPr>
          <w:rFonts w:ascii="Arial" w:hAnsi="Arial" w:cs="Arial"/>
          <w:rtl/>
        </w:rPr>
        <w:t>–</w:t>
      </w:r>
      <w:r w:rsidRPr="00364277">
        <w:rPr>
          <w:rFonts w:ascii="Arial" w:hAnsi="Arial" w:cs="Arial" w:hint="cs"/>
          <w:rtl/>
        </w:rPr>
        <w:t xml:space="preserve">1977. </w:t>
      </w:r>
    </w:p>
    <w:p w14:paraId="35768E72" w14:textId="77777777" w:rsidR="00EB6B1A" w:rsidRPr="00364277" w:rsidRDefault="00364277">
      <w:pPr>
        <w:spacing w:line="360" w:lineRule="auto"/>
        <w:ind w:left="720" w:hanging="720"/>
        <w:jc w:val="both"/>
        <w:rPr>
          <w:rFonts w:ascii="Arial" w:hAnsi="Arial" w:cs="Arial"/>
          <w:rtl/>
        </w:rPr>
      </w:pPr>
      <w:bookmarkStart w:id="8" w:name="ABSTRACT_END"/>
      <w:bookmarkEnd w:id="8"/>
      <w:r w:rsidRPr="00364277">
        <w:rPr>
          <w:rFonts w:ascii="Arial" w:hAnsi="Arial" w:cs="Arial" w:hint="cs"/>
          <w:rtl/>
        </w:rPr>
        <w:tab/>
        <w:t>מעובדות כתב האישום המתוקן בהן הודה הנאשם עולה, כי בתאריך 10/11/12, בסמוך לשעה 05:30, הלכה ג.ס., היא המתלוננת, לשפוך את הזבל במכולת אשפה הנמצאת בחנייה אשר סמוך לביתה באילת. לפתע, הגיח הנאשם מסמטה סמוכה והחל להתקדם במהירות לעבר המתלוננת תוך שהוא אומר לה: "</w:t>
      </w:r>
      <w:r w:rsidRPr="00364277">
        <w:rPr>
          <w:rFonts w:ascii="Arial" w:hAnsi="Arial" w:cs="Miriam" w:hint="cs"/>
          <w:b/>
          <w:bCs/>
          <w:rtl/>
        </w:rPr>
        <w:t>בואי בואי אני רוצה להזדיין איתך</w:t>
      </w:r>
      <w:r w:rsidRPr="00364277">
        <w:rPr>
          <w:rFonts w:ascii="Arial" w:hAnsi="Arial" w:cs="Arial" w:hint="cs"/>
          <w:b/>
          <w:bCs/>
          <w:rtl/>
        </w:rPr>
        <w:t>"</w:t>
      </w:r>
      <w:r w:rsidRPr="00364277">
        <w:rPr>
          <w:rFonts w:ascii="Arial" w:hAnsi="Arial" w:cs="Arial" w:hint="cs"/>
          <w:rtl/>
        </w:rPr>
        <w:t>. המתלוננת ניסתה לברוח מהמקום, אבל הנאשם תפס אותה, אחז בכוח בסוודר שלבשה וניסה להפיל אותה על הרצפה. המתלוננת התנגדה למעשיו והחלה לזעוק לעזרה, אך הנאשם כיסה את פיה בידו כדי להשתיקה. המתלוננת הזיזה את ידו של הנאשם והמשיכה לזעוק לעזרה, אז סטר לה הנאשם בידו על לחייה ועל אוזנה, ומיד לאחר מכן היכה אותה בחוזקה בראשה באמצעות אבן שאחז בידו. המתלוננת המשיכה לזעוק לעזרה, אך הנאשם לא עזבה אלא תפס אותה בחוזקה, הפיל אותה אל הרצפה ועלה על גופה בעודה שרועה על הרצפה. המתלוננת ניסתה להדוף את הנאשם מעליה, אך הנאשם הצמיד אותה בכוח אל הרצפה תוך שאמר לה: "</w:t>
      </w:r>
      <w:r w:rsidRPr="00364277">
        <w:rPr>
          <w:rFonts w:ascii="Arial" w:hAnsi="Arial" w:cs="Miriam" w:hint="cs"/>
          <w:b/>
          <w:bCs/>
          <w:rtl/>
        </w:rPr>
        <w:t>אני רוצה להזדיין איתך, אל תתנגדי, אני אעשה את זה בכל מחיר</w:t>
      </w:r>
      <w:r w:rsidRPr="00364277">
        <w:rPr>
          <w:rFonts w:ascii="Arial" w:hAnsi="Arial" w:cs="Arial" w:hint="cs"/>
          <w:b/>
          <w:bCs/>
          <w:rtl/>
        </w:rPr>
        <w:t>"</w:t>
      </w:r>
      <w:r w:rsidRPr="00364277">
        <w:rPr>
          <w:rFonts w:ascii="Arial" w:hAnsi="Arial" w:cs="Arial" w:hint="cs"/>
          <w:rtl/>
        </w:rPr>
        <w:t xml:space="preserve">. בשלב זה, החל הנאשם להפשיל את מכנסיה ותחתוניה של המתלוננת והפסיק את מעשיו רק לאחר ששכן, שהגיע למקום לשמע זעקותיה של המתלוננת, הרחיק אותו מעליה. </w:t>
      </w:r>
    </w:p>
    <w:p w14:paraId="20438255" w14:textId="77777777" w:rsidR="00EB6B1A" w:rsidRPr="00364277" w:rsidRDefault="00364277">
      <w:pPr>
        <w:spacing w:line="360" w:lineRule="auto"/>
        <w:ind w:left="720" w:hanging="720"/>
        <w:jc w:val="both"/>
        <w:rPr>
          <w:rFonts w:ascii="Arial" w:hAnsi="Arial" w:cs="Arial"/>
          <w:rtl/>
        </w:rPr>
      </w:pPr>
      <w:r w:rsidRPr="00364277">
        <w:rPr>
          <w:rFonts w:ascii="Arial" w:hAnsi="Arial" w:cs="Arial" w:hint="cs"/>
          <w:rtl/>
        </w:rPr>
        <w:lastRenderedPageBreak/>
        <w:tab/>
        <w:t xml:space="preserve">במעשיו אלה, ביצע הנאשם במתלוננת מעשה מגונה תוך גרימת חבלה גופנית בדמות חתך בקרקפת, שפשוף ביד ימין, נפיחות, רגישות ושפשוף במרפק יד שמאל, נפיחות בשורש כף יד שמאל, נפיחות בברך ימין, שריטות ורגישות בצוואר, המטומות בגפיים העליונות ורגישות לאורך עמוד השדרה. </w:t>
      </w:r>
    </w:p>
    <w:p w14:paraId="58EBC554" w14:textId="77777777" w:rsidR="00EB6B1A" w:rsidRPr="00364277" w:rsidRDefault="00EB6B1A">
      <w:pPr>
        <w:ind w:left="720" w:hanging="720"/>
        <w:jc w:val="both"/>
        <w:rPr>
          <w:rFonts w:ascii="Arial" w:hAnsi="Arial" w:cs="Arial"/>
          <w:rtl/>
        </w:rPr>
      </w:pPr>
    </w:p>
    <w:p w14:paraId="67FE082C" w14:textId="77777777" w:rsidR="00EB6B1A" w:rsidRPr="00364277" w:rsidRDefault="00EB6B1A">
      <w:pPr>
        <w:spacing w:line="360" w:lineRule="auto"/>
        <w:ind w:left="720" w:hanging="720"/>
        <w:jc w:val="both"/>
        <w:rPr>
          <w:rFonts w:ascii="Arial" w:hAnsi="Arial" w:cs="Arial"/>
          <w:rtl/>
        </w:rPr>
      </w:pPr>
    </w:p>
    <w:p w14:paraId="178C65F7" w14:textId="77777777" w:rsidR="00EB6B1A" w:rsidRPr="00364277" w:rsidRDefault="00364277">
      <w:pPr>
        <w:spacing w:line="360" w:lineRule="auto"/>
        <w:ind w:left="720" w:hanging="720"/>
        <w:jc w:val="both"/>
        <w:rPr>
          <w:rFonts w:ascii="Arial" w:hAnsi="Arial" w:cs="Arial"/>
          <w:rtl/>
        </w:rPr>
      </w:pPr>
      <w:r w:rsidRPr="00364277">
        <w:rPr>
          <w:rFonts w:ascii="Arial" w:hAnsi="Arial" w:cs="Arial" w:hint="cs"/>
          <w:rtl/>
        </w:rPr>
        <w:t>2.</w:t>
      </w:r>
      <w:r w:rsidRPr="00364277">
        <w:rPr>
          <w:rFonts w:ascii="Arial" w:hAnsi="Arial" w:cs="Arial" w:hint="cs"/>
          <w:rtl/>
        </w:rPr>
        <w:tab/>
        <w:t xml:space="preserve">לנאשם, שהוא יליד 08/10/73, 12 הרשעות קודמות בעבירות כנגד פקודת הסמים, רכוש, אלימות ועוד. לאחרונה נדון ביום 04/10/10 בגין עבירות של החזקת סם שלא לצריכה עצמית ועבירות נלוות, ונדון לעונש, הכולל הפעלת מאסר מותנה של 12 חודשי מאסר לריצוי בפועל ולעונשים נוספים. לא היה זה עונש המאסר הראשון שהוטל על הנאשם, אשר בשנת 2009 נדון ל-6 חודשי מאסר בפועל; בשנת 2007 נדון ל-40 חודשי מאסר בפועל </w:t>
      </w:r>
      <w:r w:rsidRPr="00364277">
        <w:rPr>
          <w:rFonts w:ascii="Arial" w:hAnsi="Arial" w:cs="Arial" w:hint="cs"/>
          <w:sz w:val="20"/>
          <w:szCs w:val="20"/>
          <w:rtl/>
        </w:rPr>
        <w:t>(עונש שכלל הפעלת מאסרים מותנים)</w:t>
      </w:r>
      <w:r w:rsidRPr="00364277">
        <w:rPr>
          <w:rFonts w:ascii="Arial" w:hAnsi="Arial" w:cs="Arial" w:hint="cs"/>
          <w:rtl/>
        </w:rPr>
        <w:t xml:space="preserve">; בשנת 2002 נדון ל-10 חודשי מאסר בפועל; בשנת 2001 נדון ל-6 חודשי מאסר בפועל שרוצו בדרך של עבודות שירות; ובשנת 1992 נדון לחודש מאסר בפועל בגין עבירה של היעדר מן השירות. </w:t>
      </w:r>
    </w:p>
    <w:p w14:paraId="00307061" w14:textId="77777777" w:rsidR="00EB6B1A" w:rsidRPr="00364277" w:rsidRDefault="00EB6B1A">
      <w:pPr>
        <w:ind w:left="720" w:hanging="720"/>
        <w:jc w:val="both"/>
        <w:rPr>
          <w:rFonts w:ascii="Arial" w:hAnsi="Arial" w:cs="Arial"/>
          <w:rtl/>
        </w:rPr>
      </w:pPr>
    </w:p>
    <w:p w14:paraId="5D53DCD4" w14:textId="77777777" w:rsidR="00EB6B1A" w:rsidRDefault="00364277">
      <w:pPr>
        <w:spacing w:line="360" w:lineRule="auto"/>
        <w:ind w:left="720" w:hanging="720"/>
        <w:jc w:val="both"/>
        <w:rPr>
          <w:rFonts w:ascii="Arial" w:hAnsi="Arial" w:cs="Arial"/>
          <w:rtl/>
        </w:rPr>
      </w:pPr>
      <w:r>
        <w:rPr>
          <w:rFonts w:ascii="Arial" w:hAnsi="Arial" w:cs="Arial" w:hint="cs"/>
          <w:rtl/>
        </w:rPr>
        <w:t>3.</w:t>
      </w:r>
      <w:r>
        <w:rPr>
          <w:rFonts w:ascii="Arial" w:hAnsi="Arial" w:cs="Arial" w:hint="cs"/>
          <w:rtl/>
        </w:rPr>
        <w:tab/>
        <w:t>מתוך תסקיר שירות המבחן שהוגש על הנאשם עולה, כי הנאשם כבן 40, רווק ואב לילדה כבת 14, המתגוררת עם אמה באופקים. טרם מעצרו בתיק הנוכחי, התגורר באילת ועבד בתחום השיפוצים, כאשר בשנת 2011 השתחרר ממאסרו האחרון, אותו ריצה, כאמור, בגין עבירות סמים. הוא סיים 11 שנות לימוד בתיכון מקיף דתי באופקים, וכבר בתקופת נערותו התחבר לחברה שולית, אם כי התגייס לצבא ושירת בתפקיד עוזר נגר. בשל קשיי הסתגלות במסגרת הצבאית, ולאחר שריצה עונשי מאסר בכלא צבאי, השתחרר, בשל אי התאמה, משירות סדיר כעבור 11 חודשי שירות. מאז התקשה להתמיד במסגרת תעסוקתית יציבה, למרות ניסיונותיו לעשות כן. כשהיה כבן 27, החל קשר זוגי עם אם בתו, שנמשך כ-10 שנים.</w:t>
      </w:r>
    </w:p>
    <w:p w14:paraId="754B9591" w14:textId="77777777" w:rsidR="00EB6B1A" w:rsidRDefault="00EB6B1A">
      <w:pPr>
        <w:spacing w:line="360" w:lineRule="auto"/>
        <w:ind w:left="720" w:hanging="720"/>
        <w:jc w:val="both"/>
        <w:rPr>
          <w:rFonts w:ascii="Arial" w:hAnsi="Arial" w:cs="Arial"/>
          <w:rtl/>
        </w:rPr>
      </w:pPr>
    </w:p>
    <w:p w14:paraId="6FB5E11F" w14:textId="77777777" w:rsidR="00EB6B1A" w:rsidRDefault="00364277">
      <w:pPr>
        <w:spacing w:line="360" w:lineRule="auto"/>
        <w:ind w:left="720" w:hanging="720"/>
        <w:jc w:val="both"/>
        <w:rPr>
          <w:rFonts w:ascii="Arial" w:hAnsi="Arial" w:cs="Arial"/>
          <w:rtl/>
        </w:rPr>
      </w:pPr>
      <w:r>
        <w:rPr>
          <w:rFonts w:ascii="Arial" w:hAnsi="Arial" w:cs="Arial" w:hint="cs"/>
          <w:rtl/>
        </w:rPr>
        <w:tab/>
        <w:t>כבר כשהיה כבן 12 החל להשתמש בסמים מסוג גראס, ובמשך השנים החל להשתמש גם באקסטזי ובכדורים שונים ופיתח אורח חיים של שימוש אינטנסיבי בסמים. בשנת 2001, ובמסגרת הליך פלילי, שהה בקהילה הטיפולית "בית אור אביבה" למשך כ-8 חודשים ועזב את דעת עצמו. לשירות המבחן מסר הנאשם, שאינו רואה עצמו כמי שזקוק לטיפול בתחום השימוש בסמים, כאשר מדבריו עולה, כי מאז שחרורו האחרון ממאסר, בשנת 2011, צמצם את צריכת הסמים, אך הגביר באופן משמעותי את צריכת האלכוהול. הוא ציין, כי נטה לשימוש מסיבי באלכוהול בעיקר במהלך סופי השבוע, תוך שהגיע פעמים רבות למצבים של שתיה עד אובדן שליטה על התנהגותו. לנאשם לא היה הסבר מדוע לא פנה לטיפול בתחום צריכת האלכוהול טרם מעצרו הנוכחי, אך כעת הוא מביע עניין בטיפול שכזה. יחד עם זאת, שירות המבחן התרשם "</w:t>
      </w:r>
      <w:r>
        <w:rPr>
          <w:rFonts w:ascii="Arial" w:hAnsi="Arial" w:cs="Miriam" w:hint="cs"/>
          <w:b/>
          <w:bCs/>
          <w:rtl/>
        </w:rPr>
        <w:t xml:space="preserve">כי אינו מבין את </w:t>
      </w:r>
      <w:r>
        <w:rPr>
          <w:rFonts w:ascii="Arial" w:hAnsi="Arial" w:cs="Miriam" w:hint="cs"/>
          <w:b/>
          <w:bCs/>
          <w:rtl/>
        </w:rPr>
        <w:lastRenderedPageBreak/>
        <w:t>משמעות צריכת האלכוהול והשלכותיו האפשריות על התנהגותו ומתקשה להסביר קשייו ולשתף פעולה עם גורמי טיפול</w:t>
      </w:r>
      <w:r>
        <w:rPr>
          <w:rFonts w:ascii="Arial" w:hAnsi="Arial" w:cs="Arial" w:hint="cs"/>
          <w:b/>
          <w:bCs/>
          <w:rtl/>
        </w:rPr>
        <w:t>"</w:t>
      </w:r>
      <w:r>
        <w:rPr>
          <w:rFonts w:ascii="Arial" w:hAnsi="Arial" w:cs="Arial" w:hint="cs"/>
          <w:rtl/>
        </w:rPr>
        <w:t xml:space="preserve">. </w:t>
      </w:r>
    </w:p>
    <w:p w14:paraId="2F8A4F6F" w14:textId="77777777" w:rsidR="00EB6B1A" w:rsidRDefault="00364277">
      <w:pPr>
        <w:spacing w:line="360" w:lineRule="auto"/>
        <w:ind w:left="720" w:hanging="720"/>
        <w:jc w:val="both"/>
        <w:rPr>
          <w:rFonts w:ascii="Arial" w:hAnsi="Arial" w:cs="Arial"/>
          <w:rtl/>
        </w:rPr>
      </w:pPr>
      <w:r>
        <w:rPr>
          <w:rFonts w:ascii="Arial" w:hAnsi="Arial" w:cs="Arial" w:hint="cs"/>
          <w:rtl/>
        </w:rPr>
        <w:tab/>
      </w:r>
    </w:p>
    <w:p w14:paraId="681621D3" w14:textId="77777777" w:rsidR="00EB6B1A" w:rsidRDefault="00EB6B1A">
      <w:pPr>
        <w:spacing w:line="360" w:lineRule="auto"/>
        <w:ind w:left="720" w:hanging="720"/>
        <w:jc w:val="both"/>
        <w:rPr>
          <w:rFonts w:ascii="Arial" w:hAnsi="Arial" w:cs="Arial"/>
          <w:rtl/>
        </w:rPr>
      </w:pPr>
    </w:p>
    <w:p w14:paraId="341C86F3" w14:textId="77777777" w:rsidR="00EB6B1A" w:rsidRDefault="00364277">
      <w:pPr>
        <w:spacing w:line="360" w:lineRule="auto"/>
        <w:ind w:left="720" w:hanging="720"/>
        <w:jc w:val="both"/>
        <w:rPr>
          <w:rFonts w:ascii="Arial" w:hAnsi="Arial" w:cs="Arial"/>
          <w:rtl/>
        </w:rPr>
      </w:pPr>
      <w:r>
        <w:rPr>
          <w:rFonts w:ascii="Arial" w:hAnsi="Arial" w:cs="Arial" w:hint="cs"/>
          <w:rtl/>
        </w:rPr>
        <w:tab/>
        <w:t xml:space="preserve">וכך ציין עוד שירות המבחן: </w:t>
      </w:r>
    </w:p>
    <w:p w14:paraId="4571F650" w14:textId="77777777" w:rsidR="00EB6B1A" w:rsidRDefault="00364277">
      <w:pPr>
        <w:ind w:left="1275" w:right="709" w:hanging="720"/>
        <w:jc w:val="both"/>
        <w:rPr>
          <w:rFonts w:ascii="Arial" w:hAnsi="Arial" w:cs="Miriam"/>
          <w:b/>
          <w:bCs/>
          <w:rtl/>
        </w:rPr>
      </w:pPr>
      <w:r>
        <w:rPr>
          <w:rFonts w:ascii="Arial" w:hAnsi="Arial" w:cs="Arial" w:hint="cs"/>
          <w:rtl/>
        </w:rPr>
        <w:tab/>
      </w:r>
      <w:r>
        <w:rPr>
          <w:rFonts w:ascii="Arial" w:hAnsi="Arial" w:cs="Miriam" w:hint="cs"/>
          <w:rtl/>
        </w:rPr>
        <w:t>"</w:t>
      </w:r>
      <w:r>
        <w:rPr>
          <w:rFonts w:ascii="Arial" w:hAnsi="Arial" w:cs="Miriam" w:hint="cs"/>
          <w:b/>
          <w:bCs/>
          <w:rtl/>
        </w:rPr>
        <w:t xml:space="preserve">ניכר כי לאורך חייו התקשה להתמודד באופן תקין עם מצוקותיו ונטה במצבי תסכול לבחור בדרכי בריחה כגון שימוש בחומרים ממכרים... ניכר כי בשיחה עמנו ערך מאמצים רבים להציג באור חיובי את אופן התנהלות חייו וניכר כי מביע מודעות נמוכה באשר לבעייתיות המתקיימת באופן תפקודו, אורחות חייו ובעייתיות כלשהי בתחומי דפוסי התקשורת שלו במצבי כעס ותסכול ובעייתיות כלשהי בתחום המיני.... בנוסף התרשמנו מקושי משמעותי בוויסות דחפיו והצבת גבולות פנימיים להתנהגותו השולית וההתמכרותית. </w:t>
      </w:r>
    </w:p>
    <w:p w14:paraId="40033354" w14:textId="77777777" w:rsidR="00EB6B1A" w:rsidRDefault="00364277">
      <w:pPr>
        <w:ind w:left="1275" w:right="709" w:hanging="720"/>
        <w:jc w:val="both"/>
        <w:rPr>
          <w:rFonts w:ascii="Arial" w:hAnsi="Arial" w:cs="Miriam"/>
          <w:b/>
          <w:bCs/>
          <w:rtl/>
        </w:rPr>
      </w:pPr>
      <w:r>
        <w:rPr>
          <w:rFonts w:ascii="Arial" w:hAnsi="Arial" w:cs="Miriam" w:hint="cs"/>
          <w:b/>
          <w:bCs/>
          <w:rtl/>
        </w:rPr>
        <w:tab/>
        <w:t xml:space="preserve">התרשמנו כי מתקשה לערוך בדיקה פנימית ביקורתית באשר לאורחות חייו ובאשר לנסיבות מעורבותו בעבירה בגינה הופנה לשירותנו... </w:t>
      </w:r>
    </w:p>
    <w:p w14:paraId="55D4F64E" w14:textId="77777777" w:rsidR="00EB6B1A" w:rsidRDefault="00364277">
      <w:pPr>
        <w:ind w:left="1275" w:right="709" w:hanging="720"/>
        <w:jc w:val="both"/>
        <w:rPr>
          <w:rFonts w:ascii="Arial" w:hAnsi="Arial" w:cs="Miriam"/>
          <w:b/>
          <w:bCs/>
          <w:rtl/>
        </w:rPr>
      </w:pPr>
      <w:r>
        <w:rPr>
          <w:rFonts w:ascii="Arial" w:hAnsi="Arial" w:cs="Miriam" w:hint="cs"/>
          <w:b/>
          <w:bCs/>
          <w:rtl/>
        </w:rPr>
        <w:tab/>
      </w:r>
    </w:p>
    <w:p w14:paraId="65F9F18A" w14:textId="77777777" w:rsidR="00EB6B1A" w:rsidRDefault="00364277">
      <w:pPr>
        <w:ind w:left="1275" w:right="709" w:hanging="720"/>
        <w:jc w:val="both"/>
        <w:rPr>
          <w:rFonts w:ascii="Arial" w:hAnsi="Arial" w:cs="Miriam"/>
          <w:b/>
          <w:bCs/>
          <w:rtl/>
        </w:rPr>
      </w:pPr>
      <w:r>
        <w:rPr>
          <w:rFonts w:ascii="Arial" w:hAnsi="Arial" w:cs="Miriam" w:hint="cs"/>
          <w:b/>
          <w:bCs/>
          <w:rtl/>
        </w:rPr>
        <w:tab/>
        <w:t xml:space="preserve">... התרשמנו כי מתקיים פער בין האופן בו מציג עצמו ואת יחסו המכבד כלפי נשים לבין התרשמותנו כי מתקשה לראות את צרכי האחר ונטייתו להתמקד בצרכיו האישיים בתוך מערכות יחסיו הזוגיות וכן נטייתו לפעול בדרכים מניפולטיביות ונקיטת דפוס של סחיטה רגשית בתוך קשרים אלה על מנת להשיג את רצונותיו... </w:t>
      </w:r>
    </w:p>
    <w:p w14:paraId="40B427DB" w14:textId="77777777" w:rsidR="00EB6B1A" w:rsidRDefault="00EB6B1A">
      <w:pPr>
        <w:ind w:left="1275" w:right="709" w:hanging="720"/>
        <w:jc w:val="both"/>
        <w:rPr>
          <w:rFonts w:ascii="Arial" w:hAnsi="Arial" w:cs="Miriam"/>
          <w:b/>
          <w:bCs/>
          <w:rtl/>
        </w:rPr>
      </w:pPr>
    </w:p>
    <w:p w14:paraId="5A69C58A" w14:textId="77777777" w:rsidR="00EB6B1A" w:rsidRDefault="00364277">
      <w:pPr>
        <w:ind w:left="1275" w:right="709" w:hanging="720"/>
        <w:jc w:val="both"/>
        <w:rPr>
          <w:rFonts w:ascii="Arial" w:hAnsi="Arial" w:cs="Miriam"/>
          <w:b/>
          <w:bCs/>
          <w:rtl/>
        </w:rPr>
      </w:pPr>
      <w:r>
        <w:rPr>
          <w:rFonts w:ascii="Arial" w:hAnsi="Arial" w:cs="Miriam" w:hint="cs"/>
          <w:b/>
          <w:bCs/>
          <w:rtl/>
        </w:rPr>
        <w:tab/>
        <w:t xml:space="preserve">בהתייחס לעבירה בגינה הופנה לשירותנו, מודה באופן חלקי ומתקשה לקחת אחריות על מעשיו תוך שהוא משליך את האחריות על מעשיו את צריכת האלכוהול המוגברת שלו אשר עמדה לטענתו ברקע להתנהגותו במסגרת העבירה. </w:t>
      </w:r>
    </w:p>
    <w:p w14:paraId="26CC15D4" w14:textId="77777777" w:rsidR="00EB6B1A" w:rsidRDefault="00364277">
      <w:pPr>
        <w:ind w:left="1275" w:right="709" w:hanging="720"/>
        <w:jc w:val="both"/>
        <w:rPr>
          <w:rFonts w:ascii="Arial" w:hAnsi="Arial" w:cs="Miriam"/>
          <w:b/>
          <w:bCs/>
          <w:rtl/>
        </w:rPr>
      </w:pPr>
      <w:r>
        <w:rPr>
          <w:rFonts w:ascii="Arial" w:hAnsi="Arial" w:cs="Miriam" w:hint="cs"/>
          <w:b/>
          <w:bCs/>
          <w:rtl/>
        </w:rPr>
        <w:tab/>
        <w:t xml:space="preserve">לדבריו עולה כי בערב אירוע העבירה צרך אלכוהול במספר מוקדי בילוי... טען כי אינו זוכר דבר מהמיוחס לו שכן היה נתון להשפעת אלכוהול מסיבית. בהמשך, ולאחר תהליכי עימות ושיקוף עמו, מסר כי סטה מדרכו לביתו וזיהה דמות של אשה פוסעת לעברו. מדבריו עולה כי זוכר ששמע בהמשך את זעקות העזרה שלה, אולם אינו זוכר את סדר הפעולות שלו ואת התנהגותו הכוחנית כלפיה כמתואר בכתב האישום. מסר כי זוכר שהתעורר בהמשך בתחנת המשטרה ונאמר לו כי הוא נעצר בחשד לביצוע עבירה של ניסיון לאינוס... </w:t>
      </w:r>
    </w:p>
    <w:p w14:paraId="7E6E1F8F" w14:textId="77777777" w:rsidR="00EB6B1A" w:rsidRDefault="00EB6B1A">
      <w:pPr>
        <w:ind w:left="1275" w:right="709" w:hanging="720"/>
        <w:jc w:val="both"/>
        <w:rPr>
          <w:rFonts w:ascii="Arial" w:hAnsi="Arial" w:cs="Miriam"/>
          <w:b/>
          <w:bCs/>
          <w:rtl/>
        </w:rPr>
      </w:pPr>
    </w:p>
    <w:p w14:paraId="61BD9DF8" w14:textId="77777777" w:rsidR="00EB6B1A" w:rsidRDefault="00364277">
      <w:pPr>
        <w:ind w:left="1275" w:right="709" w:hanging="720"/>
        <w:jc w:val="both"/>
        <w:rPr>
          <w:rFonts w:ascii="Arial" w:hAnsi="Arial" w:cs="Miriam"/>
          <w:b/>
          <w:bCs/>
          <w:rtl/>
        </w:rPr>
      </w:pPr>
      <w:r>
        <w:rPr>
          <w:rFonts w:ascii="Arial" w:hAnsi="Arial" w:cs="Miriam" w:hint="cs"/>
          <w:b/>
          <w:bCs/>
          <w:rtl/>
        </w:rPr>
        <w:tab/>
        <w:t xml:space="preserve">... ניכר כי האלכוהול היווה עבורו גורם משחרר עכבות. התרשמנו כי נוטה לראות בצריכת האלכוהול גורם בלעדי להתנהגותו פורצת הגבולות במסגרת העבירה הנוכחית ומתקשה לבחון באופן אותנטי ומעמיק אלמנטים בעייתים אחרים בחייו, באופן תפקודו ובהתנהלותו במערכות יחסיו... </w:t>
      </w:r>
    </w:p>
    <w:p w14:paraId="42621806" w14:textId="77777777" w:rsidR="00EB6B1A" w:rsidRDefault="00EB6B1A">
      <w:pPr>
        <w:ind w:left="1275" w:right="709" w:hanging="720"/>
        <w:jc w:val="both"/>
        <w:rPr>
          <w:rFonts w:ascii="Arial" w:hAnsi="Arial" w:cs="Miriam"/>
          <w:b/>
          <w:bCs/>
          <w:rtl/>
        </w:rPr>
      </w:pPr>
    </w:p>
    <w:p w14:paraId="48406B5B" w14:textId="77777777" w:rsidR="00EB6B1A" w:rsidRDefault="00364277">
      <w:pPr>
        <w:ind w:left="1275" w:right="709" w:hanging="720"/>
        <w:jc w:val="both"/>
        <w:rPr>
          <w:rFonts w:ascii="Arial" w:hAnsi="Arial" w:cs="Miriam"/>
          <w:b/>
          <w:bCs/>
          <w:rtl/>
        </w:rPr>
      </w:pPr>
      <w:r>
        <w:rPr>
          <w:rFonts w:ascii="Arial" w:hAnsi="Arial" w:cs="Miriam" w:hint="cs"/>
          <w:b/>
          <w:bCs/>
          <w:rtl/>
        </w:rPr>
        <w:tab/>
        <w:t xml:space="preserve">אנו סבורים, כי למרות הצהרותיו המילוליות בדבר רצונו להשתלב בתהליך טיפולי בתחום צריכת האלכוהול, אין המדובר בתובנה ממשית באשר להשלכות האפשרויות של שימוש זה בחומרים ממכרים או במודעות ברורה למעשיו ולפגיעתו באחר. להתרשמותנו הצהרותיו אלה נובעות מרצונו להקל על תוצאות ההליכים המשפטיים בהם הוא מצוי. חיזוק נוסף לעמדתנו אנו מוצאים בניסיונות הטיפול הכושלים בתחום השימוש בחומרים ממכרים בעבר ואי פנייתו לטיפול בתחום זה טרם מעצרו הנוכחי. לאור זאת התרשמנו כי שלומי אינו מתאים לטיפול בתחום זה. </w:t>
      </w:r>
    </w:p>
    <w:p w14:paraId="6A635F58" w14:textId="77777777" w:rsidR="00EB6B1A" w:rsidRDefault="00EB6B1A">
      <w:pPr>
        <w:ind w:left="1275" w:right="709" w:hanging="720"/>
        <w:jc w:val="both"/>
        <w:rPr>
          <w:rFonts w:ascii="Arial" w:hAnsi="Arial" w:cs="Miriam"/>
          <w:b/>
          <w:bCs/>
          <w:rtl/>
        </w:rPr>
      </w:pPr>
    </w:p>
    <w:p w14:paraId="014D9248" w14:textId="77777777" w:rsidR="00EB6B1A" w:rsidRDefault="00364277">
      <w:pPr>
        <w:ind w:left="1275" w:right="709" w:hanging="720"/>
        <w:jc w:val="both"/>
        <w:rPr>
          <w:rFonts w:ascii="Arial" w:hAnsi="Arial" w:cs="Miriam"/>
          <w:rtl/>
        </w:rPr>
      </w:pPr>
      <w:r>
        <w:rPr>
          <w:rFonts w:ascii="Arial" w:hAnsi="Arial" w:cs="Miriam" w:hint="cs"/>
          <w:b/>
          <w:bCs/>
          <w:rtl/>
        </w:rPr>
        <w:tab/>
        <w:t xml:space="preserve">בבואנו לבחון את שאלת העונש, לקחנו בחשבון את עברו הפלילי, מאפייני אישיותו ועמדותיו כיום כמתואר, כן לקחנו בחשבון את קשייו לערוך בדיקה פנימית באשר לעבירה הנדונה. לאור האמור, אנו ממליצים על ענישה מוחשית אשר תהווה מסר חד משמעי באשר למשמעות מעשיו". </w:t>
      </w:r>
    </w:p>
    <w:p w14:paraId="17F1896F" w14:textId="77777777" w:rsidR="00EB6B1A" w:rsidRDefault="00EB6B1A">
      <w:pPr>
        <w:ind w:left="720" w:hanging="720"/>
        <w:jc w:val="both"/>
        <w:rPr>
          <w:rFonts w:ascii="Arial" w:hAnsi="Arial" w:cs="Arial"/>
          <w:rtl/>
        </w:rPr>
      </w:pPr>
    </w:p>
    <w:p w14:paraId="2832206C" w14:textId="77777777" w:rsidR="00EB6B1A" w:rsidRDefault="00EB6B1A">
      <w:pPr>
        <w:ind w:left="720" w:hanging="720"/>
        <w:jc w:val="both"/>
        <w:rPr>
          <w:rFonts w:ascii="Arial" w:hAnsi="Arial" w:cs="Arial"/>
          <w:rtl/>
        </w:rPr>
      </w:pPr>
    </w:p>
    <w:p w14:paraId="26129DF3" w14:textId="77777777" w:rsidR="00EB6B1A" w:rsidRDefault="00EB6B1A">
      <w:pPr>
        <w:ind w:left="720" w:hanging="720"/>
        <w:jc w:val="both"/>
        <w:rPr>
          <w:rFonts w:ascii="Arial" w:hAnsi="Arial" w:cs="Arial"/>
          <w:rtl/>
        </w:rPr>
      </w:pPr>
    </w:p>
    <w:p w14:paraId="334232C8" w14:textId="77777777" w:rsidR="00EB6B1A" w:rsidRDefault="00EB6B1A">
      <w:pPr>
        <w:ind w:left="720" w:hanging="720"/>
        <w:jc w:val="both"/>
        <w:rPr>
          <w:rFonts w:ascii="Arial" w:hAnsi="Arial" w:cs="Arial"/>
          <w:rtl/>
        </w:rPr>
      </w:pPr>
    </w:p>
    <w:p w14:paraId="0DA2E708" w14:textId="77777777" w:rsidR="00EB6B1A" w:rsidRDefault="00364277">
      <w:pPr>
        <w:spacing w:line="360" w:lineRule="auto"/>
        <w:ind w:left="720" w:hanging="720"/>
        <w:jc w:val="both"/>
        <w:rPr>
          <w:rFonts w:ascii="Arial" w:hAnsi="Arial" w:cs="Arial"/>
          <w:rtl/>
        </w:rPr>
      </w:pPr>
      <w:r>
        <w:rPr>
          <w:rFonts w:ascii="Arial" w:hAnsi="Arial" w:cs="Arial" w:hint="cs"/>
          <w:rtl/>
        </w:rPr>
        <w:t>4.</w:t>
      </w:r>
      <w:r>
        <w:rPr>
          <w:rFonts w:ascii="Arial" w:hAnsi="Arial" w:cs="Arial" w:hint="cs"/>
          <w:rtl/>
        </w:rPr>
        <w:tab/>
        <w:t xml:space="preserve">במסגרת ראיותיו לעונש העיד הסנגור המלומד, עו"ד אורינוב, את הגב' שמחה גרופי אשר מתגוררת בסמוך לנאשם מזה שנים רבות. לדבריה, מדובר בשכן טוב שאוהב לעזור לזולת ולשכניו. כך הוא עוזר גם לגב' גרופי מזה שנים, משחק עם נכדיה והוא כבן לה, והיא אינה מאמינה שהוא יכול לעשות מעשים כמו אלה נשוא כתב האישום. </w:t>
      </w:r>
    </w:p>
    <w:p w14:paraId="3D85DADC" w14:textId="77777777" w:rsidR="00EB6B1A" w:rsidRDefault="00EB6B1A">
      <w:pPr>
        <w:spacing w:line="360" w:lineRule="auto"/>
        <w:ind w:left="720" w:hanging="720"/>
        <w:jc w:val="both"/>
        <w:rPr>
          <w:rFonts w:ascii="Arial" w:hAnsi="Arial" w:cs="Arial"/>
          <w:rtl/>
        </w:rPr>
      </w:pPr>
    </w:p>
    <w:p w14:paraId="532A0DEA" w14:textId="77777777" w:rsidR="00EB6B1A" w:rsidRDefault="00364277">
      <w:pPr>
        <w:spacing w:line="360" w:lineRule="auto"/>
        <w:ind w:left="720" w:hanging="720"/>
        <w:jc w:val="both"/>
        <w:rPr>
          <w:rFonts w:ascii="Arial" w:hAnsi="Arial" w:cs="Arial"/>
          <w:rtl/>
        </w:rPr>
      </w:pPr>
      <w:r>
        <w:rPr>
          <w:rFonts w:ascii="Arial" w:hAnsi="Arial" w:cs="Arial" w:hint="cs"/>
          <w:rtl/>
        </w:rPr>
        <w:tab/>
        <w:t>כן, הגיש הסנגור מכתב משכנה נוספת, הגב' ביטון דולי, אשר גם היא רואה בנאשם "</w:t>
      </w:r>
      <w:r>
        <w:rPr>
          <w:rFonts w:ascii="Arial" w:hAnsi="Arial" w:cs="Miriam" w:hint="cs"/>
          <w:b/>
          <w:bCs/>
          <w:rtl/>
        </w:rPr>
        <w:t>בחור נעים הליכות וחברותי, כל השכנים בבניין אהבו אותו וסימפטו אותו, בחור חינני, איכפתי ונעים...</w:t>
      </w:r>
      <w:r>
        <w:rPr>
          <w:rFonts w:ascii="Arial" w:hAnsi="Arial" w:cs="Arial" w:hint="cs"/>
          <w:b/>
          <w:bCs/>
          <w:rtl/>
        </w:rPr>
        <w:t>"</w:t>
      </w:r>
      <w:r>
        <w:rPr>
          <w:rFonts w:ascii="Arial" w:hAnsi="Arial" w:cs="Arial" w:hint="cs"/>
          <w:rtl/>
        </w:rPr>
        <w:t xml:space="preserve">. ממכתבה עולה, כי הנאשם הצליח לשקם את חייו הקשים והיא הביעה תקווה, שיוכל לחזור במהרה לשכונת המגורים. </w:t>
      </w:r>
    </w:p>
    <w:p w14:paraId="0F64A007" w14:textId="77777777" w:rsidR="00EB6B1A" w:rsidRDefault="00EB6B1A">
      <w:pPr>
        <w:ind w:left="720" w:hanging="720"/>
        <w:jc w:val="both"/>
        <w:rPr>
          <w:rFonts w:ascii="Arial" w:hAnsi="Arial" w:cs="Arial"/>
          <w:rtl/>
        </w:rPr>
      </w:pPr>
    </w:p>
    <w:p w14:paraId="225BF41A" w14:textId="77777777" w:rsidR="00EB6B1A" w:rsidRDefault="00364277">
      <w:pPr>
        <w:spacing w:line="360" w:lineRule="auto"/>
        <w:ind w:left="720" w:hanging="720"/>
        <w:jc w:val="both"/>
        <w:rPr>
          <w:rFonts w:ascii="Arial" w:hAnsi="Arial" w:cs="Arial"/>
          <w:rtl/>
        </w:rPr>
      </w:pPr>
      <w:r>
        <w:rPr>
          <w:rFonts w:ascii="Arial" w:hAnsi="Arial" w:cs="Arial" w:hint="cs"/>
          <w:rtl/>
        </w:rPr>
        <w:t>5.</w:t>
      </w:r>
      <w:r>
        <w:rPr>
          <w:rFonts w:ascii="Arial" w:hAnsi="Arial" w:cs="Arial" w:hint="cs"/>
          <w:rtl/>
        </w:rPr>
        <w:tab/>
        <w:t xml:space="preserve">במסגרת ראיותיה לעונש, הגישה התובעת המלומדת, עו"ד סיגל דהן, מכתב מהמתלוננת, מתוכו עולה עד כמה רב סבלה מאז האירועים נשוא כתב האישום. המתלוננת מפחדת לצאת מביתה לבדה אפילו במהלך שעות היום; היא מתקשה ליצור קשר עם אנשים </w:t>
      </w:r>
      <w:r>
        <w:rPr>
          <w:rFonts w:ascii="Arial" w:hAnsi="Arial" w:cs="Arial"/>
          <w:rtl/>
        </w:rPr>
        <w:t>–</w:t>
      </w:r>
      <w:r>
        <w:rPr>
          <w:rFonts w:ascii="Arial" w:hAnsi="Arial" w:cs="Arial" w:hint="cs"/>
          <w:rtl/>
        </w:rPr>
        <w:t xml:space="preserve"> גם כאלה המוכרים לה וגם עם זרים; פוחדת להיות לבדה בחדר; מתקשה לישון; סובלת מכאבי ראש עזים מאז המכה באבן, שחבט בה הנאשם במהלך האירוע, ואף נמצאת במעקב נוירולוגי; נמצאת גם במעקב של רופא אורטופד לאחר המכות והנפילות שסבלה באירוע; ואף הופנתה לטיפול פסיכולוגי. </w:t>
      </w:r>
    </w:p>
    <w:p w14:paraId="3CB04ED4" w14:textId="77777777" w:rsidR="00EB6B1A" w:rsidRDefault="00364277">
      <w:pPr>
        <w:spacing w:line="360" w:lineRule="auto"/>
        <w:ind w:left="720" w:hanging="720"/>
        <w:jc w:val="both"/>
        <w:rPr>
          <w:rFonts w:ascii="Arial" w:hAnsi="Arial" w:cs="Arial"/>
          <w:rtl/>
        </w:rPr>
      </w:pPr>
      <w:r>
        <w:rPr>
          <w:rFonts w:ascii="Arial" w:hAnsi="Arial" w:cs="Arial" w:hint="cs"/>
          <w:rtl/>
        </w:rPr>
        <w:tab/>
        <w:t xml:space="preserve">התובעת גם הגישה את המסמכים אודות הטיפול שקיבלה המתלוננת מיד לאחר האירוע ואשר יש בהם גם תיאור של הפגיעות הפיזיות בה. </w:t>
      </w:r>
    </w:p>
    <w:p w14:paraId="52CCFC7F" w14:textId="77777777" w:rsidR="00EB6B1A" w:rsidRDefault="00EB6B1A">
      <w:pPr>
        <w:jc w:val="both"/>
        <w:rPr>
          <w:rFonts w:ascii="Arial" w:hAnsi="Arial" w:cs="Arial"/>
          <w:rtl/>
        </w:rPr>
      </w:pPr>
    </w:p>
    <w:p w14:paraId="1CFF7A0B" w14:textId="77777777" w:rsidR="00EB6B1A" w:rsidRDefault="00364277">
      <w:pPr>
        <w:spacing w:line="360" w:lineRule="auto"/>
        <w:ind w:left="720" w:hanging="720"/>
        <w:jc w:val="both"/>
        <w:rPr>
          <w:rFonts w:ascii="Arial" w:hAnsi="Arial" w:cs="Arial"/>
          <w:rtl/>
        </w:rPr>
      </w:pPr>
      <w:r>
        <w:rPr>
          <w:rFonts w:ascii="Arial" w:hAnsi="Arial" w:cs="Arial" w:hint="cs"/>
          <w:rtl/>
        </w:rPr>
        <w:t>6.</w:t>
      </w:r>
      <w:r>
        <w:rPr>
          <w:rFonts w:ascii="Arial" w:hAnsi="Arial" w:cs="Arial" w:hint="cs"/>
          <w:rtl/>
        </w:rPr>
        <w:tab/>
        <w:t xml:space="preserve">בטיעוניה לעונש </w:t>
      </w:r>
      <w:r>
        <w:rPr>
          <w:rFonts w:ascii="Arial" w:hAnsi="Arial" w:cs="Arial" w:hint="cs"/>
          <w:sz w:val="20"/>
          <w:szCs w:val="20"/>
          <w:rtl/>
        </w:rPr>
        <w:t>(הטיעונים הוגשו בכתב והועברו מבעוד מועד לעיון ההגנה)</w:t>
      </w:r>
      <w:r>
        <w:rPr>
          <w:rFonts w:ascii="Arial" w:hAnsi="Arial" w:cs="Arial" w:hint="cs"/>
          <w:rtl/>
        </w:rPr>
        <w:t xml:space="preserve"> ציינה התובעת, כי לדעת המאשימה, ועל פי תיקון 113 ל</w:t>
      </w:r>
      <w:hyperlink r:id="rId12" w:history="1">
        <w:r w:rsidR="00B05DAF" w:rsidRPr="00B05DAF">
          <w:rPr>
            <w:rStyle w:val="Hyperlink"/>
            <w:rFonts w:ascii="Arial" w:hAnsi="Arial" w:cs="Arial"/>
            <w:rtl/>
          </w:rPr>
          <w:t>חוק העונשין</w:t>
        </w:r>
      </w:hyperlink>
      <w:r>
        <w:rPr>
          <w:rFonts w:ascii="Arial" w:hAnsi="Arial" w:cs="Arial" w:hint="cs"/>
          <w:rtl/>
        </w:rPr>
        <w:t xml:space="preserve">, יש להטיל על הנאשם עונש מאסר בפועל של 8 שנים, כאשר מתחם העונש ההולם נע בין 5 ל-8 שנות מאסר, וזאת בתוספת לעונשי מאסר מותנים ולפיצוי משמעותי. לעמדתה, זהו העונש הראוי, גם בהתחשב במדיניות הענישה הקיימת וגם במדיניות הענישה הראויה, על רקע מעשי הנאשם ועברו הפלילי. היא הדגישה את חומרת מעשי הנאשם ואת הפגיעה הקשה במתלוננת, הן הפגיעה בגופה אך גם הפגיעה בנפשה ובכבודה. לדבריה, מעשי הנאשם נעשו באכזריות, תוך שימוש באלימות והתעללות במתלוננת; הם בוצעו על רקע שתיית אלכוהול, ויש לראות בכך אלמנט לחומרה על רקע אישיותו האלימה של הנאשם ומעשי הנאשם גרמו למתלוננת לפגיעות פיזיות ונפשיות קשות. רק עונש מחמיר ומוחשי, על פי המלצת שירות המבחן, כזה המצוי ברף העליון של מתחם העונש ההולם (כאמור, 8 שנים), יהיה ראוי לנאשם. </w:t>
      </w:r>
    </w:p>
    <w:p w14:paraId="0FF9ACAD" w14:textId="77777777" w:rsidR="00EB6B1A" w:rsidRDefault="00364277">
      <w:pPr>
        <w:jc w:val="both"/>
        <w:rPr>
          <w:rFonts w:ascii="Arial" w:hAnsi="Arial" w:cs="Arial"/>
          <w:rtl/>
        </w:rPr>
      </w:pPr>
      <w:r>
        <w:rPr>
          <w:rFonts w:ascii="Arial" w:hAnsi="Arial" w:cs="Arial" w:hint="cs"/>
          <w:rtl/>
        </w:rPr>
        <w:tab/>
        <w:t xml:space="preserve">התובעת המציאה פסיקה התואמת את רמת הענישה לה עתרה. </w:t>
      </w:r>
    </w:p>
    <w:p w14:paraId="7862108E" w14:textId="77777777" w:rsidR="00EB6B1A" w:rsidRDefault="00EB6B1A">
      <w:pPr>
        <w:spacing w:line="360" w:lineRule="auto"/>
        <w:ind w:left="720" w:hanging="720"/>
        <w:jc w:val="both"/>
        <w:rPr>
          <w:rFonts w:ascii="Arial" w:hAnsi="Arial" w:cs="Arial"/>
          <w:rtl/>
        </w:rPr>
      </w:pPr>
    </w:p>
    <w:p w14:paraId="65222220" w14:textId="77777777" w:rsidR="00EB6B1A" w:rsidRDefault="00364277">
      <w:pPr>
        <w:spacing w:line="360" w:lineRule="auto"/>
        <w:ind w:left="720" w:hanging="720"/>
        <w:jc w:val="both"/>
        <w:rPr>
          <w:rFonts w:ascii="Arial" w:hAnsi="Arial" w:cs="Arial"/>
          <w:rtl/>
        </w:rPr>
      </w:pPr>
      <w:r>
        <w:rPr>
          <w:rFonts w:ascii="Arial" w:hAnsi="Arial" w:cs="Arial" w:hint="cs"/>
          <w:rtl/>
        </w:rPr>
        <w:t>7.</w:t>
      </w:r>
      <w:r>
        <w:rPr>
          <w:rFonts w:ascii="Arial" w:hAnsi="Arial" w:cs="Arial" w:hint="cs"/>
          <w:rtl/>
        </w:rPr>
        <w:tab/>
        <w:t xml:space="preserve">לעומתה, סבר הסנגור המלומד, כי אין מקום להחמיר עם הנאשם. לשאלת ביהמ"ש, ובעקבות האמור בתסקיר באשר להתייחסות הנאשם למעשים נשוא כתב האישום בו הודה, הדגיש הסנגור, כי הנאשם איננו חוזר בו מהודאתו וכתב האישום המתוקן מבטא היטב את עמדת הנאשם ואת מצב השכרות בו היה נתון במהלך האירוע. הסנגור סבור, כי מצב זה יש בו כדי להקל בעונש הראוי לנאשם, שהרי כיום הנאשם מביע חרטה ולוקח אחריות על מעשיו, כאשר, כפי שצויין גם בתסקיר, היה זה האלכוהול שהסיר את העכבות מהתנהגות הנאשם, דבר שאינו מאפיין אותו בזמנים רגילים. לדבריו, הנזק שנגרם למתלוננת אינו חמור; במהלך האירוע לא הייתה חשיפה של איברי מין </w:t>
      </w:r>
      <w:r>
        <w:rPr>
          <w:rFonts w:ascii="Arial" w:hAnsi="Arial" w:cs="Arial"/>
          <w:rtl/>
        </w:rPr>
        <w:t>–</w:t>
      </w:r>
      <w:r>
        <w:rPr>
          <w:rFonts w:ascii="Arial" w:hAnsi="Arial" w:cs="Arial" w:hint="cs"/>
          <w:rtl/>
        </w:rPr>
        <w:t xml:space="preserve"> לא של המתלוננת ולא של הנאשם, ואף לא הייתה נגיעה באיברי המין; ובעברו של הנאשם, אין עבירות דומות לאלו שנעשו במקרה שבפנינו. </w:t>
      </w:r>
    </w:p>
    <w:p w14:paraId="69842048" w14:textId="77777777" w:rsidR="00EB6B1A" w:rsidRDefault="00364277">
      <w:pPr>
        <w:spacing w:line="360" w:lineRule="auto"/>
        <w:ind w:left="720" w:hanging="720"/>
        <w:jc w:val="both"/>
        <w:rPr>
          <w:rFonts w:ascii="Arial" w:hAnsi="Arial" w:cs="Arial"/>
          <w:rtl/>
        </w:rPr>
      </w:pPr>
      <w:r>
        <w:rPr>
          <w:rFonts w:ascii="Arial" w:hAnsi="Arial" w:cs="Arial" w:hint="cs"/>
          <w:rtl/>
        </w:rPr>
        <w:tab/>
        <w:t xml:space="preserve">גם הסנגור המציא אסופה של פסקי דין (כולל שני פסקי דין שהועברו, בהסכמה, לעיוננו לאחר הטיעונים לעונש), כאשר לדבריו רמת הענישה בעבירות דומות הינה נמוכה בהרבה מן המבוקש על ידי התביעה. </w:t>
      </w:r>
    </w:p>
    <w:p w14:paraId="0CD75143" w14:textId="77777777" w:rsidR="00EB6B1A" w:rsidRDefault="00364277">
      <w:pPr>
        <w:spacing w:line="360" w:lineRule="auto"/>
        <w:ind w:left="720" w:hanging="720"/>
        <w:jc w:val="both"/>
        <w:rPr>
          <w:rFonts w:ascii="Arial" w:hAnsi="Arial" w:cs="Arial"/>
          <w:rtl/>
        </w:rPr>
      </w:pPr>
      <w:r>
        <w:rPr>
          <w:rFonts w:ascii="Arial" w:hAnsi="Arial" w:cs="Arial" w:hint="cs"/>
          <w:rtl/>
        </w:rPr>
        <w:tab/>
      </w:r>
    </w:p>
    <w:p w14:paraId="3B55286B" w14:textId="77777777" w:rsidR="00EB6B1A" w:rsidRDefault="00364277">
      <w:pPr>
        <w:spacing w:line="360" w:lineRule="auto"/>
        <w:ind w:left="720" w:hanging="720"/>
        <w:jc w:val="both"/>
        <w:rPr>
          <w:rFonts w:ascii="Arial" w:hAnsi="Arial" w:cs="Arial"/>
          <w:rtl/>
        </w:rPr>
      </w:pPr>
      <w:r>
        <w:rPr>
          <w:rFonts w:ascii="Arial" w:hAnsi="Arial" w:cs="Arial" w:hint="cs"/>
          <w:rtl/>
        </w:rPr>
        <w:t>8.</w:t>
      </w:r>
      <w:r>
        <w:rPr>
          <w:rFonts w:ascii="Arial" w:hAnsi="Arial" w:cs="Arial" w:hint="cs"/>
          <w:rtl/>
        </w:rPr>
        <w:tab/>
        <w:t>בדברי הנאשם, הוא ביקש למסור תנחומים "</w:t>
      </w:r>
      <w:r>
        <w:rPr>
          <w:rFonts w:ascii="Arial" w:hAnsi="Arial" w:cs="Miriam" w:hint="cs"/>
          <w:b/>
          <w:bCs/>
          <w:rtl/>
        </w:rPr>
        <w:t>לגברת הנכבדת</w:t>
      </w:r>
      <w:r>
        <w:rPr>
          <w:rFonts w:ascii="Arial" w:hAnsi="Arial" w:cs="Arial" w:hint="cs"/>
          <w:b/>
          <w:bCs/>
          <w:rtl/>
        </w:rPr>
        <w:t>"</w:t>
      </w:r>
      <w:r>
        <w:rPr>
          <w:rFonts w:ascii="Arial" w:hAnsi="Arial" w:cs="Arial" w:hint="cs"/>
          <w:rtl/>
        </w:rPr>
        <w:t xml:space="preserve">; הביע צער על מעשיו ואיחל לה רפואה שלמה ואף ביקש את סליחת ביהמ"ש. </w:t>
      </w:r>
    </w:p>
    <w:p w14:paraId="4CFC69BC" w14:textId="77777777" w:rsidR="00EB6B1A" w:rsidRDefault="00EB6B1A">
      <w:pPr>
        <w:jc w:val="both"/>
        <w:rPr>
          <w:rFonts w:ascii="Arial" w:hAnsi="Arial" w:cs="Arial"/>
          <w:rtl/>
        </w:rPr>
      </w:pPr>
    </w:p>
    <w:p w14:paraId="0A713B79" w14:textId="77777777" w:rsidR="00EB6B1A" w:rsidRDefault="00364277">
      <w:pPr>
        <w:spacing w:line="360" w:lineRule="auto"/>
        <w:ind w:left="720" w:hanging="720"/>
        <w:jc w:val="both"/>
        <w:rPr>
          <w:rFonts w:ascii="Arial" w:hAnsi="Arial" w:cs="Arial"/>
          <w:rtl/>
        </w:rPr>
      </w:pPr>
      <w:r>
        <w:rPr>
          <w:rFonts w:ascii="Arial" w:hAnsi="Arial" w:cs="Arial" w:hint="cs"/>
          <w:rtl/>
        </w:rPr>
        <w:t>9.</w:t>
      </w:r>
      <w:r>
        <w:rPr>
          <w:rFonts w:ascii="Arial" w:hAnsi="Arial" w:cs="Arial" w:hint="cs"/>
          <w:rtl/>
        </w:rPr>
        <w:tab/>
        <w:t>מלשון תיקון 113 ל</w:t>
      </w:r>
      <w:hyperlink r:id="rId13" w:history="1">
        <w:r w:rsidR="00B05DAF" w:rsidRPr="00B05DAF">
          <w:rPr>
            <w:rStyle w:val="Hyperlink"/>
            <w:rFonts w:ascii="Arial" w:hAnsi="Arial" w:cs="Arial"/>
            <w:rtl/>
          </w:rPr>
          <w:t>חוק העונשין</w:t>
        </w:r>
      </w:hyperlink>
      <w:r>
        <w:rPr>
          <w:rFonts w:ascii="Arial" w:hAnsi="Arial" w:cs="Arial" w:hint="cs"/>
          <w:rtl/>
        </w:rPr>
        <w:t>, שעניינו "</w:t>
      </w:r>
      <w:r>
        <w:rPr>
          <w:rFonts w:ascii="Arial" w:hAnsi="Arial" w:cs="Miriam" w:hint="cs"/>
          <w:b/>
          <w:bCs/>
          <w:rtl/>
        </w:rPr>
        <w:t>הבניית שיקול הדעת השיפוטי בענישה</w:t>
      </w:r>
      <w:r>
        <w:rPr>
          <w:rFonts w:ascii="Arial" w:hAnsi="Arial" w:cs="Arial" w:hint="cs"/>
          <w:rtl/>
        </w:rPr>
        <w:t>", ועל פי פסיקת ביהמ"ש העליון שכבר ניתנה בעקבות התיקון, "</w:t>
      </w:r>
      <w:r>
        <w:rPr>
          <w:rFonts w:ascii="Arial" w:hAnsi="Arial" w:cs="Miriam" w:hint="cs"/>
          <w:b/>
          <w:bCs/>
          <w:rtl/>
        </w:rPr>
        <w:t>ברי... כי בגדרי עקרונות הענישה "גמול, הרתעה אישית או כללית, הגנת שלום הציבור ושיקום" ניתנה כאן הבכורה לעקרון ההלימות. בדברי ההסבר נאמר, כי: "עקרון העל, המוצע בסעיף 40ב, הוא עקרון ההלימות, ולפיו נדרש יחס הולם בין חומרת מעשי העברה ואשם הנאשם לבין חומרת העונש שיושת עליו. יחס זה מבטא את עקרון הגמול"... גם אם "כוכב הצפון", "העקרון המנחה", כולל בגדרי ההלימות את הגמול לפי חומרת המעשה והנסיבות, לא התעלם המחוקק מיסודות הענישה האחרים, ובהם ההרתעה והשיקום וכן מן הנסיבות האישיות, אך קבע בכורה</w:t>
      </w:r>
      <w:r>
        <w:rPr>
          <w:rFonts w:ascii="Arial" w:hAnsi="Arial" w:cs="Arial" w:hint="cs"/>
          <w:b/>
          <w:bCs/>
          <w:rtl/>
        </w:rPr>
        <w:t>"</w:t>
      </w:r>
      <w:r>
        <w:rPr>
          <w:rFonts w:ascii="Arial" w:hAnsi="Arial" w:cs="Arial" w:hint="cs"/>
          <w:rtl/>
        </w:rPr>
        <w:t xml:space="preserve"> </w:t>
      </w:r>
      <w:r>
        <w:rPr>
          <w:rFonts w:ascii="Arial" w:hAnsi="Arial" w:cs="Arial" w:hint="cs"/>
          <w:sz w:val="20"/>
          <w:szCs w:val="20"/>
          <w:rtl/>
        </w:rPr>
        <w:t>(</w:t>
      </w:r>
      <w:hyperlink r:id="rId14" w:history="1">
        <w:r w:rsidR="00B05DAF" w:rsidRPr="00B05DAF">
          <w:rPr>
            <w:rStyle w:val="Hyperlink"/>
            <w:rFonts w:ascii="Arial" w:hAnsi="Arial" w:cs="Arial"/>
            <w:sz w:val="20"/>
            <w:szCs w:val="20"/>
            <w:rtl/>
          </w:rPr>
          <w:t>ע"פ 1523/10</w:t>
        </w:r>
      </w:hyperlink>
      <w:r>
        <w:rPr>
          <w:rFonts w:ascii="Arial" w:hAnsi="Arial" w:cs="Arial" w:hint="cs"/>
          <w:sz w:val="20"/>
          <w:szCs w:val="20"/>
          <w:rtl/>
        </w:rPr>
        <w:t xml:space="preserve"> </w:t>
      </w:r>
      <w:r>
        <w:rPr>
          <w:rFonts w:ascii="Arial" w:hAnsi="Arial" w:cs="Arial" w:hint="cs"/>
          <w:b/>
          <w:bCs/>
          <w:sz w:val="20"/>
          <w:szCs w:val="20"/>
          <w:rtl/>
        </w:rPr>
        <w:t>פלונית נ' מדינת ישראל</w:t>
      </w:r>
      <w:r>
        <w:rPr>
          <w:rFonts w:ascii="Arial" w:hAnsi="Arial" w:cs="Arial" w:hint="cs"/>
          <w:sz w:val="20"/>
          <w:szCs w:val="20"/>
          <w:rtl/>
        </w:rPr>
        <w:t>, חוות דעתו של השופט רובינשטיין מיום 18/4/12)</w:t>
      </w:r>
      <w:r>
        <w:rPr>
          <w:rFonts w:ascii="Arial" w:hAnsi="Arial" w:cs="Arial" w:hint="cs"/>
          <w:rtl/>
        </w:rPr>
        <w:t xml:space="preserve">. </w:t>
      </w:r>
    </w:p>
    <w:p w14:paraId="35035332" w14:textId="77777777" w:rsidR="00EB6B1A" w:rsidRDefault="00EB6B1A">
      <w:pPr>
        <w:spacing w:line="360" w:lineRule="auto"/>
        <w:ind w:left="720" w:hanging="720"/>
        <w:jc w:val="both"/>
        <w:rPr>
          <w:rFonts w:ascii="Arial" w:hAnsi="Arial" w:cs="Arial"/>
          <w:rtl/>
        </w:rPr>
      </w:pPr>
    </w:p>
    <w:p w14:paraId="5B9B6E84" w14:textId="77777777" w:rsidR="00EB6B1A" w:rsidRDefault="00364277">
      <w:pPr>
        <w:spacing w:line="360" w:lineRule="auto"/>
        <w:ind w:left="720"/>
        <w:jc w:val="both"/>
        <w:rPr>
          <w:rFonts w:ascii="Arial" w:hAnsi="Arial" w:cs="Arial"/>
          <w:rtl/>
        </w:rPr>
      </w:pPr>
      <w:r>
        <w:rPr>
          <w:rFonts w:ascii="Arial" w:hAnsi="Arial" w:cs="Arial" w:hint="cs"/>
          <w:rtl/>
        </w:rPr>
        <w:t xml:space="preserve">לשם הגשמת עקרון זה, קובע החוק מנגנון תלת שלבי, שראשיתו בקביעת מתחם העונש ההולם וסופו בקביעת העונש המתאים לנאשם בתוך המתחם שנקבע, תוך אפשרות לחרוג מהמתחם משיקולי שיקום (לקולה) או הגנה על שלום הציבור (לחומרה) </w:t>
      </w:r>
      <w:r>
        <w:rPr>
          <w:rFonts w:ascii="Arial" w:hAnsi="Arial" w:cs="Arial" w:hint="cs"/>
          <w:sz w:val="20"/>
          <w:szCs w:val="20"/>
          <w:rtl/>
        </w:rPr>
        <w:t>(</w:t>
      </w:r>
      <w:hyperlink r:id="rId15" w:history="1">
        <w:r w:rsidR="00B05DAF" w:rsidRPr="00B05DAF">
          <w:rPr>
            <w:rStyle w:val="Hyperlink"/>
            <w:rFonts w:ascii="Arial" w:hAnsi="Arial" w:cs="Arial"/>
            <w:sz w:val="20"/>
            <w:szCs w:val="20"/>
            <w:rtl/>
          </w:rPr>
          <w:t>ע"פ 1323/13</w:t>
        </w:r>
      </w:hyperlink>
      <w:r>
        <w:rPr>
          <w:rFonts w:ascii="Arial" w:hAnsi="Arial" w:cs="Arial" w:hint="cs"/>
          <w:sz w:val="20"/>
          <w:szCs w:val="20"/>
          <w:rtl/>
        </w:rPr>
        <w:t xml:space="preserve">, </w:t>
      </w:r>
      <w:r>
        <w:rPr>
          <w:rFonts w:ascii="Arial" w:hAnsi="Arial" w:cs="Arial" w:hint="cs"/>
          <w:b/>
          <w:bCs/>
          <w:sz w:val="20"/>
          <w:szCs w:val="20"/>
          <w:rtl/>
        </w:rPr>
        <w:t>חסן ואח' נ' מדינת ישראל</w:t>
      </w:r>
      <w:r>
        <w:rPr>
          <w:rFonts w:ascii="Arial" w:hAnsi="Arial" w:cs="Arial" w:hint="cs"/>
          <w:sz w:val="20"/>
          <w:szCs w:val="20"/>
          <w:rtl/>
        </w:rPr>
        <w:t>, חוות דעתה של כב' השופטת ארבל מיום 05/06/13)</w:t>
      </w:r>
      <w:r>
        <w:rPr>
          <w:rFonts w:ascii="Arial" w:hAnsi="Arial" w:cs="Arial" w:hint="cs"/>
          <w:rtl/>
        </w:rPr>
        <w:t xml:space="preserve">. </w:t>
      </w:r>
    </w:p>
    <w:p w14:paraId="74EBB77C" w14:textId="77777777" w:rsidR="00EB6B1A" w:rsidRDefault="00EB6B1A">
      <w:pPr>
        <w:spacing w:line="360" w:lineRule="auto"/>
        <w:ind w:left="720" w:hanging="720"/>
        <w:jc w:val="both"/>
        <w:rPr>
          <w:rFonts w:ascii="Arial" w:hAnsi="Arial" w:cs="Arial"/>
          <w:rtl/>
        </w:rPr>
      </w:pPr>
    </w:p>
    <w:p w14:paraId="11EB01B7" w14:textId="77777777" w:rsidR="00EB6B1A" w:rsidRDefault="00EB6B1A">
      <w:pPr>
        <w:spacing w:line="360" w:lineRule="auto"/>
        <w:ind w:left="720" w:hanging="720"/>
        <w:jc w:val="both"/>
        <w:rPr>
          <w:rFonts w:ascii="Arial" w:hAnsi="Arial" w:cs="Arial"/>
          <w:rtl/>
        </w:rPr>
      </w:pPr>
    </w:p>
    <w:p w14:paraId="7FAD9215" w14:textId="77777777" w:rsidR="00EB6B1A" w:rsidRDefault="00364277">
      <w:pPr>
        <w:spacing w:line="360" w:lineRule="auto"/>
        <w:ind w:left="720" w:hanging="720"/>
        <w:jc w:val="both"/>
        <w:rPr>
          <w:rFonts w:ascii="Arial" w:hAnsi="Arial" w:cs="Arial"/>
          <w:rtl/>
        </w:rPr>
      </w:pPr>
      <w:r>
        <w:rPr>
          <w:rFonts w:ascii="Arial" w:hAnsi="Arial" w:cs="Arial" w:hint="cs"/>
          <w:rtl/>
        </w:rPr>
        <w:tab/>
        <w:t xml:space="preserve">וכך נקבע על ידי כב' השופטת ארבל בעניין </w:t>
      </w:r>
      <w:r>
        <w:rPr>
          <w:rFonts w:ascii="Arial" w:hAnsi="Arial" w:cs="Arial" w:hint="cs"/>
          <w:b/>
          <w:bCs/>
          <w:rtl/>
        </w:rPr>
        <w:t>חסן</w:t>
      </w:r>
      <w:r>
        <w:rPr>
          <w:rFonts w:ascii="Arial" w:hAnsi="Arial" w:cs="Arial" w:hint="cs"/>
          <w:rtl/>
        </w:rPr>
        <w:t xml:space="preserve"> הנ"ל: </w:t>
      </w:r>
    </w:p>
    <w:p w14:paraId="40CA3035" w14:textId="77777777" w:rsidR="00EB6B1A" w:rsidRDefault="00EB6B1A">
      <w:pPr>
        <w:spacing w:line="360" w:lineRule="auto"/>
        <w:ind w:left="720" w:hanging="720"/>
        <w:jc w:val="both"/>
        <w:rPr>
          <w:rFonts w:ascii="Arial" w:hAnsi="Arial" w:cs="Arial"/>
          <w:rtl/>
        </w:rPr>
      </w:pPr>
    </w:p>
    <w:p w14:paraId="27A82F68" w14:textId="77777777" w:rsidR="00EB6B1A" w:rsidRDefault="00364277">
      <w:pPr>
        <w:ind w:left="1275" w:right="709" w:hanging="720"/>
        <w:jc w:val="both"/>
        <w:rPr>
          <w:rFonts w:ascii="Arial" w:hAnsi="Arial" w:cs="Miriam"/>
          <w:b/>
          <w:bCs/>
          <w:rtl/>
        </w:rPr>
      </w:pPr>
      <w:r>
        <w:rPr>
          <w:rFonts w:ascii="Arial" w:hAnsi="Arial" w:cs="Arial" w:hint="cs"/>
          <w:rtl/>
        </w:rPr>
        <w:tab/>
      </w:r>
      <w:r>
        <w:rPr>
          <w:rFonts w:ascii="Arial" w:hAnsi="Arial" w:cs="Miriam" w:hint="cs"/>
          <w:rtl/>
        </w:rPr>
        <w:t>"</w:t>
      </w:r>
      <w:r>
        <w:rPr>
          <w:rFonts w:ascii="Arial" w:hAnsi="Arial" w:cs="Miriam" w:hint="cs"/>
          <w:b/>
          <w:bCs/>
          <w:rtl/>
        </w:rPr>
        <w:t xml:space="preserve">מתחם העונש ההולם הוא אמת מידה </w:t>
      </w:r>
      <w:r>
        <w:rPr>
          <w:rFonts w:ascii="Arial" w:hAnsi="Arial" w:cs="Arial"/>
          <w:b/>
          <w:bCs/>
          <w:rtl/>
        </w:rPr>
        <w:t>נורמטיבית</w:t>
      </w:r>
      <w:r>
        <w:rPr>
          <w:rFonts w:ascii="Arial" w:hAnsi="Arial" w:cs="Miriam" w:hint="cs"/>
          <w:b/>
          <w:bCs/>
          <w:rtl/>
        </w:rPr>
        <w:t>, המשקללת את הערך החברתי של נפגע כתוצאה מהעבירה,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שתגרם לו ולמשפחתו כתוצאה  מהעונש, מאמציו לחזור למוטב ועברו הפלילי או היעדרו. אולם אין בכך כדי לגרוע מ</w:t>
      </w:r>
      <w:r>
        <w:rPr>
          <w:rFonts w:ascii="Arial" w:hAnsi="Arial" w:cs="Arial"/>
          <w:b/>
          <w:bCs/>
          <w:rtl/>
        </w:rPr>
        <w:t>הצביון האינדיבידואלי</w:t>
      </w:r>
      <w:r>
        <w:rPr>
          <w:rFonts w:ascii="Arial" w:hAnsi="Arial" w:cs="Miriam" w:hint="cs"/>
          <w:rtl/>
        </w:rPr>
        <w:t xml:space="preserve"> </w:t>
      </w:r>
      <w:r>
        <w:rPr>
          <w:rFonts w:ascii="Arial" w:hAnsi="Arial" w:cs="Miriam" w:hint="cs"/>
          <w:b/>
          <w:bCs/>
          <w:rtl/>
        </w:rPr>
        <w:t>שהעניק המחוקק לשלב עיצוב המתחם, אשר בה לידי ביטוי בהוראה להתחשב בסוג העבירה ב</w:t>
      </w:r>
      <w:r>
        <w:rPr>
          <w:rFonts w:ascii="Arial" w:hAnsi="Arial" w:cs="Arial"/>
          <w:b/>
          <w:bCs/>
          <w:rtl/>
        </w:rPr>
        <w:t xml:space="preserve">נסיבות המסויימות </w:t>
      </w:r>
      <w:r>
        <w:rPr>
          <w:rFonts w:ascii="Arial" w:hAnsi="Arial" w:cs="Miriam" w:hint="cs"/>
          <w:b/>
          <w:bCs/>
          <w:rtl/>
        </w:rPr>
        <w:t>שבהן היא בוצעה (למשל: קיומו של תכנון מוקדם, נזק בכוח ובפועל, מידת אכזריות כלפי הקורבן וכו'), ותוך התייחסות למידת האשם של ה</w:t>
      </w:r>
      <w:r>
        <w:rPr>
          <w:rFonts w:ascii="Arial" w:hAnsi="Arial" w:cs="Arial"/>
          <w:b/>
          <w:bCs/>
          <w:rtl/>
        </w:rPr>
        <w:t>נאשם המסוים</w:t>
      </w:r>
      <w:r>
        <w:rPr>
          <w:rFonts w:ascii="Arial" w:hAnsi="Arial" w:cs="Miriam" w:hint="cs"/>
          <w:b/>
          <w:bCs/>
          <w:rtl/>
        </w:rPr>
        <w:t xml:space="preserve"> שלפנינו (למשל: הסיבות שהובילוהו לבצע את העבירה, חלקו היחסי בביצועה, יכולתו להימנע מהמעשה, מצוקתו הנפשית עקב התעללות מצד קורבן העבירה וכו')... </w:t>
      </w:r>
    </w:p>
    <w:p w14:paraId="7A2F6D90" w14:textId="77777777" w:rsidR="00EB6B1A" w:rsidRDefault="00364277">
      <w:pPr>
        <w:ind w:left="1275" w:right="709" w:hanging="720"/>
        <w:jc w:val="both"/>
        <w:rPr>
          <w:rFonts w:ascii="Arial" w:hAnsi="Arial" w:cs="Miriam"/>
          <w:b/>
          <w:bCs/>
          <w:rtl/>
        </w:rPr>
      </w:pPr>
      <w:r>
        <w:rPr>
          <w:rFonts w:ascii="Arial" w:hAnsi="Arial" w:cs="Miriam" w:hint="cs"/>
          <w:b/>
          <w:bCs/>
          <w:rtl/>
        </w:rPr>
        <w:tab/>
        <w:t xml:space="preserve">... כשלעצמי, דומני כי רוחב המתחם שייקבע תלוי במורכבות העבירה הנדונה, כלומר במידת השונות שבנסיבות ביצועה. ככל שתהיינה יותר נסיבות רלבנטיות, המשליכות על חומרת המעשה, הרי שהמתחם יעוצב בצורה פרטנית, קונקרטית ומדוייקת יותר בהתאם לנסיבות אלו. ואולם, בהקשר זה יש לתת את הדעת לעובדה, שככל שנקבע מתחם צר יותר, כך יוענק משקל נמוך יותר לנסיבות שאינן קשורות בביצוע העבירה (המנויות כזכור בסעיף 40יא), שהן ברובן נסיבות המקלות עם הנאשם. ולהיפך: ככל שנקבע מתחם רחב יותר, כך תהיה לנסיבות אלה השפעה גדולה יותר על קביעת העונש... </w:t>
      </w:r>
    </w:p>
    <w:p w14:paraId="088B23C7" w14:textId="77777777" w:rsidR="00EB6B1A" w:rsidRDefault="00364277">
      <w:pPr>
        <w:ind w:left="1275" w:right="709" w:hanging="720"/>
        <w:jc w:val="both"/>
        <w:rPr>
          <w:rFonts w:ascii="Arial" w:hAnsi="Arial" w:cs="Miriam"/>
          <w:rtl/>
        </w:rPr>
      </w:pPr>
      <w:r>
        <w:rPr>
          <w:rFonts w:ascii="Arial" w:hAnsi="Arial" w:cs="Miriam" w:hint="cs"/>
          <w:b/>
          <w:bCs/>
          <w:rtl/>
        </w:rPr>
        <w:tab/>
        <w:t xml:space="preserve">... מתחם העונש ההולם מגלם, כאמור, </w:t>
      </w:r>
      <w:r>
        <w:rPr>
          <w:rFonts w:ascii="Arial" w:hAnsi="Arial" w:cs="Arial"/>
          <w:b/>
          <w:bCs/>
          <w:rtl/>
        </w:rPr>
        <w:t>הכרעה ערכית</w:t>
      </w:r>
      <w:r>
        <w:rPr>
          <w:rFonts w:ascii="Arial" w:hAnsi="Arial" w:cs="Miriam" w:hint="cs"/>
          <w:b/>
          <w:bCs/>
          <w:rtl/>
        </w:rPr>
        <w:t xml:space="preserve"> המבוססת על שיקולים שונים, כאשר מדיניות הענישה הנהוגה בעבירה הנדונה הוא רק אחד מהם... זיהוי מתחם העונש ההולם עם טווח הענישה המקובל (כיום) הוא שגוי גם מאחר שהוא יאפשר הכנסת שיקולים שאינם קשורים בביצוע העבירה לתוך השלב הראשון (של קביעת מתחם העונש), שאמור על פי תיקון 113 להיות "נקי" משיקולים אלה. שהרי, רף הענישה הקיים כיום בפסיקה משקף את משטר הענישה שלפני התיקון, שלא הבחין או דירג בנסיבות הקשורות בביצוע העבירה לבין אלה שאינן קשורות לביצועה, בעת גזירת העונש (ברוב המקרים)... "</w:t>
      </w:r>
      <w:r>
        <w:rPr>
          <w:rFonts w:ascii="Arial" w:hAnsi="Arial" w:cs="Miriam" w:hint="cs"/>
          <w:rtl/>
        </w:rPr>
        <w:t xml:space="preserve">. </w:t>
      </w:r>
    </w:p>
    <w:p w14:paraId="5CE84383" w14:textId="77777777" w:rsidR="00EB6B1A" w:rsidRDefault="00EB6B1A">
      <w:pPr>
        <w:spacing w:line="360" w:lineRule="auto"/>
        <w:ind w:left="720" w:hanging="720"/>
        <w:jc w:val="both"/>
        <w:rPr>
          <w:rFonts w:ascii="Arial" w:hAnsi="Arial" w:cs="Arial"/>
          <w:b/>
          <w:bCs/>
          <w:rtl/>
        </w:rPr>
      </w:pPr>
    </w:p>
    <w:p w14:paraId="5572D799" w14:textId="77777777" w:rsidR="00EB6B1A" w:rsidRDefault="00364277">
      <w:pPr>
        <w:spacing w:line="360" w:lineRule="auto"/>
        <w:ind w:left="720" w:hanging="720"/>
        <w:jc w:val="both"/>
        <w:rPr>
          <w:rFonts w:ascii="Arial" w:hAnsi="Arial" w:cs="Arial"/>
          <w:rtl/>
        </w:rPr>
      </w:pPr>
      <w:r>
        <w:rPr>
          <w:rFonts w:ascii="Arial" w:hAnsi="Arial" w:cs="Arial" w:hint="cs"/>
          <w:rtl/>
        </w:rPr>
        <w:t>10.</w:t>
      </w:r>
      <w:r>
        <w:rPr>
          <w:rFonts w:ascii="Arial" w:hAnsi="Arial" w:cs="Arial" w:hint="cs"/>
          <w:rtl/>
        </w:rPr>
        <w:tab/>
        <w:t xml:space="preserve">על רקע דברים אלה, מקובלת עלינו בקשת המאשימה לקבוע את מתחם העונש ההולם בין 5 ל-8 שנות מאסר. אמנם, הנאשם ביצע במתלוננת "רק" מעשה מגונה, אך מדובר בעבירה שבוצעה באלימות קשה וכוונה כלפי מי שלא הייתה מוכרת לנאשם ואשר אך נקרתה בדרכו בדרך מקרה. הנאשם התנפל עליה, כאשר הייתה בדרכה לזרוק את הזבל בסמוך לביתה, היכה אותה, הפיל אותה על הרצפה, סתם את פיה על מנת שלא תזעק לעזרה, נטל אבן והיכה באמצעותה בראשה, ואף החל להפשיל את מכנסיה ותחתוניה. מעשיו הופסקו רק כיוון ששכן שהגיע למקום, לשמע זעקותיה של המתלוננת, הרחיק אותו מעליה, ולא בשל חרטה כלשהי מצידו של הנאשם. </w:t>
      </w:r>
    </w:p>
    <w:p w14:paraId="31C5EEB6" w14:textId="77777777" w:rsidR="00EB6B1A" w:rsidRDefault="00EB6B1A">
      <w:pPr>
        <w:spacing w:line="360" w:lineRule="auto"/>
        <w:ind w:left="720" w:hanging="720"/>
        <w:jc w:val="both"/>
        <w:rPr>
          <w:rFonts w:ascii="Arial" w:hAnsi="Arial" w:cs="Arial"/>
          <w:rtl/>
        </w:rPr>
      </w:pPr>
    </w:p>
    <w:p w14:paraId="116385B3" w14:textId="77777777" w:rsidR="00EB6B1A" w:rsidRDefault="00EB6B1A">
      <w:pPr>
        <w:spacing w:line="360" w:lineRule="auto"/>
        <w:ind w:left="720" w:hanging="720"/>
        <w:jc w:val="both"/>
        <w:rPr>
          <w:rFonts w:ascii="Arial" w:hAnsi="Arial" w:cs="Arial"/>
          <w:rtl/>
        </w:rPr>
      </w:pPr>
    </w:p>
    <w:p w14:paraId="320CE5BE" w14:textId="77777777" w:rsidR="00EB6B1A" w:rsidRDefault="00EB6B1A">
      <w:pPr>
        <w:spacing w:line="360" w:lineRule="auto"/>
        <w:ind w:left="720" w:hanging="720"/>
        <w:jc w:val="both"/>
        <w:rPr>
          <w:rFonts w:ascii="Arial" w:hAnsi="Arial" w:cs="Arial"/>
          <w:rtl/>
        </w:rPr>
      </w:pPr>
    </w:p>
    <w:p w14:paraId="33D668F7" w14:textId="77777777" w:rsidR="00EB6B1A" w:rsidRDefault="00364277">
      <w:pPr>
        <w:spacing w:line="360" w:lineRule="auto"/>
        <w:ind w:left="720" w:hanging="720"/>
        <w:jc w:val="both"/>
        <w:rPr>
          <w:rFonts w:ascii="Arial" w:hAnsi="Arial" w:cs="Arial"/>
          <w:rtl/>
        </w:rPr>
      </w:pPr>
      <w:r>
        <w:rPr>
          <w:rFonts w:ascii="Arial" w:hAnsi="Arial" w:cs="Arial" w:hint="cs"/>
          <w:rtl/>
        </w:rPr>
        <w:tab/>
        <w:t xml:space="preserve">מדובר במקרה בעל חומרה רבה, אף שלא הגיע, למרבית המזל, לדרגת אונס. המתלוננת הותקפה ונפגעה על ידי הנאשם, ואף שלא הוגש תסקיר קורבן אודותיה, לא קשה להניח, כי המקרה הקשה הותיר בה חותם, והדבר אף בא לידי ביטוי במכתב ששלחה אלינו ובמסמכים הרפואיים שהוגשו אודותיה. </w:t>
      </w:r>
    </w:p>
    <w:p w14:paraId="43859563" w14:textId="77777777" w:rsidR="00EB6B1A" w:rsidRDefault="00EB6B1A">
      <w:pPr>
        <w:spacing w:line="360" w:lineRule="auto"/>
        <w:ind w:left="720" w:hanging="720"/>
        <w:jc w:val="both"/>
        <w:rPr>
          <w:rFonts w:ascii="Arial" w:hAnsi="Arial" w:cs="Arial"/>
          <w:rtl/>
        </w:rPr>
      </w:pPr>
    </w:p>
    <w:p w14:paraId="76C0BFA4" w14:textId="77777777" w:rsidR="00EB6B1A" w:rsidRDefault="00364277">
      <w:pPr>
        <w:spacing w:line="360" w:lineRule="auto"/>
        <w:ind w:left="720" w:hanging="720"/>
        <w:jc w:val="both"/>
        <w:rPr>
          <w:rFonts w:ascii="Arial" w:hAnsi="Arial" w:cs="Arial"/>
          <w:rtl/>
        </w:rPr>
      </w:pPr>
      <w:r>
        <w:rPr>
          <w:rFonts w:ascii="Arial" w:hAnsi="Arial" w:cs="Arial" w:hint="cs"/>
          <w:rtl/>
        </w:rPr>
        <w:tab/>
        <w:t xml:space="preserve">תכלית חברתית ומוסרית חשובה, הטמונה בבסיס דיני העונשין, היא להגן על ערכי החברה שמופרים על ידי התנהגות שמוגדרת כפלילית. שלומן של נשים והגנה עליהן מפני מעשים מכוערים כגון אלה שביצע הנאשם, מהווה נדבך חשוב ועיקרי בשיטת המשפט שלנו. העונשים שביהמ"ש גוזר על נאשמים, צריכים לשקף את סלידתה של החברה מהפגיעה באשה ואת הצורך להרתיע עבריינים פוטנציאליים. בין יתר התפקידים של החברה, אנו מוצאים את הצורך להגן על הנשים מפני מעשי אלימות, לרבות אלימות מינית, ומכאן שאין צורך להרחיב, מעבר למה שכבר נאמר, באשר לחומרת העבירות בהן הורשע הנאשם. הוא פגע בגופה של המתלוננת ורמס את כבודה. הוא פגע בזכותה לאוטונומיה על גופה ועל נפשה, וגם אם מדובר באירוע שנמשך זמן קצר בלבד, וגם אם מדובר "רק" במעשה מגונה שלא הגיע לכלל אינוס, וגם אם יש עבירות מין קשות מאלה, הרי שהמעשים, כמות שהם, חמורים הם, והנזק שגרמו למתלוננת, עלול ללוות אותה עוד שנים רבות. </w:t>
      </w:r>
    </w:p>
    <w:p w14:paraId="5B84FE1F" w14:textId="77777777" w:rsidR="00EB6B1A" w:rsidRDefault="00EB6B1A">
      <w:pPr>
        <w:spacing w:line="360" w:lineRule="auto"/>
        <w:ind w:left="720" w:hanging="720"/>
        <w:jc w:val="both"/>
        <w:rPr>
          <w:rFonts w:ascii="Arial" w:hAnsi="Arial" w:cs="Arial"/>
          <w:rtl/>
        </w:rPr>
      </w:pPr>
    </w:p>
    <w:p w14:paraId="1815DBBB" w14:textId="77777777" w:rsidR="00EB6B1A" w:rsidRDefault="00364277">
      <w:pPr>
        <w:spacing w:line="360" w:lineRule="auto"/>
        <w:ind w:left="720" w:hanging="720"/>
        <w:jc w:val="both"/>
        <w:rPr>
          <w:rFonts w:ascii="Arial" w:hAnsi="Arial" w:cs="Arial"/>
          <w:rtl/>
        </w:rPr>
      </w:pPr>
      <w:r>
        <w:rPr>
          <w:rFonts w:ascii="Arial" w:hAnsi="Arial" w:cs="Arial" w:hint="cs"/>
          <w:rtl/>
        </w:rPr>
        <w:tab/>
        <w:t xml:space="preserve">מתחם העונש ההולם, כפי שקבענו לעיל, מביא בחשבון את הנסיבות הקשורות בביצוע העבירה; את הנזק שנגרם ועוד צפוי להיגרם מביצועה; ואת האכזריות, האלימות וההתעללות של הנאשם במתלוננת. אכן, הנאשם היה שיכור בעת ביצוע המעשים, וניתן היה לטעון, כי יכולתו להימנע מהמעשה ולשלוט במעשיו הייתה מועטה בשל כך, אולם הנאשם נהג להשתכר פעמים רבות, וידע כי יש לכך השפעה שלילית על מעשיו. חרף זאת, לא פנה מיוזמתו להליך גמילה, אלא הכניס עצמו מדעת לתוך מצב אשר בהיותו נתון בו, הוא יכול לסכן אחרים, ועל כן אין אנו סבורים שיש בכך נימוק להקלה בעונשו או במתחם העונש ההולם את נסיבות האירוע. </w:t>
      </w:r>
    </w:p>
    <w:p w14:paraId="199B6110" w14:textId="77777777" w:rsidR="00EB6B1A" w:rsidRDefault="00EB6B1A">
      <w:pPr>
        <w:spacing w:line="360" w:lineRule="auto"/>
        <w:ind w:left="720" w:hanging="720"/>
        <w:jc w:val="both"/>
        <w:rPr>
          <w:rFonts w:ascii="Arial" w:hAnsi="Arial" w:cs="Arial"/>
          <w:rtl/>
        </w:rPr>
      </w:pPr>
    </w:p>
    <w:p w14:paraId="78E76B44" w14:textId="77777777" w:rsidR="00EB6B1A" w:rsidRDefault="00364277">
      <w:pPr>
        <w:spacing w:line="360" w:lineRule="auto"/>
        <w:ind w:left="720" w:hanging="720"/>
        <w:jc w:val="both"/>
        <w:rPr>
          <w:rFonts w:ascii="Arial" w:hAnsi="Arial" w:cs="Arial"/>
          <w:rtl/>
        </w:rPr>
      </w:pPr>
      <w:r>
        <w:rPr>
          <w:rFonts w:ascii="Arial" w:hAnsi="Arial" w:cs="Arial" w:hint="cs"/>
          <w:rtl/>
        </w:rPr>
        <w:t>11.</w:t>
      </w:r>
      <w:r>
        <w:rPr>
          <w:rFonts w:ascii="Arial" w:hAnsi="Arial" w:cs="Arial" w:hint="cs"/>
          <w:rtl/>
        </w:rPr>
        <w:tab/>
        <w:t>אשר לעונש הראוי לגזור על הנאשם בתוך המתחם כפי שנקבע לעיל, נתחשב בעברו הפלילי של הנאשם; בכך שכבר ריצה בעבר עונשי מאסר, אך גם מעולם לא נדון בגין עבירות מין; בנטילת האחריות של הנאשם על מעשיו; בשיתוף הפעולה של הנאשם ובהודייתו בעובדות, תוך שחסך מהמתלוננת את הסבל הנוסף שבמתן עדות; בהתנהגותו החיובית של הנאשם, כפי שזו באה לידי ביטוי בדברי שכניו, ובנסיבות חייו.</w:t>
      </w:r>
    </w:p>
    <w:p w14:paraId="610B0257" w14:textId="77777777" w:rsidR="00EB6B1A" w:rsidRDefault="00EB6B1A">
      <w:pPr>
        <w:spacing w:line="360" w:lineRule="auto"/>
        <w:ind w:left="720" w:hanging="720"/>
        <w:jc w:val="both"/>
        <w:rPr>
          <w:rFonts w:ascii="Arial" w:hAnsi="Arial" w:cs="Arial"/>
          <w:rtl/>
        </w:rPr>
      </w:pPr>
    </w:p>
    <w:p w14:paraId="7E65C082" w14:textId="77777777" w:rsidR="00EB6B1A" w:rsidRDefault="00EB6B1A">
      <w:pPr>
        <w:spacing w:line="360" w:lineRule="auto"/>
        <w:ind w:left="720" w:hanging="720"/>
        <w:jc w:val="both"/>
        <w:rPr>
          <w:rFonts w:ascii="Arial" w:hAnsi="Arial" w:cs="Arial"/>
          <w:rtl/>
        </w:rPr>
      </w:pPr>
    </w:p>
    <w:p w14:paraId="20973390" w14:textId="77777777" w:rsidR="00EB6B1A" w:rsidRDefault="00364277">
      <w:pPr>
        <w:spacing w:line="360" w:lineRule="auto"/>
        <w:ind w:left="720" w:hanging="720"/>
        <w:jc w:val="both"/>
        <w:rPr>
          <w:rFonts w:ascii="Arial" w:hAnsi="Arial" w:cs="Arial"/>
          <w:rtl/>
        </w:rPr>
      </w:pPr>
      <w:r>
        <w:rPr>
          <w:rFonts w:ascii="Arial" w:hAnsi="Arial" w:cs="Arial" w:hint="cs"/>
          <w:rtl/>
        </w:rPr>
        <w:t>12.</w:t>
      </w:r>
      <w:r>
        <w:rPr>
          <w:rFonts w:ascii="Arial" w:hAnsi="Arial" w:cs="Arial" w:hint="cs"/>
          <w:rtl/>
        </w:rPr>
        <w:tab/>
        <w:t xml:space="preserve">נוכח כל האמור לעיל, אנו דנים את הנאשם לעונשים הבאים: </w:t>
      </w:r>
    </w:p>
    <w:p w14:paraId="63A1EA5C" w14:textId="77777777" w:rsidR="00EB6B1A" w:rsidRDefault="00EB6B1A">
      <w:pPr>
        <w:spacing w:line="360" w:lineRule="auto"/>
        <w:ind w:left="720" w:hanging="720"/>
        <w:jc w:val="both"/>
        <w:rPr>
          <w:rFonts w:ascii="Arial" w:hAnsi="Arial" w:cs="Arial"/>
          <w:rtl/>
        </w:rPr>
      </w:pPr>
    </w:p>
    <w:p w14:paraId="55A8BD76" w14:textId="77777777" w:rsidR="00EB6B1A" w:rsidRDefault="00364277">
      <w:pPr>
        <w:spacing w:line="360" w:lineRule="auto"/>
        <w:ind w:left="1440" w:hanging="720"/>
        <w:jc w:val="both"/>
        <w:rPr>
          <w:rFonts w:ascii="Arial" w:hAnsi="Arial" w:cs="Arial"/>
          <w:rtl/>
        </w:rPr>
      </w:pPr>
      <w:r>
        <w:rPr>
          <w:rFonts w:ascii="Arial" w:hAnsi="Arial" w:cs="Arial" w:hint="cs"/>
          <w:rtl/>
        </w:rPr>
        <w:t>א.</w:t>
      </w:r>
      <w:r>
        <w:rPr>
          <w:rFonts w:ascii="Arial" w:hAnsi="Arial" w:cs="Arial" w:hint="cs"/>
          <w:rtl/>
        </w:rPr>
        <w:tab/>
        <w:t xml:space="preserve">מאסר בפועל למשך 6.5 שנים החל מיום המעצר, היינו - החל מיום 10/11/12. </w:t>
      </w:r>
    </w:p>
    <w:p w14:paraId="4579433D" w14:textId="77777777" w:rsidR="00EB6B1A" w:rsidRDefault="00EB6B1A">
      <w:pPr>
        <w:spacing w:line="360" w:lineRule="auto"/>
        <w:ind w:left="1440" w:hanging="720"/>
        <w:jc w:val="both"/>
        <w:rPr>
          <w:rFonts w:ascii="Arial" w:hAnsi="Arial" w:cs="Arial"/>
          <w:rtl/>
        </w:rPr>
      </w:pPr>
    </w:p>
    <w:p w14:paraId="5815602A" w14:textId="77777777" w:rsidR="00EB6B1A" w:rsidRDefault="00364277">
      <w:pPr>
        <w:spacing w:line="360" w:lineRule="auto"/>
        <w:ind w:left="1440" w:hanging="720"/>
        <w:jc w:val="both"/>
        <w:rPr>
          <w:rFonts w:ascii="Arial" w:hAnsi="Arial" w:cs="Arial"/>
          <w:rtl/>
        </w:rPr>
      </w:pPr>
      <w:r>
        <w:rPr>
          <w:rFonts w:ascii="Arial" w:hAnsi="Arial" w:cs="Arial" w:hint="cs"/>
          <w:rtl/>
        </w:rPr>
        <w:t>ב.</w:t>
      </w:r>
      <w:r>
        <w:rPr>
          <w:rFonts w:ascii="Arial" w:hAnsi="Arial" w:cs="Arial" w:hint="cs"/>
          <w:rtl/>
        </w:rPr>
        <w:tab/>
        <w:t xml:space="preserve">מאסר על תנאי למשך 12 חודשים והתנאי שהנאשם לא יעבור כל עבירה מסוג פשע תוך 3 שנים מיום שחרורו. </w:t>
      </w:r>
    </w:p>
    <w:p w14:paraId="4716FF67" w14:textId="77777777" w:rsidR="00EB6B1A" w:rsidRDefault="00EB6B1A">
      <w:pPr>
        <w:spacing w:line="360" w:lineRule="auto"/>
        <w:ind w:left="1440" w:hanging="720"/>
        <w:jc w:val="both"/>
        <w:rPr>
          <w:rFonts w:ascii="Arial" w:hAnsi="Arial" w:cs="Arial"/>
          <w:rtl/>
        </w:rPr>
      </w:pPr>
    </w:p>
    <w:p w14:paraId="5850EB95" w14:textId="77777777" w:rsidR="00EB6B1A" w:rsidRDefault="00364277">
      <w:pPr>
        <w:spacing w:line="360" w:lineRule="auto"/>
        <w:ind w:left="1440" w:hanging="720"/>
        <w:jc w:val="both"/>
        <w:rPr>
          <w:rFonts w:ascii="Arial" w:hAnsi="Arial" w:cs="Arial"/>
          <w:rtl/>
        </w:rPr>
      </w:pPr>
      <w:r>
        <w:rPr>
          <w:rFonts w:ascii="Arial" w:hAnsi="Arial" w:cs="Arial" w:hint="cs"/>
          <w:rtl/>
        </w:rPr>
        <w:t>ג.</w:t>
      </w:r>
      <w:r>
        <w:rPr>
          <w:rFonts w:ascii="Arial" w:hAnsi="Arial" w:cs="Arial" w:hint="cs"/>
          <w:rtl/>
        </w:rPr>
        <w:tab/>
        <w:t xml:space="preserve">הנאשם יפצה את המתלוננת פיצוי סמלי בסך 50,000 ₪. </w:t>
      </w:r>
    </w:p>
    <w:p w14:paraId="336A92D0" w14:textId="77777777" w:rsidR="00EB6B1A" w:rsidRDefault="00EB6B1A">
      <w:pPr>
        <w:spacing w:line="360" w:lineRule="auto"/>
        <w:ind w:left="720" w:hanging="720"/>
        <w:jc w:val="both"/>
        <w:rPr>
          <w:rFonts w:ascii="Arial" w:hAnsi="Arial" w:cs="Arial"/>
          <w:rtl/>
        </w:rPr>
      </w:pPr>
    </w:p>
    <w:p w14:paraId="1A8F0DAE" w14:textId="77777777" w:rsidR="00EB6B1A" w:rsidRDefault="00EB6B1A">
      <w:pPr>
        <w:jc w:val="both"/>
        <w:rPr>
          <w:rFonts w:ascii="Arial" w:hAnsi="Arial" w:cs="Arial"/>
          <w:rtl/>
        </w:rPr>
      </w:pPr>
    </w:p>
    <w:p w14:paraId="7D0C9710" w14:textId="77777777" w:rsidR="00EB6B1A" w:rsidRDefault="00EB6B1A">
      <w:pPr>
        <w:jc w:val="both"/>
        <w:rPr>
          <w:rFonts w:ascii="Arial" w:hAnsi="Arial" w:cs="Arial"/>
          <w:rtl/>
        </w:rPr>
      </w:pPr>
    </w:p>
    <w:p w14:paraId="670C2C42" w14:textId="77777777" w:rsidR="00EB6B1A" w:rsidRDefault="00EB6B1A">
      <w:pPr>
        <w:jc w:val="both"/>
        <w:rPr>
          <w:rFonts w:ascii="Arial" w:hAnsi="Arial" w:cs="Arial"/>
          <w:b/>
          <w:bCs/>
          <w:rtl/>
        </w:rPr>
      </w:pPr>
    </w:p>
    <w:p w14:paraId="590ACC19" w14:textId="77777777" w:rsidR="00EB6B1A" w:rsidRDefault="00364277">
      <w:pPr>
        <w:jc w:val="both"/>
        <w:rPr>
          <w:rFonts w:ascii="Arial" w:hAnsi="Arial" w:cs="Arial"/>
          <w:b/>
          <w:bCs/>
          <w:rtl/>
        </w:rPr>
      </w:pPr>
      <w:r>
        <w:rPr>
          <w:rFonts w:ascii="Arial" w:hAnsi="Arial" w:cs="Arial" w:hint="cs"/>
          <w:b/>
          <w:bCs/>
          <w:rtl/>
        </w:rPr>
        <w:t>זכות ערעור תוך 45 יום לביהמ"ש העליון.</w:t>
      </w:r>
    </w:p>
    <w:p w14:paraId="0E44B90C" w14:textId="77777777" w:rsidR="00EB6B1A" w:rsidRDefault="00EB6B1A">
      <w:pPr>
        <w:jc w:val="both"/>
        <w:rPr>
          <w:rFonts w:ascii="Arial" w:hAnsi="Arial" w:cs="Arial"/>
          <w:b/>
          <w:bCs/>
          <w:rtl/>
        </w:rPr>
      </w:pPr>
    </w:p>
    <w:p w14:paraId="7D7BAC4A" w14:textId="77777777" w:rsidR="00EB6B1A" w:rsidRDefault="00EB6B1A">
      <w:pPr>
        <w:rPr>
          <w:rFonts w:ascii="Arial" w:hAnsi="Arial" w:cs="Arial"/>
          <w:rtl/>
        </w:rPr>
      </w:pPr>
    </w:p>
    <w:p w14:paraId="0C8D9629" w14:textId="77777777" w:rsidR="00EB6B1A" w:rsidRDefault="00EB6B1A">
      <w:pPr>
        <w:rPr>
          <w:rFonts w:ascii="Arial" w:hAnsi="Arial" w:cs="Arial"/>
          <w:rtl/>
        </w:rPr>
      </w:pPr>
    </w:p>
    <w:p w14:paraId="2EC65F5D" w14:textId="77777777" w:rsidR="00EB6B1A" w:rsidRDefault="00364277">
      <w:pPr>
        <w:spacing w:line="360" w:lineRule="auto"/>
        <w:jc w:val="both"/>
        <w:rPr>
          <w:rFonts w:ascii="Arial" w:hAnsi="Arial" w:cs="Arial"/>
          <w:b/>
          <w:bCs/>
          <w:rtl/>
        </w:rPr>
      </w:pPr>
      <w:r>
        <w:rPr>
          <w:rFonts w:ascii="Arial" w:hAnsi="Arial" w:cs="Arial"/>
          <w:b/>
          <w:bCs/>
          <w:rtl/>
        </w:rPr>
        <w:t xml:space="preserve">ניתן היום,  א' באב תשע"ג, 8 ליולי 2013, במעמד הצדדים. </w:t>
      </w:r>
    </w:p>
    <w:p w14:paraId="0B453CAB" w14:textId="77777777" w:rsidR="00EB6B1A" w:rsidRDefault="00EB6B1A">
      <w:pPr>
        <w:spacing w:line="360" w:lineRule="auto"/>
        <w:jc w:val="both"/>
        <w:rPr>
          <w:rFonts w:ascii="Arial" w:hAnsi="Arial" w:cs="Arial"/>
          <w:b/>
          <w:bCs/>
          <w:rtl/>
        </w:rPr>
      </w:pPr>
    </w:p>
    <w:p w14:paraId="7A352357" w14:textId="77777777" w:rsidR="00EB6B1A" w:rsidRDefault="00EB6B1A">
      <w:pPr>
        <w:rPr>
          <w:rtl/>
        </w:rPr>
      </w:pPr>
    </w:p>
    <w:tbl>
      <w:tblPr>
        <w:bidiVisual/>
        <w:tblW w:w="0" w:type="auto"/>
        <w:tblLook w:val="01E0" w:firstRow="1" w:lastRow="1" w:firstColumn="1" w:lastColumn="1" w:noHBand="0" w:noVBand="0"/>
      </w:tblPr>
      <w:tblGrid>
        <w:gridCol w:w="2654"/>
        <w:gridCol w:w="236"/>
        <w:gridCol w:w="2104"/>
        <w:gridCol w:w="236"/>
        <w:gridCol w:w="3008"/>
      </w:tblGrid>
      <w:tr w:rsidR="00EB6B1A" w14:paraId="2539F5E9" w14:textId="77777777">
        <w:tc>
          <w:tcPr>
            <w:tcW w:w="2654" w:type="dxa"/>
            <w:tcBorders>
              <w:top w:val="nil"/>
              <w:left w:val="nil"/>
              <w:bottom w:val="single" w:sz="4" w:space="0" w:color="auto"/>
              <w:right w:val="nil"/>
            </w:tcBorders>
            <w:vAlign w:val="center"/>
          </w:tcPr>
          <w:p w14:paraId="6399BBC9" w14:textId="77777777" w:rsidR="00EB6B1A" w:rsidRDefault="00EB6B1A">
            <w:pPr>
              <w:jc w:val="center"/>
              <w:rPr>
                <w:rFonts w:ascii="Courier New" w:hAnsi="Courier New"/>
                <w:b/>
                <w:bCs/>
              </w:rPr>
            </w:pPr>
          </w:p>
        </w:tc>
        <w:tc>
          <w:tcPr>
            <w:tcW w:w="236" w:type="dxa"/>
            <w:vAlign w:val="center"/>
          </w:tcPr>
          <w:p w14:paraId="1BC5FF8A" w14:textId="77777777" w:rsidR="00EB6B1A" w:rsidRDefault="00EB6B1A">
            <w:pPr>
              <w:jc w:val="center"/>
              <w:rPr>
                <w:rFonts w:ascii="Courier New" w:hAnsi="Courier New"/>
                <w:b/>
                <w:bCs/>
              </w:rPr>
            </w:pPr>
          </w:p>
        </w:tc>
        <w:tc>
          <w:tcPr>
            <w:tcW w:w="2104" w:type="dxa"/>
            <w:tcBorders>
              <w:top w:val="nil"/>
              <w:left w:val="nil"/>
              <w:bottom w:val="single" w:sz="4" w:space="0" w:color="auto"/>
              <w:right w:val="nil"/>
            </w:tcBorders>
            <w:vAlign w:val="center"/>
          </w:tcPr>
          <w:p w14:paraId="15E90BBB" w14:textId="77777777" w:rsidR="00EB6B1A" w:rsidRDefault="00EB6B1A">
            <w:pPr>
              <w:jc w:val="center"/>
              <w:rPr>
                <w:rFonts w:ascii="Courier New" w:hAnsi="Courier New"/>
                <w:b/>
                <w:bCs/>
                <w:sz w:val="20"/>
                <w:szCs w:val="20"/>
              </w:rPr>
            </w:pPr>
          </w:p>
        </w:tc>
        <w:tc>
          <w:tcPr>
            <w:tcW w:w="236" w:type="dxa"/>
            <w:vAlign w:val="center"/>
          </w:tcPr>
          <w:p w14:paraId="2873BA0F" w14:textId="77777777" w:rsidR="00EB6B1A" w:rsidRDefault="00EB6B1A">
            <w:pPr>
              <w:jc w:val="center"/>
              <w:rPr>
                <w:rFonts w:ascii="Courier New" w:hAnsi="Courier New"/>
                <w:b/>
                <w:bCs/>
              </w:rPr>
            </w:pPr>
          </w:p>
        </w:tc>
        <w:tc>
          <w:tcPr>
            <w:tcW w:w="3008" w:type="dxa"/>
            <w:tcBorders>
              <w:top w:val="nil"/>
              <w:left w:val="nil"/>
              <w:bottom w:val="single" w:sz="4" w:space="0" w:color="auto"/>
              <w:right w:val="nil"/>
            </w:tcBorders>
            <w:vAlign w:val="center"/>
          </w:tcPr>
          <w:p w14:paraId="7AB5A2F8" w14:textId="77777777" w:rsidR="00EB6B1A" w:rsidRDefault="00EB6B1A">
            <w:pPr>
              <w:jc w:val="center"/>
              <w:rPr>
                <w:rFonts w:ascii="Courier New" w:hAnsi="Courier New"/>
                <w:b/>
                <w:bCs/>
                <w:sz w:val="20"/>
                <w:szCs w:val="20"/>
              </w:rPr>
            </w:pPr>
          </w:p>
        </w:tc>
      </w:tr>
      <w:tr w:rsidR="00EB6B1A" w14:paraId="51FC3D4E" w14:textId="77777777">
        <w:tc>
          <w:tcPr>
            <w:tcW w:w="2654" w:type="dxa"/>
            <w:tcBorders>
              <w:top w:val="single" w:sz="4" w:space="0" w:color="auto"/>
              <w:left w:val="nil"/>
              <w:bottom w:val="nil"/>
              <w:right w:val="nil"/>
            </w:tcBorders>
            <w:vAlign w:val="bottom"/>
          </w:tcPr>
          <w:p w14:paraId="3B9BC230" w14:textId="77777777" w:rsidR="00EB6B1A" w:rsidRDefault="00364277">
            <w:pPr>
              <w:jc w:val="center"/>
            </w:pPr>
            <w:r>
              <w:rPr>
                <w:rFonts w:ascii="Arial" w:hAnsi="Arial" w:cs="Arial"/>
                <w:b/>
                <w:bCs/>
                <w:rtl/>
              </w:rPr>
              <w:t>ס.</w:t>
            </w:r>
            <w:r>
              <w:rPr>
                <w:rFonts w:ascii="Arial" w:hAnsi="Arial" w:cs="Arial" w:hint="cs"/>
                <w:b/>
                <w:bCs/>
                <w:rtl/>
              </w:rPr>
              <w:t xml:space="preserve"> </w:t>
            </w:r>
            <w:r>
              <w:rPr>
                <w:rFonts w:ascii="Arial" w:hAnsi="Arial" w:cs="Arial"/>
                <w:b/>
                <w:bCs/>
                <w:rtl/>
              </w:rPr>
              <w:t>הנשיא, ר</w:t>
            </w:r>
            <w:r>
              <w:rPr>
                <w:rFonts w:ascii="Arial" w:hAnsi="Arial" w:cs="Arial" w:hint="cs"/>
                <w:b/>
                <w:bCs/>
                <w:rtl/>
              </w:rPr>
              <w:t xml:space="preserve">ויטל </w:t>
            </w:r>
            <w:r>
              <w:rPr>
                <w:rFonts w:ascii="Arial" w:hAnsi="Arial" w:cs="Arial"/>
                <w:b/>
                <w:bCs/>
                <w:rtl/>
              </w:rPr>
              <w:t>יפה-כ"ץ</w:t>
            </w:r>
          </w:p>
          <w:p w14:paraId="61757D68" w14:textId="77777777" w:rsidR="00EB6B1A" w:rsidRDefault="00364277">
            <w:pPr>
              <w:jc w:val="center"/>
              <w:rPr>
                <w:rtl/>
              </w:rPr>
            </w:pPr>
            <w:r>
              <w:rPr>
                <w:rFonts w:ascii="Arial" w:hAnsi="Arial" w:cs="Arial"/>
                <w:b/>
                <w:bCs/>
                <w:rtl/>
              </w:rPr>
              <w:t>אב"ד</w:t>
            </w:r>
          </w:p>
          <w:p w14:paraId="7358F40B" w14:textId="77777777" w:rsidR="00EB6B1A" w:rsidRDefault="00EB6B1A">
            <w:pPr>
              <w:jc w:val="center"/>
              <w:rPr>
                <w:rFonts w:ascii="Courier New" w:hAnsi="Courier New"/>
                <w:b/>
                <w:bCs/>
              </w:rPr>
            </w:pPr>
          </w:p>
        </w:tc>
        <w:tc>
          <w:tcPr>
            <w:tcW w:w="236" w:type="dxa"/>
            <w:vAlign w:val="bottom"/>
          </w:tcPr>
          <w:p w14:paraId="36972E1A" w14:textId="77777777" w:rsidR="00EB6B1A" w:rsidRDefault="00EB6B1A">
            <w:pPr>
              <w:jc w:val="center"/>
              <w:rPr>
                <w:rFonts w:ascii="Courier New" w:hAnsi="Courier New"/>
                <w:b/>
                <w:bCs/>
              </w:rPr>
            </w:pPr>
          </w:p>
        </w:tc>
        <w:tc>
          <w:tcPr>
            <w:tcW w:w="2104" w:type="dxa"/>
            <w:tcBorders>
              <w:top w:val="single" w:sz="4" w:space="0" w:color="auto"/>
              <w:left w:val="nil"/>
              <w:bottom w:val="nil"/>
              <w:right w:val="nil"/>
            </w:tcBorders>
          </w:tcPr>
          <w:p w14:paraId="60D068B2" w14:textId="77777777" w:rsidR="00EB6B1A" w:rsidRDefault="00364277">
            <w:pPr>
              <w:jc w:val="center"/>
              <w:rPr>
                <w:rFonts w:ascii="Arial" w:hAnsi="Arial" w:cs="Arial"/>
                <w:b/>
                <w:bCs/>
              </w:rPr>
            </w:pPr>
            <w:r>
              <w:rPr>
                <w:rFonts w:ascii="Arial" w:hAnsi="Arial" w:cs="Arial"/>
                <w:b/>
                <w:bCs/>
                <w:rtl/>
              </w:rPr>
              <w:t>אריאל ואגו, שופט</w:t>
            </w:r>
          </w:p>
        </w:tc>
        <w:tc>
          <w:tcPr>
            <w:tcW w:w="236" w:type="dxa"/>
          </w:tcPr>
          <w:p w14:paraId="364D58EB" w14:textId="77777777" w:rsidR="00EB6B1A" w:rsidRDefault="00EB6B1A">
            <w:pPr>
              <w:jc w:val="center"/>
              <w:rPr>
                <w:rFonts w:ascii="Arial" w:hAnsi="Arial" w:cs="Arial"/>
                <w:b/>
                <w:bCs/>
              </w:rPr>
            </w:pPr>
          </w:p>
        </w:tc>
        <w:tc>
          <w:tcPr>
            <w:tcW w:w="3008" w:type="dxa"/>
            <w:tcBorders>
              <w:top w:val="single" w:sz="4" w:space="0" w:color="auto"/>
              <w:left w:val="nil"/>
              <w:bottom w:val="nil"/>
              <w:right w:val="nil"/>
            </w:tcBorders>
          </w:tcPr>
          <w:p w14:paraId="50590A8F" w14:textId="77777777" w:rsidR="00364277" w:rsidRDefault="00364277">
            <w:pPr>
              <w:jc w:val="center"/>
              <w:rPr>
                <w:rFonts w:ascii="Arial" w:hAnsi="Arial" w:cs="Arial"/>
                <w:b/>
                <w:bCs/>
              </w:rPr>
            </w:pPr>
            <w:r>
              <w:rPr>
                <w:rFonts w:ascii="Arial" w:hAnsi="Arial" w:cs="Arial"/>
                <w:b/>
                <w:bCs/>
                <w:rtl/>
              </w:rPr>
              <w:t>יורם צלקובניק, שופט</w:t>
            </w:r>
          </w:p>
          <w:p w14:paraId="02F6EBF7" w14:textId="77777777" w:rsidR="00364277" w:rsidRDefault="00364277">
            <w:pPr>
              <w:jc w:val="center"/>
              <w:rPr>
                <w:rFonts w:ascii="Arial" w:hAnsi="Arial" w:cs="Arial"/>
                <w:b/>
                <w:bCs/>
                <w:rtl/>
              </w:rPr>
            </w:pPr>
          </w:p>
          <w:p w14:paraId="55C7184E" w14:textId="77777777" w:rsidR="00EB6B1A" w:rsidRDefault="00EB6B1A">
            <w:pPr>
              <w:jc w:val="center"/>
              <w:rPr>
                <w:rFonts w:ascii="Arial" w:hAnsi="Arial" w:cs="Arial"/>
                <w:b/>
                <w:bCs/>
              </w:rPr>
            </w:pPr>
          </w:p>
        </w:tc>
      </w:tr>
    </w:tbl>
    <w:p w14:paraId="54C8C96D" w14:textId="77777777" w:rsidR="00364277" w:rsidRPr="00364277" w:rsidRDefault="00364277" w:rsidP="00364277">
      <w:pPr>
        <w:keepNext/>
        <w:rPr>
          <w:rFonts w:ascii="David" w:hAnsi="David"/>
          <w:color w:val="000000"/>
          <w:sz w:val="22"/>
          <w:szCs w:val="22"/>
          <w:rtl/>
        </w:rPr>
      </w:pPr>
    </w:p>
    <w:p w14:paraId="35E4509C" w14:textId="77777777" w:rsidR="00364277" w:rsidRPr="00364277" w:rsidRDefault="00364277" w:rsidP="00364277">
      <w:pPr>
        <w:keepNext/>
        <w:rPr>
          <w:rFonts w:ascii="David" w:hAnsi="David"/>
          <w:color w:val="000000"/>
          <w:sz w:val="22"/>
          <w:szCs w:val="22"/>
          <w:rtl/>
        </w:rPr>
      </w:pPr>
      <w:r w:rsidRPr="00364277">
        <w:rPr>
          <w:rFonts w:ascii="David" w:hAnsi="David"/>
          <w:color w:val="000000"/>
          <w:sz w:val="22"/>
          <w:szCs w:val="22"/>
          <w:rtl/>
        </w:rPr>
        <w:t>ס. ר. יפה כ"ץ 54678313</w:t>
      </w:r>
    </w:p>
    <w:p w14:paraId="12F54DBC" w14:textId="77777777" w:rsidR="00EB6B1A" w:rsidRPr="00364277" w:rsidRDefault="00364277">
      <w:pPr>
        <w:rPr>
          <w:color w:val="FFFFFF"/>
          <w:sz w:val="2"/>
          <w:szCs w:val="2"/>
        </w:rPr>
      </w:pPr>
      <w:r w:rsidRPr="00364277">
        <w:rPr>
          <w:color w:val="FFFFFF"/>
          <w:sz w:val="2"/>
          <w:szCs w:val="2"/>
          <w:rtl/>
        </w:rPr>
        <w:t>5129371</w:t>
      </w:r>
    </w:p>
    <w:p w14:paraId="67B3EFB3" w14:textId="77777777" w:rsidR="00EB6B1A" w:rsidRPr="00364277" w:rsidRDefault="00364277">
      <w:pPr>
        <w:rPr>
          <w:rFonts w:ascii="Arial" w:hAnsi="Arial" w:cs="Arial"/>
          <w:color w:val="FFFFFF"/>
          <w:sz w:val="2"/>
          <w:szCs w:val="2"/>
          <w:rtl/>
        </w:rPr>
      </w:pPr>
      <w:r w:rsidRPr="00364277">
        <w:rPr>
          <w:rFonts w:ascii="Arial" w:hAnsi="Arial" w:cs="Arial"/>
          <w:color w:val="FFFFFF"/>
          <w:sz w:val="2"/>
          <w:szCs w:val="2"/>
          <w:rtl/>
        </w:rPr>
        <w:t>54678313</w:t>
      </w:r>
    </w:p>
    <w:p w14:paraId="7CFF8E06" w14:textId="77777777" w:rsidR="00364277" w:rsidRDefault="00364277" w:rsidP="00364277">
      <w:r w:rsidRPr="00364277">
        <w:rPr>
          <w:color w:val="000000"/>
          <w:rtl/>
        </w:rPr>
        <w:t>נוסח מסמך זה כפוף לשינויי ניסוח ועריכה</w:t>
      </w:r>
    </w:p>
    <w:p w14:paraId="72F880E0" w14:textId="77777777" w:rsidR="00364277" w:rsidRDefault="00364277" w:rsidP="00364277">
      <w:pPr>
        <w:rPr>
          <w:rtl/>
        </w:rPr>
      </w:pPr>
    </w:p>
    <w:p w14:paraId="42750597" w14:textId="77777777" w:rsidR="00364277" w:rsidRDefault="00364277" w:rsidP="00364277">
      <w:pPr>
        <w:jc w:val="center"/>
        <w:rPr>
          <w:color w:val="0000FF"/>
          <w:u w:val="single"/>
        </w:rPr>
      </w:pPr>
      <w:r w:rsidRPr="0017188B">
        <w:rPr>
          <w:color w:val="000000"/>
          <w:rtl/>
        </w:rPr>
        <w:t>בעניין עריכה ושינויים במסמכי פסיקה, חקיקה ועוד באתר נבו – הקש כאן</w:t>
      </w:r>
    </w:p>
    <w:p w14:paraId="1E644135" w14:textId="77777777" w:rsidR="00EB6B1A" w:rsidRPr="00364277" w:rsidRDefault="00EB6B1A" w:rsidP="00364277">
      <w:pPr>
        <w:jc w:val="center"/>
        <w:rPr>
          <w:color w:val="0000FF"/>
          <w:u w:val="single"/>
        </w:rPr>
      </w:pPr>
    </w:p>
    <w:sectPr w:rsidR="00EB6B1A" w:rsidRPr="00364277" w:rsidSect="00364277">
      <w:headerReference w:type="even" r:id="rId16"/>
      <w:headerReference w:type="default" r:id="rId17"/>
      <w:footerReference w:type="even" r:id="rId18"/>
      <w:footerReference w:type="default" r:id="rId19"/>
      <w:pgSz w:w="11907" w:h="16840" w:code="9"/>
      <w:pgMar w:top="1701" w:right="1701" w:bottom="567" w:left="1701" w:header="187" w:footer="28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FF700" w14:textId="77777777" w:rsidR="00933C67" w:rsidRPr="004565B8" w:rsidRDefault="00933C67">
      <w:pPr>
        <w:rPr>
          <w:rFonts w:cs="Arial"/>
          <w:noProof w:val="0"/>
          <w:szCs w:val="20"/>
        </w:rPr>
      </w:pPr>
      <w:r>
        <w:separator/>
      </w:r>
    </w:p>
  </w:endnote>
  <w:endnote w:type="continuationSeparator" w:id="0">
    <w:p w14:paraId="3710E3AD" w14:textId="77777777" w:rsidR="00933C67" w:rsidRPr="004565B8" w:rsidRDefault="00933C67">
      <w:pPr>
        <w:rPr>
          <w:rFonts w:cs="Arial"/>
          <w:noProof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C8FC" w14:textId="77777777" w:rsidR="00A91852" w:rsidRDefault="00A91852" w:rsidP="0036427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w:t>
    </w:r>
    <w:r>
      <w:rPr>
        <w:rFonts w:ascii="FrankRuehl" w:hAnsi="FrankRuehl" w:cs="FrankRuehl"/>
        <w:rtl/>
      </w:rPr>
      <w:fldChar w:fldCharType="end"/>
    </w:r>
  </w:p>
  <w:p w14:paraId="157E21CC" w14:textId="77777777" w:rsidR="00A91852" w:rsidRPr="00364277" w:rsidRDefault="00A91852" w:rsidP="00364277">
    <w:pPr>
      <w:pStyle w:val="a4"/>
      <w:pBdr>
        <w:top w:val="single" w:sz="4" w:space="1" w:color="auto"/>
        <w:between w:val="single" w:sz="4" w:space="0" w:color="auto"/>
      </w:pBdr>
      <w:spacing w:after="60"/>
      <w:jc w:val="center"/>
      <w:rPr>
        <w:rFonts w:ascii="FrankRuehl" w:hAnsi="FrankRuehl" w:cs="FrankRuehl"/>
        <w:color w:val="000000"/>
      </w:rPr>
    </w:pPr>
    <w:r w:rsidRPr="003642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9BB8C" w14:textId="77777777" w:rsidR="00A91852" w:rsidRDefault="00A91852" w:rsidP="0036427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4A69">
      <w:rPr>
        <w:rFonts w:ascii="FrankRuehl" w:hAnsi="FrankRuehl" w:cs="FrankRuehl"/>
        <w:rtl/>
      </w:rPr>
      <w:t>1</w:t>
    </w:r>
    <w:r>
      <w:rPr>
        <w:rFonts w:ascii="FrankRuehl" w:hAnsi="FrankRuehl" w:cs="FrankRuehl"/>
        <w:rtl/>
      </w:rPr>
      <w:fldChar w:fldCharType="end"/>
    </w:r>
  </w:p>
  <w:p w14:paraId="214C9685" w14:textId="77777777" w:rsidR="00A91852" w:rsidRPr="00364277" w:rsidRDefault="00A91852" w:rsidP="00364277">
    <w:pPr>
      <w:pStyle w:val="a4"/>
      <w:pBdr>
        <w:top w:val="single" w:sz="4" w:space="1" w:color="auto"/>
        <w:between w:val="single" w:sz="4" w:space="0" w:color="auto"/>
      </w:pBdr>
      <w:spacing w:after="60"/>
      <w:jc w:val="center"/>
      <w:rPr>
        <w:rFonts w:ascii="FrankRuehl" w:hAnsi="FrankRuehl" w:cs="FrankRuehl"/>
        <w:color w:val="000000"/>
      </w:rPr>
    </w:pPr>
    <w:r w:rsidRPr="00364277">
      <w:rPr>
        <w:rFonts w:ascii="FrankRuehl" w:hAnsi="FrankRuehl" w:cs="FrankRuehl"/>
        <w:color w:val="000000"/>
      </w:rPr>
      <w:pict w14:anchorId="6158F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27CF0" w14:textId="77777777" w:rsidR="00933C67" w:rsidRPr="004565B8" w:rsidRDefault="00933C67">
      <w:pPr>
        <w:rPr>
          <w:rFonts w:cs="Arial"/>
          <w:noProof w:val="0"/>
          <w:szCs w:val="20"/>
        </w:rPr>
      </w:pPr>
      <w:r>
        <w:separator/>
      </w:r>
    </w:p>
  </w:footnote>
  <w:footnote w:type="continuationSeparator" w:id="0">
    <w:p w14:paraId="29F4F15C" w14:textId="77777777" w:rsidR="00933C67" w:rsidRPr="004565B8" w:rsidRDefault="00933C67">
      <w:pPr>
        <w:rPr>
          <w:rFonts w:cs="Arial"/>
          <w:noProof w:val="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B9FFC" w14:textId="77777777" w:rsidR="00A91852" w:rsidRPr="00364277" w:rsidRDefault="00A91852" w:rsidP="003642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29984-11-12</w:t>
    </w:r>
    <w:r>
      <w:rPr>
        <w:rFonts w:ascii="David" w:hAnsi="David"/>
        <w:color w:val="000000"/>
        <w:sz w:val="22"/>
        <w:szCs w:val="22"/>
        <w:rtl/>
      </w:rPr>
      <w:tab/>
      <w:t xml:space="preserve"> מדינת ישראל נ' שלומי אברזיל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06571" w14:textId="77777777" w:rsidR="00A91852" w:rsidRPr="00364277" w:rsidRDefault="00A91852" w:rsidP="003642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29984-11-12</w:t>
    </w:r>
    <w:r>
      <w:rPr>
        <w:rFonts w:ascii="David" w:hAnsi="David"/>
        <w:color w:val="000000"/>
        <w:sz w:val="22"/>
        <w:szCs w:val="22"/>
        <w:rtl/>
      </w:rPr>
      <w:tab/>
      <w:t xml:space="preserve"> מדינת ישראל נ' שלומי אברזיל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6B1A"/>
    <w:rsid w:val="0017188B"/>
    <w:rsid w:val="00314A5E"/>
    <w:rsid w:val="00314DA4"/>
    <w:rsid w:val="00364277"/>
    <w:rsid w:val="00685D6F"/>
    <w:rsid w:val="006B53FC"/>
    <w:rsid w:val="00882A20"/>
    <w:rsid w:val="00933C67"/>
    <w:rsid w:val="009854C7"/>
    <w:rsid w:val="00A00CA5"/>
    <w:rsid w:val="00A91852"/>
    <w:rsid w:val="00B05DAF"/>
    <w:rsid w:val="00BC3950"/>
    <w:rsid w:val="00BF4483"/>
    <w:rsid w:val="00C769C3"/>
    <w:rsid w:val="00CB4A69"/>
    <w:rsid w:val="00D65B8B"/>
    <w:rsid w:val="00EB6B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EEFD22"/>
  <w15:chartTrackingRefBased/>
  <w15:docId w15:val="{90EEBBB3-11A5-4569-88F1-A9D7B47C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B1A"/>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B6B1A"/>
    <w:pPr>
      <w:tabs>
        <w:tab w:val="center" w:pos="4153"/>
        <w:tab w:val="right" w:pos="8306"/>
      </w:tabs>
    </w:pPr>
  </w:style>
  <w:style w:type="paragraph" w:styleId="a4">
    <w:name w:val="footer"/>
    <w:basedOn w:val="a"/>
    <w:rsid w:val="00EB6B1A"/>
    <w:pPr>
      <w:tabs>
        <w:tab w:val="center" w:pos="4153"/>
        <w:tab w:val="right" w:pos="8306"/>
      </w:tabs>
    </w:pPr>
  </w:style>
  <w:style w:type="character" w:styleId="a5">
    <w:name w:val="page number"/>
    <w:basedOn w:val="a0"/>
    <w:rsid w:val="00364277"/>
  </w:style>
  <w:style w:type="character" w:styleId="Hyperlink">
    <w:name w:val="Hyperlink"/>
    <w:rsid w:val="00364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b" TargetMode="External"/><Relationship Id="rId13" Type="http://schemas.openxmlformats.org/officeDocument/2006/relationships/hyperlink" Target="http://www.nevo.co.il/law/70301"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5.b.3"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case/6473037" TargetMode="External"/><Relationship Id="rId10" Type="http://schemas.openxmlformats.org/officeDocument/2006/relationships/hyperlink" Target="http://www.nevo.co.il/law/70301/345.b.3"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b" TargetMode="External"/><Relationship Id="rId14" Type="http://schemas.openxmlformats.org/officeDocument/2006/relationships/hyperlink" Target="http://www.nevo.co.il/case/62436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2690</Words>
  <Characters>13451</Characters>
  <Application>Microsoft Office Word</Application>
  <DocSecurity>0</DocSecurity>
  <Lines>112</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16109</CharactersWithSpaces>
  <SharedDoc>false</SharedDoc>
  <HLinks>
    <vt:vector size="60" baseType="variant">
      <vt:variant>
        <vt:i4>3539056</vt:i4>
      </vt:variant>
      <vt:variant>
        <vt:i4>27</vt:i4>
      </vt:variant>
      <vt:variant>
        <vt:i4>0</vt:i4>
      </vt:variant>
      <vt:variant>
        <vt:i4>5</vt:i4>
      </vt:variant>
      <vt:variant>
        <vt:lpwstr>http://www.nevo.co.il/case/6473037</vt:lpwstr>
      </vt:variant>
      <vt:variant>
        <vt:lpwstr/>
      </vt:variant>
      <vt:variant>
        <vt:i4>3342455</vt:i4>
      </vt:variant>
      <vt:variant>
        <vt:i4>24</vt:i4>
      </vt:variant>
      <vt:variant>
        <vt:i4>0</vt:i4>
      </vt:variant>
      <vt:variant>
        <vt:i4>5</vt:i4>
      </vt:variant>
      <vt:variant>
        <vt:lpwstr>http://www.nevo.co.il/case/6243627</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6357041</vt:i4>
      </vt:variant>
      <vt:variant>
        <vt:i4>12</vt:i4>
      </vt:variant>
      <vt:variant>
        <vt:i4>0</vt:i4>
      </vt:variant>
      <vt:variant>
        <vt:i4>5</vt:i4>
      </vt:variant>
      <vt:variant>
        <vt:lpwstr>http://www.nevo.co.il/law/70301/345.b.3</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5177438</vt:i4>
      </vt:variant>
      <vt:variant>
        <vt:i4>6</vt:i4>
      </vt:variant>
      <vt:variant>
        <vt:i4>0</vt:i4>
      </vt:variant>
      <vt:variant>
        <vt:i4>5</vt:i4>
      </vt:variant>
      <vt:variant>
        <vt:lpwstr>http://www.nevo.co.il/law/70301/348.b</vt:lpwstr>
      </vt:variant>
      <vt:variant>
        <vt:lpwstr/>
      </vt:variant>
      <vt:variant>
        <vt:i4>6357041</vt:i4>
      </vt:variant>
      <vt:variant>
        <vt:i4>3</vt:i4>
      </vt:variant>
      <vt:variant>
        <vt:i4>0</vt:i4>
      </vt:variant>
      <vt:variant>
        <vt:i4>5</vt:i4>
      </vt:variant>
      <vt:variant>
        <vt:lpwstr>http://www.nevo.co.il/law/70301/345.b.3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2025-04-22T20:25:00Z</dcterms:created>
  <dcterms:modified xsi:type="dcterms:W3CDTF">2025-04-22T20:25:00Z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29984</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שלומי אברזיל</vt:lpwstr>
  </property>
  <property fmtid="{D5CDD505-2E9C-101B-9397-08002B2CF9AE}" pid="10" name="LAWYER">
    <vt:lpwstr>ס. דהן;פמ"ד;ת. אורינוב</vt:lpwstr>
  </property>
  <property fmtid="{D5CDD505-2E9C-101B-9397-08002B2CF9AE}" pid="11" name="JUDGE">
    <vt:lpwstr>ס. ר. יפה כ"ץ;א. ואגו;י. צלקובניק</vt:lpwstr>
  </property>
  <property fmtid="{D5CDD505-2E9C-101B-9397-08002B2CF9AE}" pid="12" name="CITY">
    <vt:lpwstr>ב"ש</vt:lpwstr>
  </property>
  <property fmtid="{D5CDD505-2E9C-101B-9397-08002B2CF9AE}" pid="13" name="DATE">
    <vt:lpwstr>20130708</vt:lpwstr>
  </property>
  <property fmtid="{D5CDD505-2E9C-101B-9397-08002B2CF9AE}" pid="14" name="TYPE_N_DATE">
    <vt:lpwstr>39020130708</vt:lpwstr>
  </property>
  <property fmtid="{D5CDD505-2E9C-101B-9397-08002B2CF9AE}" pid="15" name="WORDNUMPAGES">
    <vt:lpwstr>8</vt:lpwstr>
  </property>
  <property fmtid="{D5CDD505-2E9C-101B-9397-08002B2CF9AE}" pid="16" name="TYPE_ABS_DATE">
    <vt:lpwstr>390020130708</vt:lpwstr>
  </property>
  <property fmtid="{D5CDD505-2E9C-101B-9397-08002B2CF9AE}" pid="17" name="ISABSTRACT">
    <vt:lpwstr>Y</vt:lpwstr>
  </property>
  <property fmtid="{D5CDD505-2E9C-101B-9397-08002B2CF9AE}" pid="18" name="CASESLISTTMP1">
    <vt:lpwstr>6243627;6473037</vt:lpwstr>
  </property>
  <property fmtid="{D5CDD505-2E9C-101B-9397-08002B2CF9AE}" pid="19" name="LAWLISTTMP1">
    <vt:lpwstr>70301/348.b:2;345.b.3:2</vt:lpwstr>
  </property>
</Properties>
</file>