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45"/>
        <w:gridCol w:w="2376"/>
      </w:tblGrid>
      <w:tr w:rsidR="008C1291" w:rsidRPr="00481931" w14:paraId="51582360" w14:textId="77777777">
        <w:trPr>
          <w:trHeight w:hRule="exact" w:val="418"/>
          <w:jc w:val="center"/>
        </w:trPr>
        <w:tc>
          <w:tcPr>
            <w:tcW w:w="8721" w:type="dxa"/>
            <w:gridSpan w:val="2"/>
          </w:tcPr>
          <w:p w14:paraId="7DDE39B0" w14:textId="77777777" w:rsidR="008C1291" w:rsidRPr="00481931" w:rsidRDefault="00481931">
            <w:pPr>
              <w:pStyle w:val="a3"/>
              <w:jc w:val="center"/>
              <w:rPr>
                <w:rFonts w:ascii="Tahoma" w:hAnsi="Tahoma" w:cs="Tahoma"/>
                <w:color w:val="000080"/>
                <w:rtl/>
              </w:rPr>
            </w:pPr>
            <w:bookmarkStart w:id="0" w:name="LastJudge"/>
            <w:r w:rsidRPr="00481931">
              <w:rPr>
                <w:rFonts w:ascii="Tahoma" w:hAnsi="Tahoma" w:cs="Tahoma"/>
                <w:b/>
                <w:bCs/>
                <w:color w:val="000080"/>
                <w:rtl/>
              </w:rPr>
              <w:t>בית המשפט המחוזי בחיפה</w:t>
            </w:r>
          </w:p>
        </w:tc>
      </w:tr>
      <w:tr w:rsidR="008C1291" w:rsidRPr="00481931" w14:paraId="3AFFB5B8" w14:textId="77777777">
        <w:trPr>
          <w:trHeight w:val="337"/>
          <w:jc w:val="center"/>
        </w:trPr>
        <w:tc>
          <w:tcPr>
            <w:tcW w:w="6345" w:type="dxa"/>
          </w:tcPr>
          <w:p w14:paraId="3D51FF41" w14:textId="77777777" w:rsidR="008C1291" w:rsidRPr="00481931" w:rsidRDefault="00481931">
            <w:pPr>
              <w:rPr>
                <w:b/>
                <w:bCs/>
                <w:sz w:val="26"/>
                <w:szCs w:val="26"/>
              </w:rPr>
            </w:pPr>
            <w:r w:rsidRPr="00481931">
              <w:rPr>
                <w:b/>
                <w:bCs/>
                <w:sz w:val="26"/>
                <w:szCs w:val="26"/>
                <w:rtl/>
              </w:rPr>
              <w:t>ת"פ</w:t>
            </w:r>
            <w:r w:rsidRPr="00481931">
              <w:rPr>
                <w:rFonts w:hint="cs"/>
                <w:b/>
                <w:bCs/>
                <w:sz w:val="26"/>
                <w:szCs w:val="26"/>
                <w:rtl/>
              </w:rPr>
              <w:t xml:space="preserve"> </w:t>
            </w:r>
            <w:r w:rsidRPr="00481931">
              <w:rPr>
                <w:b/>
                <w:bCs/>
                <w:sz w:val="26"/>
                <w:szCs w:val="26"/>
                <w:rtl/>
              </w:rPr>
              <w:t>11284-12-12</w:t>
            </w:r>
            <w:r w:rsidRPr="00481931">
              <w:rPr>
                <w:rFonts w:hint="cs"/>
                <w:b/>
                <w:bCs/>
                <w:sz w:val="26"/>
                <w:szCs w:val="26"/>
                <w:rtl/>
              </w:rPr>
              <w:t xml:space="preserve"> </w:t>
            </w:r>
            <w:r w:rsidRPr="00481931">
              <w:rPr>
                <w:b/>
                <w:bCs/>
                <w:sz w:val="26"/>
                <w:szCs w:val="26"/>
                <w:rtl/>
              </w:rPr>
              <w:t>מדינת ישראל נ' גכטמן(עציר)</w:t>
            </w:r>
          </w:p>
        </w:tc>
        <w:tc>
          <w:tcPr>
            <w:tcW w:w="2376" w:type="dxa"/>
          </w:tcPr>
          <w:p w14:paraId="0DBA313D" w14:textId="77777777" w:rsidR="008C1291" w:rsidRPr="00481931" w:rsidRDefault="00481931">
            <w:pPr>
              <w:pStyle w:val="a3"/>
              <w:jc w:val="right"/>
              <w:rPr>
                <w:b/>
                <w:bCs/>
                <w:sz w:val="26"/>
                <w:szCs w:val="26"/>
                <w:rtl/>
              </w:rPr>
            </w:pPr>
            <w:r w:rsidRPr="00481931">
              <w:rPr>
                <w:b/>
                <w:bCs/>
                <w:sz w:val="26"/>
                <w:szCs w:val="26"/>
                <w:rtl/>
              </w:rPr>
              <w:t>07 אפריל 2013</w:t>
            </w:r>
          </w:p>
        </w:tc>
      </w:tr>
    </w:tbl>
    <w:p w14:paraId="7EEB3566" w14:textId="77777777" w:rsidR="008C1291" w:rsidRPr="00481931" w:rsidRDefault="00481931">
      <w:pPr>
        <w:pStyle w:val="a3"/>
        <w:rPr>
          <w:rtl/>
        </w:rPr>
      </w:pPr>
      <w:r w:rsidRPr="00481931">
        <w:rPr>
          <w:rFonts w:hint="cs"/>
          <w:rtl/>
        </w:rPr>
        <w:t xml:space="preserve"> </w:t>
      </w:r>
    </w:p>
    <w:tbl>
      <w:tblPr>
        <w:bidiVisual/>
        <w:tblW w:w="8802" w:type="dxa"/>
        <w:tblInd w:w="-28" w:type="dxa"/>
        <w:tblLook w:val="01E0" w:firstRow="1" w:lastRow="1" w:firstColumn="1" w:lastColumn="1" w:noHBand="0" w:noVBand="0"/>
      </w:tblPr>
      <w:tblGrid>
        <w:gridCol w:w="28"/>
        <w:gridCol w:w="2852"/>
        <w:gridCol w:w="5867"/>
        <w:gridCol w:w="55"/>
      </w:tblGrid>
      <w:tr w:rsidR="008C1291" w:rsidRPr="00481931" w14:paraId="7C1B3916" w14:textId="77777777">
        <w:trPr>
          <w:gridBefore w:val="1"/>
          <w:gridAfter w:val="1"/>
          <w:wBefore w:w="28" w:type="dxa"/>
          <w:wAfter w:w="55" w:type="dxa"/>
        </w:trPr>
        <w:tc>
          <w:tcPr>
            <w:tcW w:w="8719" w:type="dxa"/>
            <w:gridSpan w:val="2"/>
          </w:tcPr>
          <w:p w14:paraId="206C76EE" w14:textId="77777777" w:rsidR="008C1291" w:rsidRPr="00481931" w:rsidRDefault="00481931">
            <w:pPr>
              <w:spacing w:line="360" w:lineRule="auto"/>
              <w:jc w:val="both"/>
              <w:rPr>
                <w:b/>
                <w:bCs/>
                <w:sz w:val="26"/>
                <w:szCs w:val="26"/>
              </w:rPr>
            </w:pPr>
            <w:bookmarkStart w:id="1" w:name="_GoBack"/>
            <w:bookmarkEnd w:id="1"/>
            <w:r w:rsidRPr="00481931">
              <w:rPr>
                <w:rFonts w:hint="cs"/>
                <w:b/>
                <w:bCs/>
                <w:sz w:val="26"/>
                <w:szCs w:val="26"/>
                <w:rtl/>
              </w:rPr>
              <w:t>בפני כב' השופט רון שפירא</w:t>
            </w:r>
            <w:r w:rsidRPr="00481931">
              <w:rPr>
                <w:rFonts w:hint="cs"/>
                <w:rtl/>
              </w:rPr>
              <w:t xml:space="preserve"> </w:t>
            </w:r>
          </w:p>
        </w:tc>
      </w:tr>
      <w:tr w:rsidR="008C1291" w:rsidRPr="00481931" w14:paraId="3304FF95" w14:textId="77777777">
        <w:tc>
          <w:tcPr>
            <w:tcW w:w="2880" w:type="dxa"/>
            <w:gridSpan w:val="2"/>
          </w:tcPr>
          <w:p w14:paraId="3B69FCC6" w14:textId="77777777" w:rsidR="008C1291" w:rsidRPr="00481931" w:rsidRDefault="00481931">
            <w:pPr>
              <w:ind w:left="26"/>
              <w:rPr>
                <w:b/>
                <w:bCs/>
                <w:sz w:val="26"/>
                <w:szCs w:val="26"/>
              </w:rPr>
            </w:pPr>
            <w:bookmarkStart w:id="2" w:name="FirstAppellant"/>
            <w:r w:rsidRPr="00481931">
              <w:rPr>
                <w:rFonts w:hint="cs"/>
                <w:b/>
                <w:bCs/>
                <w:sz w:val="26"/>
                <w:szCs w:val="26"/>
                <w:rtl/>
              </w:rPr>
              <w:t>המאשימה</w:t>
            </w:r>
          </w:p>
        </w:tc>
        <w:tc>
          <w:tcPr>
            <w:tcW w:w="5922" w:type="dxa"/>
            <w:gridSpan w:val="2"/>
          </w:tcPr>
          <w:p w14:paraId="6C131477" w14:textId="77777777" w:rsidR="008C1291" w:rsidRPr="00481931" w:rsidRDefault="00481931">
            <w:pPr>
              <w:rPr>
                <w:b/>
                <w:bCs/>
                <w:sz w:val="26"/>
                <w:szCs w:val="26"/>
              </w:rPr>
            </w:pPr>
            <w:r w:rsidRPr="00481931">
              <w:rPr>
                <w:rFonts w:hint="cs"/>
                <w:b/>
                <w:bCs/>
                <w:sz w:val="26"/>
                <w:szCs w:val="26"/>
                <w:rtl/>
              </w:rPr>
              <w:t>מדינת ישראל</w:t>
            </w:r>
          </w:p>
        </w:tc>
      </w:tr>
      <w:bookmarkEnd w:id="2"/>
      <w:tr w:rsidR="008C1291" w:rsidRPr="00481931" w14:paraId="39F01D6C" w14:textId="77777777">
        <w:tc>
          <w:tcPr>
            <w:tcW w:w="8802" w:type="dxa"/>
            <w:gridSpan w:val="4"/>
          </w:tcPr>
          <w:p w14:paraId="61CDD5C3" w14:textId="77777777" w:rsidR="008C1291" w:rsidRPr="00481931" w:rsidRDefault="008C1291">
            <w:pPr>
              <w:jc w:val="both"/>
              <w:rPr>
                <w:rFonts w:ascii="Arial" w:hAnsi="Arial"/>
                <w:b/>
                <w:bCs/>
                <w:sz w:val="26"/>
                <w:szCs w:val="26"/>
                <w:rtl/>
              </w:rPr>
            </w:pPr>
          </w:p>
          <w:p w14:paraId="308E837D" w14:textId="77777777" w:rsidR="008C1291" w:rsidRPr="00481931" w:rsidRDefault="00481931">
            <w:pPr>
              <w:jc w:val="center"/>
              <w:rPr>
                <w:rFonts w:ascii="Arial" w:hAnsi="Arial"/>
                <w:b/>
                <w:bCs/>
                <w:sz w:val="26"/>
                <w:szCs w:val="26"/>
                <w:rtl/>
              </w:rPr>
            </w:pPr>
            <w:r w:rsidRPr="00481931">
              <w:rPr>
                <w:rFonts w:ascii="Arial" w:hAnsi="Arial" w:hint="cs"/>
                <w:b/>
                <w:bCs/>
                <w:sz w:val="26"/>
                <w:szCs w:val="26"/>
                <w:rtl/>
              </w:rPr>
              <w:t>נגד</w:t>
            </w:r>
          </w:p>
          <w:p w14:paraId="66573098" w14:textId="77777777" w:rsidR="008C1291" w:rsidRPr="00481931" w:rsidRDefault="008C1291">
            <w:pPr>
              <w:jc w:val="center"/>
              <w:rPr>
                <w:rFonts w:ascii="Arial" w:hAnsi="Arial"/>
                <w:b/>
                <w:bCs/>
                <w:sz w:val="26"/>
                <w:szCs w:val="26"/>
              </w:rPr>
            </w:pPr>
          </w:p>
        </w:tc>
      </w:tr>
      <w:tr w:rsidR="008C1291" w:rsidRPr="00481931" w14:paraId="68BDFA59" w14:textId="77777777">
        <w:tc>
          <w:tcPr>
            <w:tcW w:w="2880" w:type="dxa"/>
            <w:gridSpan w:val="2"/>
          </w:tcPr>
          <w:p w14:paraId="4BA588C8" w14:textId="77777777" w:rsidR="008C1291" w:rsidRPr="00481931" w:rsidRDefault="00481931">
            <w:pPr>
              <w:ind w:left="26"/>
              <w:rPr>
                <w:b/>
                <w:bCs/>
                <w:sz w:val="26"/>
                <w:szCs w:val="26"/>
              </w:rPr>
            </w:pPr>
            <w:r w:rsidRPr="00481931">
              <w:rPr>
                <w:rFonts w:hint="cs"/>
                <w:b/>
                <w:bCs/>
                <w:sz w:val="26"/>
                <w:szCs w:val="26"/>
                <w:rtl/>
              </w:rPr>
              <w:t>הנאשם</w:t>
            </w:r>
          </w:p>
        </w:tc>
        <w:tc>
          <w:tcPr>
            <w:tcW w:w="5922" w:type="dxa"/>
            <w:gridSpan w:val="2"/>
          </w:tcPr>
          <w:p w14:paraId="287D449D" w14:textId="77777777" w:rsidR="008C1291" w:rsidRPr="00481931" w:rsidRDefault="00481931">
            <w:pPr>
              <w:rPr>
                <w:b/>
                <w:bCs/>
                <w:sz w:val="26"/>
                <w:szCs w:val="26"/>
              </w:rPr>
            </w:pPr>
            <w:r w:rsidRPr="00481931">
              <w:rPr>
                <w:rFonts w:hint="cs"/>
                <w:b/>
                <w:bCs/>
                <w:sz w:val="26"/>
                <w:szCs w:val="26"/>
                <w:rtl/>
              </w:rPr>
              <w:t>אלישע גכטמן, ת"ז 300174224</w:t>
            </w:r>
          </w:p>
        </w:tc>
      </w:tr>
    </w:tbl>
    <w:p w14:paraId="5B3A14D4" w14:textId="77777777" w:rsidR="00DD3D34" w:rsidRDefault="00DD3D34">
      <w:pPr>
        <w:rPr>
          <w:rtl/>
        </w:rPr>
      </w:pPr>
      <w:bookmarkStart w:id="3" w:name="LawTable"/>
      <w:bookmarkEnd w:id="3"/>
    </w:p>
    <w:p w14:paraId="5E3DE374" w14:textId="77777777" w:rsidR="00DD3D34" w:rsidRPr="00DD3D34" w:rsidRDefault="00DD3D34" w:rsidP="00DD3D34">
      <w:pPr>
        <w:spacing w:after="120" w:line="240" w:lineRule="exact"/>
        <w:ind w:left="283" w:hanging="283"/>
        <w:jc w:val="both"/>
        <w:rPr>
          <w:rFonts w:ascii="FrankRuehl" w:hAnsi="FrankRuehl" w:cs="FrankRuehl"/>
          <w:rtl/>
        </w:rPr>
      </w:pPr>
    </w:p>
    <w:p w14:paraId="074BBC33" w14:textId="77777777" w:rsidR="00DD3D34" w:rsidRPr="00DD3D34" w:rsidRDefault="00DD3D34" w:rsidP="00DD3D34">
      <w:pPr>
        <w:spacing w:after="120" w:line="240" w:lineRule="exact"/>
        <w:ind w:left="283" w:hanging="283"/>
        <w:jc w:val="both"/>
        <w:rPr>
          <w:rFonts w:ascii="FrankRuehl" w:hAnsi="FrankRuehl" w:cs="FrankRuehl"/>
          <w:rtl/>
        </w:rPr>
      </w:pPr>
      <w:r w:rsidRPr="00DD3D34">
        <w:rPr>
          <w:rFonts w:ascii="FrankRuehl" w:hAnsi="FrankRuehl" w:cs="FrankRuehl"/>
          <w:rtl/>
        </w:rPr>
        <w:t xml:space="preserve">חקיקה שאוזכרה: </w:t>
      </w:r>
    </w:p>
    <w:p w14:paraId="7F7FA8F2" w14:textId="77777777" w:rsidR="00DD3D34" w:rsidRPr="00DD3D34" w:rsidRDefault="00DD3D34" w:rsidP="00DD3D34">
      <w:pPr>
        <w:spacing w:after="120" w:line="240" w:lineRule="exact"/>
        <w:ind w:left="283" w:hanging="283"/>
        <w:jc w:val="both"/>
        <w:rPr>
          <w:rFonts w:ascii="FrankRuehl" w:hAnsi="FrankRuehl" w:cs="FrankRuehl"/>
          <w:rtl/>
        </w:rPr>
      </w:pPr>
      <w:hyperlink r:id="rId6" w:history="1">
        <w:r w:rsidRPr="00DD3D34">
          <w:rPr>
            <w:rFonts w:ascii="FrankRuehl" w:hAnsi="FrankRuehl" w:cs="FrankRuehl"/>
            <w:color w:val="0000FF"/>
            <w:u w:val="single"/>
            <w:rtl/>
          </w:rPr>
          <w:t>פקודת הסמים המסוכנים [נוסח חדש], תשל"ג-1973</w:t>
        </w:r>
      </w:hyperlink>
      <w:r w:rsidRPr="00DD3D34">
        <w:rPr>
          <w:rFonts w:ascii="FrankRuehl" w:hAnsi="FrankRuehl" w:cs="FrankRuehl"/>
          <w:rtl/>
        </w:rPr>
        <w:t xml:space="preserve">: סע'  </w:t>
      </w:r>
      <w:hyperlink r:id="rId7" w:history="1">
        <w:r w:rsidRPr="00DD3D34">
          <w:rPr>
            <w:rFonts w:ascii="FrankRuehl" w:hAnsi="FrankRuehl" w:cs="FrankRuehl"/>
            <w:color w:val="0000FF"/>
            <w:u w:val="single"/>
            <w:rtl/>
          </w:rPr>
          <w:t>7(א)</w:t>
        </w:r>
      </w:hyperlink>
      <w:r w:rsidRPr="00DD3D34">
        <w:rPr>
          <w:rFonts w:ascii="FrankRuehl" w:hAnsi="FrankRuehl" w:cs="FrankRuehl"/>
          <w:rtl/>
        </w:rPr>
        <w:t xml:space="preserve">, </w:t>
      </w:r>
      <w:hyperlink r:id="rId8" w:history="1">
        <w:r w:rsidRPr="00DD3D34">
          <w:rPr>
            <w:rFonts w:ascii="FrankRuehl" w:hAnsi="FrankRuehl" w:cs="FrankRuehl"/>
            <w:color w:val="0000FF"/>
            <w:u w:val="single"/>
            <w:rtl/>
          </w:rPr>
          <w:t>7(ג)</w:t>
        </w:r>
      </w:hyperlink>
      <w:r w:rsidRPr="00DD3D34">
        <w:rPr>
          <w:rFonts w:ascii="FrankRuehl" w:hAnsi="FrankRuehl" w:cs="FrankRuehl"/>
          <w:rtl/>
        </w:rPr>
        <w:t xml:space="preserve">, </w:t>
      </w:r>
      <w:hyperlink r:id="rId9" w:history="1">
        <w:r w:rsidRPr="00DD3D34">
          <w:rPr>
            <w:rFonts w:ascii="FrankRuehl" w:hAnsi="FrankRuehl" w:cs="FrankRuehl"/>
            <w:color w:val="0000FF"/>
            <w:u w:val="single"/>
            <w:rtl/>
          </w:rPr>
          <w:t>13</w:t>
        </w:r>
      </w:hyperlink>
      <w:r w:rsidRPr="00DD3D34">
        <w:rPr>
          <w:rFonts w:ascii="FrankRuehl" w:hAnsi="FrankRuehl" w:cs="FrankRuehl"/>
          <w:rtl/>
        </w:rPr>
        <w:t xml:space="preserve">, </w:t>
      </w:r>
      <w:hyperlink r:id="rId10" w:history="1">
        <w:r w:rsidRPr="00DD3D34">
          <w:rPr>
            <w:rFonts w:ascii="FrankRuehl" w:hAnsi="FrankRuehl" w:cs="FrankRuehl"/>
            <w:color w:val="0000FF"/>
            <w:u w:val="single"/>
            <w:rtl/>
          </w:rPr>
          <w:t>19א</w:t>
        </w:r>
      </w:hyperlink>
      <w:r w:rsidRPr="00DD3D34">
        <w:rPr>
          <w:rFonts w:ascii="FrankRuehl" w:hAnsi="FrankRuehl" w:cs="FrankRuehl"/>
          <w:rtl/>
        </w:rPr>
        <w:t xml:space="preserve">, </w:t>
      </w:r>
      <w:hyperlink r:id="rId11" w:history="1">
        <w:r w:rsidRPr="00DD3D34">
          <w:rPr>
            <w:rFonts w:ascii="FrankRuehl" w:hAnsi="FrankRuehl" w:cs="FrankRuehl"/>
            <w:color w:val="0000FF"/>
            <w:u w:val="single"/>
            <w:rtl/>
          </w:rPr>
          <w:t>36(6)</w:t>
        </w:r>
      </w:hyperlink>
      <w:r w:rsidRPr="00DD3D34">
        <w:rPr>
          <w:rFonts w:ascii="FrankRuehl" w:hAnsi="FrankRuehl" w:cs="FrankRuehl"/>
          <w:rtl/>
        </w:rPr>
        <w:t xml:space="preserve">, </w:t>
      </w:r>
      <w:hyperlink r:id="rId12" w:history="1">
        <w:r w:rsidRPr="00DD3D34">
          <w:rPr>
            <w:rFonts w:ascii="FrankRuehl" w:hAnsi="FrankRuehl" w:cs="FrankRuehl"/>
            <w:color w:val="0000FF"/>
            <w:u w:val="single"/>
            <w:rtl/>
          </w:rPr>
          <w:t>36א</w:t>
        </w:r>
      </w:hyperlink>
      <w:r w:rsidRPr="00DD3D34">
        <w:rPr>
          <w:rFonts w:ascii="FrankRuehl" w:hAnsi="FrankRuehl" w:cs="FrankRuehl"/>
          <w:rtl/>
        </w:rPr>
        <w:t xml:space="preserve">, </w:t>
      </w:r>
      <w:hyperlink r:id="rId13" w:history="1">
        <w:r w:rsidRPr="00DD3D34">
          <w:rPr>
            <w:rFonts w:ascii="FrankRuehl" w:hAnsi="FrankRuehl" w:cs="FrankRuehl"/>
            <w:color w:val="0000FF"/>
            <w:u w:val="single"/>
            <w:rtl/>
          </w:rPr>
          <w:t>36ח</w:t>
        </w:r>
      </w:hyperlink>
    </w:p>
    <w:p w14:paraId="5F81437F" w14:textId="77777777" w:rsidR="00DD3D34" w:rsidRPr="00DD3D34" w:rsidRDefault="00DD3D34" w:rsidP="00DD3D34">
      <w:pPr>
        <w:spacing w:after="120" w:line="240" w:lineRule="exact"/>
        <w:ind w:left="283" w:hanging="283"/>
        <w:jc w:val="both"/>
        <w:rPr>
          <w:rFonts w:ascii="FrankRuehl" w:hAnsi="FrankRuehl" w:cs="FrankRuehl"/>
          <w:rtl/>
        </w:rPr>
      </w:pPr>
      <w:hyperlink r:id="rId14" w:history="1">
        <w:r w:rsidRPr="00DD3D34">
          <w:rPr>
            <w:rFonts w:ascii="FrankRuehl" w:hAnsi="FrankRuehl" w:cs="FrankRuehl"/>
            <w:color w:val="0000FF"/>
            <w:u w:val="single"/>
            <w:rtl/>
          </w:rPr>
          <w:t>חוק העונשין, תשל"ז-1977</w:t>
        </w:r>
      </w:hyperlink>
      <w:r w:rsidRPr="00DD3D34">
        <w:rPr>
          <w:rFonts w:ascii="FrankRuehl" w:hAnsi="FrankRuehl" w:cs="FrankRuehl"/>
          <w:rtl/>
        </w:rPr>
        <w:t xml:space="preserve">: סע'  </w:t>
      </w:r>
      <w:hyperlink r:id="rId15" w:history="1">
        <w:r w:rsidRPr="00DD3D34">
          <w:rPr>
            <w:rFonts w:ascii="FrankRuehl" w:hAnsi="FrankRuehl" w:cs="FrankRuehl"/>
            <w:color w:val="0000FF"/>
            <w:u w:val="single"/>
            <w:rtl/>
          </w:rPr>
          <w:t>25</w:t>
        </w:r>
      </w:hyperlink>
      <w:r w:rsidRPr="00DD3D34">
        <w:rPr>
          <w:rFonts w:ascii="FrankRuehl" w:hAnsi="FrankRuehl" w:cs="FrankRuehl"/>
          <w:rtl/>
        </w:rPr>
        <w:t xml:space="preserve">, </w:t>
      </w:r>
      <w:hyperlink r:id="rId16" w:history="1">
        <w:r w:rsidRPr="00DD3D34">
          <w:rPr>
            <w:rFonts w:ascii="FrankRuehl" w:hAnsi="FrankRuehl" w:cs="FrankRuehl"/>
            <w:color w:val="0000FF"/>
            <w:u w:val="single"/>
            <w:rtl/>
          </w:rPr>
          <w:t>29</w:t>
        </w:r>
      </w:hyperlink>
    </w:p>
    <w:p w14:paraId="7D075B70" w14:textId="77777777" w:rsidR="00DD3D34" w:rsidRPr="00DD3D34" w:rsidRDefault="00DD3D34" w:rsidP="00DD3D34">
      <w:pPr>
        <w:spacing w:after="120" w:line="240" w:lineRule="exact"/>
        <w:ind w:left="283" w:hanging="283"/>
        <w:jc w:val="both"/>
        <w:rPr>
          <w:rFonts w:ascii="FrankRuehl" w:hAnsi="FrankRuehl" w:cs="FrankRuehl"/>
          <w:rtl/>
        </w:rPr>
      </w:pPr>
    </w:p>
    <w:p w14:paraId="1E4BE501" w14:textId="77777777" w:rsidR="00DD3D34" w:rsidRPr="00DD3D34" w:rsidRDefault="00DD3D34">
      <w:pPr>
        <w:rPr>
          <w:rtl/>
        </w:rPr>
      </w:pPr>
      <w:bookmarkStart w:id="4" w:name="LawTable_End"/>
      <w:bookmarkEnd w:id="4"/>
    </w:p>
    <w:p w14:paraId="609D2104" w14:textId="77777777" w:rsidR="00793274" w:rsidRPr="00793274" w:rsidRDefault="00793274">
      <w:pPr>
        <w:rPr>
          <w:rtl/>
        </w:rPr>
      </w:pPr>
    </w:p>
    <w:p w14:paraId="07088580" w14:textId="77777777" w:rsidR="00793274" w:rsidRPr="00793274" w:rsidRDefault="00793274">
      <w:pPr>
        <w:rPr>
          <w:rtl/>
        </w:rPr>
      </w:pPr>
    </w:p>
    <w:p w14:paraId="6CF63A51" w14:textId="77777777" w:rsidR="008C1291" w:rsidRPr="00793274" w:rsidRDefault="008C129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C1291" w14:paraId="4E143E5B" w14:textId="77777777">
        <w:trPr>
          <w:trHeight w:val="355"/>
          <w:jc w:val="center"/>
        </w:trPr>
        <w:tc>
          <w:tcPr>
            <w:tcW w:w="8820" w:type="dxa"/>
            <w:tcBorders>
              <w:top w:val="nil"/>
              <w:left w:val="nil"/>
              <w:bottom w:val="nil"/>
              <w:right w:val="nil"/>
            </w:tcBorders>
          </w:tcPr>
          <w:p w14:paraId="3D2825D2" w14:textId="77777777" w:rsidR="00481931" w:rsidRPr="00481931" w:rsidRDefault="00481931" w:rsidP="00481931">
            <w:pPr>
              <w:jc w:val="center"/>
              <w:rPr>
                <w:rFonts w:ascii="Arial" w:hAnsi="Arial"/>
                <w:b/>
                <w:bCs/>
                <w:sz w:val="28"/>
                <w:szCs w:val="28"/>
                <w:u w:val="single"/>
                <w:rtl/>
              </w:rPr>
            </w:pPr>
            <w:bookmarkStart w:id="5" w:name="PsakDin" w:colFirst="0" w:colLast="0"/>
            <w:bookmarkEnd w:id="0"/>
            <w:r w:rsidRPr="00481931">
              <w:rPr>
                <w:rFonts w:ascii="Arial" w:hAnsi="Arial"/>
                <w:b/>
                <w:bCs/>
                <w:sz w:val="28"/>
                <w:szCs w:val="28"/>
                <w:u w:val="single"/>
                <w:rtl/>
              </w:rPr>
              <w:t>גזר דין</w:t>
            </w:r>
          </w:p>
          <w:p w14:paraId="483FAE73" w14:textId="77777777" w:rsidR="008C1291" w:rsidRPr="00481931" w:rsidRDefault="008C1291" w:rsidP="00481931">
            <w:pPr>
              <w:jc w:val="center"/>
              <w:rPr>
                <w:rFonts w:ascii="Arial" w:hAnsi="Arial"/>
                <w:bCs/>
                <w:sz w:val="32"/>
                <w:szCs w:val="32"/>
                <w:u w:val="single"/>
                <w:rtl/>
              </w:rPr>
            </w:pPr>
          </w:p>
        </w:tc>
      </w:tr>
      <w:bookmarkEnd w:id="5"/>
    </w:tbl>
    <w:p w14:paraId="79A8F4F5" w14:textId="77777777" w:rsidR="008C1291" w:rsidRDefault="008C1291">
      <w:pPr>
        <w:rPr>
          <w:rFonts w:ascii="Arial" w:hAnsi="Arial"/>
          <w:rtl/>
        </w:rPr>
      </w:pPr>
    </w:p>
    <w:p w14:paraId="61CA5B48" w14:textId="77777777" w:rsidR="008C1291" w:rsidRDefault="00481931">
      <w:pPr>
        <w:spacing w:line="360" w:lineRule="auto"/>
        <w:jc w:val="both"/>
        <w:rPr>
          <w:b/>
          <w:bCs/>
          <w:u w:val="single"/>
          <w:rtl/>
        </w:rPr>
      </w:pPr>
      <w:r>
        <w:rPr>
          <w:b/>
          <w:bCs/>
          <w:u w:val="single"/>
          <w:rtl/>
        </w:rPr>
        <w:t>העבירות בהן הורשע הנאשם</w:t>
      </w:r>
    </w:p>
    <w:p w14:paraId="2B1CB1CC" w14:textId="77777777" w:rsidR="008C1291" w:rsidRDefault="00481931">
      <w:pPr>
        <w:spacing w:line="360" w:lineRule="auto"/>
        <w:jc w:val="both"/>
        <w:rPr>
          <w:rtl/>
        </w:rPr>
      </w:pPr>
      <w:r>
        <w:rPr>
          <w:rFonts w:hint="cs"/>
          <w:rtl/>
        </w:rPr>
        <w:t>הנאשם הורשע, על פי הודאתו, במסגרת של הסדר טיעון, בעובדות כתב אישום מתוקן, ונקבע כי ביצע את העבירות הבאות:</w:t>
      </w:r>
    </w:p>
    <w:p w14:paraId="06DDB462" w14:textId="77777777" w:rsidR="008C1291" w:rsidRDefault="008C1291">
      <w:pPr>
        <w:spacing w:line="360" w:lineRule="auto"/>
        <w:jc w:val="both"/>
        <w:rPr>
          <w:rtl/>
        </w:rPr>
      </w:pPr>
    </w:p>
    <w:p w14:paraId="025DBBD8" w14:textId="77777777" w:rsidR="008C1291" w:rsidRDefault="00481931">
      <w:pPr>
        <w:spacing w:line="360" w:lineRule="auto"/>
        <w:jc w:val="both"/>
      </w:pPr>
      <w:bookmarkStart w:id="6" w:name="ABSTRACT_START"/>
      <w:bookmarkEnd w:id="6"/>
      <w:r>
        <w:rPr>
          <w:rFonts w:hint="cs"/>
          <w:rtl/>
        </w:rPr>
        <w:t xml:space="preserve">יבוא מסחר ואספקה, עבירה לפי </w:t>
      </w:r>
      <w:hyperlink r:id="rId17" w:history="1">
        <w:r w:rsidR="00DD3D34" w:rsidRPr="00DD3D34">
          <w:rPr>
            <w:color w:val="0000FF"/>
            <w:u w:val="single"/>
            <w:rtl/>
          </w:rPr>
          <w:t>סעיף 13</w:t>
        </w:r>
      </w:hyperlink>
      <w:r w:rsidR="00DD3D34">
        <w:rPr>
          <w:rFonts w:hint="cs"/>
          <w:rtl/>
        </w:rPr>
        <w:t xml:space="preserve"> + </w:t>
      </w:r>
      <w:hyperlink r:id="rId18" w:history="1">
        <w:r w:rsidR="00DD3D34" w:rsidRPr="00DD3D34">
          <w:rPr>
            <w:color w:val="0000FF"/>
            <w:u w:val="single"/>
            <w:rtl/>
          </w:rPr>
          <w:t>19א</w:t>
        </w:r>
      </w:hyperlink>
      <w:r>
        <w:rPr>
          <w:rFonts w:hint="cs"/>
          <w:rtl/>
        </w:rPr>
        <w:t xml:space="preserve"> ל</w:t>
      </w:r>
      <w:hyperlink r:id="rId19" w:history="1">
        <w:r w:rsidR="00793274" w:rsidRPr="00793274">
          <w:rPr>
            <w:rStyle w:val="Hyperlink"/>
            <w:rtl/>
          </w:rPr>
          <w:t>פקודת הסמים המסוכנים</w:t>
        </w:r>
      </w:hyperlink>
      <w:r>
        <w:rPr>
          <w:rFonts w:hint="cs"/>
          <w:rtl/>
        </w:rPr>
        <w:t xml:space="preserve"> (נוסח חדש) התשל"ג - 1973 וכן עבירה לפי סעיף </w:t>
      </w:r>
      <w:hyperlink r:id="rId20" w:history="1">
        <w:r w:rsidR="00DD3D34" w:rsidRPr="00DD3D34">
          <w:rPr>
            <w:color w:val="0000FF"/>
            <w:u w:val="single"/>
            <w:rtl/>
          </w:rPr>
          <w:t>13</w:t>
        </w:r>
      </w:hyperlink>
      <w:r w:rsidR="00DD3D34">
        <w:rPr>
          <w:rFonts w:hint="cs"/>
          <w:rtl/>
        </w:rPr>
        <w:t xml:space="preserve"> + </w:t>
      </w:r>
      <w:hyperlink r:id="rId21" w:history="1">
        <w:r w:rsidR="00DD3D34" w:rsidRPr="00DD3D34">
          <w:rPr>
            <w:color w:val="0000FF"/>
            <w:u w:val="single"/>
            <w:rtl/>
          </w:rPr>
          <w:t>19א</w:t>
        </w:r>
      </w:hyperlink>
      <w:r>
        <w:rPr>
          <w:rFonts w:hint="cs"/>
          <w:rtl/>
        </w:rPr>
        <w:t xml:space="preserve"> לפקודת הסמים המסוכנים + </w:t>
      </w:r>
      <w:hyperlink r:id="rId22" w:history="1">
        <w:r w:rsidR="00DD3D34" w:rsidRPr="00DD3D34">
          <w:rPr>
            <w:color w:val="0000FF"/>
            <w:u w:val="single"/>
            <w:rtl/>
          </w:rPr>
          <w:t>סעיף 29</w:t>
        </w:r>
      </w:hyperlink>
      <w:r>
        <w:rPr>
          <w:rFonts w:hint="cs"/>
          <w:rtl/>
        </w:rPr>
        <w:t xml:space="preserve"> ל</w:t>
      </w:r>
      <w:hyperlink r:id="rId23" w:history="1">
        <w:r w:rsidR="00793274" w:rsidRPr="00793274">
          <w:rPr>
            <w:rStyle w:val="Hyperlink"/>
            <w:rtl/>
          </w:rPr>
          <w:t>חוק העונשין</w:t>
        </w:r>
      </w:hyperlink>
      <w:r>
        <w:rPr>
          <w:rFonts w:hint="cs"/>
          <w:rtl/>
        </w:rPr>
        <w:t xml:space="preserve"> (מספר עבירות); </w:t>
      </w:r>
    </w:p>
    <w:p w14:paraId="60FBEF56" w14:textId="77777777" w:rsidR="008C1291" w:rsidRDefault="00481931">
      <w:pPr>
        <w:spacing w:line="360" w:lineRule="auto"/>
        <w:jc w:val="both"/>
        <w:rPr>
          <w:rtl/>
        </w:rPr>
      </w:pPr>
      <w:r>
        <w:rPr>
          <w:rFonts w:hint="cs"/>
          <w:rtl/>
        </w:rPr>
        <w:t xml:space="preserve">עבירה של אחזקה ושימוש בסמים מסוכנים, עבירה לפי </w:t>
      </w:r>
      <w:hyperlink r:id="rId24" w:history="1">
        <w:r w:rsidR="00DD3D34" w:rsidRPr="00DD3D34">
          <w:rPr>
            <w:color w:val="0000FF"/>
            <w:u w:val="single"/>
            <w:rtl/>
          </w:rPr>
          <w:t>סעיף 7(א)</w:t>
        </w:r>
      </w:hyperlink>
      <w:r>
        <w:rPr>
          <w:rFonts w:hint="cs"/>
          <w:rtl/>
        </w:rPr>
        <w:t xml:space="preserve"> + </w:t>
      </w:r>
      <w:hyperlink r:id="rId25" w:history="1">
        <w:r w:rsidR="00DD3D34" w:rsidRPr="00DD3D34">
          <w:rPr>
            <w:color w:val="0000FF"/>
            <w:u w:val="single"/>
            <w:rtl/>
          </w:rPr>
          <w:t>7(ג)</w:t>
        </w:r>
      </w:hyperlink>
      <w:r>
        <w:rPr>
          <w:rFonts w:hint="cs"/>
          <w:rtl/>
        </w:rPr>
        <w:t xml:space="preserve"> רישא ל</w:t>
      </w:r>
      <w:hyperlink r:id="rId26" w:history="1">
        <w:r w:rsidR="00793274" w:rsidRPr="00793274">
          <w:rPr>
            <w:rStyle w:val="Hyperlink"/>
            <w:rtl/>
          </w:rPr>
          <w:t>פקודת הסמים המסוכנים</w:t>
        </w:r>
      </w:hyperlink>
      <w:r>
        <w:rPr>
          <w:rFonts w:hint="cs"/>
          <w:rtl/>
        </w:rPr>
        <w:t xml:space="preserve"> וכן עבירה לפי </w:t>
      </w:r>
      <w:hyperlink r:id="rId27" w:history="1">
        <w:r w:rsidR="00DD3D34" w:rsidRPr="00DD3D34">
          <w:rPr>
            <w:color w:val="0000FF"/>
            <w:u w:val="single"/>
            <w:rtl/>
          </w:rPr>
          <w:t>סעיף 7(א)</w:t>
        </w:r>
      </w:hyperlink>
      <w:r>
        <w:rPr>
          <w:rFonts w:hint="cs"/>
          <w:rtl/>
        </w:rPr>
        <w:t xml:space="preserve"> + </w:t>
      </w:r>
      <w:hyperlink r:id="rId28" w:history="1">
        <w:r w:rsidR="00DD3D34" w:rsidRPr="00DD3D34">
          <w:rPr>
            <w:color w:val="0000FF"/>
            <w:u w:val="single"/>
            <w:rtl/>
          </w:rPr>
          <w:t>7(ג)</w:t>
        </w:r>
      </w:hyperlink>
      <w:r>
        <w:rPr>
          <w:rFonts w:hint="cs"/>
          <w:rtl/>
        </w:rPr>
        <w:t xml:space="preserve"> רישא + </w:t>
      </w:r>
      <w:hyperlink r:id="rId29" w:history="1">
        <w:r w:rsidR="00DD3D34" w:rsidRPr="00DD3D34">
          <w:rPr>
            <w:color w:val="0000FF"/>
            <w:u w:val="single"/>
            <w:rtl/>
          </w:rPr>
          <w:t>סעיף 29</w:t>
        </w:r>
      </w:hyperlink>
      <w:r>
        <w:rPr>
          <w:rFonts w:hint="cs"/>
          <w:rtl/>
        </w:rPr>
        <w:t xml:space="preserve"> ל</w:t>
      </w:r>
      <w:hyperlink r:id="rId30" w:history="1">
        <w:r w:rsidR="00793274" w:rsidRPr="00793274">
          <w:rPr>
            <w:rStyle w:val="Hyperlink"/>
            <w:rtl/>
          </w:rPr>
          <w:t>חוק העונשין</w:t>
        </w:r>
      </w:hyperlink>
      <w:r>
        <w:rPr>
          <w:rFonts w:hint="cs"/>
          <w:rtl/>
        </w:rPr>
        <w:t xml:space="preserve"> (מספר עבירות);</w:t>
      </w:r>
    </w:p>
    <w:p w14:paraId="3C1993FB" w14:textId="77777777" w:rsidR="008C1291" w:rsidRDefault="00481931">
      <w:pPr>
        <w:spacing w:line="360" w:lineRule="auto"/>
        <w:jc w:val="both"/>
        <w:rPr>
          <w:rtl/>
        </w:rPr>
      </w:pPr>
      <w:r>
        <w:rPr>
          <w:rFonts w:hint="cs"/>
          <w:rtl/>
        </w:rPr>
        <w:t xml:space="preserve">עבירה של ניסיון לסחר בסמים מסוכנים, עבירה לפי </w:t>
      </w:r>
      <w:hyperlink r:id="rId31" w:history="1">
        <w:r w:rsidR="00DD3D34" w:rsidRPr="00DD3D34">
          <w:rPr>
            <w:color w:val="0000FF"/>
            <w:u w:val="single"/>
            <w:rtl/>
          </w:rPr>
          <w:t>סעיף 13</w:t>
        </w:r>
      </w:hyperlink>
      <w:r w:rsidR="00DD3D34">
        <w:rPr>
          <w:rFonts w:hint="cs"/>
          <w:rtl/>
        </w:rPr>
        <w:t xml:space="preserve"> + </w:t>
      </w:r>
      <w:hyperlink r:id="rId32" w:history="1">
        <w:r w:rsidR="00DD3D34" w:rsidRPr="00DD3D34">
          <w:rPr>
            <w:color w:val="0000FF"/>
            <w:u w:val="single"/>
            <w:rtl/>
          </w:rPr>
          <w:t>19א</w:t>
        </w:r>
      </w:hyperlink>
      <w:r>
        <w:rPr>
          <w:rFonts w:hint="cs"/>
          <w:rtl/>
        </w:rPr>
        <w:t xml:space="preserve"> ל</w:t>
      </w:r>
      <w:hyperlink r:id="rId33" w:history="1">
        <w:r w:rsidR="00793274" w:rsidRPr="00793274">
          <w:rPr>
            <w:rStyle w:val="Hyperlink"/>
            <w:rtl/>
          </w:rPr>
          <w:t>פקודת הסמים המסוכנים</w:t>
        </w:r>
      </w:hyperlink>
      <w:r>
        <w:rPr>
          <w:rFonts w:hint="cs"/>
          <w:rtl/>
        </w:rPr>
        <w:t xml:space="preserve"> + </w:t>
      </w:r>
      <w:hyperlink r:id="rId34" w:history="1">
        <w:r w:rsidR="00DD3D34" w:rsidRPr="00DD3D34">
          <w:rPr>
            <w:color w:val="0000FF"/>
            <w:u w:val="single"/>
            <w:rtl/>
          </w:rPr>
          <w:t>סעיף 25</w:t>
        </w:r>
      </w:hyperlink>
      <w:r>
        <w:rPr>
          <w:rFonts w:hint="cs"/>
          <w:rtl/>
        </w:rPr>
        <w:t xml:space="preserve"> ל</w:t>
      </w:r>
      <w:hyperlink r:id="rId35" w:history="1">
        <w:r w:rsidR="00793274" w:rsidRPr="00793274">
          <w:rPr>
            <w:rStyle w:val="Hyperlink"/>
            <w:rtl/>
          </w:rPr>
          <w:t>חוק העונשין</w:t>
        </w:r>
      </w:hyperlink>
      <w:r>
        <w:rPr>
          <w:rFonts w:hint="cs"/>
          <w:rtl/>
        </w:rPr>
        <w:t xml:space="preserve"> (שני מקרים).</w:t>
      </w:r>
    </w:p>
    <w:p w14:paraId="3C4ED794" w14:textId="77777777" w:rsidR="008C1291" w:rsidRDefault="008C1291">
      <w:pPr>
        <w:spacing w:line="360" w:lineRule="auto"/>
        <w:jc w:val="both"/>
        <w:rPr>
          <w:rtl/>
        </w:rPr>
      </w:pPr>
      <w:bookmarkStart w:id="7" w:name="ABSTRACT_END"/>
      <w:bookmarkEnd w:id="7"/>
    </w:p>
    <w:p w14:paraId="37B128F9" w14:textId="77777777" w:rsidR="008C1291" w:rsidRDefault="00481931">
      <w:pPr>
        <w:spacing w:line="360" w:lineRule="auto"/>
        <w:jc w:val="both"/>
        <w:rPr>
          <w:rtl/>
        </w:rPr>
      </w:pPr>
      <w:r>
        <w:rPr>
          <w:rFonts w:hint="cs"/>
          <w:rtl/>
        </w:rPr>
        <w:t>עובדות כתב האישום הן, בתמצית, כדלקמן:</w:t>
      </w:r>
    </w:p>
    <w:p w14:paraId="227DBAFD" w14:textId="77777777" w:rsidR="008C1291" w:rsidRDefault="008C1291">
      <w:pPr>
        <w:spacing w:line="360" w:lineRule="auto"/>
        <w:jc w:val="both"/>
        <w:rPr>
          <w:rtl/>
        </w:rPr>
      </w:pPr>
    </w:p>
    <w:p w14:paraId="4C7B5047" w14:textId="77777777" w:rsidR="008C1291" w:rsidRDefault="00481931">
      <w:pPr>
        <w:spacing w:line="360" w:lineRule="auto"/>
        <w:jc w:val="both"/>
        <w:rPr>
          <w:rtl/>
        </w:rPr>
      </w:pPr>
      <w:r>
        <w:rPr>
          <w:rFonts w:hint="cs"/>
          <w:rtl/>
        </w:rPr>
        <w:t xml:space="preserve">הנאשם היה מעורב ביבוא סמים מסוכנים לישראל. הכמויות והמועדים בהם ייבא הנאשם סמים לישראל לאורך תקופה אינם ידועים. בלילה שבין 8.2.12 ל-9.2.12 ייבא הנאשם לישראל קוקאין במשקל של כ-100 גרם, וזאת כחלק מאותה פעילות בה עסק. הנאשם פעל לשם מכירת הקוקאין לאדם אחר בשם גור ברון, אלא שנעצר קודם לביצוע המעשה. יצוין כי כנגד גור ברון הוגש כתב אישום בנפרד. כאשר נעצר הנאשם על ידי המשטרה, הוא החזיק על גופו קוקאין במשקל של 2.3 </w:t>
      </w:r>
      <w:r>
        <w:rPr>
          <w:rFonts w:hint="cs"/>
          <w:rtl/>
        </w:rPr>
        <w:lastRenderedPageBreak/>
        <w:t>גרם, אשר התכוון למסור לנאשם נוסף באותה פרשה לצורך בדיקתו. כאמור, הנאשם הודה בעובדות אלה והורשע, והכל במסגרת של הסדר טיעון.</w:t>
      </w:r>
    </w:p>
    <w:p w14:paraId="31C3A1DD" w14:textId="77777777" w:rsidR="008C1291" w:rsidRDefault="008C1291">
      <w:pPr>
        <w:spacing w:line="360" w:lineRule="auto"/>
        <w:jc w:val="both"/>
        <w:rPr>
          <w:rtl/>
        </w:rPr>
      </w:pPr>
    </w:p>
    <w:p w14:paraId="39256E9B" w14:textId="77777777" w:rsidR="008C1291" w:rsidRDefault="00481931">
      <w:pPr>
        <w:spacing w:line="360" w:lineRule="auto"/>
        <w:jc w:val="both"/>
        <w:rPr>
          <w:rtl/>
        </w:rPr>
      </w:pPr>
      <w:r>
        <w:rPr>
          <w:rFonts w:hint="cs"/>
          <w:rtl/>
        </w:rPr>
        <w:t>יצוין כי הסדר הטיעון כלל, בנוסף להרשעה לאחר תיקון כתב אישום, גם הסכמה לעניין טווחי ענישה. הוסכם כי המאשימה תעתור לעונש מאסר של 5 שנים, בעוד שהנאשם יעתור לעונש מאסר של שנתיים וחצי. עוד הוסכם במסגרת ההסדר, כי יוטל על הנאשם מאסר מותנה, לפי שיקול דעת בית המשפט. הוסכם כי בית המשפט יכריז על הנאשם כסוחר סמים, והמאשימה תבקש לחלט לאוצר המדינה כספים שנתפסו על גופו במהלך מעצרו, כמפורט בבקשת חילוט שצורפה לכתב האישום.</w:t>
      </w:r>
    </w:p>
    <w:p w14:paraId="6C11098C" w14:textId="77777777" w:rsidR="008C1291" w:rsidRDefault="008C1291">
      <w:pPr>
        <w:spacing w:line="360" w:lineRule="auto"/>
        <w:jc w:val="both"/>
        <w:rPr>
          <w:rtl/>
        </w:rPr>
      </w:pPr>
    </w:p>
    <w:p w14:paraId="64A82682" w14:textId="77777777" w:rsidR="008C1291" w:rsidRDefault="00481931">
      <w:pPr>
        <w:spacing w:line="360" w:lineRule="auto"/>
        <w:jc w:val="both"/>
        <w:rPr>
          <w:rtl/>
        </w:rPr>
      </w:pPr>
      <w:r>
        <w:rPr>
          <w:rFonts w:hint="cs"/>
          <w:rtl/>
        </w:rPr>
        <w:t>בשים לב להסדר, כאמור לעיל, נקבע כי הנאשם הוא סוחר סמים כמשמעו ב</w:t>
      </w:r>
      <w:hyperlink r:id="rId36" w:history="1">
        <w:r w:rsidR="00793274" w:rsidRPr="00793274">
          <w:rPr>
            <w:rStyle w:val="Hyperlink"/>
            <w:rtl/>
          </w:rPr>
          <w:t>פקודת הסמים המסוכנים</w:t>
        </w:r>
      </w:hyperlink>
      <w:r>
        <w:rPr>
          <w:rFonts w:hint="cs"/>
          <w:rtl/>
        </w:rPr>
        <w:t>, הכל כמפורט בהכרעת הדין מיום 5.12.12.</w:t>
      </w:r>
    </w:p>
    <w:p w14:paraId="21DA43BD" w14:textId="77777777" w:rsidR="008C1291" w:rsidRDefault="008C1291">
      <w:pPr>
        <w:spacing w:line="360" w:lineRule="auto"/>
        <w:jc w:val="both"/>
        <w:rPr>
          <w:rtl/>
        </w:rPr>
      </w:pPr>
    </w:p>
    <w:p w14:paraId="4D655C76" w14:textId="77777777" w:rsidR="008C1291" w:rsidRDefault="00481931">
      <w:pPr>
        <w:spacing w:line="360" w:lineRule="auto"/>
        <w:jc w:val="both"/>
        <w:rPr>
          <w:rtl/>
        </w:rPr>
      </w:pPr>
      <w:r>
        <w:rPr>
          <w:rFonts w:hint="cs"/>
          <w:rtl/>
        </w:rPr>
        <w:t>למען הסדר יצוין, כי למעשה הכרעת הדין נרשמה במקור ב</w:t>
      </w:r>
      <w:hyperlink r:id="rId37" w:history="1">
        <w:r w:rsidR="00793274" w:rsidRPr="00793274">
          <w:rPr>
            <w:rStyle w:val="Hyperlink"/>
            <w:rtl/>
          </w:rPr>
          <w:t>ת"פ 8540-03-12</w:t>
        </w:r>
      </w:hyperlink>
      <w:r>
        <w:rPr>
          <w:rFonts w:hint="cs"/>
          <w:rtl/>
        </w:rPr>
        <w:t>, שם עמד הנאשם לדין ביחד עם אחר המעורב באותה פרשה. לאחר שגובש הסדר הטיעון ונרשמה הודאתו, הוחלט להפריד את הדיון בעניינו מעניינו של הנאשם האחר, ולכן נפתח תיק הנושא מספר 11284-12-12.</w:t>
      </w:r>
    </w:p>
    <w:p w14:paraId="4498FA8D" w14:textId="77777777" w:rsidR="008C1291" w:rsidRDefault="008C1291">
      <w:pPr>
        <w:spacing w:line="360" w:lineRule="auto"/>
        <w:jc w:val="both"/>
        <w:rPr>
          <w:rtl/>
        </w:rPr>
      </w:pPr>
    </w:p>
    <w:p w14:paraId="3BD0CB57" w14:textId="77777777" w:rsidR="008C1291" w:rsidRDefault="00481931">
      <w:pPr>
        <w:spacing w:line="360" w:lineRule="auto"/>
        <w:jc w:val="both"/>
        <w:rPr>
          <w:rtl/>
        </w:rPr>
      </w:pPr>
      <w:r>
        <w:rPr>
          <w:rFonts w:hint="cs"/>
          <w:rtl/>
        </w:rPr>
        <w:t>במסגרת ההסדר הוסכם גם כי הנאשם יוכל לפנות לשירות המבחן ולבקש תסקיר.</w:t>
      </w:r>
    </w:p>
    <w:p w14:paraId="54159375" w14:textId="77777777" w:rsidR="008C1291" w:rsidRDefault="008C1291">
      <w:pPr>
        <w:spacing w:line="360" w:lineRule="auto"/>
        <w:jc w:val="both"/>
        <w:rPr>
          <w:rtl/>
        </w:rPr>
      </w:pPr>
    </w:p>
    <w:p w14:paraId="5AC6DAF3" w14:textId="77777777" w:rsidR="008C1291" w:rsidRDefault="00481931">
      <w:pPr>
        <w:spacing w:line="360" w:lineRule="auto"/>
        <w:jc w:val="both"/>
        <w:rPr>
          <w:b/>
          <w:bCs/>
          <w:u w:val="single"/>
          <w:rtl/>
        </w:rPr>
      </w:pPr>
      <w:r>
        <w:rPr>
          <w:rFonts w:hint="cs"/>
          <w:b/>
          <w:bCs/>
          <w:u w:val="single"/>
          <w:rtl/>
        </w:rPr>
        <w:t>תסקיר המבחן ו</w:t>
      </w:r>
      <w:r>
        <w:rPr>
          <w:b/>
          <w:bCs/>
          <w:u w:val="single"/>
          <w:rtl/>
        </w:rPr>
        <w:t>הטיעון לעונש</w:t>
      </w:r>
    </w:p>
    <w:p w14:paraId="19CA8840" w14:textId="77777777" w:rsidR="008C1291" w:rsidRDefault="00481931">
      <w:pPr>
        <w:spacing w:line="360" w:lineRule="auto"/>
        <w:jc w:val="both"/>
        <w:rPr>
          <w:rtl/>
        </w:rPr>
      </w:pPr>
      <w:r>
        <w:rPr>
          <w:rFonts w:hint="cs"/>
          <w:rtl/>
        </w:rPr>
        <w:t>לבית המשפט הוגש תסקיר של שירות המבחן. שירות המבחן פירט מכלול של בעיות הקשורות ברקע המשפחתי והאישי של הנאשם, תוך שהוא מתייחס לאירוע טראומתי בילדותו. עם זאת, נמנע שירות המבחן מלהרחיב בעניין אותו אירוע טראומתי והשלכותיו על התפתחותו וגדילתו של הנאשם. בתמצית יצוין, כי בעקבות אותו אירוע עזב, למעשה, הנאשם את משפחתו, התגורר בארה"ב וניסה למצוא דרך חדשה בחייו. כאשר נקלע לקשיים כלכליים ואף סבל ממצב דכאוני, נגרר, כך ככל הנראה, למעורבות בפעילות ובמעשים המיוחסים לו.</w:t>
      </w:r>
    </w:p>
    <w:p w14:paraId="09D9CF47" w14:textId="77777777" w:rsidR="008C1291" w:rsidRDefault="008C1291">
      <w:pPr>
        <w:spacing w:line="360" w:lineRule="auto"/>
        <w:jc w:val="both"/>
        <w:rPr>
          <w:rtl/>
        </w:rPr>
      </w:pPr>
    </w:p>
    <w:p w14:paraId="03F189F9" w14:textId="77777777" w:rsidR="008C1291" w:rsidRDefault="00481931">
      <w:pPr>
        <w:spacing w:line="360" w:lineRule="auto"/>
        <w:jc w:val="both"/>
        <w:rPr>
          <w:rtl/>
        </w:rPr>
      </w:pPr>
      <w:r>
        <w:rPr>
          <w:rFonts w:hint="cs"/>
          <w:rtl/>
        </w:rPr>
        <w:t>שירות המבחן ציין כי הנאשם לוקח אחריות על מעשיו, ושלל דפוסי התנהגות עבריינית. הוא גילה פתיחות ואותנטיות, ושירות המבחן התרשם מנכונותו לטפל בקשייו הרגשיים ולהכיר בדפוסי התנהגותו הפסולים. עם זאת, ציין שירות המבחן כי בשים לב לחומרת העבירה, אין הוא בא בהמלצה טיפולית במסגרת השירות, ואולם הוא ממליץ לקלוט את הנאשם במסגרת טיפולית בפיקוחו של שב"ס.</w:t>
      </w:r>
    </w:p>
    <w:p w14:paraId="6446CB41" w14:textId="77777777" w:rsidR="008C1291" w:rsidRDefault="008C1291">
      <w:pPr>
        <w:spacing w:line="360" w:lineRule="auto"/>
        <w:jc w:val="both"/>
        <w:rPr>
          <w:rtl/>
        </w:rPr>
      </w:pPr>
    </w:p>
    <w:p w14:paraId="0AF0667E" w14:textId="77777777" w:rsidR="008C1291" w:rsidRDefault="00481931">
      <w:pPr>
        <w:spacing w:line="360" w:lineRule="auto"/>
        <w:jc w:val="both"/>
        <w:rPr>
          <w:rtl/>
        </w:rPr>
      </w:pPr>
      <w:r>
        <w:rPr>
          <w:rFonts w:hint="cs"/>
          <w:rtl/>
        </w:rPr>
        <w:t>בטרם טיעון לעונש, טענו בפני בני משפחתו של הנאשם וסיפרו על ילדותו ועל הרקע המשפחתי. יצוין כי מדובר, ככלל, במשפחה נורמטיבית. כפי שצוין לעיל, אירוע טראומתי הקשור בילדותו של הנאשם, גרם למשבר במערכת יחסיו עם משפחתו הגרעינית, כאשר הנאשם עזב את המשפחה וחי בנפרד בארה"ב, ואולם מעבר לאותו משבר משפחתי, ניתן היה להתרשם כי מדובר במשפחה המנסה היום לשקם את הנאשם, דבר אשר לא נעשה לאורך שנים.</w:t>
      </w:r>
    </w:p>
    <w:p w14:paraId="43989623" w14:textId="77777777" w:rsidR="008C1291" w:rsidRDefault="008C1291">
      <w:pPr>
        <w:spacing w:line="360" w:lineRule="auto"/>
        <w:jc w:val="both"/>
        <w:rPr>
          <w:rtl/>
        </w:rPr>
      </w:pPr>
    </w:p>
    <w:p w14:paraId="4FC4968E" w14:textId="77777777" w:rsidR="008C1291" w:rsidRDefault="00481931">
      <w:pPr>
        <w:bidi w:val="0"/>
        <w:rPr>
          <w:rtl/>
        </w:rPr>
      </w:pPr>
      <w:r>
        <w:rPr>
          <w:rtl/>
        </w:rPr>
        <w:br w:type="page"/>
      </w:r>
    </w:p>
    <w:p w14:paraId="43D09742" w14:textId="77777777" w:rsidR="008C1291" w:rsidRDefault="00481931">
      <w:pPr>
        <w:spacing w:line="360" w:lineRule="auto"/>
        <w:jc w:val="both"/>
        <w:rPr>
          <w:rtl/>
        </w:rPr>
      </w:pPr>
      <w:r>
        <w:rPr>
          <w:rFonts w:hint="cs"/>
          <w:rtl/>
        </w:rPr>
        <w:t>בנוסף, לדברי בני המשפחה, הוצג לעיוני גם מכתב מטעם הרב גרוסמן ממגדל העמק, אשר סיפר על המשפחה ועל תרומתה הייחודית לחברה.</w:t>
      </w:r>
    </w:p>
    <w:p w14:paraId="3447985E" w14:textId="77777777" w:rsidR="008C1291" w:rsidRDefault="008C1291">
      <w:pPr>
        <w:spacing w:line="360" w:lineRule="auto"/>
        <w:jc w:val="both"/>
        <w:rPr>
          <w:rtl/>
        </w:rPr>
      </w:pPr>
    </w:p>
    <w:p w14:paraId="39AD1C60" w14:textId="77777777" w:rsidR="008C1291" w:rsidRDefault="00481931">
      <w:pPr>
        <w:spacing w:line="360" w:lineRule="auto"/>
        <w:jc w:val="both"/>
        <w:rPr>
          <w:rtl/>
        </w:rPr>
      </w:pPr>
      <w:r>
        <w:rPr>
          <w:rFonts w:hint="cs"/>
          <w:rtl/>
        </w:rPr>
        <w:t>הצדדים הסכימו ביניהם, במסגרת של הסדר טיעון, על טווחי ענישה. בהתאם, המחלוקת שבפני מצומצמת. יצוין עוד, כי מאחר והוסכם על טווחי ענישה, הרי שאין צורך במקרה זה להידרש לכל אותם כללים של פירוט טווחי ענישה, בהתאם להוראות תיקון 113 ל</w:t>
      </w:r>
      <w:hyperlink r:id="rId38" w:history="1">
        <w:r w:rsidR="00793274" w:rsidRPr="00793274">
          <w:rPr>
            <w:rStyle w:val="Hyperlink"/>
            <w:rtl/>
          </w:rPr>
          <w:t>חוק העונשין</w:t>
        </w:r>
      </w:hyperlink>
      <w:r>
        <w:rPr>
          <w:rFonts w:hint="cs"/>
          <w:rtl/>
        </w:rPr>
        <w:t>.</w:t>
      </w:r>
    </w:p>
    <w:p w14:paraId="41265AA1" w14:textId="77777777" w:rsidR="008C1291" w:rsidRDefault="008C1291">
      <w:pPr>
        <w:spacing w:line="360" w:lineRule="auto"/>
        <w:jc w:val="both"/>
        <w:rPr>
          <w:rtl/>
        </w:rPr>
      </w:pPr>
    </w:p>
    <w:p w14:paraId="776F9E76" w14:textId="77777777" w:rsidR="008C1291" w:rsidRDefault="00481931">
      <w:pPr>
        <w:spacing w:line="360" w:lineRule="auto"/>
        <w:jc w:val="both"/>
        <w:rPr>
          <w:rtl/>
        </w:rPr>
      </w:pPr>
      <w:r>
        <w:rPr>
          <w:rFonts w:hint="cs"/>
          <w:rtl/>
        </w:rPr>
        <w:t>המאשימה עותרת לגזור על הנאשם עונש של 5 שנות מאסר או קרוב לכך. המאשימה פירטה את חומרת המעשה של יבוא קוקאין לישראל. אין צורך להרחיב את הדיבור על הנזק שנגרם לציבור מיבוא סמים, המהווים דלק המניע את גלגלי הפשיעה. בהתאם, בשים לב להלכה הפסוקה, עתרה המאשימה לגזור על הנאשם עונש של מאסר ממושך, ובשים לב להסדר וכן בהתחשב בעונש מאסר בן 31 חודשים שנגזר על נאשם אחר באותה פרשה, עתרה המאשימה להחמיר בדינו של נאשם זה ולגזור עליו עונש של 5 שנות מאסר.</w:t>
      </w:r>
    </w:p>
    <w:p w14:paraId="101F1C1E" w14:textId="77777777" w:rsidR="008C1291" w:rsidRDefault="008C1291">
      <w:pPr>
        <w:spacing w:line="360" w:lineRule="auto"/>
        <w:jc w:val="both"/>
        <w:rPr>
          <w:rtl/>
        </w:rPr>
      </w:pPr>
    </w:p>
    <w:p w14:paraId="14865922" w14:textId="77777777" w:rsidR="008C1291" w:rsidRDefault="00481931">
      <w:pPr>
        <w:spacing w:line="360" w:lineRule="auto"/>
        <w:jc w:val="both"/>
        <w:rPr>
          <w:rtl/>
        </w:rPr>
      </w:pPr>
      <w:r>
        <w:rPr>
          <w:rFonts w:hint="cs"/>
          <w:rtl/>
        </w:rPr>
        <w:t>ב"כ הנאשם ביקשה לשים את הדגש על עברו הנקי של הנאשם, ובעיקר על הרקע האישי, דרך גדילתו, האירוע הטראומתי שעבר והאופן שבו נותק, למעשה, ממשפחתו. לעניין זה העבירה הסנגורית המלומדת ביקורת על שירות המבחן, אשר לא העמיק בבדיקת אותו אירוע טראומתי והשלכותיו על התנהגות הנאשם. הסנגורית עותרת להביא בחשבון את הודאתו של הנאשם, את כל נתוניו האישיים החיוביים, ובנסיבות אלה לגזור עליו עונש מאסר שיהיה למשך שנתיים וחצי, או קרוב לכך.</w:t>
      </w:r>
    </w:p>
    <w:p w14:paraId="0116239B" w14:textId="77777777" w:rsidR="008C1291" w:rsidRDefault="008C1291">
      <w:pPr>
        <w:spacing w:line="360" w:lineRule="auto"/>
        <w:jc w:val="both"/>
        <w:rPr>
          <w:rtl/>
        </w:rPr>
      </w:pPr>
    </w:p>
    <w:p w14:paraId="496091E7" w14:textId="77777777" w:rsidR="008C1291" w:rsidRDefault="00481931">
      <w:pPr>
        <w:spacing w:line="360" w:lineRule="auto"/>
        <w:jc w:val="both"/>
        <w:rPr>
          <w:rtl/>
        </w:rPr>
      </w:pPr>
      <w:r>
        <w:rPr>
          <w:rFonts w:hint="cs"/>
          <w:rtl/>
        </w:rPr>
        <w:t>הנאשם עצמו הביע חרטה על מעשיו והבהיר כי החליט לשנות את אורחות חייו ולא לחזור עוד לעולם הפשע.</w:t>
      </w:r>
    </w:p>
    <w:p w14:paraId="18CA2549" w14:textId="77777777" w:rsidR="008C1291" w:rsidRDefault="008C1291">
      <w:pPr>
        <w:spacing w:line="360" w:lineRule="auto"/>
        <w:jc w:val="both"/>
        <w:rPr>
          <w:rtl/>
        </w:rPr>
      </w:pPr>
    </w:p>
    <w:p w14:paraId="1E0522B6" w14:textId="77777777" w:rsidR="008C1291" w:rsidRDefault="00481931">
      <w:pPr>
        <w:spacing w:line="360" w:lineRule="auto"/>
        <w:jc w:val="both"/>
        <w:rPr>
          <w:b/>
          <w:bCs/>
          <w:u w:val="single"/>
          <w:rtl/>
        </w:rPr>
      </w:pPr>
      <w:r>
        <w:rPr>
          <w:b/>
          <w:bCs/>
          <w:u w:val="single"/>
          <w:rtl/>
        </w:rPr>
        <w:t>שיקולי בית המשפט לעניין הענישה</w:t>
      </w:r>
    </w:p>
    <w:p w14:paraId="461154A4" w14:textId="77777777" w:rsidR="008C1291" w:rsidRDefault="00481931">
      <w:pPr>
        <w:spacing w:line="360" w:lineRule="auto"/>
        <w:jc w:val="both"/>
        <w:rPr>
          <w:rtl/>
        </w:rPr>
      </w:pPr>
      <w:r>
        <w:rPr>
          <w:rFonts w:hint="cs"/>
          <w:rtl/>
        </w:rPr>
        <w:t>כאמור, במקרה זה אין צורך להיזקק לפירוט כל אמות המידה המפורטות בעקרונות הבניית שיקול הדעת בענישה, כפי שנקבעו בחוק, בתיקון 113 ל</w:t>
      </w:r>
      <w:hyperlink r:id="rId39" w:history="1">
        <w:r w:rsidR="00793274" w:rsidRPr="00793274">
          <w:rPr>
            <w:rStyle w:val="Hyperlink"/>
            <w:rtl/>
          </w:rPr>
          <w:t>חוק העונשין</w:t>
        </w:r>
      </w:hyperlink>
      <w:r>
        <w:rPr>
          <w:rFonts w:hint="cs"/>
          <w:rtl/>
        </w:rPr>
        <w:t>.</w:t>
      </w:r>
    </w:p>
    <w:p w14:paraId="21E8FE15" w14:textId="77777777" w:rsidR="008C1291" w:rsidRDefault="008C1291">
      <w:pPr>
        <w:spacing w:line="360" w:lineRule="auto"/>
        <w:jc w:val="both"/>
        <w:rPr>
          <w:rtl/>
        </w:rPr>
      </w:pPr>
    </w:p>
    <w:p w14:paraId="026831B1" w14:textId="77777777" w:rsidR="008C1291" w:rsidRDefault="00481931">
      <w:pPr>
        <w:spacing w:line="360" w:lineRule="auto"/>
        <w:jc w:val="both"/>
        <w:rPr>
          <w:rtl/>
        </w:rPr>
      </w:pPr>
      <w:r>
        <w:rPr>
          <w:rFonts w:hint="cs"/>
          <w:rtl/>
        </w:rPr>
        <w:t>אין חולק, כי עבירה של יבוא סמים לישראל היא עבירה חמורה. הדבר קבוע בחוק, מדובר בעבירה אשר העונש בצידה הוא עד 20 שנות מאסר, ולא בכדי קבע המחוקק רמת ענישה חמורה לעבירות הסמים. הסם פוגע בצרכני הסמים ופוגע בחברה כולה, כאשר הוא משמש למנוע מרכזי של מערך הפשיעה. הנזק שנגרם, הן לפרט והן לחברה, בגין צריכת סמים, הוא נזק כבד, ובתי המשפט הורו במקרים רבים, כי יש להחמיר בענישה בעבירות אלו.</w:t>
      </w:r>
    </w:p>
    <w:p w14:paraId="72470068" w14:textId="77777777" w:rsidR="008C1291" w:rsidRDefault="008C1291">
      <w:pPr>
        <w:spacing w:line="360" w:lineRule="auto"/>
        <w:jc w:val="both"/>
        <w:rPr>
          <w:rtl/>
        </w:rPr>
      </w:pPr>
    </w:p>
    <w:p w14:paraId="28E77CF6" w14:textId="77777777" w:rsidR="008C1291" w:rsidRDefault="00481931">
      <w:pPr>
        <w:spacing w:line="360" w:lineRule="auto"/>
        <w:jc w:val="both"/>
        <w:rPr>
          <w:rtl/>
        </w:rPr>
      </w:pPr>
      <w:r>
        <w:rPr>
          <w:rFonts w:hint="cs"/>
          <w:rtl/>
        </w:rPr>
        <w:t xml:space="preserve">במקרה שבפני, היה הנאשם חוליה משמעותית ביבוא הסם לישראל. כפי שעולה מהמבוא לכתב האישום, הוא עסק בהעברת סמים לישראל לאורך זמן וכאמור, נתפס בסופו של דבר כאשר ייבא לישראל 100 גרם קוקאין, כמות גדולה אשר הייתה אמורה להגיע לצרכנים רבים. עובדות אלו נזקפות לחובתו. </w:t>
      </w:r>
    </w:p>
    <w:p w14:paraId="53B1B86A" w14:textId="77777777" w:rsidR="008C1291" w:rsidRDefault="008C1291">
      <w:pPr>
        <w:spacing w:line="360" w:lineRule="auto"/>
        <w:jc w:val="both"/>
        <w:rPr>
          <w:rtl/>
        </w:rPr>
      </w:pPr>
    </w:p>
    <w:p w14:paraId="63FCAC8C" w14:textId="77777777" w:rsidR="008C1291" w:rsidRDefault="00481931">
      <w:pPr>
        <w:spacing w:line="360" w:lineRule="auto"/>
        <w:jc w:val="both"/>
        <w:rPr>
          <w:rtl/>
        </w:rPr>
      </w:pPr>
      <w:r>
        <w:rPr>
          <w:rFonts w:hint="cs"/>
          <w:rtl/>
        </w:rPr>
        <w:t xml:space="preserve">עם זאת, סבור אני שיש להביא גם בחשבון את נתוניו הייחודיים בכל הנוגע לילדותו ולגדילתו והאירוע הטראומתי שעבר, אשר הוביל, בסופו של יום, לניתוק ממשפחתו, למסלול של הידרדרות ובסופו של דבר גם להגעה לדרך הפשע. סבור אני כי בנסיבות אלו, כאשר מביאים בחשבון את מכלול הנתונים, יש להביא בחשבון במסגרת הענישה גם את הצורך ליתן לנאשם אור בקצה המנהרה, וזאת בתקווה שאכן ישנה את אורחות חייו ויעלה על דרך המלך. סבור אני כי בנסיבות אלו, אין מקום לגזור עליו את העונש המרבי לו עתרה המאשימה, ובדרך זו לפתוח לו שער של תקווה ביום נעילת שערי הכלא לאחריו. </w:t>
      </w:r>
    </w:p>
    <w:p w14:paraId="6F74623B" w14:textId="77777777" w:rsidR="008C1291" w:rsidRDefault="008C1291">
      <w:pPr>
        <w:spacing w:line="360" w:lineRule="auto"/>
        <w:jc w:val="both"/>
        <w:rPr>
          <w:rtl/>
        </w:rPr>
      </w:pPr>
    </w:p>
    <w:p w14:paraId="5EE9566F" w14:textId="77777777" w:rsidR="008C1291" w:rsidRDefault="00481931">
      <w:pPr>
        <w:spacing w:line="360" w:lineRule="auto"/>
        <w:jc w:val="both"/>
        <w:rPr>
          <w:rtl/>
        </w:rPr>
      </w:pPr>
      <w:r>
        <w:rPr>
          <w:rFonts w:hint="cs"/>
          <w:rtl/>
        </w:rPr>
        <w:t>הבאתי בחשבון במסגרת מכלול השיקולים, גם את העונש שנגזר על ארן מכלוף, נאשם אחר באותה פרשה. חלקו של הנאשם הנ"ל פחוּת מזה של הנאשם שבפני, ואולם גם נתוניו שונים.</w:t>
      </w:r>
    </w:p>
    <w:p w14:paraId="38A5DAD5" w14:textId="77777777" w:rsidR="008C1291" w:rsidRDefault="008C1291">
      <w:pPr>
        <w:spacing w:line="360" w:lineRule="auto"/>
        <w:jc w:val="both"/>
        <w:rPr>
          <w:rtl/>
        </w:rPr>
      </w:pPr>
    </w:p>
    <w:p w14:paraId="4DC8F68B" w14:textId="77777777" w:rsidR="008C1291" w:rsidRDefault="00481931">
      <w:pPr>
        <w:spacing w:line="360" w:lineRule="auto"/>
        <w:jc w:val="both"/>
        <w:rPr>
          <w:rtl/>
        </w:rPr>
      </w:pPr>
      <w:r>
        <w:rPr>
          <w:rFonts w:hint="cs"/>
          <w:rtl/>
        </w:rPr>
        <w:t xml:space="preserve">בכל הנוגע לחילוט </w:t>
      </w:r>
      <w:r>
        <w:rPr>
          <w:rtl/>
        </w:rPr>
        <w:t>–</w:t>
      </w:r>
      <w:r>
        <w:rPr>
          <w:rFonts w:hint="cs"/>
          <w:rtl/>
        </w:rPr>
        <w:t xml:space="preserve"> הצדדים, למעשה, לא טענו לעניין זה, ונראה כי בקשת החילוט, מוסכמת. בכל מקרה, לא מצאתי גם כל עילה שלא להורות על חילוט, בהתאם למבוקש בכתב האישום. מדובר בכספים אשר נתפסו אצל הנאשם. ככל הנראה הם פרי רווחיו מיבוא הסמים, ובנסיבות אלה ראוי לחלטם לאוצר המדינה.</w:t>
      </w:r>
    </w:p>
    <w:p w14:paraId="31A7122E" w14:textId="77777777" w:rsidR="008C1291" w:rsidRDefault="008C1291">
      <w:pPr>
        <w:spacing w:line="360" w:lineRule="auto"/>
        <w:jc w:val="both"/>
        <w:rPr>
          <w:rtl/>
        </w:rPr>
      </w:pPr>
    </w:p>
    <w:p w14:paraId="717146D3" w14:textId="77777777" w:rsidR="008C1291" w:rsidRDefault="00481931">
      <w:pPr>
        <w:spacing w:line="360" w:lineRule="auto"/>
        <w:jc w:val="both"/>
        <w:rPr>
          <w:b/>
          <w:bCs/>
          <w:u w:val="single"/>
          <w:rtl/>
        </w:rPr>
      </w:pPr>
      <w:r>
        <w:rPr>
          <w:b/>
          <w:bCs/>
          <w:u w:val="single"/>
          <w:rtl/>
        </w:rPr>
        <w:t>סיכום הענישה וגזר הדין</w:t>
      </w:r>
    </w:p>
    <w:p w14:paraId="21B6FDDF" w14:textId="77777777" w:rsidR="008C1291" w:rsidRDefault="00481931">
      <w:pPr>
        <w:spacing w:line="360" w:lineRule="auto"/>
        <w:jc w:val="both"/>
        <w:rPr>
          <w:rtl/>
        </w:rPr>
      </w:pPr>
      <w:r>
        <w:rPr>
          <w:rFonts w:hint="cs"/>
          <w:rtl/>
        </w:rPr>
        <w:t>אשר על כן ובסיכומו של דבר, אני גוזר את דינו של הנאשם כדלקמן:</w:t>
      </w:r>
    </w:p>
    <w:p w14:paraId="0436192D" w14:textId="77777777" w:rsidR="008C1291" w:rsidRDefault="008C1291">
      <w:pPr>
        <w:spacing w:line="360" w:lineRule="auto"/>
        <w:jc w:val="both"/>
        <w:rPr>
          <w:rtl/>
        </w:rPr>
      </w:pPr>
    </w:p>
    <w:p w14:paraId="2A707990" w14:textId="77777777" w:rsidR="008C1291" w:rsidRDefault="00481931">
      <w:pPr>
        <w:spacing w:line="360" w:lineRule="auto"/>
        <w:jc w:val="both"/>
        <w:rPr>
          <w:rtl/>
        </w:rPr>
      </w:pPr>
      <w:r>
        <w:rPr>
          <w:rFonts w:hint="cs"/>
          <w:rtl/>
        </w:rPr>
        <w:t xml:space="preserve">אני גוזר על הנאשם 52 חודשי מאסר, מהם 40 חודשי מאסר לריצוי בפועל, שמניינם מיום 13.2.12, מועד מעצרו, והיתרה, 12 חודשי מאסר, יהיו מאסר על תנאי, והתנאי הוא שהנאשם לא יעבור כל עבירה על </w:t>
      </w:r>
      <w:hyperlink r:id="rId40" w:history="1">
        <w:r w:rsidR="00793274" w:rsidRPr="00793274">
          <w:rPr>
            <w:rStyle w:val="Hyperlink"/>
            <w:rtl/>
          </w:rPr>
          <w:t>פקודת הסמים המסוכנים</w:t>
        </w:r>
      </w:hyperlink>
      <w:r>
        <w:rPr>
          <w:rFonts w:hint="cs"/>
          <w:rtl/>
        </w:rPr>
        <w:t>, למעט עבירה של החזקת סמים לשימוש עצמי, וזאת למשך 3 שנים.</w:t>
      </w:r>
    </w:p>
    <w:p w14:paraId="37F45537" w14:textId="77777777" w:rsidR="008C1291" w:rsidRDefault="008C1291">
      <w:pPr>
        <w:spacing w:line="360" w:lineRule="auto"/>
        <w:jc w:val="both"/>
        <w:rPr>
          <w:rtl/>
        </w:rPr>
      </w:pPr>
    </w:p>
    <w:p w14:paraId="3375F8E5" w14:textId="77777777" w:rsidR="008C1291" w:rsidRDefault="00481931">
      <w:pPr>
        <w:spacing w:line="360" w:lineRule="auto"/>
        <w:jc w:val="both"/>
        <w:rPr>
          <w:rtl/>
        </w:rPr>
      </w:pPr>
      <w:r>
        <w:rPr>
          <w:rFonts w:hint="cs"/>
          <w:rtl/>
        </w:rPr>
        <w:t>עוד אני גוזר עליו 6 חודשי מאסר על תנאי, והתנאי הוא שהנאשם לא יעבור כל עבירה של שימוש עצמי בסם, וזאת לתקופה של 3 שנים.</w:t>
      </w:r>
    </w:p>
    <w:p w14:paraId="4FDA41D5" w14:textId="77777777" w:rsidR="008C1291" w:rsidRDefault="008C1291">
      <w:pPr>
        <w:spacing w:line="360" w:lineRule="auto"/>
        <w:jc w:val="both"/>
        <w:rPr>
          <w:rtl/>
        </w:rPr>
      </w:pPr>
    </w:p>
    <w:p w14:paraId="031C5DA7" w14:textId="77777777" w:rsidR="008C1291" w:rsidRDefault="00481931">
      <w:pPr>
        <w:bidi w:val="0"/>
        <w:rPr>
          <w:rtl/>
        </w:rPr>
      </w:pPr>
      <w:r>
        <w:rPr>
          <w:rtl/>
        </w:rPr>
        <w:br w:type="page"/>
      </w:r>
    </w:p>
    <w:p w14:paraId="724177E7" w14:textId="77777777" w:rsidR="008C1291" w:rsidRDefault="00481931" w:rsidP="00DD3D34">
      <w:pPr>
        <w:spacing w:line="360" w:lineRule="auto"/>
        <w:jc w:val="both"/>
        <w:rPr>
          <w:rtl/>
        </w:rPr>
      </w:pPr>
      <w:r>
        <w:rPr>
          <w:rFonts w:hint="cs"/>
          <w:rtl/>
        </w:rPr>
        <w:t xml:space="preserve">בהתאם להוראות סעיף </w:t>
      </w:r>
      <w:hyperlink r:id="rId41" w:history="1">
        <w:r w:rsidR="00DD3D34" w:rsidRPr="00DD3D34">
          <w:rPr>
            <w:color w:val="0000FF"/>
            <w:u w:val="single"/>
            <w:rtl/>
          </w:rPr>
          <w:t>36א</w:t>
        </w:r>
      </w:hyperlink>
      <w:r>
        <w:rPr>
          <w:rFonts w:hint="cs"/>
          <w:rtl/>
        </w:rPr>
        <w:t xml:space="preserve"> </w:t>
      </w:r>
      <w:hyperlink r:id="rId42" w:history="1">
        <w:r w:rsidR="00DD3D34" w:rsidRPr="00DD3D34">
          <w:rPr>
            <w:color w:val="0000FF"/>
            <w:u w:val="single"/>
            <w:rtl/>
          </w:rPr>
          <w:t>וסעיף 36(6)</w:t>
        </w:r>
      </w:hyperlink>
      <w:r>
        <w:rPr>
          <w:rFonts w:hint="cs"/>
          <w:rtl/>
        </w:rPr>
        <w:t xml:space="preserve"> ל</w:t>
      </w:r>
      <w:hyperlink r:id="rId43" w:history="1">
        <w:r w:rsidR="00793274" w:rsidRPr="00793274">
          <w:rPr>
            <w:rStyle w:val="Hyperlink"/>
            <w:rtl/>
          </w:rPr>
          <w:t>פקודת הסמים המסוכנים</w:t>
        </w:r>
      </w:hyperlink>
      <w:r>
        <w:rPr>
          <w:rFonts w:hint="cs"/>
          <w:rtl/>
        </w:rPr>
        <w:t xml:space="preserve">, אני מורה לחלט לטובת הקרן לטיפול בנכסים </w:t>
      </w:r>
      <w:r w:rsidR="00DD3D34">
        <w:rPr>
          <w:rFonts w:hint="cs"/>
          <w:rtl/>
        </w:rPr>
        <w:t xml:space="preserve">שחולטו, ושהקומה בהתאם לסעיף </w:t>
      </w:r>
      <w:hyperlink r:id="rId44" w:history="1">
        <w:r w:rsidR="00DD3D34" w:rsidRPr="00DD3D34">
          <w:rPr>
            <w:color w:val="0000FF"/>
            <w:u w:val="single"/>
            <w:rtl/>
          </w:rPr>
          <w:t>36ח</w:t>
        </w:r>
      </w:hyperlink>
      <w:r>
        <w:rPr>
          <w:rFonts w:hint="cs"/>
          <w:rtl/>
        </w:rPr>
        <w:t xml:space="preserve"> לפקודת הסמים המסוכנים, את הכספים שנתפסו אצל הנאשם בעת שנעצר, דהיינו סך של 2,356 ₪ ועוד 3,700 דולר אמריקאי ועוד 2,700 אירו.</w:t>
      </w:r>
    </w:p>
    <w:p w14:paraId="54A1C783" w14:textId="77777777" w:rsidR="008C1291" w:rsidRDefault="008C1291">
      <w:pPr>
        <w:spacing w:line="360" w:lineRule="auto"/>
        <w:jc w:val="both"/>
        <w:rPr>
          <w:rtl/>
        </w:rPr>
      </w:pPr>
    </w:p>
    <w:p w14:paraId="5D6FE167" w14:textId="77777777" w:rsidR="008C1291" w:rsidRDefault="00481931">
      <w:pPr>
        <w:spacing w:line="360" w:lineRule="auto"/>
        <w:jc w:val="both"/>
        <w:rPr>
          <w:rtl/>
        </w:rPr>
      </w:pPr>
      <w:r>
        <w:rPr>
          <w:rFonts w:hint="cs"/>
          <w:b/>
          <w:bCs/>
          <w:rtl/>
        </w:rPr>
        <w:t>הוסברה לנאשם זכותו לערער לבית המשפט העליון תוך 45 ימים</w:t>
      </w:r>
      <w:r>
        <w:rPr>
          <w:rFonts w:hint="cs"/>
          <w:rtl/>
        </w:rPr>
        <w:t>.</w:t>
      </w:r>
    </w:p>
    <w:p w14:paraId="28270D14" w14:textId="77777777" w:rsidR="00481931" w:rsidRPr="00481931" w:rsidRDefault="00481931" w:rsidP="00481931">
      <w:pPr>
        <w:keepNext/>
        <w:spacing w:line="360" w:lineRule="auto"/>
        <w:rPr>
          <w:rFonts w:ascii="David" w:hAnsi="David"/>
          <w:color w:val="000000"/>
          <w:sz w:val="22"/>
          <w:szCs w:val="22"/>
          <w:rtl/>
        </w:rPr>
      </w:pPr>
    </w:p>
    <w:p w14:paraId="7D2D77E0" w14:textId="77777777" w:rsidR="00481931" w:rsidRPr="00481931" w:rsidRDefault="00481931" w:rsidP="00481931">
      <w:pPr>
        <w:keepNext/>
        <w:spacing w:line="360" w:lineRule="auto"/>
        <w:rPr>
          <w:rFonts w:ascii="David" w:hAnsi="David"/>
          <w:color w:val="000000"/>
          <w:sz w:val="22"/>
          <w:szCs w:val="22"/>
          <w:rtl/>
        </w:rPr>
      </w:pPr>
      <w:r w:rsidRPr="00481931">
        <w:rPr>
          <w:rFonts w:ascii="David" w:hAnsi="David"/>
          <w:color w:val="000000"/>
          <w:sz w:val="22"/>
          <w:szCs w:val="22"/>
          <w:rtl/>
        </w:rPr>
        <w:t>רון שפירא 54678313</w:t>
      </w:r>
    </w:p>
    <w:p w14:paraId="545CD4BE" w14:textId="77777777" w:rsidR="008C1291" w:rsidRPr="00481931" w:rsidRDefault="00481931">
      <w:pPr>
        <w:spacing w:line="360" w:lineRule="auto"/>
        <w:rPr>
          <w:color w:val="FFFFFF"/>
          <w:sz w:val="2"/>
          <w:szCs w:val="2"/>
          <w:rtl/>
        </w:rPr>
      </w:pPr>
      <w:r w:rsidRPr="00481931">
        <w:rPr>
          <w:color w:val="FFFFFF"/>
          <w:sz w:val="2"/>
          <w:szCs w:val="2"/>
          <w:rtl/>
        </w:rPr>
        <w:t>5129371</w:t>
      </w:r>
    </w:p>
    <w:tbl>
      <w:tblPr>
        <w:bidiVisual/>
        <w:tblW w:w="0" w:type="auto"/>
        <w:jc w:val="right"/>
        <w:tblLook w:val="01E0" w:firstRow="1" w:lastRow="1" w:firstColumn="1" w:lastColumn="1" w:noHBand="0" w:noVBand="0"/>
      </w:tblPr>
      <w:tblGrid>
        <w:gridCol w:w="2834"/>
      </w:tblGrid>
      <w:tr w:rsidR="008C1291" w14:paraId="1021872A" w14:textId="77777777">
        <w:trPr>
          <w:jc w:val="right"/>
        </w:trPr>
        <w:tc>
          <w:tcPr>
            <w:tcW w:w="2834" w:type="dxa"/>
            <w:tcBorders>
              <w:top w:val="nil"/>
              <w:left w:val="nil"/>
              <w:bottom w:val="single" w:sz="4" w:space="0" w:color="auto"/>
              <w:right w:val="nil"/>
            </w:tcBorders>
            <w:vAlign w:val="center"/>
          </w:tcPr>
          <w:p w14:paraId="085A6D58" w14:textId="77777777" w:rsidR="008C1291" w:rsidRDefault="00481931">
            <w:pPr>
              <w:jc w:val="center"/>
              <w:rPr>
                <w:rFonts w:ascii="Courier New" w:hAnsi="Courier New"/>
                <w:b/>
                <w:bCs/>
              </w:rPr>
            </w:pPr>
            <w:r w:rsidRPr="00481931">
              <w:rPr>
                <w:rFonts w:ascii="Arial" w:hAnsi="Arial"/>
                <w:b/>
                <w:bCs/>
                <w:color w:val="FFFFFF"/>
                <w:sz w:val="2"/>
                <w:szCs w:val="2"/>
                <w:rtl/>
              </w:rPr>
              <w:t>54678313</w:t>
            </w:r>
            <w:r>
              <w:rPr>
                <w:rFonts w:ascii="Arial" w:hAnsi="Arial"/>
                <w:b/>
                <w:bCs/>
                <w:rtl/>
              </w:rPr>
              <w:t xml:space="preserve">ניתן היום, ל' ניסן תשע"ג, 10 אפריל 2013, במעמד הצדדים. </w:t>
            </w:r>
          </w:p>
        </w:tc>
      </w:tr>
      <w:tr w:rsidR="008C1291" w14:paraId="656292BF" w14:textId="77777777">
        <w:trPr>
          <w:jc w:val="right"/>
        </w:trPr>
        <w:tc>
          <w:tcPr>
            <w:tcW w:w="2834" w:type="dxa"/>
            <w:tcBorders>
              <w:top w:val="single" w:sz="4" w:space="0" w:color="auto"/>
              <w:left w:val="nil"/>
              <w:bottom w:val="nil"/>
              <w:right w:val="nil"/>
            </w:tcBorders>
          </w:tcPr>
          <w:p w14:paraId="714B0097" w14:textId="77777777" w:rsidR="008C1291" w:rsidRDefault="00481931">
            <w:pPr>
              <w:jc w:val="center"/>
              <w:rPr>
                <w:b/>
                <w:bCs/>
                <w:noProof/>
                <w:sz w:val="28"/>
              </w:rPr>
            </w:pPr>
            <w:r>
              <w:rPr>
                <w:rFonts w:hint="cs"/>
                <w:b/>
                <w:bCs/>
                <w:sz w:val="28"/>
                <w:rtl/>
              </w:rPr>
              <w:t>ר' שפירא, שופט</w:t>
            </w:r>
          </w:p>
        </w:tc>
      </w:tr>
    </w:tbl>
    <w:p w14:paraId="11A486D3" w14:textId="77777777" w:rsidR="00481931" w:rsidRDefault="00481931" w:rsidP="00481931">
      <w:r w:rsidRPr="00481931">
        <w:rPr>
          <w:color w:val="000000"/>
          <w:rtl/>
        </w:rPr>
        <w:t>נוסח מסמך זה כפוף לשינויי ניסוח ועריכה</w:t>
      </w:r>
    </w:p>
    <w:p w14:paraId="6FD51388" w14:textId="77777777" w:rsidR="00481931" w:rsidRDefault="00481931" w:rsidP="00481931">
      <w:pPr>
        <w:rPr>
          <w:rtl/>
        </w:rPr>
      </w:pPr>
    </w:p>
    <w:p w14:paraId="5C5B422A" w14:textId="77777777" w:rsidR="00481931" w:rsidRDefault="00481931" w:rsidP="00481931">
      <w:pPr>
        <w:jc w:val="center"/>
        <w:rPr>
          <w:color w:val="0000FF"/>
          <w:u w:val="single"/>
        </w:rPr>
      </w:pPr>
      <w:r w:rsidRPr="002D1CC8">
        <w:rPr>
          <w:color w:val="000000"/>
          <w:rtl/>
        </w:rPr>
        <w:t>בעניין עריכה ושינויים במסמכי פסיקה, חקיקה ועוד באתר נבו – הקש כאן</w:t>
      </w:r>
    </w:p>
    <w:p w14:paraId="3406258B" w14:textId="77777777" w:rsidR="008C1291" w:rsidRPr="00481931" w:rsidRDefault="008C1291" w:rsidP="00481931">
      <w:pPr>
        <w:jc w:val="center"/>
        <w:rPr>
          <w:color w:val="0000FF"/>
          <w:u w:val="single"/>
        </w:rPr>
      </w:pPr>
    </w:p>
    <w:sectPr w:rsidR="008C1291" w:rsidRPr="00481931" w:rsidSect="00481931">
      <w:headerReference w:type="even" r:id="rId45"/>
      <w:headerReference w:type="default" r:id="rId46"/>
      <w:footerReference w:type="even" r:id="rId47"/>
      <w:footerReference w:type="default" r:id="rId48"/>
      <w:pgSz w:w="11907" w:h="16840" w:code="9"/>
      <w:pgMar w:top="1701" w:right="1701" w:bottom="1560"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8A911" w14:textId="77777777" w:rsidR="001E26B3" w:rsidRPr="00D57244" w:rsidRDefault="001E26B3">
      <w:pPr>
        <w:rPr>
          <w:rFonts w:cs="Arial"/>
          <w:szCs w:val="20"/>
        </w:rPr>
      </w:pPr>
      <w:r>
        <w:separator/>
      </w:r>
    </w:p>
  </w:endnote>
  <w:endnote w:type="continuationSeparator" w:id="0">
    <w:p w14:paraId="250EB80A" w14:textId="77777777" w:rsidR="001E26B3" w:rsidRPr="00D57244" w:rsidRDefault="001E26B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C4509" w14:textId="77777777" w:rsidR="001827A8" w:rsidRDefault="001827A8" w:rsidP="0048193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166127B7" w14:textId="77777777" w:rsidR="001827A8" w:rsidRPr="00481931" w:rsidRDefault="001827A8" w:rsidP="00481931">
    <w:pPr>
      <w:pStyle w:val="a4"/>
      <w:pBdr>
        <w:top w:val="single" w:sz="4" w:space="1" w:color="auto"/>
        <w:between w:val="single" w:sz="4" w:space="0" w:color="auto"/>
      </w:pBdr>
      <w:spacing w:after="60"/>
      <w:jc w:val="center"/>
      <w:rPr>
        <w:rFonts w:ascii="FrankRuehl" w:hAnsi="FrankRuehl" w:cs="FrankRuehl"/>
        <w:color w:val="000000"/>
      </w:rPr>
    </w:pPr>
    <w:r w:rsidRPr="0048193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0EE4C" w14:textId="77777777" w:rsidR="001827A8" w:rsidRDefault="001827A8" w:rsidP="0048193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21705">
      <w:rPr>
        <w:rFonts w:ascii="FrankRuehl" w:hAnsi="FrankRuehl" w:cs="FrankRuehl"/>
        <w:noProof/>
        <w:rtl/>
      </w:rPr>
      <w:t>1</w:t>
    </w:r>
    <w:r>
      <w:rPr>
        <w:rFonts w:ascii="FrankRuehl" w:hAnsi="FrankRuehl" w:cs="FrankRuehl"/>
        <w:rtl/>
      </w:rPr>
      <w:fldChar w:fldCharType="end"/>
    </w:r>
  </w:p>
  <w:p w14:paraId="5462B34C" w14:textId="77777777" w:rsidR="001827A8" w:rsidRPr="00481931" w:rsidRDefault="001827A8" w:rsidP="00481931">
    <w:pPr>
      <w:pStyle w:val="a4"/>
      <w:pBdr>
        <w:top w:val="single" w:sz="4" w:space="1" w:color="auto"/>
        <w:between w:val="single" w:sz="4" w:space="0" w:color="auto"/>
      </w:pBdr>
      <w:spacing w:after="60"/>
      <w:jc w:val="center"/>
      <w:rPr>
        <w:rFonts w:ascii="FrankRuehl" w:hAnsi="FrankRuehl" w:cs="FrankRuehl"/>
        <w:color w:val="000000"/>
      </w:rPr>
    </w:pPr>
    <w:r w:rsidRPr="00481931">
      <w:rPr>
        <w:rFonts w:ascii="FrankRuehl" w:hAnsi="FrankRuehl" w:cs="FrankRuehl"/>
        <w:color w:val="000000"/>
      </w:rPr>
      <w:pict w14:anchorId="5D7CF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E6FF19" w14:textId="77777777" w:rsidR="001E26B3" w:rsidRPr="00D57244" w:rsidRDefault="001E26B3">
      <w:pPr>
        <w:rPr>
          <w:rFonts w:cs="Arial"/>
          <w:szCs w:val="20"/>
        </w:rPr>
      </w:pPr>
      <w:r>
        <w:separator/>
      </w:r>
    </w:p>
  </w:footnote>
  <w:footnote w:type="continuationSeparator" w:id="0">
    <w:p w14:paraId="1181FACA" w14:textId="77777777" w:rsidR="001E26B3" w:rsidRPr="00D57244" w:rsidRDefault="001E26B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71AB2" w14:textId="77777777" w:rsidR="001827A8" w:rsidRPr="00481931" w:rsidRDefault="001827A8" w:rsidP="0048193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11284-12-12</w:t>
    </w:r>
    <w:r>
      <w:rPr>
        <w:rFonts w:ascii="David" w:hAnsi="David"/>
        <w:color w:val="000000"/>
        <w:sz w:val="22"/>
        <w:szCs w:val="22"/>
        <w:rtl/>
      </w:rPr>
      <w:tab/>
      <w:t xml:space="preserve"> מדינת ישראל נ' אלישע גכטמן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A0FEB" w14:textId="77777777" w:rsidR="001827A8" w:rsidRPr="00481931" w:rsidRDefault="001827A8" w:rsidP="0048193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11284-12-12</w:t>
    </w:r>
    <w:r>
      <w:rPr>
        <w:rFonts w:ascii="David" w:hAnsi="David"/>
        <w:color w:val="000000"/>
        <w:sz w:val="22"/>
        <w:szCs w:val="22"/>
        <w:rtl/>
      </w:rPr>
      <w:tab/>
      <w:t xml:space="preserve"> מדינת ישראל נ' אלישע גכטמן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C1291"/>
    <w:rsid w:val="001827A8"/>
    <w:rsid w:val="001E26B3"/>
    <w:rsid w:val="002D1CC8"/>
    <w:rsid w:val="003C4F7E"/>
    <w:rsid w:val="003D472F"/>
    <w:rsid w:val="00481931"/>
    <w:rsid w:val="004C4E17"/>
    <w:rsid w:val="00521705"/>
    <w:rsid w:val="00556FB6"/>
    <w:rsid w:val="00793274"/>
    <w:rsid w:val="008C1291"/>
    <w:rsid w:val="00AC7172"/>
    <w:rsid w:val="00B83A46"/>
    <w:rsid w:val="00DD3D34"/>
    <w:rsid w:val="00DF3B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E204A9"/>
  <w15:chartTrackingRefBased/>
  <w15:docId w15:val="{98E7B16B-3529-4FE3-B0B7-0BEC3C1FD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C129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C1291"/>
    <w:pPr>
      <w:tabs>
        <w:tab w:val="center" w:pos="4153"/>
        <w:tab w:val="right" w:pos="8306"/>
      </w:tabs>
    </w:pPr>
  </w:style>
  <w:style w:type="paragraph" w:styleId="a4">
    <w:name w:val="footer"/>
    <w:basedOn w:val="a"/>
    <w:rsid w:val="008C1291"/>
    <w:pPr>
      <w:tabs>
        <w:tab w:val="center" w:pos="4153"/>
        <w:tab w:val="right" w:pos="8306"/>
      </w:tabs>
    </w:pPr>
  </w:style>
  <w:style w:type="character" w:styleId="a5">
    <w:name w:val="page number"/>
    <w:basedOn w:val="a0"/>
    <w:rsid w:val="008C1291"/>
  </w:style>
  <w:style w:type="character" w:styleId="a6">
    <w:name w:val="line number"/>
    <w:basedOn w:val="a0"/>
    <w:rsid w:val="008C1291"/>
  </w:style>
  <w:style w:type="character" w:styleId="Hyperlink">
    <w:name w:val="Hyperlink"/>
    <w:rsid w:val="004819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h" TargetMode="External"/><Relationship Id="rId18" Type="http://schemas.openxmlformats.org/officeDocument/2006/relationships/hyperlink" Target="http://www.nevo.co.il/law/4216/19a" TargetMode="External"/><Relationship Id="rId26" Type="http://schemas.openxmlformats.org/officeDocument/2006/relationships/hyperlink" Target="http://www.nevo.co.il/law/4216" TargetMode="External"/><Relationship Id="rId39" Type="http://schemas.openxmlformats.org/officeDocument/2006/relationships/hyperlink" Target="http://www.nevo.co.il/law/70301" TargetMode="External"/><Relationship Id="rId21" Type="http://schemas.openxmlformats.org/officeDocument/2006/relationships/hyperlink" Target="http://www.nevo.co.il/law/4216/19a" TargetMode="External"/><Relationship Id="rId34" Type="http://schemas.openxmlformats.org/officeDocument/2006/relationships/hyperlink" Target="http://www.nevo.co.il/law/70301/25" TargetMode="External"/><Relationship Id="rId42" Type="http://schemas.openxmlformats.org/officeDocument/2006/relationships/hyperlink" Target="http://www.nevo.co.il/law/4216/36.6"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70301/29" TargetMode="External"/><Relationship Id="rId29" Type="http://schemas.openxmlformats.org/officeDocument/2006/relationships/hyperlink" Target="http://www.nevo.co.il/law/70301/29" TargetMode="External"/><Relationship Id="rId11" Type="http://schemas.openxmlformats.org/officeDocument/2006/relationships/hyperlink" Target="http://www.nevo.co.il/law/4216/36.6" TargetMode="External"/><Relationship Id="rId24" Type="http://schemas.openxmlformats.org/officeDocument/2006/relationships/hyperlink" Target="http://www.nevo.co.il/law/4216/7.a" TargetMode="External"/><Relationship Id="rId32" Type="http://schemas.openxmlformats.org/officeDocument/2006/relationships/hyperlink" Target="http://www.nevo.co.il/law/4216/19a" TargetMode="External"/><Relationship Id="rId37" Type="http://schemas.openxmlformats.org/officeDocument/2006/relationships/hyperlink" Target="http://www.nevo.co.il/case/5152093" TargetMode="External"/><Relationship Id="rId40" Type="http://schemas.openxmlformats.org/officeDocument/2006/relationships/hyperlink" Target="http://www.nevo.co.il/law/4216"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70301/25" TargetMode="External"/><Relationship Id="rId23" Type="http://schemas.openxmlformats.org/officeDocument/2006/relationships/hyperlink" Target="http://www.nevo.co.il/law/70301" TargetMode="External"/><Relationship Id="rId28" Type="http://schemas.openxmlformats.org/officeDocument/2006/relationships/hyperlink" Target="http://www.nevo.co.il/law/4216/7.c" TargetMode="External"/><Relationship Id="rId36" Type="http://schemas.openxmlformats.org/officeDocument/2006/relationships/hyperlink" Target="http://www.nevo.co.il/law/4216" TargetMode="External"/><Relationship Id="rId49" Type="http://schemas.openxmlformats.org/officeDocument/2006/relationships/fontTable" Target="fontTable.xml"/><Relationship Id="rId10" Type="http://schemas.openxmlformats.org/officeDocument/2006/relationships/hyperlink" Target="http://www.nevo.co.il/law/4216/19a" TargetMode="External"/><Relationship Id="rId19" Type="http://schemas.openxmlformats.org/officeDocument/2006/relationships/hyperlink" Target="http://www.nevo.co.il/law/4216" TargetMode="External"/><Relationship Id="rId31" Type="http://schemas.openxmlformats.org/officeDocument/2006/relationships/hyperlink" Target="http://www.nevo.co.il/law/4216/13" TargetMode="External"/><Relationship Id="rId44" Type="http://schemas.openxmlformats.org/officeDocument/2006/relationships/hyperlink" Target="http://www.nevo.co.il/law/4216/36h" TargetMode="Externa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29" TargetMode="External"/><Relationship Id="rId27" Type="http://schemas.openxmlformats.org/officeDocument/2006/relationships/hyperlink" Target="http://www.nevo.co.il/law/4216/7.a"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43" Type="http://schemas.openxmlformats.org/officeDocument/2006/relationships/hyperlink" Target="http://www.nevo.co.il/law/4216" TargetMode="External"/><Relationship Id="rId48" Type="http://schemas.openxmlformats.org/officeDocument/2006/relationships/footer" Target="footer2.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4216/36a"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4216/7.c" TargetMode="External"/><Relationship Id="rId33" Type="http://schemas.openxmlformats.org/officeDocument/2006/relationships/hyperlink" Target="http://www.nevo.co.il/law/4216" TargetMode="External"/><Relationship Id="rId38" Type="http://schemas.openxmlformats.org/officeDocument/2006/relationships/hyperlink" Target="http://www.nevo.co.il/law/70301" TargetMode="External"/><Relationship Id="rId46" Type="http://schemas.openxmlformats.org/officeDocument/2006/relationships/header" Target="header2.xml"/><Relationship Id="rId20" Type="http://schemas.openxmlformats.org/officeDocument/2006/relationships/hyperlink" Target="http://www.nevo.co.il/law/4216/13" TargetMode="External"/><Relationship Id="rId41" Type="http://schemas.openxmlformats.org/officeDocument/2006/relationships/hyperlink" Target="http://www.nevo.co.il/law/4216/36a" TargetMode="External"/><Relationship Id="rId1" Type="http://schemas.openxmlformats.org/officeDocument/2006/relationships/styles" Target="styles.xml"/><Relationship Id="rId6"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1597</Words>
  <Characters>7988</Characters>
  <Application>Microsoft Office Word</Application>
  <DocSecurity>0</DocSecurity>
  <Lines>66</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9566</CharactersWithSpaces>
  <SharedDoc>false</SharedDoc>
  <HLinks>
    <vt:vector size="234" baseType="variant">
      <vt:variant>
        <vt:i4>2424956</vt:i4>
      </vt:variant>
      <vt:variant>
        <vt:i4>114</vt:i4>
      </vt:variant>
      <vt:variant>
        <vt:i4>0</vt:i4>
      </vt:variant>
      <vt:variant>
        <vt:i4>5</vt:i4>
      </vt:variant>
      <vt:variant>
        <vt:lpwstr>http://www.nevo.co.il/law/4216/36h</vt:lpwstr>
      </vt:variant>
      <vt:variant>
        <vt:lpwstr/>
      </vt:variant>
      <vt:variant>
        <vt:i4>8257637</vt:i4>
      </vt:variant>
      <vt:variant>
        <vt:i4>111</vt:i4>
      </vt:variant>
      <vt:variant>
        <vt:i4>0</vt:i4>
      </vt:variant>
      <vt:variant>
        <vt:i4>5</vt:i4>
      </vt:variant>
      <vt:variant>
        <vt:lpwstr>http://www.nevo.co.il/law/4216</vt:lpwstr>
      </vt:variant>
      <vt:variant>
        <vt:lpwstr/>
      </vt:variant>
      <vt:variant>
        <vt:i4>6488188</vt:i4>
      </vt:variant>
      <vt:variant>
        <vt:i4>108</vt:i4>
      </vt:variant>
      <vt:variant>
        <vt:i4>0</vt:i4>
      </vt:variant>
      <vt:variant>
        <vt:i4>5</vt:i4>
      </vt:variant>
      <vt:variant>
        <vt:lpwstr>http://www.nevo.co.il/law/4216/36.6</vt:lpwstr>
      </vt:variant>
      <vt:variant>
        <vt:lpwstr/>
      </vt:variant>
      <vt:variant>
        <vt:i4>2883708</vt:i4>
      </vt:variant>
      <vt:variant>
        <vt:i4>105</vt:i4>
      </vt:variant>
      <vt:variant>
        <vt:i4>0</vt:i4>
      </vt:variant>
      <vt:variant>
        <vt:i4>5</vt:i4>
      </vt:variant>
      <vt:variant>
        <vt:lpwstr>http://www.nevo.co.il/law/4216/36a</vt:lpwstr>
      </vt:variant>
      <vt:variant>
        <vt:lpwstr/>
      </vt:variant>
      <vt:variant>
        <vt:i4>8257637</vt:i4>
      </vt:variant>
      <vt:variant>
        <vt:i4>102</vt:i4>
      </vt:variant>
      <vt:variant>
        <vt:i4>0</vt:i4>
      </vt:variant>
      <vt:variant>
        <vt:i4>5</vt:i4>
      </vt:variant>
      <vt:variant>
        <vt:lpwstr>http://www.nevo.co.il/law/4216</vt:lpwstr>
      </vt:variant>
      <vt:variant>
        <vt:lpwstr/>
      </vt:variant>
      <vt:variant>
        <vt:i4>7995492</vt:i4>
      </vt:variant>
      <vt:variant>
        <vt:i4>99</vt:i4>
      </vt:variant>
      <vt:variant>
        <vt:i4>0</vt:i4>
      </vt:variant>
      <vt:variant>
        <vt:i4>5</vt:i4>
      </vt:variant>
      <vt:variant>
        <vt:lpwstr>http://www.nevo.co.il/law/70301</vt:lpwstr>
      </vt:variant>
      <vt:variant>
        <vt:lpwstr/>
      </vt:variant>
      <vt:variant>
        <vt:i4>7995492</vt:i4>
      </vt:variant>
      <vt:variant>
        <vt:i4>96</vt:i4>
      </vt:variant>
      <vt:variant>
        <vt:i4>0</vt:i4>
      </vt:variant>
      <vt:variant>
        <vt:i4>5</vt:i4>
      </vt:variant>
      <vt:variant>
        <vt:lpwstr>http://www.nevo.co.il/law/70301</vt:lpwstr>
      </vt:variant>
      <vt:variant>
        <vt:lpwstr/>
      </vt:variant>
      <vt:variant>
        <vt:i4>3342462</vt:i4>
      </vt:variant>
      <vt:variant>
        <vt:i4>93</vt:i4>
      </vt:variant>
      <vt:variant>
        <vt:i4>0</vt:i4>
      </vt:variant>
      <vt:variant>
        <vt:i4>5</vt:i4>
      </vt:variant>
      <vt:variant>
        <vt:lpwstr>http://www.nevo.co.il/case/5152093</vt:lpwstr>
      </vt:variant>
      <vt:variant>
        <vt:lpwstr/>
      </vt:variant>
      <vt:variant>
        <vt:i4>8257637</vt:i4>
      </vt:variant>
      <vt:variant>
        <vt:i4>90</vt:i4>
      </vt:variant>
      <vt:variant>
        <vt:i4>0</vt:i4>
      </vt:variant>
      <vt:variant>
        <vt:i4>5</vt:i4>
      </vt:variant>
      <vt:variant>
        <vt:lpwstr>http://www.nevo.co.il/law/4216</vt:lpwstr>
      </vt:variant>
      <vt:variant>
        <vt:lpwstr/>
      </vt:variant>
      <vt:variant>
        <vt:i4>7995492</vt:i4>
      </vt:variant>
      <vt:variant>
        <vt:i4>87</vt:i4>
      </vt:variant>
      <vt:variant>
        <vt:i4>0</vt:i4>
      </vt:variant>
      <vt:variant>
        <vt:i4>5</vt:i4>
      </vt:variant>
      <vt:variant>
        <vt:lpwstr>http://www.nevo.co.il/law/70301</vt:lpwstr>
      </vt:variant>
      <vt:variant>
        <vt:lpwstr/>
      </vt:variant>
      <vt:variant>
        <vt:i4>6291559</vt:i4>
      </vt:variant>
      <vt:variant>
        <vt:i4>84</vt:i4>
      </vt:variant>
      <vt:variant>
        <vt:i4>0</vt:i4>
      </vt:variant>
      <vt:variant>
        <vt:i4>5</vt:i4>
      </vt:variant>
      <vt:variant>
        <vt:lpwstr>http://www.nevo.co.il/law/70301/25</vt:lpwstr>
      </vt:variant>
      <vt:variant>
        <vt:lpwstr/>
      </vt:variant>
      <vt:variant>
        <vt:i4>8257637</vt:i4>
      </vt:variant>
      <vt:variant>
        <vt:i4>81</vt:i4>
      </vt:variant>
      <vt:variant>
        <vt:i4>0</vt:i4>
      </vt:variant>
      <vt:variant>
        <vt:i4>5</vt:i4>
      </vt:variant>
      <vt:variant>
        <vt:lpwstr>http://www.nevo.co.il/law/4216</vt:lpwstr>
      </vt:variant>
      <vt:variant>
        <vt:lpwstr/>
      </vt:variant>
      <vt:variant>
        <vt:i4>3014771</vt:i4>
      </vt:variant>
      <vt:variant>
        <vt:i4>78</vt:i4>
      </vt:variant>
      <vt:variant>
        <vt:i4>0</vt:i4>
      </vt:variant>
      <vt:variant>
        <vt:i4>5</vt:i4>
      </vt:variant>
      <vt:variant>
        <vt:lpwstr>http://www.nevo.co.il/law/4216/19a</vt:lpwstr>
      </vt:variant>
      <vt:variant>
        <vt:lpwstr/>
      </vt:variant>
      <vt:variant>
        <vt:i4>5177418</vt:i4>
      </vt:variant>
      <vt:variant>
        <vt:i4>75</vt:i4>
      </vt:variant>
      <vt:variant>
        <vt:i4>0</vt:i4>
      </vt:variant>
      <vt:variant>
        <vt:i4>5</vt:i4>
      </vt:variant>
      <vt:variant>
        <vt:lpwstr>http://www.nevo.co.il/law/4216/13</vt:lpwstr>
      </vt:variant>
      <vt:variant>
        <vt:lpwstr/>
      </vt:variant>
      <vt:variant>
        <vt:i4>7995492</vt:i4>
      </vt:variant>
      <vt:variant>
        <vt:i4>72</vt:i4>
      </vt:variant>
      <vt:variant>
        <vt:i4>0</vt:i4>
      </vt:variant>
      <vt:variant>
        <vt:i4>5</vt:i4>
      </vt:variant>
      <vt:variant>
        <vt:lpwstr>http://www.nevo.co.il/law/70301</vt:lpwstr>
      </vt:variant>
      <vt:variant>
        <vt:lpwstr/>
      </vt:variant>
      <vt:variant>
        <vt:i4>7077991</vt:i4>
      </vt:variant>
      <vt:variant>
        <vt:i4>69</vt:i4>
      </vt:variant>
      <vt:variant>
        <vt:i4>0</vt:i4>
      </vt:variant>
      <vt:variant>
        <vt:i4>5</vt:i4>
      </vt:variant>
      <vt:variant>
        <vt:lpwstr>http://www.nevo.co.il/law/70301/29</vt:lpwstr>
      </vt:variant>
      <vt:variant>
        <vt:lpwstr/>
      </vt:variant>
      <vt:variant>
        <vt:i4>2752612</vt:i4>
      </vt:variant>
      <vt:variant>
        <vt:i4>66</vt:i4>
      </vt:variant>
      <vt:variant>
        <vt:i4>0</vt:i4>
      </vt:variant>
      <vt:variant>
        <vt:i4>5</vt:i4>
      </vt:variant>
      <vt:variant>
        <vt:lpwstr>http://www.nevo.co.il/law/4216/7.c</vt:lpwstr>
      </vt:variant>
      <vt:variant>
        <vt:lpwstr/>
      </vt:variant>
      <vt:variant>
        <vt:i4>2621540</vt:i4>
      </vt:variant>
      <vt:variant>
        <vt:i4>63</vt:i4>
      </vt:variant>
      <vt:variant>
        <vt:i4>0</vt:i4>
      </vt:variant>
      <vt:variant>
        <vt:i4>5</vt:i4>
      </vt:variant>
      <vt:variant>
        <vt:lpwstr>http://www.nevo.co.il/law/4216/7.a</vt:lpwstr>
      </vt:variant>
      <vt:variant>
        <vt:lpwstr/>
      </vt:variant>
      <vt:variant>
        <vt:i4>8257637</vt:i4>
      </vt:variant>
      <vt:variant>
        <vt:i4>60</vt:i4>
      </vt:variant>
      <vt:variant>
        <vt:i4>0</vt:i4>
      </vt:variant>
      <vt:variant>
        <vt:i4>5</vt:i4>
      </vt:variant>
      <vt:variant>
        <vt:lpwstr>http://www.nevo.co.il/law/4216</vt:lpwstr>
      </vt:variant>
      <vt:variant>
        <vt:lpwstr/>
      </vt:variant>
      <vt:variant>
        <vt:i4>2752612</vt:i4>
      </vt:variant>
      <vt:variant>
        <vt:i4>57</vt:i4>
      </vt:variant>
      <vt:variant>
        <vt:i4>0</vt:i4>
      </vt:variant>
      <vt:variant>
        <vt:i4>5</vt:i4>
      </vt:variant>
      <vt:variant>
        <vt:lpwstr>http://www.nevo.co.il/law/4216/7.c</vt:lpwstr>
      </vt:variant>
      <vt:variant>
        <vt:lpwstr/>
      </vt:variant>
      <vt:variant>
        <vt:i4>2621540</vt:i4>
      </vt:variant>
      <vt:variant>
        <vt:i4>54</vt:i4>
      </vt:variant>
      <vt:variant>
        <vt:i4>0</vt:i4>
      </vt:variant>
      <vt:variant>
        <vt:i4>5</vt:i4>
      </vt:variant>
      <vt:variant>
        <vt:lpwstr>http://www.nevo.co.il/law/4216/7.a</vt:lpwstr>
      </vt:variant>
      <vt:variant>
        <vt:lpwstr/>
      </vt:variant>
      <vt:variant>
        <vt:i4>7995492</vt:i4>
      </vt:variant>
      <vt:variant>
        <vt:i4>51</vt:i4>
      </vt:variant>
      <vt:variant>
        <vt:i4>0</vt:i4>
      </vt:variant>
      <vt:variant>
        <vt:i4>5</vt:i4>
      </vt:variant>
      <vt:variant>
        <vt:lpwstr>http://www.nevo.co.il/law/70301</vt:lpwstr>
      </vt:variant>
      <vt:variant>
        <vt:lpwstr/>
      </vt:variant>
      <vt:variant>
        <vt:i4>7077991</vt:i4>
      </vt:variant>
      <vt:variant>
        <vt:i4>48</vt:i4>
      </vt:variant>
      <vt:variant>
        <vt:i4>0</vt:i4>
      </vt:variant>
      <vt:variant>
        <vt:i4>5</vt:i4>
      </vt:variant>
      <vt:variant>
        <vt:lpwstr>http://www.nevo.co.il/law/70301/29</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6291559</vt:i4>
      </vt:variant>
      <vt:variant>
        <vt:i4>27</vt:i4>
      </vt:variant>
      <vt:variant>
        <vt:i4>0</vt:i4>
      </vt:variant>
      <vt:variant>
        <vt:i4>5</vt:i4>
      </vt:variant>
      <vt:variant>
        <vt:lpwstr>http://www.nevo.co.il/law/70301/25</vt:lpwstr>
      </vt:variant>
      <vt:variant>
        <vt:lpwstr/>
      </vt:variant>
      <vt:variant>
        <vt:i4>7995492</vt:i4>
      </vt:variant>
      <vt:variant>
        <vt:i4>24</vt:i4>
      </vt:variant>
      <vt:variant>
        <vt:i4>0</vt:i4>
      </vt:variant>
      <vt:variant>
        <vt:i4>5</vt:i4>
      </vt:variant>
      <vt:variant>
        <vt:lpwstr>http://www.nevo.co.il/law/70301</vt:lpwstr>
      </vt:variant>
      <vt:variant>
        <vt:lpwstr/>
      </vt:variant>
      <vt:variant>
        <vt:i4>2424956</vt:i4>
      </vt:variant>
      <vt:variant>
        <vt:i4>21</vt:i4>
      </vt:variant>
      <vt:variant>
        <vt:i4>0</vt:i4>
      </vt:variant>
      <vt:variant>
        <vt:i4>5</vt:i4>
      </vt:variant>
      <vt:variant>
        <vt:lpwstr>http://www.nevo.co.il/law/4216/36h</vt:lpwstr>
      </vt:variant>
      <vt:variant>
        <vt:lpwstr/>
      </vt:variant>
      <vt:variant>
        <vt:i4>2883708</vt:i4>
      </vt:variant>
      <vt:variant>
        <vt:i4>18</vt:i4>
      </vt:variant>
      <vt:variant>
        <vt:i4>0</vt:i4>
      </vt:variant>
      <vt:variant>
        <vt:i4>5</vt:i4>
      </vt:variant>
      <vt:variant>
        <vt:lpwstr>http://www.nevo.co.il/law/4216/36a</vt:lpwstr>
      </vt:variant>
      <vt:variant>
        <vt:lpwstr/>
      </vt:variant>
      <vt:variant>
        <vt:i4>6488188</vt:i4>
      </vt:variant>
      <vt:variant>
        <vt:i4>15</vt:i4>
      </vt:variant>
      <vt:variant>
        <vt:i4>0</vt:i4>
      </vt:variant>
      <vt:variant>
        <vt:i4>5</vt:i4>
      </vt:variant>
      <vt:variant>
        <vt:lpwstr>http://www.nevo.co.il/law/4216/36.6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2025-04-22T20:25:00Z</dcterms:created>
  <dcterms:modified xsi:type="dcterms:W3CDTF">2025-04-22T20:25:00Z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11284</vt:lpwstr>
  </property>
  <property fmtid="{D5CDD505-2E9C-101B-9397-08002B2CF9AE}" pid="6" name="NEWPARTB">
    <vt:lpwstr>12</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אלישע גכטמן</vt:lpwstr>
  </property>
  <property fmtid="{D5CDD505-2E9C-101B-9397-08002B2CF9AE}" pid="10" name="JUDGE">
    <vt:lpwstr>רון שפירא</vt:lpwstr>
  </property>
  <property fmtid="{D5CDD505-2E9C-101B-9397-08002B2CF9AE}" pid="11" name="CITY">
    <vt:lpwstr>חי'</vt:lpwstr>
  </property>
  <property fmtid="{D5CDD505-2E9C-101B-9397-08002B2CF9AE}" pid="12" name="DATE">
    <vt:lpwstr>20130410</vt:lpwstr>
  </property>
  <property fmtid="{D5CDD505-2E9C-101B-9397-08002B2CF9AE}" pid="13" name="TYPE_N_DATE">
    <vt:lpwstr>39020130410</vt:lpwstr>
  </property>
  <property fmtid="{D5CDD505-2E9C-101B-9397-08002B2CF9AE}" pid="14" name="WORDNUMPAGES">
    <vt:lpwstr>5</vt:lpwstr>
  </property>
  <property fmtid="{D5CDD505-2E9C-101B-9397-08002B2CF9AE}" pid="15" name="TYPE_ABS_DATE">
    <vt:lpwstr>390020130410</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5152093</vt:lpwstr>
  </property>
  <property fmtid="{D5CDD505-2E9C-101B-9397-08002B2CF9AE}" pid="36" name="CASENOTES1">
    <vt:lpwstr>ProcID=158&amp;PartA=11284&amp;PartB=12&amp;PartC=12</vt:lpwstr>
  </property>
  <property fmtid="{D5CDD505-2E9C-101B-9397-08002B2CF9AE}" pid="37" name="LAWLISTTMP1">
    <vt:lpwstr>4216/013:3;019a:3;007.a:2;007.c:2;036a;036.6;036h</vt:lpwstr>
  </property>
  <property fmtid="{D5CDD505-2E9C-101B-9397-08002B2CF9AE}" pid="38" name="LAWLISTTMP2">
    <vt:lpwstr>70301/029:2;025</vt:lpwstr>
  </property>
</Properties>
</file>