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CB3FD9" w:rsidRPr="005D3285" w14:paraId="788AF699" w14:textId="77777777">
        <w:trPr>
          <w:trHeight w:hRule="exact" w:val="418"/>
          <w:jc w:val="center"/>
        </w:trPr>
        <w:tc>
          <w:tcPr>
            <w:tcW w:w="8721" w:type="dxa"/>
            <w:gridSpan w:val="2"/>
          </w:tcPr>
          <w:p w14:paraId="08D1ED58" w14:textId="77777777" w:rsidR="00CB3FD9" w:rsidRPr="005D3285" w:rsidRDefault="005D3285">
            <w:pPr>
              <w:pStyle w:val="a3"/>
              <w:jc w:val="center"/>
              <w:rPr>
                <w:rFonts w:ascii="Tahoma" w:hAnsi="Tahoma" w:cs="Tahoma"/>
                <w:color w:val="000080"/>
                <w:rtl/>
              </w:rPr>
            </w:pPr>
            <w:bookmarkStart w:id="0" w:name="FirstLawyer"/>
            <w:bookmarkStart w:id="1" w:name="LastJudge"/>
            <w:r w:rsidRPr="005D3285">
              <w:rPr>
                <w:rFonts w:ascii="Tahoma" w:hAnsi="Tahoma" w:cs="Tahoma"/>
                <w:b/>
                <w:bCs/>
                <w:color w:val="000080"/>
                <w:rtl/>
              </w:rPr>
              <w:t>בית המשפט המחוזי בתל אביב - יפו</w:t>
            </w:r>
          </w:p>
        </w:tc>
      </w:tr>
      <w:tr w:rsidR="00CB3FD9" w:rsidRPr="005D3285" w14:paraId="679CA6FC" w14:textId="77777777">
        <w:trPr>
          <w:trHeight w:val="337"/>
          <w:jc w:val="center"/>
        </w:trPr>
        <w:tc>
          <w:tcPr>
            <w:tcW w:w="5050" w:type="dxa"/>
          </w:tcPr>
          <w:p w14:paraId="06233D2D" w14:textId="77777777" w:rsidR="00CB3FD9" w:rsidRPr="005D3285" w:rsidRDefault="005D3285">
            <w:pPr>
              <w:rPr>
                <w:rFonts w:cs="FrankRuehl"/>
                <w:sz w:val="28"/>
                <w:szCs w:val="28"/>
                <w:rtl/>
              </w:rPr>
            </w:pPr>
            <w:r w:rsidRPr="005D3285">
              <w:rPr>
                <w:rFonts w:cs="FrankRuehl"/>
                <w:sz w:val="28"/>
                <w:szCs w:val="28"/>
                <w:rtl/>
              </w:rPr>
              <w:t>ת"פ</w:t>
            </w:r>
            <w:r w:rsidRPr="005D3285">
              <w:rPr>
                <w:rFonts w:cs="FrankRuehl" w:hint="cs"/>
                <w:sz w:val="28"/>
                <w:szCs w:val="28"/>
                <w:rtl/>
              </w:rPr>
              <w:t xml:space="preserve"> </w:t>
            </w:r>
            <w:r w:rsidRPr="005D3285">
              <w:rPr>
                <w:rFonts w:cs="FrankRuehl"/>
                <w:sz w:val="28"/>
                <w:szCs w:val="28"/>
                <w:rtl/>
              </w:rPr>
              <w:t>63963-12-12</w:t>
            </w:r>
            <w:r w:rsidRPr="005D3285">
              <w:rPr>
                <w:rFonts w:cs="FrankRuehl" w:hint="cs"/>
                <w:sz w:val="28"/>
                <w:szCs w:val="28"/>
                <w:rtl/>
              </w:rPr>
              <w:t xml:space="preserve"> </w:t>
            </w:r>
            <w:r w:rsidRPr="005D3285">
              <w:rPr>
                <w:rFonts w:cs="FrankRuehl"/>
                <w:sz w:val="28"/>
                <w:szCs w:val="28"/>
                <w:rtl/>
              </w:rPr>
              <w:t>מדינת ישראל נ' עדם</w:t>
            </w:r>
          </w:p>
          <w:p w14:paraId="10EEA8EA" w14:textId="77777777" w:rsidR="00CB3FD9" w:rsidRPr="005D3285" w:rsidRDefault="00CB3FD9">
            <w:pPr>
              <w:pStyle w:val="a3"/>
              <w:rPr>
                <w:rFonts w:cs="FrankRuehl"/>
                <w:sz w:val="28"/>
                <w:szCs w:val="28"/>
                <w:rtl/>
              </w:rPr>
            </w:pPr>
          </w:p>
        </w:tc>
        <w:tc>
          <w:tcPr>
            <w:tcW w:w="3671" w:type="dxa"/>
          </w:tcPr>
          <w:p w14:paraId="2ED2CA03" w14:textId="77777777" w:rsidR="00CB3FD9" w:rsidRPr="005D3285" w:rsidRDefault="005D3285">
            <w:pPr>
              <w:pStyle w:val="a3"/>
              <w:jc w:val="right"/>
              <w:rPr>
                <w:rFonts w:cs="FrankRuehl"/>
                <w:sz w:val="28"/>
                <w:szCs w:val="28"/>
                <w:rtl/>
              </w:rPr>
            </w:pPr>
            <w:r w:rsidRPr="005D3285">
              <w:rPr>
                <w:rFonts w:cs="FrankRuehl"/>
                <w:sz w:val="28"/>
                <w:szCs w:val="28"/>
                <w:rtl/>
              </w:rPr>
              <w:t>2</w:t>
            </w:r>
            <w:r w:rsidRPr="005D3285">
              <w:rPr>
                <w:rFonts w:cs="FrankRuehl" w:hint="cs"/>
                <w:sz w:val="28"/>
                <w:szCs w:val="28"/>
                <w:rtl/>
              </w:rPr>
              <w:t>6</w:t>
            </w:r>
            <w:r w:rsidRPr="005D3285">
              <w:rPr>
                <w:rFonts w:cs="FrankRuehl"/>
                <w:sz w:val="28"/>
                <w:szCs w:val="28"/>
                <w:rtl/>
              </w:rPr>
              <w:t xml:space="preserve"> יוני 2013</w:t>
            </w:r>
          </w:p>
        </w:tc>
      </w:tr>
    </w:tbl>
    <w:p w14:paraId="7FBEFFD6" w14:textId="77777777" w:rsidR="00CB3FD9" w:rsidRPr="005D3285" w:rsidRDefault="005D3285">
      <w:pPr>
        <w:pStyle w:val="a3"/>
        <w:rPr>
          <w:rtl/>
        </w:rPr>
      </w:pPr>
      <w:r w:rsidRPr="005D3285">
        <w:rPr>
          <w:rFonts w:hint="cs"/>
          <w:rtl/>
        </w:rPr>
        <w:t xml:space="preserve"> </w:t>
      </w:r>
    </w:p>
    <w:p w14:paraId="5D69C354" w14:textId="77777777" w:rsidR="00CB3FD9" w:rsidRPr="005D3285" w:rsidRDefault="005D3285">
      <w:pPr>
        <w:pStyle w:val="a3"/>
      </w:pPr>
      <w:r w:rsidRPr="005D3285">
        <w:rPr>
          <w:rFonts w:cs="Times New Roman" w:hint="cs"/>
          <w:b/>
          <w:bCs/>
          <w:sz w:val="26"/>
          <w:szCs w:val="28"/>
          <w:rtl/>
        </w:rPr>
        <w:t xml:space="preserve"> </w:t>
      </w:r>
    </w:p>
    <w:p w14:paraId="3D7760D5" w14:textId="77777777" w:rsidR="00CB3FD9" w:rsidRPr="005D3285" w:rsidRDefault="00CB3FD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928"/>
        <w:gridCol w:w="5969"/>
      </w:tblGrid>
      <w:tr w:rsidR="00CB3FD9" w:rsidRPr="005D3285" w14:paraId="1FDAB471" w14:textId="77777777">
        <w:trPr>
          <w:trHeight w:val="295"/>
          <w:jc w:val="center"/>
        </w:trPr>
        <w:tc>
          <w:tcPr>
            <w:tcW w:w="923" w:type="dxa"/>
            <w:tcBorders>
              <w:top w:val="nil"/>
              <w:left w:val="nil"/>
              <w:bottom w:val="nil"/>
              <w:right w:val="nil"/>
            </w:tcBorders>
          </w:tcPr>
          <w:p w14:paraId="27CA93C3" w14:textId="77777777" w:rsidR="00CB3FD9" w:rsidRPr="005D3285" w:rsidRDefault="005D3285">
            <w:pPr>
              <w:jc w:val="both"/>
              <w:rPr>
                <w:rFonts w:ascii="Arial" w:hAnsi="Arial" w:cs="FrankRuehl"/>
                <w:sz w:val="28"/>
                <w:szCs w:val="28"/>
              </w:rPr>
            </w:pPr>
            <w:r w:rsidRPr="005D3285">
              <w:rPr>
                <w:rFonts w:ascii="Arial" w:hAnsi="Arial" w:cs="FrankRuehl" w:hint="cs"/>
                <w:sz w:val="28"/>
                <w:szCs w:val="28"/>
                <w:rtl/>
              </w:rPr>
              <w:t>ב</w:t>
            </w:r>
            <w:r w:rsidRPr="005D3285">
              <w:rPr>
                <w:rFonts w:ascii="Arial" w:hAnsi="Arial" w:cs="FrankRuehl"/>
                <w:sz w:val="28"/>
                <w:szCs w:val="28"/>
                <w:rtl/>
              </w:rPr>
              <w:t xml:space="preserve">פני </w:t>
            </w:r>
          </w:p>
        </w:tc>
        <w:tc>
          <w:tcPr>
            <w:tcW w:w="7897" w:type="dxa"/>
            <w:gridSpan w:val="2"/>
            <w:tcBorders>
              <w:top w:val="nil"/>
              <w:left w:val="nil"/>
              <w:bottom w:val="nil"/>
              <w:right w:val="nil"/>
            </w:tcBorders>
          </w:tcPr>
          <w:p w14:paraId="21936527" w14:textId="77777777" w:rsidR="00CB3FD9" w:rsidRPr="005D3285" w:rsidRDefault="005D3285">
            <w:pPr>
              <w:rPr>
                <w:rFonts w:ascii="Arial" w:hAnsi="Arial"/>
                <w:b/>
                <w:bCs/>
                <w:rtl/>
              </w:rPr>
            </w:pPr>
            <w:r w:rsidRPr="005D3285">
              <w:rPr>
                <w:rFonts w:ascii="Arial" w:hAnsi="Arial" w:hint="cs"/>
                <w:b/>
                <w:bCs/>
                <w:rtl/>
              </w:rPr>
              <w:t>כב' השופט הבכיר צבי גורפינקל</w:t>
            </w:r>
          </w:p>
          <w:p w14:paraId="2E9C3D52" w14:textId="77777777" w:rsidR="00CB3FD9" w:rsidRPr="005D3285" w:rsidRDefault="00CB3FD9">
            <w:pPr>
              <w:rPr>
                <w:rtl/>
              </w:rPr>
            </w:pPr>
          </w:p>
          <w:p w14:paraId="3AE93673" w14:textId="77777777" w:rsidR="00CB3FD9" w:rsidRPr="005D3285" w:rsidRDefault="00CB3FD9">
            <w:pPr>
              <w:jc w:val="both"/>
              <w:rPr>
                <w:rFonts w:ascii="Arial" w:hAnsi="Arial" w:cs="FrankRuehl"/>
                <w:sz w:val="28"/>
                <w:szCs w:val="28"/>
              </w:rPr>
            </w:pPr>
          </w:p>
        </w:tc>
      </w:tr>
      <w:tr w:rsidR="00CB3FD9" w:rsidRPr="005D3285" w14:paraId="4AFDF964" w14:textId="77777777">
        <w:trPr>
          <w:trHeight w:val="355"/>
          <w:jc w:val="center"/>
        </w:trPr>
        <w:tc>
          <w:tcPr>
            <w:tcW w:w="923" w:type="dxa"/>
            <w:tcBorders>
              <w:top w:val="nil"/>
              <w:left w:val="nil"/>
              <w:bottom w:val="nil"/>
              <w:right w:val="nil"/>
            </w:tcBorders>
          </w:tcPr>
          <w:p w14:paraId="244924A6" w14:textId="77777777" w:rsidR="00CB3FD9" w:rsidRPr="005D3285" w:rsidRDefault="00CB3FD9">
            <w:pPr>
              <w:jc w:val="both"/>
              <w:rPr>
                <w:rFonts w:ascii="Arial" w:hAnsi="Arial" w:cs="FrankRuehl"/>
                <w:sz w:val="28"/>
                <w:szCs w:val="28"/>
                <w:rtl/>
              </w:rPr>
            </w:pPr>
            <w:bookmarkStart w:id="2" w:name="FirstAppellant"/>
          </w:p>
          <w:p w14:paraId="250FC6BA" w14:textId="77777777" w:rsidR="00CB3FD9" w:rsidRPr="005D3285" w:rsidRDefault="005D3285">
            <w:pPr>
              <w:jc w:val="both"/>
              <w:rPr>
                <w:rFonts w:ascii="Arial" w:hAnsi="Arial" w:cs="FrankRuehl"/>
                <w:sz w:val="28"/>
                <w:szCs w:val="28"/>
              </w:rPr>
            </w:pPr>
            <w:r w:rsidRPr="005D3285">
              <w:rPr>
                <w:rFonts w:ascii="Arial" w:hAnsi="Arial" w:cs="FrankRuehl" w:hint="cs"/>
                <w:sz w:val="28"/>
                <w:szCs w:val="28"/>
                <w:rtl/>
              </w:rPr>
              <w:t>בעניין:</w:t>
            </w:r>
          </w:p>
        </w:tc>
        <w:tc>
          <w:tcPr>
            <w:tcW w:w="1928" w:type="dxa"/>
            <w:tcBorders>
              <w:top w:val="nil"/>
              <w:left w:val="nil"/>
              <w:bottom w:val="nil"/>
              <w:right w:val="nil"/>
            </w:tcBorders>
          </w:tcPr>
          <w:p w14:paraId="69479FEA" w14:textId="77777777" w:rsidR="00CB3FD9" w:rsidRPr="005D3285" w:rsidRDefault="00CB3FD9">
            <w:pPr>
              <w:jc w:val="both"/>
              <w:rPr>
                <w:rFonts w:ascii="Arial" w:hAnsi="Arial" w:cs="FrankRuehl"/>
                <w:sz w:val="28"/>
                <w:szCs w:val="28"/>
                <w:rtl/>
              </w:rPr>
            </w:pPr>
          </w:p>
          <w:p w14:paraId="7BCEC5BF" w14:textId="77777777" w:rsidR="00CB3FD9" w:rsidRPr="005D3285" w:rsidRDefault="005D3285">
            <w:r w:rsidRPr="005D3285">
              <w:rPr>
                <w:rFonts w:ascii="Arial" w:hAnsi="Arial" w:cs="FrankRuehl" w:hint="cs"/>
                <w:sz w:val="28"/>
                <w:szCs w:val="28"/>
                <w:rtl/>
              </w:rPr>
              <w:t xml:space="preserve"> </w:t>
            </w:r>
            <w:r w:rsidRPr="005D3285">
              <w:rPr>
                <w:rFonts w:hint="cs"/>
                <w:rtl/>
              </w:rPr>
              <w:t>מדינת ישראל</w:t>
            </w:r>
            <w:r w:rsidRPr="005D3285">
              <w:rPr>
                <w:rFonts w:hint="cs"/>
                <w:rtl/>
              </w:rPr>
              <w:br/>
              <w:t>ע"י ב"כ עו"ד גלבר</w:t>
            </w:r>
          </w:p>
          <w:p w14:paraId="46852640" w14:textId="77777777" w:rsidR="00CB3FD9" w:rsidRPr="005D3285" w:rsidRDefault="00CB3FD9">
            <w:pPr>
              <w:jc w:val="both"/>
              <w:rPr>
                <w:rFonts w:ascii="Arial" w:hAnsi="Arial" w:cs="FrankRuehl"/>
                <w:sz w:val="28"/>
                <w:szCs w:val="28"/>
              </w:rPr>
            </w:pPr>
          </w:p>
        </w:tc>
        <w:tc>
          <w:tcPr>
            <w:tcW w:w="5969" w:type="dxa"/>
            <w:tcBorders>
              <w:top w:val="nil"/>
              <w:left w:val="nil"/>
              <w:bottom w:val="nil"/>
              <w:right w:val="nil"/>
            </w:tcBorders>
          </w:tcPr>
          <w:p w14:paraId="7D193472" w14:textId="77777777" w:rsidR="00CB3FD9" w:rsidRPr="005D3285" w:rsidRDefault="00CB3FD9">
            <w:pPr>
              <w:jc w:val="both"/>
              <w:rPr>
                <w:rFonts w:ascii="Arial" w:hAnsi="Arial" w:cs="FrankRuehl"/>
                <w:sz w:val="28"/>
                <w:szCs w:val="28"/>
              </w:rPr>
            </w:pPr>
          </w:p>
        </w:tc>
      </w:tr>
      <w:bookmarkEnd w:id="2"/>
      <w:tr w:rsidR="00CB3FD9" w:rsidRPr="005D3285" w14:paraId="47F92495" w14:textId="77777777">
        <w:trPr>
          <w:trHeight w:val="355"/>
          <w:jc w:val="center"/>
        </w:trPr>
        <w:tc>
          <w:tcPr>
            <w:tcW w:w="923" w:type="dxa"/>
            <w:tcBorders>
              <w:top w:val="nil"/>
              <w:left w:val="nil"/>
              <w:bottom w:val="nil"/>
              <w:right w:val="nil"/>
            </w:tcBorders>
          </w:tcPr>
          <w:p w14:paraId="0C555476" w14:textId="77777777" w:rsidR="00CB3FD9" w:rsidRPr="005D3285" w:rsidRDefault="00CB3FD9">
            <w:pPr>
              <w:jc w:val="both"/>
              <w:rPr>
                <w:rFonts w:ascii="Arial" w:hAnsi="Arial" w:cs="FrankRuehl"/>
                <w:sz w:val="28"/>
                <w:szCs w:val="28"/>
                <w:rtl/>
              </w:rPr>
            </w:pPr>
          </w:p>
        </w:tc>
        <w:tc>
          <w:tcPr>
            <w:tcW w:w="1928" w:type="dxa"/>
            <w:tcBorders>
              <w:top w:val="nil"/>
              <w:left w:val="nil"/>
              <w:bottom w:val="nil"/>
              <w:right w:val="nil"/>
            </w:tcBorders>
          </w:tcPr>
          <w:p w14:paraId="4095F242" w14:textId="77777777" w:rsidR="00CB3FD9" w:rsidRPr="005D3285" w:rsidRDefault="00CB3FD9">
            <w:pPr>
              <w:jc w:val="both"/>
              <w:rPr>
                <w:rtl/>
              </w:rPr>
            </w:pPr>
          </w:p>
        </w:tc>
        <w:tc>
          <w:tcPr>
            <w:tcW w:w="5969" w:type="dxa"/>
            <w:tcBorders>
              <w:top w:val="nil"/>
              <w:left w:val="nil"/>
              <w:bottom w:val="nil"/>
              <w:right w:val="nil"/>
            </w:tcBorders>
          </w:tcPr>
          <w:p w14:paraId="537B9B14" w14:textId="77777777" w:rsidR="00CB3FD9" w:rsidRPr="005D3285" w:rsidRDefault="005D3285">
            <w:pPr>
              <w:jc w:val="right"/>
              <w:rPr>
                <w:rFonts w:ascii="Arial" w:hAnsi="Arial" w:cs="FrankRuehl"/>
                <w:sz w:val="28"/>
                <w:szCs w:val="28"/>
                <w:rtl/>
              </w:rPr>
            </w:pPr>
            <w:r w:rsidRPr="005D3285">
              <w:rPr>
                <w:rFonts w:ascii="Arial" w:hAnsi="Arial" w:cs="FrankRuehl" w:hint="cs"/>
                <w:sz w:val="28"/>
                <w:szCs w:val="28"/>
                <w:rtl/>
              </w:rPr>
              <w:t>ה</w:t>
            </w:r>
            <w:r w:rsidRPr="005D3285">
              <w:rPr>
                <w:rFonts w:hint="cs"/>
                <w:rtl/>
              </w:rPr>
              <w:t>מאשימה</w:t>
            </w:r>
          </w:p>
        </w:tc>
      </w:tr>
      <w:tr w:rsidR="00CB3FD9" w:rsidRPr="005D3285" w14:paraId="4B108145" w14:textId="77777777">
        <w:trPr>
          <w:trHeight w:val="355"/>
          <w:jc w:val="center"/>
        </w:trPr>
        <w:tc>
          <w:tcPr>
            <w:tcW w:w="923" w:type="dxa"/>
            <w:tcBorders>
              <w:top w:val="nil"/>
              <w:left w:val="nil"/>
              <w:bottom w:val="nil"/>
              <w:right w:val="nil"/>
            </w:tcBorders>
          </w:tcPr>
          <w:p w14:paraId="3BFD4B8F" w14:textId="77777777" w:rsidR="00CB3FD9" w:rsidRPr="005D3285" w:rsidRDefault="00CB3FD9">
            <w:pPr>
              <w:jc w:val="both"/>
              <w:rPr>
                <w:rFonts w:ascii="Arial" w:hAnsi="Arial" w:cs="FrankRuehl"/>
                <w:sz w:val="28"/>
                <w:szCs w:val="28"/>
                <w:rtl/>
              </w:rPr>
            </w:pPr>
          </w:p>
        </w:tc>
        <w:tc>
          <w:tcPr>
            <w:tcW w:w="7897" w:type="dxa"/>
            <w:gridSpan w:val="2"/>
            <w:tcBorders>
              <w:top w:val="nil"/>
              <w:left w:val="nil"/>
              <w:bottom w:val="nil"/>
              <w:right w:val="nil"/>
            </w:tcBorders>
          </w:tcPr>
          <w:p w14:paraId="7F488835" w14:textId="77777777" w:rsidR="00CB3FD9" w:rsidRPr="005D3285" w:rsidRDefault="00CB3FD9">
            <w:pPr>
              <w:jc w:val="center"/>
              <w:rPr>
                <w:rFonts w:ascii="Arial" w:hAnsi="Arial" w:cs="FrankRuehl"/>
                <w:b/>
                <w:bCs/>
                <w:sz w:val="28"/>
                <w:szCs w:val="28"/>
                <w:rtl/>
              </w:rPr>
            </w:pPr>
          </w:p>
          <w:p w14:paraId="1C9E629A" w14:textId="77777777" w:rsidR="00CB3FD9" w:rsidRPr="005D3285" w:rsidRDefault="005D3285">
            <w:pPr>
              <w:jc w:val="center"/>
              <w:rPr>
                <w:rFonts w:ascii="Arial" w:hAnsi="Arial" w:cs="FrankRuehl"/>
                <w:b/>
                <w:bCs/>
                <w:sz w:val="28"/>
                <w:szCs w:val="28"/>
                <w:rtl/>
              </w:rPr>
            </w:pPr>
            <w:r w:rsidRPr="005D3285">
              <w:rPr>
                <w:rFonts w:ascii="Arial" w:hAnsi="Arial" w:cs="FrankRuehl"/>
                <w:b/>
                <w:bCs/>
                <w:sz w:val="28"/>
                <w:szCs w:val="28"/>
                <w:rtl/>
              </w:rPr>
              <w:t>נגד</w:t>
            </w:r>
          </w:p>
          <w:p w14:paraId="03395F7A" w14:textId="77777777" w:rsidR="00CB3FD9" w:rsidRPr="005D3285" w:rsidRDefault="00CB3FD9">
            <w:pPr>
              <w:jc w:val="both"/>
              <w:rPr>
                <w:rFonts w:ascii="Arial" w:hAnsi="Arial" w:cs="FrankRuehl"/>
                <w:sz w:val="28"/>
                <w:szCs w:val="28"/>
              </w:rPr>
            </w:pPr>
          </w:p>
        </w:tc>
      </w:tr>
      <w:tr w:rsidR="00CB3FD9" w:rsidRPr="005D3285" w14:paraId="047CA6DC" w14:textId="77777777">
        <w:trPr>
          <w:trHeight w:val="355"/>
          <w:jc w:val="center"/>
        </w:trPr>
        <w:tc>
          <w:tcPr>
            <w:tcW w:w="923" w:type="dxa"/>
            <w:tcBorders>
              <w:top w:val="nil"/>
              <w:left w:val="nil"/>
              <w:bottom w:val="nil"/>
              <w:right w:val="nil"/>
            </w:tcBorders>
          </w:tcPr>
          <w:p w14:paraId="533C0584" w14:textId="77777777" w:rsidR="00CB3FD9" w:rsidRPr="005D3285" w:rsidRDefault="00CB3FD9">
            <w:pPr>
              <w:jc w:val="both"/>
              <w:rPr>
                <w:rFonts w:ascii="Arial" w:hAnsi="Arial" w:cs="FrankRuehl"/>
                <w:sz w:val="28"/>
                <w:szCs w:val="28"/>
                <w:rtl/>
              </w:rPr>
            </w:pPr>
          </w:p>
        </w:tc>
        <w:tc>
          <w:tcPr>
            <w:tcW w:w="1928" w:type="dxa"/>
            <w:tcBorders>
              <w:top w:val="nil"/>
              <w:left w:val="nil"/>
              <w:bottom w:val="nil"/>
              <w:right w:val="nil"/>
            </w:tcBorders>
          </w:tcPr>
          <w:p w14:paraId="40AC7471" w14:textId="77777777" w:rsidR="00CB3FD9" w:rsidRPr="005D3285" w:rsidRDefault="005D3285">
            <w:pPr>
              <w:jc w:val="both"/>
              <w:rPr>
                <w:rtl/>
              </w:rPr>
            </w:pPr>
            <w:r w:rsidRPr="005D3285">
              <w:rPr>
                <w:rFonts w:hint="cs"/>
                <w:rtl/>
              </w:rPr>
              <w:t>ג'מאל עדם</w:t>
            </w:r>
            <w:r w:rsidRPr="005D3285">
              <w:rPr>
                <w:rFonts w:hint="cs"/>
                <w:rtl/>
              </w:rPr>
              <w:br/>
              <w:t>ע"י ב"כ עו"ד כצמן</w:t>
            </w:r>
          </w:p>
        </w:tc>
        <w:tc>
          <w:tcPr>
            <w:tcW w:w="5969" w:type="dxa"/>
            <w:tcBorders>
              <w:top w:val="nil"/>
              <w:left w:val="nil"/>
              <w:bottom w:val="nil"/>
              <w:right w:val="nil"/>
            </w:tcBorders>
          </w:tcPr>
          <w:p w14:paraId="32FBE493" w14:textId="77777777" w:rsidR="00CB3FD9" w:rsidRPr="005D3285" w:rsidRDefault="00CB3FD9">
            <w:pPr>
              <w:jc w:val="right"/>
              <w:rPr>
                <w:rFonts w:ascii="Arial" w:hAnsi="Arial" w:cs="FrankRuehl"/>
                <w:sz w:val="28"/>
                <w:szCs w:val="28"/>
              </w:rPr>
            </w:pPr>
          </w:p>
        </w:tc>
      </w:tr>
      <w:tr w:rsidR="00CB3FD9" w:rsidRPr="005D3285" w14:paraId="152EB179" w14:textId="77777777">
        <w:trPr>
          <w:trHeight w:val="355"/>
          <w:jc w:val="center"/>
        </w:trPr>
        <w:tc>
          <w:tcPr>
            <w:tcW w:w="923" w:type="dxa"/>
            <w:tcBorders>
              <w:top w:val="nil"/>
              <w:left w:val="nil"/>
              <w:bottom w:val="nil"/>
              <w:right w:val="nil"/>
            </w:tcBorders>
          </w:tcPr>
          <w:p w14:paraId="3D19F607" w14:textId="77777777" w:rsidR="00CB3FD9" w:rsidRPr="005D3285" w:rsidRDefault="00CB3FD9">
            <w:pPr>
              <w:jc w:val="both"/>
              <w:rPr>
                <w:rFonts w:ascii="Arial" w:hAnsi="Arial" w:cs="FrankRuehl"/>
                <w:sz w:val="28"/>
                <w:szCs w:val="28"/>
                <w:rtl/>
              </w:rPr>
            </w:pPr>
          </w:p>
        </w:tc>
        <w:tc>
          <w:tcPr>
            <w:tcW w:w="1928" w:type="dxa"/>
            <w:tcBorders>
              <w:top w:val="nil"/>
              <w:left w:val="nil"/>
              <w:bottom w:val="nil"/>
              <w:right w:val="nil"/>
            </w:tcBorders>
          </w:tcPr>
          <w:p w14:paraId="2800358C" w14:textId="77777777" w:rsidR="00CB3FD9" w:rsidRPr="005D3285" w:rsidRDefault="00CB3FD9">
            <w:pPr>
              <w:jc w:val="both"/>
              <w:rPr>
                <w:rtl/>
              </w:rPr>
            </w:pPr>
          </w:p>
        </w:tc>
        <w:tc>
          <w:tcPr>
            <w:tcW w:w="5969" w:type="dxa"/>
            <w:tcBorders>
              <w:top w:val="nil"/>
              <w:left w:val="nil"/>
              <w:bottom w:val="nil"/>
              <w:right w:val="nil"/>
            </w:tcBorders>
          </w:tcPr>
          <w:p w14:paraId="2B130EE2" w14:textId="77777777" w:rsidR="00CB3FD9" w:rsidRPr="005D3285" w:rsidRDefault="005D3285">
            <w:pPr>
              <w:jc w:val="right"/>
              <w:rPr>
                <w:rFonts w:ascii="Arial" w:hAnsi="Arial" w:cs="FrankRuehl"/>
                <w:sz w:val="28"/>
                <w:szCs w:val="28"/>
              </w:rPr>
            </w:pPr>
            <w:r w:rsidRPr="005D3285">
              <w:rPr>
                <w:rFonts w:ascii="Arial" w:hAnsi="Arial" w:cs="FrankRuehl" w:hint="cs"/>
                <w:sz w:val="28"/>
                <w:szCs w:val="28"/>
                <w:rtl/>
              </w:rPr>
              <w:t>ה</w:t>
            </w:r>
            <w:r w:rsidRPr="005D3285">
              <w:rPr>
                <w:rFonts w:hint="cs"/>
                <w:rtl/>
              </w:rPr>
              <w:t>נאשם</w:t>
            </w:r>
          </w:p>
        </w:tc>
      </w:tr>
    </w:tbl>
    <w:p w14:paraId="3B5B195E" w14:textId="77777777" w:rsidR="00CB3FD9" w:rsidRPr="005D3285" w:rsidRDefault="00CB3FD9"/>
    <w:p w14:paraId="30E8FDA5" w14:textId="77777777" w:rsidR="00CB3FD9" w:rsidRPr="005D3285" w:rsidRDefault="00CB3FD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3FD9" w14:paraId="0BF048C0" w14:textId="77777777">
        <w:trPr>
          <w:trHeight w:val="355"/>
          <w:jc w:val="center"/>
        </w:trPr>
        <w:tc>
          <w:tcPr>
            <w:tcW w:w="8820" w:type="dxa"/>
            <w:tcBorders>
              <w:top w:val="nil"/>
              <w:left w:val="nil"/>
              <w:bottom w:val="nil"/>
              <w:right w:val="nil"/>
            </w:tcBorders>
          </w:tcPr>
          <w:p w14:paraId="75577C41" w14:textId="77777777" w:rsidR="005D3285" w:rsidRPr="005D3285" w:rsidRDefault="005D3285" w:rsidP="005D3285">
            <w:pPr>
              <w:jc w:val="center"/>
              <w:rPr>
                <w:rFonts w:ascii="Arial" w:hAnsi="Arial" w:cs="FrankRuehl"/>
                <w:b/>
                <w:bCs/>
                <w:sz w:val="32"/>
                <w:szCs w:val="32"/>
                <w:u w:val="single"/>
                <w:rtl/>
              </w:rPr>
            </w:pPr>
            <w:bookmarkStart w:id="3" w:name="PsakDin" w:colFirst="0" w:colLast="0"/>
            <w:bookmarkEnd w:id="0"/>
            <w:bookmarkEnd w:id="1"/>
            <w:r w:rsidRPr="005D3285">
              <w:rPr>
                <w:rFonts w:ascii="Arial" w:hAnsi="Arial" w:cs="FrankRuehl"/>
                <w:b/>
                <w:bCs/>
                <w:sz w:val="32"/>
                <w:szCs w:val="32"/>
                <w:u w:val="single"/>
                <w:rtl/>
              </w:rPr>
              <w:t>גזר דין</w:t>
            </w:r>
          </w:p>
          <w:p w14:paraId="3846B73C" w14:textId="77777777" w:rsidR="00CB3FD9" w:rsidRPr="005D3285" w:rsidRDefault="00CB3FD9" w:rsidP="005D3285">
            <w:pPr>
              <w:jc w:val="center"/>
              <w:rPr>
                <w:rFonts w:ascii="Arial" w:hAnsi="Arial" w:cs="FrankRuehl"/>
                <w:bCs/>
                <w:sz w:val="32"/>
                <w:szCs w:val="32"/>
                <w:u w:val="single"/>
                <w:rtl/>
              </w:rPr>
            </w:pPr>
          </w:p>
        </w:tc>
      </w:tr>
      <w:bookmarkEnd w:id="3"/>
    </w:tbl>
    <w:p w14:paraId="1C2399F6" w14:textId="77777777" w:rsidR="00CB3FD9" w:rsidRDefault="00CB3FD9">
      <w:pPr>
        <w:rPr>
          <w:rFonts w:ascii="Arial" w:hAnsi="Arial" w:cs="FrankRuehl"/>
          <w:sz w:val="28"/>
          <w:szCs w:val="28"/>
          <w:rtl/>
        </w:rPr>
      </w:pPr>
    </w:p>
    <w:p w14:paraId="1CD62C4A" w14:textId="77777777" w:rsidR="00CB3FD9" w:rsidRDefault="00CB3FD9">
      <w:pPr>
        <w:rPr>
          <w:rFonts w:ascii="Arial" w:hAnsi="Arial" w:cs="FrankRuehl"/>
          <w:sz w:val="28"/>
          <w:szCs w:val="28"/>
          <w:rtl/>
        </w:rPr>
      </w:pPr>
    </w:p>
    <w:p w14:paraId="5F6DD604" w14:textId="77777777" w:rsidR="00CB3FD9" w:rsidRDefault="005D3285">
      <w:pPr>
        <w:rPr>
          <w:rFonts w:cs="FrankRuehl"/>
          <w:sz w:val="28"/>
          <w:szCs w:val="28"/>
          <w:rtl/>
        </w:rPr>
      </w:pPr>
      <w:bookmarkStart w:id="4" w:name="ABSTRACT_START"/>
      <w:bookmarkEnd w:id="4"/>
      <w:r>
        <w:rPr>
          <w:rFonts w:cs="FrankRuehl" w:hint="cs"/>
          <w:sz w:val="28"/>
          <w:szCs w:val="28"/>
          <w:rtl/>
        </w:rPr>
        <w:t>הנאשם מתגורר בדירה בת"א ועובר לחודש דצמבר 2011, קיבל להחזקתו מידי שבוע אלפי טבליות של סם מסוכן משני סוגים האחד סבוטקס המשמש לגמילה מהרואין, והשני קטינול הנמנה על סמי החגיגת.</w:t>
      </w:r>
    </w:p>
    <w:p w14:paraId="13B84E11" w14:textId="77777777" w:rsidR="00CB3FD9" w:rsidRDefault="00CB3FD9">
      <w:pPr>
        <w:rPr>
          <w:rFonts w:cs="FrankRuehl"/>
          <w:sz w:val="28"/>
          <w:szCs w:val="28"/>
          <w:rtl/>
        </w:rPr>
      </w:pPr>
    </w:p>
    <w:p w14:paraId="2097AA42" w14:textId="77777777" w:rsidR="00CB3FD9" w:rsidRDefault="005D3285">
      <w:pPr>
        <w:rPr>
          <w:rFonts w:cs="FrankRuehl"/>
          <w:sz w:val="28"/>
          <w:szCs w:val="28"/>
          <w:rtl/>
        </w:rPr>
      </w:pPr>
      <w:bookmarkStart w:id="5" w:name="ABSTRACT_END"/>
      <w:bookmarkEnd w:id="5"/>
      <w:r>
        <w:rPr>
          <w:rFonts w:cs="FrankRuehl" w:hint="cs"/>
          <w:sz w:val="28"/>
          <w:szCs w:val="28"/>
          <w:rtl/>
        </w:rPr>
        <w:t xml:space="preserve">במהלך התקופה החזיק הנאשם לבקשת אחרים, שמסרו לו את הסם למשמורת את הטבליות והקפסולות בדירתו  ומתוכן סיפק לאותם אחרים מידי יום מאות טבליות וקפסולות ע"מ שיסחרו בהן, תמורת זאת קיבל 250 ₪ ליום. </w:t>
      </w:r>
    </w:p>
    <w:p w14:paraId="756B75C6" w14:textId="77777777" w:rsidR="00CB3FD9" w:rsidRDefault="00CB3FD9">
      <w:pPr>
        <w:rPr>
          <w:rFonts w:cs="FrankRuehl"/>
          <w:sz w:val="28"/>
          <w:szCs w:val="28"/>
          <w:rtl/>
        </w:rPr>
      </w:pPr>
    </w:p>
    <w:p w14:paraId="369217EE" w14:textId="77777777" w:rsidR="00CB3FD9" w:rsidRDefault="005D3285">
      <w:pPr>
        <w:rPr>
          <w:rFonts w:cs="FrankRuehl"/>
          <w:sz w:val="28"/>
          <w:szCs w:val="28"/>
          <w:rtl/>
        </w:rPr>
      </w:pPr>
      <w:r>
        <w:rPr>
          <w:rFonts w:cs="FrankRuehl" w:hint="cs"/>
          <w:sz w:val="28"/>
          <w:szCs w:val="28"/>
          <w:rtl/>
        </w:rPr>
        <w:t xml:space="preserve">בחיפוש שנערך בדירתו ביום 1.12.11 נתפסו 950 קפסולות של סם חגיגת ו- 92 טבליות של הקטינול.  </w:t>
      </w:r>
    </w:p>
    <w:p w14:paraId="1DACC7A0" w14:textId="77777777" w:rsidR="00CB3FD9" w:rsidRDefault="005D3285">
      <w:pPr>
        <w:rPr>
          <w:rFonts w:cs="FrankRuehl"/>
          <w:sz w:val="28"/>
          <w:szCs w:val="28"/>
          <w:rtl/>
        </w:rPr>
      </w:pPr>
      <w:r>
        <w:rPr>
          <w:rFonts w:cs="FrankRuehl" w:hint="cs"/>
          <w:sz w:val="28"/>
          <w:szCs w:val="28"/>
          <w:rtl/>
        </w:rPr>
        <w:t>בגין זאת הורשע הנאשם על פי הודאתו בהסדר טיעון, בעבירות של עסקה אחרת בסמים מסוכנים לפי סע' 13 ל</w:t>
      </w:r>
      <w:hyperlink r:id="rId6" w:history="1">
        <w:r w:rsidRPr="005D3285">
          <w:rPr>
            <w:rFonts w:cs="FrankRuehl"/>
            <w:color w:val="0000FF"/>
            <w:sz w:val="28"/>
            <w:szCs w:val="28"/>
            <w:u w:val="single"/>
            <w:rtl/>
          </w:rPr>
          <w:t>פקודת הסמים המסוכנים</w:t>
        </w:r>
      </w:hyperlink>
      <w:r>
        <w:rPr>
          <w:rFonts w:cs="FrankRuehl" w:hint="cs"/>
          <w:sz w:val="28"/>
          <w:szCs w:val="28"/>
          <w:rtl/>
        </w:rPr>
        <w:t xml:space="preserve"> (נוסח חדש) תשל"ג-1973 והחזקת סמים שלא לצריכה עצמית לפי סע' 7(א) ו-(ג) רישא לפקודת הסמים המסוכנים.</w:t>
      </w:r>
    </w:p>
    <w:p w14:paraId="08730784" w14:textId="77777777" w:rsidR="00CB3FD9" w:rsidRDefault="00CB3FD9">
      <w:pPr>
        <w:rPr>
          <w:rFonts w:cs="FrankRuehl"/>
          <w:sz w:val="28"/>
          <w:szCs w:val="28"/>
          <w:rtl/>
        </w:rPr>
      </w:pPr>
    </w:p>
    <w:p w14:paraId="3FF403E2" w14:textId="77777777" w:rsidR="00CB3FD9" w:rsidRDefault="005D3285">
      <w:pPr>
        <w:rPr>
          <w:rFonts w:cs="FrankRuehl"/>
          <w:sz w:val="28"/>
          <w:szCs w:val="28"/>
          <w:rtl/>
        </w:rPr>
      </w:pPr>
      <w:r>
        <w:rPr>
          <w:rFonts w:cs="FrankRuehl" w:hint="cs"/>
          <w:sz w:val="28"/>
          <w:szCs w:val="28"/>
          <w:rtl/>
        </w:rPr>
        <w:t xml:space="preserve">ההסדר לא כלל ענישה מוסכמת, אלא הוסכם כי יתקבל תסקיר קצין מבחן לפני מתן גז"ד, כמו כן, נרשם בהסכם של הסדר הטיעון כי סכום של 8,700 ש"ח שנתפסו בחזקת הנאשם, יחולטו. למרות זאת בישיבה שבה הוגש כתב האישום המתוקן והוגש ההסכם, ציין הסנגור כי ההסכמה היא שרק חצי מהסכום יחולט, ולגבי המחצית השניה יטענו הצדדים טיעון חופשי. </w:t>
      </w:r>
    </w:p>
    <w:p w14:paraId="0F45C008" w14:textId="77777777" w:rsidR="00CB3FD9" w:rsidRDefault="00CB3FD9">
      <w:pPr>
        <w:rPr>
          <w:rFonts w:cs="FrankRuehl"/>
          <w:sz w:val="28"/>
          <w:szCs w:val="28"/>
          <w:rtl/>
        </w:rPr>
      </w:pPr>
    </w:p>
    <w:p w14:paraId="01E4BEF6" w14:textId="77777777" w:rsidR="00CB3FD9" w:rsidRDefault="005D3285">
      <w:pPr>
        <w:rPr>
          <w:rFonts w:cs="FrankRuehl"/>
          <w:sz w:val="28"/>
          <w:szCs w:val="28"/>
          <w:rtl/>
        </w:rPr>
      </w:pPr>
      <w:r>
        <w:rPr>
          <w:rFonts w:cs="FrankRuehl" w:hint="cs"/>
          <w:sz w:val="28"/>
          <w:szCs w:val="28"/>
          <w:rtl/>
        </w:rPr>
        <w:t>כאמור בהסדר הוגש תסקיר קצין  מבחן, המפרט את נסיבות חייו של הנאשם. הוא בן 51, גרוש אב ל- 3 ילדים, אינו עובד, ומתגורר בגפו בנתניה.</w:t>
      </w:r>
    </w:p>
    <w:p w14:paraId="3F7EA4DB" w14:textId="77777777" w:rsidR="00CB3FD9" w:rsidRDefault="005D3285">
      <w:pPr>
        <w:rPr>
          <w:rFonts w:cs="FrankRuehl"/>
          <w:sz w:val="28"/>
          <w:szCs w:val="28"/>
          <w:rtl/>
        </w:rPr>
      </w:pPr>
      <w:r>
        <w:rPr>
          <w:rFonts w:cs="FrankRuehl" w:hint="cs"/>
          <w:sz w:val="28"/>
          <w:szCs w:val="28"/>
          <w:rtl/>
        </w:rPr>
        <w:t xml:space="preserve">לחובתו הרשעות בענין הגרלות והימורים. </w:t>
      </w:r>
    </w:p>
    <w:p w14:paraId="788735F5" w14:textId="77777777" w:rsidR="00CB3FD9" w:rsidRDefault="005D3285">
      <w:pPr>
        <w:rPr>
          <w:rFonts w:cs="FrankRuehl"/>
          <w:sz w:val="28"/>
          <w:szCs w:val="28"/>
          <w:rtl/>
        </w:rPr>
      </w:pPr>
      <w:r>
        <w:rPr>
          <w:rFonts w:cs="FrankRuehl" w:hint="cs"/>
          <w:sz w:val="28"/>
          <w:szCs w:val="28"/>
          <w:rtl/>
        </w:rPr>
        <w:t xml:space="preserve">הוא גדל בשטחי הרשות הפלסטינית ועם לידתו אובחנה אצלו מחלת עיניים שהחמירה עם השנים, וכיום הוא סובל מעיוורון כמעט מוחלט, לפיכך נקבעה לו נכות רפואית בשיעור 100% ע"י המל"ל. </w:t>
      </w:r>
    </w:p>
    <w:p w14:paraId="762DE506" w14:textId="77777777" w:rsidR="00CB3FD9" w:rsidRDefault="00CB3FD9">
      <w:pPr>
        <w:rPr>
          <w:rFonts w:cs="FrankRuehl"/>
          <w:sz w:val="28"/>
          <w:szCs w:val="28"/>
          <w:rtl/>
        </w:rPr>
      </w:pPr>
    </w:p>
    <w:p w14:paraId="59B7FC1B" w14:textId="77777777" w:rsidR="00CB3FD9" w:rsidRDefault="005D3285">
      <w:pPr>
        <w:rPr>
          <w:rFonts w:cs="FrankRuehl"/>
          <w:sz w:val="28"/>
          <w:szCs w:val="28"/>
          <w:rtl/>
        </w:rPr>
      </w:pPr>
      <w:r>
        <w:rPr>
          <w:rFonts w:cs="FrankRuehl" w:hint="cs"/>
          <w:sz w:val="28"/>
          <w:szCs w:val="28"/>
          <w:rtl/>
        </w:rPr>
        <w:t>תסקיר שירות המבחן מפרט את הקשרים של הנאשם עם גורמים משרד הבטחון שאין צורך לחזור עליהם במסגרת גז"ד זה.</w:t>
      </w:r>
    </w:p>
    <w:p w14:paraId="024F8B6D" w14:textId="77777777" w:rsidR="00CB3FD9" w:rsidRDefault="005D3285">
      <w:pPr>
        <w:rPr>
          <w:rFonts w:cs="FrankRuehl"/>
          <w:sz w:val="28"/>
          <w:szCs w:val="28"/>
          <w:rtl/>
        </w:rPr>
      </w:pPr>
      <w:r>
        <w:rPr>
          <w:rFonts w:cs="FrankRuehl" w:hint="cs"/>
          <w:sz w:val="28"/>
          <w:szCs w:val="28"/>
          <w:rtl/>
        </w:rPr>
        <w:t>הנאשם אינו משתמש בסמים, ומעורבותו בעבירות סמים הם על רקע מגוריו באותה עת בקרבת התחנה המרכזית הישנה בת"א, וקשיים כלכליים עקב מצבו.</w:t>
      </w:r>
    </w:p>
    <w:p w14:paraId="40A4927D" w14:textId="77777777" w:rsidR="00CB3FD9" w:rsidRDefault="00CB3FD9">
      <w:pPr>
        <w:rPr>
          <w:rFonts w:cs="FrankRuehl"/>
          <w:sz w:val="28"/>
          <w:szCs w:val="28"/>
          <w:rtl/>
        </w:rPr>
      </w:pPr>
    </w:p>
    <w:p w14:paraId="0494A09B" w14:textId="77777777" w:rsidR="00CB3FD9" w:rsidRDefault="005D3285">
      <w:pPr>
        <w:rPr>
          <w:rFonts w:cs="FrankRuehl"/>
          <w:sz w:val="28"/>
          <w:szCs w:val="28"/>
          <w:rtl/>
        </w:rPr>
      </w:pPr>
      <w:r>
        <w:rPr>
          <w:rFonts w:cs="FrankRuehl" w:hint="cs"/>
          <w:sz w:val="28"/>
          <w:szCs w:val="28"/>
          <w:rtl/>
        </w:rPr>
        <w:t>שירות המבחן התרשם מדפוסי אישיות בעייתיים ומעריך כי לא תהיה יעילות בהמשך המעורבות מצידו, ועל כן המליץ כי יוטל עונש מאסר קצר עם עונש מאסר ע"ת משמעותי.</w:t>
      </w:r>
    </w:p>
    <w:p w14:paraId="54E20099" w14:textId="77777777" w:rsidR="00CB3FD9" w:rsidRDefault="00CB3FD9">
      <w:pPr>
        <w:rPr>
          <w:rFonts w:cs="FrankRuehl"/>
          <w:sz w:val="28"/>
          <w:szCs w:val="28"/>
          <w:rtl/>
        </w:rPr>
      </w:pPr>
    </w:p>
    <w:p w14:paraId="7D3DC073" w14:textId="77777777" w:rsidR="00CB3FD9" w:rsidRDefault="005D3285">
      <w:pPr>
        <w:rPr>
          <w:rFonts w:cs="FrankRuehl"/>
          <w:sz w:val="28"/>
          <w:szCs w:val="28"/>
          <w:rtl/>
        </w:rPr>
      </w:pPr>
      <w:r>
        <w:rPr>
          <w:rFonts w:cs="FrankRuehl" w:hint="cs"/>
          <w:sz w:val="28"/>
          <w:szCs w:val="28"/>
          <w:rtl/>
        </w:rPr>
        <w:t>טענת הסנגור כי הנאשם שימש "מחסנאי" בלבד עבור אחרים לצורך החזקת סם, אולם טענה זו אינה יכולה להביא להקלה ניכרת בעונש, שכן נפסק כבר כי במסגרת המלחמה בנגע הסמים, יש להילחם בכל חוליות השרשרת של החזקת הסם או אספקתו, לרבות בחוליה החלשה כמו בלדרים למינהם שמפיקים רווח רק לצורך העברת הסם ממקום למקום, ובכל זאת נענשים בחומרה.</w:t>
      </w:r>
    </w:p>
    <w:p w14:paraId="450CF7EF" w14:textId="77777777" w:rsidR="00CB3FD9" w:rsidRDefault="00CB3FD9">
      <w:pPr>
        <w:rPr>
          <w:rFonts w:cs="FrankRuehl"/>
          <w:sz w:val="28"/>
          <w:szCs w:val="28"/>
          <w:rtl/>
        </w:rPr>
      </w:pPr>
    </w:p>
    <w:p w14:paraId="1D9064EB" w14:textId="77777777" w:rsidR="00CB3FD9" w:rsidRDefault="005D3285">
      <w:pPr>
        <w:rPr>
          <w:rFonts w:cs="FrankRuehl"/>
          <w:sz w:val="28"/>
          <w:szCs w:val="28"/>
          <w:rtl/>
        </w:rPr>
      </w:pPr>
      <w:r>
        <w:rPr>
          <w:rFonts w:cs="FrankRuehl" w:hint="cs"/>
          <w:sz w:val="28"/>
          <w:szCs w:val="28"/>
          <w:rtl/>
        </w:rPr>
        <w:t xml:space="preserve">רמת הענישה שנקבעה בעבירות סמים מציינת שעיקר המגמה היא להחמיר לצורך הרתעה ע"מ להילחם עד חורמה בנגע הסמים, ובמסגרת מלחמה זו אין להקל גם עם החוליות החלשות שבשרשרת, ראה </w:t>
      </w:r>
      <w:hyperlink r:id="rId7" w:history="1">
        <w:r w:rsidRPr="005D3285">
          <w:rPr>
            <w:rFonts w:cs="FrankRuehl"/>
            <w:color w:val="0000FF"/>
            <w:sz w:val="28"/>
            <w:szCs w:val="28"/>
            <w:u w:val="single"/>
            <w:rtl/>
          </w:rPr>
          <w:t>ע"פ 4533/07</w:t>
        </w:r>
      </w:hyperlink>
      <w:r>
        <w:rPr>
          <w:rFonts w:cs="FrankRuehl" w:hint="cs"/>
          <w:sz w:val="28"/>
          <w:szCs w:val="28"/>
          <w:rtl/>
        </w:rPr>
        <w:t xml:space="preserve"> ו- 4623/07, ו</w:t>
      </w:r>
      <w:hyperlink r:id="rId8" w:history="1">
        <w:r w:rsidRPr="005D3285">
          <w:rPr>
            <w:rFonts w:cs="FrankRuehl"/>
            <w:color w:val="0000FF"/>
            <w:sz w:val="28"/>
            <w:szCs w:val="28"/>
            <w:u w:val="single"/>
            <w:rtl/>
          </w:rPr>
          <w:t>ע"פ 3625/11</w:t>
        </w:r>
      </w:hyperlink>
      <w:r>
        <w:rPr>
          <w:rFonts w:cs="FrankRuehl" w:hint="cs"/>
          <w:sz w:val="28"/>
          <w:szCs w:val="28"/>
          <w:rtl/>
        </w:rPr>
        <w:t xml:space="preserve"> ו- 3626/11. </w:t>
      </w:r>
    </w:p>
    <w:p w14:paraId="477C3DB9" w14:textId="77777777" w:rsidR="00CB3FD9" w:rsidRDefault="00CB3FD9">
      <w:pPr>
        <w:rPr>
          <w:rFonts w:cs="FrankRuehl"/>
          <w:sz w:val="28"/>
          <w:szCs w:val="28"/>
          <w:rtl/>
        </w:rPr>
      </w:pPr>
    </w:p>
    <w:p w14:paraId="0458BE73" w14:textId="77777777" w:rsidR="00CB3FD9" w:rsidRDefault="005D3285">
      <w:pPr>
        <w:rPr>
          <w:rFonts w:cs="FrankRuehl"/>
          <w:sz w:val="28"/>
          <w:szCs w:val="28"/>
          <w:rtl/>
        </w:rPr>
      </w:pPr>
      <w:r>
        <w:rPr>
          <w:rFonts w:cs="FrankRuehl" w:hint="cs"/>
          <w:sz w:val="28"/>
          <w:szCs w:val="28"/>
          <w:rtl/>
        </w:rPr>
        <w:t>כנגד החומרה של החזקת סמים לצורך איחסונם ע"מ לאפשר לאחרים לסחור בהם, תמורת קבלת תשלום יומי, כאשר בכך שיתף עצמו הנאשם בשרשרת ההפצה של סמים מסוכנים, יש לשקול את נסיבותיו האישיות המיוחדות הקשורות בשהייתו בישראל כמפורט בתסקיר שירות המבחן, ואת מצבו הגופני כאשר הוא עיוור ומוכר כנכה בשיעור 100%. כמו כן מסתבר כי בעקבות שת"פ של הנאשם עם המשטרה במסגרת החקירה, ומסירת פרטים מלאים אודות המעורבים, הותקף הנאשם ע"י שניים ונגרמו לו חבלות, ובגין כך הוגש כתב אישום נגד אותם השניים.</w:t>
      </w:r>
    </w:p>
    <w:p w14:paraId="5B8EE5E4" w14:textId="77777777" w:rsidR="00CB3FD9" w:rsidRDefault="00CB3FD9">
      <w:pPr>
        <w:rPr>
          <w:rFonts w:cs="FrankRuehl"/>
          <w:sz w:val="28"/>
          <w:szCs w:val="28"/>
          <w:rtl/>
        </w:rPr>
      </w:pPr>
    </w:p>
    <w:p w14:paraId="14164ACD" w14:textId="77777777" w:rsidR="00CB3FD9" w:rsidRDefault="005D3285">
      <w:pPr>
        <w:rPr>
          <w:rFonts w:cs="FrankRuehl"/>
          <w:sz w:val="28"/>
          <w:szCs w:val="28"/>
        </w:rPr>
      </w:pPr>
      <w:r>
        <w:rPr>
          <w:rFonts w:cs="FrankRuehl" w:hint="cs"/>
          <w:sz w:val="28"/>
          <w:szCs w:val="28"/>
          <w:rtl/>
        </w:rPr>
        <w:t>העיקרון המנחה בענישה הוא קיומו של יחס הולם בין חומרת מעשה העבירה בנסיבותיו ומידת אשמו של הנאשם, לבין סוג ומידת העונש המוטל. יש לקבוע מתחם עונש הולם למעשה העבירה, תוך התחשבות בערך החברתי שנפגע מביצוע העבירה, במידת הפגיעה בו, במדיניות הענישה הנהוגה ובנסיבות הקשורות לביצוע העבירה.</w:t>
      </w:r>
    </w:p>
    <w:p w14:paraId="36404E53" w14:textId="77777777" w:rsidR="00CB3FD9" w:rsidRDefault="00CB3FD9">
      <w:pPr>
        <w:rPr>
          <w:rFonts w:cs="FrankRuehl"/>
          <w:sz w:val="28"/>
          <w:szCs w:val="28"/>
          <w:rtl/>
        </w:rPr>
      </w:pPr>
    </w:p>
    <w:p w14:paraId="5C09944D" w14:textId="77777777" w:rsidR="00CB3FD9" w:rsidRDefault="005D3285">
      <w:pPr>
        <w:rPr>
          <w:rFonts w:cs="FrankRuehl"/>
          <w:sz w:val="28"/>
          <w:szCs w:val="28"/>
          <w:rtl/>
        </w:rPr>
      </w:pPr>
      <w:r>
        <w:rPr>
          <w:rFonts w:cs="FrankRuehl" w:hint="cs"/>
          <w:sz w:val="28"/>
          <w:szCs w:val="28"/>
          <w:rtl/>
        </w:rPr>
        <w:t>לאור הפסיקה הנוהגת בעבירות סמים ולאור הנסיבות של החזקת הסמים בכמות ניכרת, אולם מבלי שהנאשם עצמו הינו מבעלי הסם ואינו מפיק רווח מהמסחר פרט לשכר שקיבל עבור החזקת הסמים, יש לקבוע כי מתחם העונש ההולם למעשה העבירה נע בין שנת מאסר לשלוש שנות מאסר.</w:t>
      </w:r>
    </w:p>
    <w:p w14:paraId="768B391E" w14:textId="77777777" w:rsidR="00CB3FD9" w:rsidRDefault="00CB3FD9">
      <w:pPr>
        <w:rPr>
          <w:rFonts w:cs="FrankRuehl"/>
          <w:sz w:val="28"/>
          <w:szCs w:val="28"/>
          <w:rtl/>
        </w:rPr>
      </w:pPr>
    </w:p>
    <w:p w14:paraId="561B2A5C" w14:textId="77777777" w:rsidR="00CB3FD9" w:rsidRDefault="00CB3FD9">
      <w:pPr>
        <w:rPr>
          <w:rFonts w:cs="FrankRuehl"/>
          <w:sz w:val="28"/>
          <w:szCs w:val="28"/>
          <w:rtl/>
        </w:rPr>
      </w:pPr>
    </w:p>
    <w:p w14:paraId="6B34EC01" w14:textId="77777777" w:rsidR="00CB3FD9" w:rsidRDefault="005D3285">
      <w:pPr>
        <w:rPr>
          <w:rFonts w:cs="FrankRuehl"/>
          <w:sz w:val="28"/>
          <w:szCs w:val="28"/>
          <w:rtl/>
        </w:rPr>
      </w:pPr>
      <w:r>
        <w:rPr>
          <w:rFonts w:cs="FrankRuehl" w:hint="cs"/>
          <w:sz w:val="28"/>
          <w:szCs w:val="28"/>
          <w:rtl/>
        </w:rPr>
        <w:lastRenderedPageBreak/>
        <w:t xml:space="preserve">בהתחשב בנסיבות האישיות שפורטו מצד אחד, ובצורך לגזור עונשים מרתיעים בעבירות סמים, מצד שני, אני גוזר על הנאשם  שנתיים  מאסר בפועל ומטיל עליו שנה מאסר ע"ת שלא יעבור תוך שלוש שנים עבירה בניגוד לאחד הסעיפים של </w:t>
      </w:r>
      <w:hyperlink r:id="rId9" w:history="1">
        <w:r w:rsidRPr="005D3285">
          <w:rPr>
            <w:rFonts w:cs="FrankRuehl"/>
            <w:color w:val="0000FF"/>
            <w:sz w:val="28"/>
            <w:szCs w:val="28"/>
            <w:u w:val="single"/>
            <w:rtl/>
          </w:rPr>
          <w:t>פקודת הסמים המסוכנים</w:t>
        </w:r>
      </w:hyperlink>
      <w:r>
        <w:rPr>
          <w:rFonts w:cs="FrankRuehl" w:hint="cs"/>
          <w:sz w:val="28"/>
          <w:szCs w:val="28"/>
          <w:rtl/>
        </w:rPr>
        <w:t xml:space="preserve">.  </w:t>
      </w:r>
    </w:p>
    <w:p w14:paraId="684EC15F" w14:textId="77777777" w:rsidR="00CB3FD9" w:rsidRDefault="00CB3FD9">
      <w:pPr>
        <w:rPr>
          <w:rFonts w:cs="FrankRuehl"/>
          <w:sz w:val="28"/>
          <w:szCs w:val="28"/>
          <w:rtl/>
        </w:rPr>
      </w:pPr>
    </w:p>
    <w:p w14:paraId="305D3FA4" w14:textId="77777777" w:rsidR="00CB3FD9" w:rsidRDefault="005D3285">
      <w:pPr>
        <w:rPr>
          <w:rFonts w:cs="FrankRuehl"/>
          <w:sz w:val="28"/>
          <w:szCs w:val="28"/>
          <w:rtl/>
        </w:rPr>
      </w:pPr>
      <w:r>
        <w:rPr>
          <w:rFonts w:cs="FrankRuehl" w:hint="cs"/>
          <w:sz w:val="28"/>
          <w:szCs w:val="28"/>
          <w:rtl/>
        </w:rPr>
        <w:t>בשל מצבו הכלכלי של הנאשם ומצב בריאותו, אני נמנע מהטלת עונש של קנס.</w:t>
      </w:r>
    </w:p>
    <w:p w14:paraId="045F4029" w14:textId="77777777" w:rsidR="00CB3FD9" w:rsidRDefault="00CB3FD9">
      <w:pPr>
        <w:rPr>
          <w:rFonts w:cs="FrankRuehl"/>
          <w:sz w:val="28"/>
          <w:szCs w:val="28"/>
          <w:rtl/>
        </w:rPr>
      </w:pPr>
    </w:p>
    <w:p w14:paraId="552D269B" w14:textId="77777777" w:rsidR="00CB3FD9" w:rsidRDefault="005D3285">
      <w:pPr>
        <w:rPr>
          <w:rFonts w:cs="FrankRuehl"/>
          <w:sz w:val="28"/>
          <w:szCs w:val="28"/>
          <w:rtl/>
        </w:rPr>
      </w:pPr>
      <w:r>
        <w:rPr>
          <w:rFonts w:cs="FrankRuehl" w:hint="cs"/>
          <w:sz w:val="28"/>
          <w:szCs w:val="28"/>
          <w:rtl/>
        </w:rPr>
        <w:t xml:space="preserve">כמו כן אני מחליט כי מתוך הסכום של 8,700 ש"ח שנתפס בחזקת הנאשם, יחולט סכום של 4,500 ₪, יתרת הסכום תוחזר לנאשם. </w:t>
      </w:r>
    </w:p>
    <w:p w14:paraId="402EED9D" w14:textId="77777777" w:rsidR="00CB3FD9" w:rsidRDefault="00CB3FD9">
      <w:pPr>
        <w:rPr>
          <w:rFonts w:cs="FrankRuehl"/>
          <w:sz w:val="28"/>
          <w:szCs w:val="28"/>
          <w:rtl/>
        </w:rPr>
      </w:pPr>
    </w:p>
    <w:p w14:paraId="635E69B0" w14:textId="77777777" w:rsidR="00CB3FD9" w:rsidRDefault="00CB3FD9">
      <w:pPr>
        <w:rPr>
          <w:rFonts w:cs="FrankRuehl"/>
          <w:sz w:val="28"/>
          <w:szCs w:val="28"/>
          <w:rtl/>
        </w:rPr>
      </w:pPr>
    </w:p>
    <w:p w14:paraId="380973FB" w14:textId="77777777" w:rsidR="00CB3FD9" w:rsidRDefault="00CB3FD9">
      <w:pPr>
        <w:rPr>
          <w:rFonts w:cs="FrankRuehl"/>
          <w:sz w:val="28"/>
          <w:szCs w:val="28"/>
          <w:rtl/>
        </w:rPr>
      </w:pPr>
    </w:p>
    <w:p w14:paraId="5DB3455D" w14:textId="77777777" w:rsidR="00CB3FD9" w:rsidRDefault="005D3285">
      <w:pPr>
        <w:rPr>
          <w:rFonts w:cs="FrankRuehl"/>
          <w:sz w:val="28"/>
          <w:szCs w:val="28"/>
          <w:rtl/>
        </w:rPr>
      </w:pPr>
      <w:r>
        <w:rPr>
          <w:rFonts w:cs="FrankRuehl" w:hint="cs"/>
          <w:sz w:val="28"/>
          <w:szCs w:val="28"/>
          <w:rtl/>
        </w:rPr>
        <w:t>זכות ערעור תוך 45 יום.</w:t>
      </w:r>
    </w:p>
    <w:p w14:paraId="4178F12E" w14:textId="77777777" w:rsidR="00CB3FD9" w:rsidRDefault="00CB3FD9">
      <w:pPr>
        <w:rPr>
          <w:rFonts w:cs="FrankRuehl"/>
          <w:sz w:val="28"/>
          <w:szCs w:val="28"/>
          <w:rtl/>
        </w:rPr>
      </w:pPr>
    </w:p>
    <w:p w14:paraId="57C936DE" w14:textId="77777777" w:rsidR="00CB3FD9" w:rsidRDefault="00CB3FD9">
      <w:pPr>
        <w:rPr>
          <w:rFonts w:cs="FrankRuehl"/>
          <w:sz w:val="28"/>
          <w:szCs w:val="28"/>
          <w:rtl/>
        </w:rPr>
      </w:pPr>
    </w:p>
    <w:p w14:paraId="5D4AD596" w14:textId="77777777" w:rsidR="00CB3FD9" w:rsidRDefault="00CB3FD9">
      <w:pPr>
        <w:rPr>
          <w:rFonts w:cs="FrankRuehl"/>
          <w:sz w:val="28"/>
          <w:szCs w:val="28"/>
          <w:rtl/>
        </w:rPr>
      </w:pPr>
    </w:p>
    <w:p w14:paraId="1AF0CDC3" w14:textId="77777777" w:rsidR="00CB3FD9" w:rsidRPr="005D3285" w:rsidRDefault="005D3285">
      <w:pPr>
        <w:rPr>
          <w:rFonts w:cs="FrankRuehl"/>
          <w:color w:val="FFFFFF"/>
          <w:sz w:val="2"/>
          <w:szCs w:val="2"/>
          <w:rtl/>
        </w:rPr>
      </w:pPr>
      <w:r w:rsidRPr="005D3285">
        <w:rPr>
          <w:rFonts w:cs="FrankRuehl"/>
          <w:color w:val="FFFFFF"/>
          <w:sz w:val="2"/>
          <w:szCs w:val="2"/>
          <w:rtl/>
        </w:rPr>
        <w:t>5129371</w:t>
      </w:r>
    </w:p>
    <w:p w14:paraId="23126565" w14:textId="77777777" w:rsidR="00CB3FD9" w:rsidRDefault="005D3285">
      <w:pPr>
        <w:rPr>
          <w:rFonts w:cs="FrankRuehl"/>
          <w:sz w:val="28"/>
          <w:szCs w:val="28"/>
          <w:rtl/>
        </w:rPr>
      </w:pPr>
      <w:r w:rsidRPr="005D3285">
        <w:rPr>
          <w:rFonts w:ascii="Arial" w:hAnsi="Arial"/>
          <w:color w:val="FFFFFF"/>
          <w:sz w:val="2"/>
          <w:szCs w:val="2"/>
          <w:rtl/>
        </w:rPr>
        <w:t>54678313</w:t>
      </w:r>
      <w:r>
        <w:rPr>
          <w:rFonts w:ascii="Arial" w:hAnsi="Arial"/>
          <w:rtl/>
        </w:rPr>
        <w:t xml:space="preserve">ניתן היום, י"ח בתמוז תשע"ג , 26 יוני 2013, במעמד הצדדים. </w:t>
      </w:r>
    </w:p>
    <w:p w14:paraId="13C885F9" w14:textId="77777777" w:rsidR="00CB3FD9" w:rsidRDefault="00CB3FD9"/>
    <w:p w14:paraId="0EC8505E" w14:textId="77777777" w:rsidR="00CB3FD9" w:rsidRDefault="00CB3FD9">
      <w:pPr>
        <w:rPr>
          <w:rFonts w:cs="FrankRuehl"/>
          <w:sz w:val="28"/>
          <w:szCs w:val="28"/>
          <w:rtl/>
        </w:rPr>
      </w:pPr>
    </w:p>
    <w:p w14:paraId="35BFCE63" w14:textId="77777777" w:rsidR="00CB3FD9" w:rsidRDefault="005D3285">
      <w:pPr>
        <w:pStyle w:val="a3"/>
        <w:jc w:val="center"/>
        <w:rPr>
          <w:rtl/>
        </w:rPr>
      </w:pPr>
      <w:r>
        <w:rPr>
          <w:rFonts w:hint="cs"/>
          <w:rtl/>
        </w:rPr>
        <w:tab/>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r>
      <w:r>
        <w:rPr>
          <w:rFonts w:hint="cs"/>
          <w:rtl/>
        </w:rPr>
        <w:softHyphen/>
        <w:t>____________________________</w:t>
      </w:r>
    </w:p>
    <w:p w14:paraId="1A5D7433" w14:textId="77777777" w:rsidR="005D3285" w:rsidRPr="00511B02" w:rsidRDefault="00511B02" w:rsidP="005D3285">
      <w:pPr>
        <w:pStyle w:val="a3"/>
        <w:keepNext/>
        <w:rPr>
          <w:rFonts w:ascii="David" w:hAnsi="David" w:hint="cs"/>
          <w:color w:val="FFFFFF"/>
          <w:sz w:val="2"/>
          <w:szCs w:val="2"/>
          <w:rtl/>
        </w:rPr>
      </w:pPr>
      <w:r w:rsidRPr="00511B02">
        <w:rPr>
          <w:rFonts w:ascii="David" w:hAnsi="David"/>
          <w:color w:val="FFFFFF"/>
          <w:sz w:val="2"/>
          <w:szCs w:val="2"/>
          <w:rtl/>
        </w:rPr>
        <w:t>5129371</w:t>
      </w:r>
    </w:p>
    <w:p w14:paraId="0E3F7FE7" w14:textId="77777777" w:rsidR="00511B02" w:rsidRPr="00511B02" w:rsidRDefault="00511B02" w:rsidP="00511B02">
      <w:pPr>
        <w:pStyle w:val="a3"/>
        <w:keepNext/>
        <w:rPr>
          <w:rFonts w:ascii="David" w:hAnsi="David"/>
          <w:color w:val="000000"/>
          <w:sz w:val="22"/>
          <w:szCs w:val="22"/>
          <w:rtl/>
        </w:rPr>
      </w:pPr>
      <w:r w:rsidRPr="00511B02">
        <w:rPr>
          <w:rFonts w:ascii="David" w:hAnsi="David"/>
          <w:color w:val="000000"/>
          <w:sz w:val="22"/>
          <w:szCs w:val="22"/>
          <w:rtl/>
        </w:rPr>
        <w:t>צבי גורפינקל 54678313-/</w:t>
      </w:r>
    </w:p>
    <w:p w14:paraId="351A7D50" w14:textId="77777777" w:rsidR="00CB3FD9" w:rsidRDefault="005D3285">
      <w:pPr>
        <w:pStyle w:val="a3"/>
        <w:jc w:val="center"/>
        <w:rPr>
          <w:rtl/>
        </w:rPr>
      </w:pPr>
      <w:r>
        <w:rPr>
          <w:rFonts w:hint="cs"/>
          <w:rtl/>
        </w:rPr>
        <w:tab/>
        <w:t>צבי גורפינקל, שופט בכיר</w:t>
      </w:r>
    </w:p>
    <w:p w14:paraId="544628F9" w14:textId="77777777" w:rsidR="005D3285" w:rsidRDefault="005D3285" w:rsidP="005D3285">
      <w:r w:rsidRPr="005D3285">
        <w:rPr>
          <w:color w:val="000000"/>
          <w:rtl/>
        </w:rPr>
        <w:t>נוסח מסמך זה כפוף לשינויי ניסוח ועריכה</w:t>
      </w:r>
    </w:p>
    <w:p w14:paraId="229EBA2A" w14:textId="77777777" w:rsidR="005D3285" w:rsidRDefault="005D3285" w:rsidP="005D3285">
      <w:pPr>
        <w:rPr>
          <w:rtl/>
        </w:rPr>
      </w:pPr>
    </w:p>
    <w:p w14:paraId="3E58B1B4" w14:textId="77777777" w:rsidR="005D3285" w:rsidRDefault="005D3285" w:rsidP="005D328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sectPr w:rsidR="005D3285" w:rsidSect="00511B02">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47EC5" w14:textId="77777777" w:rsidR="008E4F05" w:rsidRPr="00F16484" w:rsidRDefault="008E4F05">
      <w:pPr>
        <w:rPr>
          <w:rFonts w:cs="Arial"/>
          <w:szCs w:val="20"/>
        </w:rPr>
      </w:pPr>
      <w:r>
        <w:separator/>
      </w:r>
    </w:p>
  </w:endnote>
  <w:endnote w:type="continuationSeparator" w:id="0">
    <w:p w14:paraId="1B49A49D" w14:textId="77777777" w:rsidR="008E4F05" w:rsidRPr="00F16484" w:rsidRDefault="008E4F0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BE277" w14:textId="77777777" w:rsidR="00511B02" w:rsidRDefault="00511B02" w:rsidP="00511B0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ABBBFC5" w14:textId="77777777" w:rsidR="005D3285" w:rsidRPr="00511B02" w:rsidRDefault="00511B02" w:rsidP="00511B02">
    <w:pPr>
      <w:pStyle w:val="a4"/>
      <w:pBdr>
        <w:top w:val="single" w:sz="4" w:space="1" w:color="auto"/>
        <w:between w:val="single" w:sz="4" w:space="0" w:color="auto"/>
      </w:pBdr>
      <w:spacing w:after="60"/>
      <w:jc w:val="center"/>
      <w:rPr>
        <w:rFonts w:ascii="FrankRuehl" w:hAnsi="FrankRuehl" w:cs="FrankRuehl"/>
        <w:color w:val="000000"/>
      </w:rPr>
    </w:pPr>
    <w:r w:rsidRPr="00511B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08A60" w14:textId="77777777" w:rsidR="00511B02" w:rsidRDefault="00511B02" w:rsidP="00511B0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0F7D">
      <w:rPr>
        <w:rFonts w:ascii="FrankRuehl" w:hAnsi="FrankRuehl" w:cs="FrankRuehl"/>
        <w:rtl/>
      </w:rPr>
      <w:t>3</w:t>
    </w:r>
    <w:r>
      <w:rPr>
        <w:rFonts w:ascii="FrankRuehl" w:hAnsi="FrankRuehl" w:cs="FrankRuehl"/>
        <w:rtl/>
      </w:rPr>
      <w:fldChar w:fldCharType="end"/>
    </w:r>
  </w:p>
  <w:p w14:paraId="30096E13" w14:textId="77777777" w:rsidR="005D3285" w:rsidRPr="00511B02" w:rsidRDefault="00511B02" w:rsidP="00511B02">
    <w:pPr>
      <w:pStyle w:val="a4"/>
      <w:pBdr>
        <w:top w:val="single" w:sz="4" w:space="1" w:color="auto"/>
        <w:between w:val="single" w:sz="4" w:space="0" w:color="auto"/>
      </w:pBdr>
      <w:spacing w:after="60"/>
      <w:jc w:val="center"/>
      <w:rPr>
        <w:rFonts w:ascii="FrankRuehl" w:hAnsi="FrankRuehl" w:cs="FrankRuehl"/>
        <w:color w:val="000000"/>
      </w:rPr>
    </w:pPr>
    <w:r w:rsidRPr="00511B02">
      <w:rPr>
        <w:rFonts w:ascii="FrankRuehl" w:hAnsi="FrankRuehl" w:cs="FrankRuehl"/>
        <w:color w:val="000000"/>
      </w:rPr>
      <w:pict w14:anchorId="614C4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2FC60" w14:textId="77777777" w:rsidR="008E4F05" w:rsidRPr="00F16484" w:rsidRDefault="008E4F05">
      <w:pPr>
        <w:rPr>
          <w:rFonts w:cs="Arial"/>
          <w:szCs w:val="20"/>
        </w:rPr>
      </w:pPr>
      <w:r>
        <w:separator/>
      </w:r>
    </w:p>
  </w:footnote>
  <w:footnote w:type="continuationSeparator" w:id="0">
    <w:p w14:paraId="22D3266A" w14:textId="77777777" w:rsidR="008E4F05" w:rsidRPr="00F16484" w:rsidRDefault="008E4F0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9C391" w14:textId="77777777" w:rsidR="005D3285" w:rsidRPr="00511B02" w:rsidRDefault="00511B02" w:rsidP="00511B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63963-12-12</w:t>
    </w:r>
    <w:r>
      <w:rPr>
        <w:rFonts w:ascii="David" w:hAnsi="David"/>
        <w:color w:val="000000"/>
        <w:sz w:val="22"/>
        <w:szCs w:val="22"/>
        <w:rtl/>
      </w:rPr>
      <w:tab/>
      <w:t xml:space="preserve"> מדינת ישראל נ' ג'מאל עדם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024E7" w14:textId="77777777" w:rsidR="005D3285" w:rsidRPr="00511B02" w:rsidRDefault="00511B02" w:rsidP="00511B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63963-12-12</w:t>
    </w:r>
    <w:r>
      <w:rPr>
        <w:rFonts w:ascii="David" w:hAnsi="David"/>
        <w:color w:val="000000"/>
        <w:sz w:val="22"/>
        <w:szCs w:val="22"/>
        <w:rtl/>
      </w:rPr>
      <w:tab/>
      <w:t xml:space="preserve"> מדינת ישראל נ' ג'מאל עדם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3FD9"/>
    <w:rsid w:val="001D0E74"/>
    <w:rsid w:val="00330F7D"/>
    <w:rsid w:val="004551B7"/>
    <w:rsid w:val="00511B02"/>
    <w:rsid w:val="005D3285"/>
    <w:rsid w:val="008E4F05"/>
    <w:rsid w:val="00CB3F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697006"/>
  <w15:chartTrackingRefBased/>
  <w15:docId w15:val="{A69F06B3-E099-48CD-B316-CCCAC59D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FD9"/>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B3FD9"/>
    <w:pPr>
      <w:tabs>
        <w:tab w:val="center" w:pos="4153"/>
        <w:tab w:val="right" w:pos="8306"/>
      </w:tabs>
    </w:pPr>
  </w:style>
  <w:style w:type="paragraph" w:styleId="a4">
    <w:name w:val="footer"/>
    <w:basedOn w:val="a"/>
    <w:rsid w:val="00CB3FD9"/>
    <w:pPr>
      <w:tabs>
        <w:tab w:val="center" w:pos="4153"/>
        <w:tab w:val="right" w:pos="8306"/>
      </w:tabs>
    </w:pPr>
  </w:style>
  <w:style w:type="character" w:styleId="a5">
    <w:name w:val="page number"/>
    <w:basedOn w:val="a0"/>
    <w:rsid w:val="005D3285"/>
  </w:style>
  <w:style w:type="character" w:styleId="Hyperlink">
    <w:name w:val="Hyperlink"/>
    <w:basedOn w:val="a0"/>
    <w:rsid w:val="005D32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06;&#1508;%203625/11"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inks/psika/?link=&#1506;&#1508;%204533/07"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html/law01/P170_001.ht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3770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בית המשפט המחוזי בתל אביב - יפו</vt:lpstr>
    </vt:vector>
  </TitlesOfParts>
  <Company> </Company>
  <LinksUpToDate>false</LinksUpToDate>
  <CharactersWithSpaces>4515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4849756</vt:i4>
      </vt:variant>
      <vt:variant>
        <vt:i4>9</vt:i4>
      </vt:variant>
      <vt:variant>
        <vt:i4>0</vt:i4>
      </vt:variant>
      <vt:variant>
        <vt:i4>5</vt:i4>
      </vt:variant>
      <vt:variant>
        <vt:lpwstr>http://www.nevo.co.il/law_html/law01/P170_001.htm</vt:lpwstr>
      </vt:variant>
      <vt:variant>
        <vt:lpwstr/>
      </vt:variant>
      <vt:variant>
        <vt:i4>99222975</vt:i4>
      </vt:variant>
      <vt:variant>
        <vt:i4>6</vt:i4>
      </vt:variant>
      <vt:variant>
        <vt:i4>0</vt:i4>
      </vt:variant>
      <vt:variant>
        <vt:i4>5</vt:i4>
      </vt:variant>
      <vt:variant>
        <vt:lpwstr>http://www.nevo.co.il/links/psika/?link=עפ 3625/11</vt:lpwstr>
      </vt:variant>
      <vt:variant>
        <vt:lpwstr/>
      </vt:variant>
      <vt:variant>
        <vt:i4>99222971</vt:i4>
      </vt:variant>
      <vt:variant>
        <vt:i4>3</vt:i4>
      </vt:variant>
      <vt:variant>
        <vt:i4>0</vt:i4>
      </vt:variant>
      <vt:variant>
        <vt:i4>5</vt:i4>
      </vt:variant>
      <vt:variant>
        <vt:lpwstr>http://www.nevo.co.il/links/psika/?link=עפ 4533/07</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Tal Klein</cp:lastModifiedBy>
  <cp:revision>2</cp:revision>
  <dcterms:created xsi:type="dcterms:W3CDTF">2025-04-22T20:25:00Z</dcterms:created>
  <dcterms:modified xsi:type="dcterms:W3CDTF">2025-04-22T20:25:00Z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63963</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ג'מאל עדם</vt:lpwstr>
  </property>
  <property fmtid="{D5CDD505-2E9C-101B-9397-08002B2CF9AE}" pid="10" name="LAWYER">
    <vt:lpwstr>גלבר;כצמן;מדינת</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20130626</vt:lpwstr>
  </property>
  <property fmtid="{D5CDD505-2E9C-101B-9397-08002B2CF9AE}" pid="14" name="TYPE_N_DATE">
    <vt:lpwstr>39020130626</vt:lpwstr>
  </property>
  <property fmtid="{D5CDD505-2E9C-101B-9397-08002B2CF9AE}" pid="15" name="WORDNUMPAGES">
    <vt:lpwstr>3</vt:lpwstr>
  </property>
  <property fmtid="{D5CDD505-2E9C-101B-9397-08002B2CF9AE}" pid="16" name="TYPE_ABS_DATE">
    <vt:lpwstr>390020130626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