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71AB3" w:rsidRPr="00556498" w14:paraId="7A94F330" w14:textId="77777777">
        <w:trPr>
          <w:trHeight w:hRule="exact" w:val="418"/>
          <w:jc w:val="center"/>
        </w:trPr>
        <w:tc>
          <w:tcPr>
            <w:tcW w:w="8721" w:type="dxa"/>
            <w:gridSpan w:val="2"/>
          </w:tcPr>
          <w:p w14:paraId="1EFA1218" w14:textId="77777777" w:rsidR="00171AB3" w:rsidRPr="00556498" w:rsidRDefault="00556498">
            <w:pPr>
              <w:pStyle w:val="a3"/>
              <w:jc w:val="center"/>
              <w:rPr>
                <w:rFonts w:ascii="Tahoma" w:hAnsi="Tahoma" w:cs="Tahoma"/>
                <w:color w:val="000080"/>
                <w:rtl/>
              </w:rPr>
            </w:pPr>
            <w:bookmarkStart w:id="0" w:name="LastJudge"/>
            <w:r w:rsidRPr="00556498">
              <w:rPr>
                <w:rFonts w:ascii="Tahoma" w:hAnsi="Tahoma" w:cs="Tahoma"/>
                <w:b/>
                <w:bCs/>
                <w:color w:val="000080"/>
                <w:rtl/>
              </w:rPr>
              <w:t>בית המשפט המחוזי מרכז-לוד</w:t>
            </w:r>
          </w:p>
        </w:tc>
      </w:tr>
      <w:tr w:rsidR="00171AB3" w:rsidRPr="00556498" w14:paraId="18B14936" w14:textId="77777777">
        <w:trPr>
          <w:trHeight w:val="337"/>
          <w:jc w:val="center"/>
        </w:trPr>
        <w:tc>
          <w:tcPr>
            <w:tcW w:w="5057" w:type="dxa"/>
          </w:tcPr>
          <w:p w14:paraId="3F427BCA" w14:textId="77777777" w:rsidR="00171AB3" w:rsidRPr="00556498" w:rsidRDefault="00556498">
            <w:pPr>
              <w:rPr>
                <w:rFonts w:ascii="Arial" w:hAnsi="Arial" w:cs="Arial"/>
                <w:b/>
                <w:bCs/>
                <w:rtl/>
              </w:rPr>
            </w:pPr>
            <w:r w:rsidRPr="00556498">
              <w:rPr>
                <w:rFonts w:ascii="Arial" w:hAnsi="Arial" w:cs="Arial"/>
                <w:b/>
                <w:bCs/>
                <w:rtl/>
              </w:rPr>
              <w:t>ת"פ 54176-01-13 מדינת ישראל נ' רודריגו אינטריאגו</w:t>
            </w:r>
            <w:r w:rsidRPr="00556498">
              <w:rPr>
                <w:rFonts w:ascii="Arial" w:hAnsi="Arial" w:cs="Arial" w:hint="cs"/>
                <w:b/>
                <w:bCs/>
                <w:rtl/>
              </w:rPr>
              <w:t xml:space="preserve"> </w:t>
            </w:r>
            <w:r w:rsidRPr="00556498">
              <w:rPr>
                <w:rFonts w:ascii="Arial" w:hAnsi="Arial" w:cs="Arial"/>
                <w:b/>
                <w:bCs/>
                <w:rtl/>
              </w:rPr>
              <w:t>(עציר)</w:t>
            </w:r>
          </w:p>
          <w:p w14:paraId="7493B7E4" w14:textId="77777777" w:rsidR="00171AB3" w:rsidRPr="00556498" w:rsidRDefault="00171AB3">
            <w:pPr>
              <w:pStyle w:val="a3"/>
              <w:rPr>
                <w:rFonts w:ascii="Arial" w:hAnsi="Arial" w:cs="Arial"/>
                <w:b/>
                <w:bCs/>
                <w:rtl/>
              </w:rPr>
            </w:pPr>
          </w:p>
        </w:tc>
        <w:tc>
          <w:tcPr>
            <w:tcW w:w="3664" w:type="dxa"/>
          </w:tcPr>
          <w:p w14:paraId="620298EB" w14:textId="77777777" w:rsidR="00171AB3" w:rsidRPr="00556498" w:rsidRDefault="00171AB3">
            <w:pPr>
              <w:pStyle w:val="a3"/>
              <w:jc w:val="right"/>
              <w:rPr>
                <w:rFonts w:cs="FrankRuehl"/>
                <w:sz w:val="28"/>
                <w:szCs w:val="28"/>
                <w:rtl/>
              </w:rPr>
            </w:pPr>
          </w:p>
        </w:tc>
      </w:tr>
    </w:tbl>
    <w:p w14:paraId="64526E4A" w14:textId="77777777" w:rsidR="00171AB3" w:rsidRPr="00556498" w:rsidRDefault="00556498" w:rsidP="00744B45">
      <w:pPr>
        <w:pStyle w:val="a3"/>
        <w:rPr>
          <w:rFonts w:ascii="Arial" w:hAnsi="Arial" w:cs="Arial"/>
          <w:rtl/>
        </w:rPr>
      </w:pPr>
      <w:r w:rsidRPr="0055649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71AB3" w:rsidRPr="00556498" w14:paraId="31AD0EAC" w14:textId="77777777">
        <w:trPr>
          <w:trHeight w:val="295"/>
          <w:jc w:val="center"/>
        </w:trPr>
        <w:tc>
          <w:tcPr>
            <w:tcW w:w="923" w:type="dxa"/>
            <w:tcBorders>
              <w:top w:val="nil"/>
              <w:left w:val="nil"/>
              <w:bottom w:val="nil"/>
              <w:right w:val="nil"/>
            </w:tcBorders>
          </w:tcPr>
          <w:p w14:paraId="495DE646" w14:textId="77777777" w:rsidR="00171AB3" w:rsidRPr="00556498" w:rsidRDefault="00556498">
            <w:pPr>
              <w:jc w:val="both"/>
              <w:rPr>
                <w:rFonts w:ascii="Arial" w:hAnsi="Arial" w:cs="Arial"/>
              </w:rPr>
            </w:pPr>
            <w:bookmarkStart w:id="1" w:name="_GoBack"/>
            <w:bookmarkEnd w:id="1"/>
            <w:r w:rsidRPr="00556498">
              <w:rPr>
                <w:rFonts w:ascii="Arial" w:hAnsi="Arial" w:cs="Arial"/>
                <w:rtl/>
              </w:rPr>
              <w:t xml:space="preserve">בפני </w:t>
            </w:r>
          </w:p>
        </w:tc>
        <w:tc>
          <w:tcPr>
            <w:tcW w:w="7897" w:type="dxa"/>
            <w:gridSpan w:val="2"/>
            <w:tcBorders>
              <w:top w:val="nil"/>
              <w:left w:val="nil"/>
              <w:bottom w:val="nil"/>
              <w:right w:val="nil"/>
            </w:tcBorders>
          </w:tcPr>
          <w:p w14:paraId="3257D9A8" w14:textId="77777777" w:rsidR="00171AB3" w:rsidRPr="00556498" w:rsidRDefault="00556498">
            <w:pPr>
              <w:rPr>
                <w:rFonts w:ascii="Arial" w:hAnsi="Arial" w:cs="Arial"/>
                <w:b/>
                <w:bCs/>
                <w:rtl/>
              </w:rPr>
            </w:pPr>
            <w:r w:rsidRPr="00556498">
              <w:rPr>
                <w:rFonts w:ascii="Arial" w:hAnsi="Arial" w:cs="Arial"/>
                <w:b/>
                <w:bCs/>
                <w:rtl/>
              </w:rPr>
              <w:t>כב' ה</w:t>
            </w:r>
            <w:r w:rsidRPr="00556498">
              <w:rPr>
                <w:rFonts w:ascii="Arial" w:hAnsi="Arial" w:cs="Arial" w:hint="cs"/>
                <w:rtl/>
              </w:rPr>
              <w:t>שופטת</w:t>
            </w:r>
            <w:r w:rsidRPr="00556498">
              <w:rPr>
                <w:rFonts w:ascii="Arial" w:hAnsi="Arial" w:cs="Arial"/>
                <w:b/>
                <w:bCs/>
                <w:rtl/>
              </w:rPr>
              <w:t xml:space="preserve">  </w:t>
            </w:r>
            <w:r w:rsidRPr="00556498">
              <w:rPr>
                <w:rFonts w:ascii="Arial" w:hAnsi="Arial" w:cs="Arial" w:hint="cs"/>
                <w:rtl/>
              </w:rPr>
              <w:t>ורדה מרוז</w:t>
            </w:r>
          </w:p>
          <w:p w14:paraId="6F45CDC8" w14:textId="77777777" w:rsidR="00171AB3" w:rsidRPr="00556498" w:rsidRDefault="00171AB3">
            <w:pPr>
              <w:rPr>
                <w:rFonts w:ascii="Arial" w:hAnsi="Arial" w:cs="Arial"/>
                <w:rtl/>
              </w:rPr>
            </w:pPr>
          </w:p>
          <w:p w14:paraId="63F463FF" w14:textId="77777777" w:rsidR="00171AB3" w:rsidRPr="00556498" w:rsidRDefault="00171AB3">
            <w:pPr>
              <w:jc w:val="both"/>
              <w:rPr>
                <w:rFonts w:ascii="Arial" w:hAnsi="Arial" w:cs="Arial"/>
              </w:rPr>
            </w:pPr>
          </w:p>
        </w:tc>
      </w:tr>
      <w:tr w:rsidR="00171AB3" w:rsidRPr="00556498" w14:paraId="652A42B9" w14:textId="77777777">
        <w:trPr>
          <w:trHeight w:val="355"/>
          <w:jc w:val="center"/>
        </w:trPr>
        <w:tc>
          <w:tcPr>
            <w:tcW w:w="923" w:type="dxa"/>
            <w:tcBorders>
              <w:top w:val="nil"/>
              <w:left w:val="nil"/>
              <w:bottom w:val="nil"/>
              <w:right w:val="nil"/>
            </w:tcBorders>
          </w:tcPr>
          <w:p w14:paraId="57189893" w14:textId="77777777" w:rsidR="00171AB3" w:rsidRPr="00556498" w:rsidRDefault="00556498">
            <w:pPr>
              <w:jc w:val="both"/>
              <w:rPr>
                <w:rFonts w:ascii="Arial" w:hAnsi="Arial" w:cs="Arial"/>
              </w:rPr>
            </w:pPr>
            <w:bookmarkStart w:id="2" w:name="FirstAppellant"/>
            <w:r w:rsidRPr="00556498">
              <w:rPr>
                <w:rFonts w:ascii="Arial" w:hAnsi="Arial" w:cs="Arial"/>
                <w:rtl/>
              </w:rPr>
              <w:t>בעניין:</w:t>
            </w:r>
          </w:p>
        </w:tc>
        <w:tc>
          <w:tcPr>
            <w:tcW w:w="4126" w:type="dxa"/>
            <w:tcBorders>
              <w:top w:val="nil"/>
              <w:left w:val="nil"/>
              <w:bottom w:val="nil"/>
              <w:right w:val="nil"/>
            </w:tcBorders>
          </w:tcPr>
          <w:p w14:paraId="65A2332A" w14:textId="77777777" w:rsidR="00171AB3" w:rsidRPr="00556498" w:rsidRDefault="00556498">
            <w:pPr>
              <w:rPr>
                <w:rFonts w:ascii="Arial" w:hAnsi="Arial" w:cs="Arial"/>
                <w:b/>
                <w:bCs/>
              </w:rPr>
            </w:pPr>
            <w:r w:rsidRPr="00556498">
              <w:rPr>
                <w:rFonts w:ascii="Arial" w:hAnsi="Arial" w:cs="Arial" w:hint="cs"/>
                <w:b/>
                <w:bCs/>
                <w:rtl/>
              </w:rPr>
              <w:t>מדינת ישראל</w:t>
            </w:r>
          </w:p>
        </w:tc>
        <w:tc>
          <w:tcPr>
            <w:tcW w:w="3771" w:type="dxa"/>
            <w:tcBorders>
              <w:top w:val="nil"/>
              <w:left w:val="nil"/>
              <w:bottom w:val="nil"/>
              <w:right w:val="nil"/>
            </w:tcBorders>
          </w:tcPr>
          <w:p w14:paraId="1A91C473" w14:textId="77777777" w:rsidR="00171AB3" w:rsidRPr="00556498" w:rsidRDefault="00171AB3">
            <w:pPr>
              <w:jc w:val="both"/>
              <w:rPr>
                <w:rFonts w:ascii="Arial" w:hAnsi="Arial" w:cs="Arial"/>
                <w:sz w:val="28"/>
                <w:szCs w:val="28"/>
              </w:rPr>
            </w:pPr>
          </w:p>
        </w:tc>
      </w:tr>
      <w:tr w:rsidR="00171AB3" w:rsidRPr="00556498" w14:paraId="2C6B94BE" w14:textId="77777777">
        <w:trPr>
          <w:trHeight w:val="355"/>
          <w:jc w:val="center"/>
        </w:trPr>
        <w:tc>
          <w:tcPr>
            <w:tcW w:w="923" w:type="dxa"/>
            <w:tcBorders>
              <w:top w:val="nil"/>
              <w:left w:val="nil"/>
              <w:bottom w:val="nil"/>
              <w:right w:val="nil"/>
            </w:tcBorders>
          </w:tcPr>
          <w:p w14:paraId="214E8FF8" w14:textId="77777777" w:rsidR="00171AB3" w:rsidRPr="00556498" w:rsidRDefault="00171AB3">
            <w:pPr>
              <w:jc w:val="both"/>
              <w:rPr>
                <w:rFonts w:ascii="Arial" w:hAnsi="Arial" w:cs="Arial"/>
                <w:rtl/>
              </w:rPr>
            </w:pPr>
            <w:bookmarkStart w:id="3" w:name="FirstLawyer"/>
            <w:bookmarkEnd w:id="2"/>
          </w:p>
        </w:tc>
        <w:tc>
          <w:tcPr>
            <w:tcW w:w="4126" w:type="dxa"/>
            <w:tcBorders>
              <w:top w:val="nil"/>
              <w:left w:val="nil"/>
              <w:bottom w:val="nil"/>
              <w:right w:val="nil"/>
            </w:tcBorders>
          </w:tcPr>
          <w:p w14:paraId="5DF5F1FC" w14:textId="77777777" w:rsidR="00171AB3" w:rsidRPr="00556498" w:rsidRDefault="00556498">
            <w:pPr>
              <w:jc w:val="both"/>
              <w:rPr>
                <w:rFonts w:ascii="Arial" w:hAnsi="Arial" w:cs="Arial"/>
                <w:rtl/>
              </w:rPr>
            </w:pPr>
            <w:r w:rsidRPr="00556498">
              <w:rPr>
                <w:rFonts w:ascii="Arial" w:hAnsi="Arial" w:cs="Arial" w:hint="cs"/>
                <w:rtl/>
              </w:rPr>
              <w:t xml:space="preserve">ע"י ב"כ עוה"ד רוני שוהם </w:t>
            </w:r>
            <w:r w:rsidRPr="00556498">
              <w:rPr>
                <w:rFonts w:ascii="Arial" w:hAnsi="Arial" w:cs="Arial"/>
                <w:rtl/>
              </w:rPr>
              <w:t>–</w:t>
            </w:r>
            <w:r w:rsidRPr="00556498">
              <w:rPr>
                <w:rFonts w:ascii="Arial" w:hAnsi="Arial" w:cs="Arial" w:hint="cs"/>
                <w:rtl/>
              </w:rPr>
              <w:t xml:space="preserve"> פמ"מ </w:t>
            </w:r>
          </w:p>
        </w:tc>
        <w:tc>
          <w:tcPr>
            <w:tcW w:w="3771" w:type="dxa"/>
            <w:tcBorders>
              <w:top w:val="nil"/>
              <w:left w:val="nil"/>
              <w:bottom w:val="nil"/>
              <w:right w:val="nil"/>
            </w:tcBorders>
          </w:tcPr>
          <w:p w14:paraId="3F514908" w14:textId="77777777" w:rsidR="00171AB3" w:rsidRPr="00556498" w:rsidRDefault="00556498">
            <w:pPr>
              <w:jc w:val="right"/>
              <w:rPr>
                <w:rFonts w:ascii="Arial" w:hAnsi="Arial" w:cs="Arial"/>
                <w:sz w:val="28"/>
                <w:szCs w:val="28"/>
                <w:rtl/>
              </w:rPr>
            </w:pPr>
            <w:r w:rsidRPr="00556498">
              <w:rPr>
                <w:rFonts w:ascii="Arial" w:hAnsi="Arial" w:cs="Arial"/>
                <w:sz w:val="28"/>
                <w:szCs w:val="28"/>
                <w:rtl/>
              </w:rPr>
              <w:t>ה</w:t>
            </w:r>
            <w:r w:rsidRPr="00556498">
              <w:rPr>
                <w:rFonts w:ascii="Arial" w:hAnsi="Arial" w:cs="Arial" w:hint="cs"/>
                <w:rtl/>
              </w:rPr>
              <w:t>מאשימה</w:t>
            </w:r>
          </w:p>
        </w:tc>
      </w:tr>
      <w:bookmarkEnd w:id="3"/>
      <w:tr w:rsidR="00171AB3" w:rsidRPr="00556498" w14:paraId="5AC69B16" w14:textId="77777777">
        <w:trPr>
          <w:trHeight w:val="355"/>
          <w:jc w:val="center"/>
        </w:trPr>
        <w:tc>
          <w:tcPr>
            <w:tcW w:w="923" w:type="dxa"/>
            <w:tcBorders>
              <w:top w:val="nil"/>
              <w:left w:val="nil"/>
              <w:bottom w:val="nil"/>
              <w:right w:val="nil"/>
            </w:tcBorders>
          </w:tcPr>
          <w:p w14:paraId="363618E3" w14:textId="77777777" w:rsidR="00171AB3" w:rsidRPr="00556498" w:rsidRDefault="00171AB3">
            <w:pPr>
              <w:jc w:val="both"/>
              <w:rPr>
                <w:rFonts w:ascii="Arial" w:hAnsi="Arial" w:cs="Arial"/>
                <w:sz w:val="28"/>
                <w:szCs w:val="28"/>
                <w:rtl/>
              </w:rPr>
            </w:pPr>
          </w:p>
        </w:tc>
        <w:tc>
          <w:tcPr>
            <w:tcW w:w="7897" w:type="dxa"/>
            <w:gridSpan w:val="2"/>
            <w:tcBorders>
              <w:top w:val="nil"/>
              <w:left w:val="nil"/>
              <w:bottom w:val="nil"/>
              <w:right w:val="nil"/>
            </w:tcBorders>
          </w:tcPr>
          <w:p w14:paraId="54658A77" w14:textId="77777777" w:rsidR="00171AB3" w:rsidRPr="00556498" w:rsidRDefault="00171AB3">
            <w:pPr>
              <w:jc w:val="center"/>
              <w:rPr>
                <w:rFonts w:ascii="Arial" w:hAnsi="Arial" w:cs="Arial"/>
                <w:b/>
                <w:bCs/>
                <w:sz w:val="28"/>
                <w:szCs w:val="28"/>
                <w:rtl/>
              </w:rPr>
            </w:pPr>
          </w:p>
          <w:p w14:paraId="567DD471" w14:textId="77777777" w:rsidR="00171AB3" w:rsidRPr="00556498" w:rsidRDefault="00556498">
            <w:pPr>
              <w:jc w:val="center"/>
              <w:rPr>
                <w:rFonts w:ascii="Arial" w:hAnsi="Arial" w:cs="Arial"/>
                <w:b/>
                <w:bCs/>
                <w:sz w:val="28"/>
                <w:szCs w:val="28"/>
                <w:rtl/>
              </w:rPr>
            </w:pPr>
            <w:r w:rsidRPr="00556498">
              <w:rPr>
                <w:rFonts w:ascii="Arial" w:hAnsi="Arial" w:cs="Arial"/>
                <w:b/>
                <w:bCs/>
                <w:sz w:val="28"/>
                <w:szCs w:val="28"/>
                <w:rtl/>
              </w:rPr>
              <w:t>נגד</w:t>
            </w:r>
          </w:p>
          <w:p w14:paraId="344BCB64" w14:textId="77777777" w:rsidR="00171AB3" w:rsidRPr="00556498" w:rsidRDefault="00171AB3">
            <w:pPr>
              <w:jc w:val="both"/>
              <w:rPr>
                <w:rFonts w:ascii="Arial" w:hAnsi="Arial" w:cs="Arial"/>
                <w:sz w:val="28"/>
                <w:szCs w:val="28"/>
              </w:rPr>
            </w:pPr>
          </w:p>
        </w:tc>
      </w:tr>
      <w:tr w:rsidR="00171AB3" w:rsidRPr="00556498" w14:paraId="70FAD9F4" w14:textId="77777777">
        <w:trPr>
          <w:trHeight w:val="355"/>
          <w:jc w:val="center"/>
        </w:trPr>
        <w:tc>
          <w:tcPr>
            <w:tcW w:w="923" w:type="dxa"/>
            <w:tcBorders>
              <w:top w:val="nil"/>
              <w:left w:val="nil"/>
              <w:bottom w:val="nil"/>
              <w:right w:val="nil"/>
            </w:tcBorders>
          </w:tcPr>
          <w:p w14:paraId="10387A14" w14:textId="77777777" w:rsidR="00171AB3" w:rsidRPr="00556498" w:rsidRDefault="00171AB3">
            <w:pPr>
              <w:rPr>
                <w:rFonts w:ascii="Arial" w:hAnsi="Arial" w:cs="Arial"/>
                <w:sz w:val="28"/>
                <w:szCs w:val="28"/>
                <w:rtl/>
              </w:rPr>
            </w:pPr>
          </w:p>
        </w:tc>
        <w:tc>
          <w:tcPr>
            <w:tcW w:w="4126" w:type="dxa"/>
            <w:tcBorders>
              <w:top w:val="nil"/>
              <w:left w:val="nil"/>
              <w:bottom w:val="nil"/>
              <w:right w:val="nil"/>
            </w:tcBorders>
          </w:tcPr>
          <w:p w14:paraId="61B017FF" w14:textId="77777777" w:rsidR="00171AB3" w:rsidRPr="00556498" w:rsidRDefault="00556498">
            <w:pPr>
              <w:rPr>
                <w:rFonts w:ascii="Arial" w:hAnsi="Arial" w:cs="Arial"/>
                <w:b/>
                <w:bCs/>
                <w:rtl/>
              </w:rPr>
            </w:pPr>
            <w:r w:rsidRPr="00556498">
              <w:rPr>
                <w:rFonts w:ascii="Arial" w:hAnsi="Arial" w:cs="Arial" w:hint="cs"/>
                <w:b/>
                <w:bCs/>
                <w:rtl/>
              </w:rPr>
              <w:t>ויקטור רודריגו אינטריאגו (עציר)</w:t>
            </w:r>
          </w:p>
        </w:tc>
        <w:tc>
          <w:tcPr>
            <w:tcW w:w="3771" w:type="dxa"/>
            <w:tcBorders>
              <w:top w:val="nil"/>
              <w:left w:val="nil"/>
              <w:bottom w:val="nil"/>
              <w:right w:val="nil"/>
            </w:tcBorders>
          </w:tcPr>
          <w:p w14:paraId="3B957D76" w14:textId="77777777" w:rsidR="00171AB3" w:rsidRPr="00556498" w:rsidRDefault="00171AB3">
            <w:pPr>
              <w:jc w:val="right"/>
              <w:rPr>
                <w:rFonts w:ascii="Arial" w:hAnsi="Arial" w:cs="Arial"/>
                <w:sz w:val="28"/>
                <w:szCs w:val="28"/>
              </w:rPr>
            </w:pPr>
          </w:p>
        </w:tc>
      </w:tr>
      <w:tr w:rsidR="00171AB3" w:rsidRPr="00556498" w14:paraId="16AF3064" w14:textId="77777777">
        <w:trPr>
          <w:trHeight w:val="355"/>
          <w:jc w:val="center"/>
        </w:trPr>
        <w:tc>
          <w:tcPr>
            <w:tcW w:w="923" w:type="dxa"/>
            <w:tcBorders>
              <w:top w:val="nil"/>
              <w:left w:val="nil"/>
              <w:bottom w:val="nil"/>
              <w:right w:val="nil"/>
            </w:tcBorders>
          </w:tcPr>
          <w:p w14:paraId="6288476C" w14:textId="77777777" w:rsidR="00171AB3" w:rsidRPr="00556498" w:rsidRDefault="00171AB3">
            <w:pPr>
              <w:jc w:val="both"/>
              <w:rPr>
                <w:rFonts w:ascii="Arial" w:hAnsi="Arial" w:cs="Arial"/>
                <w:sz w:val="28"/>
                <w:szCs w:val="28"/>
                <w:rtl/>
              </w:rPr>
            </w:pPr>
          </w:p>
        </w:tc>
        <w:tc>
          <w:tcPr>
            <w:tcW w:w="4126" w:type="dxa"/>
            <w:tcBorders>
              <w:top w:val="nil"/>
              <w:left w:val="nil"/>
              <w:bottom w:val="nil"/>
              <w:right w:val="nil"/>
            </w:tcBorders>
          </w:tcPr>
          <w:p w14:paraId="2128D5B9" w14:textId="77777777" w:rsidR="00171AB3" w:rsidRPr="00556498" w:rsidRDefault="00556498">
            <w:pPr>
              <w:jc w:val="both"/>
              <w:rPr>
                <w:rFonts w:ascii="Arial" w:hAnsi="Arial" w:cs="Arial"/>
                <w:rtl/>
              </w:rPr>
            </w:pPr>
            <w:r w:rsidRPr="00556498">
              <w:rPr>
                <w:rFonts w:ascii="Arial" w:hAnsi="Arial" w:cs="Arial" w:hint="cs"/>
                <w:rtl/>
              </w:rPr>
              <w:t>ע"י ב"כ עוה"ד גלית בש</w:t>
            </w:r>
          </w:p>
        </w:tc>
        <w:tc>
          <w:tcPr>
            <w:tcW w:w="3771" w:type="dxa"/>
            <w:tcBorders>
              <w:top w:val="nil"/>
              <w:left w:val="nil"/>
              <w:bottom w:val="nil"/>
              <w:right w:val="nil"/>
            </w:tcBorders>
          </w:tcPr>
          <w:p w14:paraId="369BEBBB" w14:textId="77777777" w:rsidR="00171AB3" w:rsidRPr="00556498" w:rsidRDefault="00556498">
            <w:pPr>
              <w:jc w:val="right"/>
              <w:rPr>
                <w:rFonts w:ascii="Arial" w:hAnsi="Arial" w:cs="Arial"/>
                <w:sz w:val="28"/>
                <w:szCs w:val="28"/>
              </w:rPr>
            </w:pPr>
            <w:r w:rsidRPr="00556498">
              <w:rPr>
                <w:rFonts w:ascii="Arial" w:hAnsi="Arial" w:cs="Arial"/>
                <w:sz w:val="28"/>
                <w:szCs w:val="28"/>
                <w:rtl/>
              </w:rPr>
              <w:t>ה</w:t>
            </w:r>
            <w:r w:rsidRPr="00556498">
              <w:rPr>
                <w:rFonts w:ascii="Arial" w:hAnsi="Arial" w:cs="Arial" w:hint="cs"/>
                <w:rtl/>
              </w:rPr>
              <w:t>נאשם</w:t>
            </w:r>
          </w:p>
        </w:tc>
      </w:tr>
    </w:tbl>
    <w:p w14:paraId="59E01C6E" w14:textId="77777777" w:rsidR="00171AB3" w:rsidRPr="00556498" w:rsidRDefault="00171AB3">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1AB3" w14:paraId="7AC6B17F" w14:textId="77777777">
        <w:trPr>
          <w:trHeight w:val="355"/>
          <w:jc w:val="center"/>
        </w:trPr>
        <w:tc>
          <w:tcPr>
            <w:tcW w:w="8820" w:type="dxa"/>
            <w:tcBorders>
              <w:top w:val="nil"/>
              <w:left w:val="nil"/>
              <w:bottom w:val="nil"/>
              <w:right w:val="nil"/>
            </w:tcBorders>
          </w:tcPr>
          <w:p w14:paraId="05AF9955" w14:textId="77777777" w:rsidR="00556498" w:rsidRPr="00556498" w:rsidRDefault="00556498" w:rsidP="00556498">
            <w:pPr>
              <w:jc w:val="center"/>
              <w:rPr>
                <w:rFonts w:ascii="Arial" w:hAnsi="Arial" w:cs="Arial"/>
                <w:b/>
                <w:bCs/>
                <w:sz w:val="32"/>
                <w:szCs w:val="32"/>
                <w:u w:val="single"/>
                <w:rtl/>
              </w:rPr>
            </w:pPr>
            <w:bookmarkStart w:id="4" w:name="PsakDin" w:colFirst="0" w:colLast="0"/>
            <w:bookmarkEnd w:id="0"/>
            <w:r w:rsidRPr="00556498">
              <w:rPr>
                <w:rFonts w:ascii="Arial" w:hAnsi="Arial" w:cs="Arial"/>
                <w:b/>
                <w:bCs/>
                <w:sz w:val="32"/>
                <w:szCs w:val="32"/>
                <w:u w:val="single"/>
                <w:rtl/>
              </w:rPr>
              <w:t>גזר דין</w:t>
            </w:r>
          </w:p>
          <w:p w14:paraId="3C99FE89" w14:textId="77777777" w:rsidR="00171AB3" w:rsidRPr="00556498" w:rsidRDefault="00171AB3" w:rsidP="00556498">
            <w:pPr>
              <w:jc w:val="center"/>
              <w:rPr>
                <w:rFonts w:ascii="Arial" w:hAnsi="Arial" w:cs="Arial"/>
                <w:bCs/>
                <w:sz w:val="32"/>
                <w:szCs w:val="32"/>
                <w:u w:val="single"/>
                <w:rtl/>
              </w:rPr>
            </w:pPr>
          </w:p>
        </w:tc>
      </w:tr>
      <w:bookmarkEnd w:id="4"/>
    </w:tbl>
    <w:p w14:paraId="33944C46" w14:textId="77777777" w:rsidR="00171AB3" w:rsidRDefault="00171AB3">
      <w:pPr>
        <w:rPr>
          <w:rFonts w:ascii="Arial" w:hAnsi="Arial" w:cs="Arial"/>
          <w:rtl/>
        </w:rPr>
      </w:pPr>
    </w:p>
    <w:p w14:paraId="5B3EEC13" w14:textId="77777777" w:rsidR="00171AB3" w:rsidRDefault="00171AB3">
      <w:pPr>
        <w:rPr>
          <w:rFonts w:ascii="Arial" w:hAnsi="Arial" w:cs="Arial"/>
          <w:rtl/>
        </w:rPr>
      </w:pPr>
    </w:p>
    <w:p w14:paraId="17F37C28" w14:textId="77777777" w:rsidR="00171AB3" w:rsidRDefault="00556498">
      <w:pPr>
        <w:numPr>
          <w:ilvl w:val="0"/>
          <w:numId w:val="1"/>
        </w:numPr>
        <w:spacing w:after="240" w:line="360" w:lineRule="auto"/>
        <w:ind w:hanging="694"/>
        <w:jc w:val="both"/>
        <w:rPr>
          <w:rFonts w:ascii="Arial" w:hAnsi="Arial" w:cs="Arial"/>
        </w:rPr>
      </w:pPr>
      <w:bookmarkStart w:id="5" w:name="ABSTRACT_START"/>
      <w:bookmarkEnd w:id="5"/>
      <w:r>
        <w:rPr>
          <w:rFonts w:ascii="Arial" w:hAnsi="Arial" w:cs="Arial"/>
          <w:rtl/>
        </w:rPr>
        <w:t>הנאשם, אזרח אקוודור, הורשע עפ"י הודייתו בעבירות שעניינן קשירת קשר לפשע, לפי סעיף 499(א)(1) ל</w:t>
      </w:r>
      <w:hyperlink r:id="rId7" w:history="1">
        <w:r w:rsidRPr="00556498">
          <w:rPr>
            <w:rFonts w:ascii="Arial" w:hAnsi="Arial" w:cs="Arial"/>
            <w:color w:val="0000FF"/>
            <w:u w:val="single"/>
            <w:rtl/>
          </w:rPr>
          <w:t>חוק העונשין</w:t>
        </w:r>
      </w:hyperlink>
      <w:r>
        <w:rPr>
          <w:rFonts w:ascii="Arial" w:hAnsi="Arial" w:cs="Arial"/>
          <w:rtl/>
        </w:rPr>
        <w:t>, התשל"ז – 1977 (להלן: "</w:t>
      </w:r>
      <w:r>
        <w:rPr>
          <w:rFonts w:ascii="Arial" w:hAnsi="Arial" w:cs="Arial"/>
          <w:b/>
          <w:bCs/>
          <w:sz w:val="22"/>
          <w:szCs w:val="22"/>
          <w:rtl/>
        </w:rPr>
        <w:t>החוק</w:t>
      </w:r>
      <w:r>
        <w:rPr>
          <w:rFonts w:ascii="Arial" w:hAnsi="Arial" w:cs="Arial"/>
          <w:rtl/>
        </w:rPr>
        <w:t>") וייבוא סם מסוכן לפי סעיף 13 ל</w:t>
      </w:r>
      <w:hyperlink r:id="rId8" w:history="1">
        <w:r w:rsidRPr="00556498">
          <w:rPr>
            <w:rFonts w:ascii="Arial" w:hAnsi="Arial" w:cs="Arial"/>
            <w:color w:val="0000FF"/>
            <w:u w:val="single"/>
            <w:rtl/>
          </w:rPr>
          <w:t>פקודת הסמים המסוכנים</w:t>
        </w:r>
      </w:hyperlink>
      <w:r>
        <w:rPr>
          <w:rFonts w:ascii="Arial" w:hAnsi="Arial" w:cs="Arial"/>
          <w:rtl/>
        </w:rPr>
        <w:t xml:space="preserve"> [נוסח חדש], התשל"ג – 1973 (להלן: "</w:t>
      </w:r>
      <w:r>
        <w:rPr>
          <w:rFonts w:ascii="Arial" w:hAnsi="Arial" w:cs="Arial"/>
          <w:b/>
          <w:bCs/>
          <w:sz w:val="22"/>
          <w:szCs w:val="22"/>
          <w:rtl/>
        </w:rPr>
        <w:t>פקודת הסמים המסוכנים</w:t>
      </w:r>
      <w:r>
        <w:rPr>
          <w:rFonts w:ascii="Arial" w:hAnsi="Arial" w:cs="Arial"/>
          <w:rtl/>
        </w:rPr>
        <w:t>").</w:t>
      </w:r>
    </w:p>
    <w:p w14:paraId="72EEC98B" w14:textId="77777777" w:rsidR="00171AB3" w:rsidRDefault="00556498">
      <w:pPr>
        <w:numPr>
          <w:ilvl w:val="0"/>
          <w:numId w:val="1"/>
        </w:numPr>
        <w:spacing w:after="240" w:line="360" w:lineRule="auto"/>
        <w:ind w:hanging="694"/>
        <w:jc w:val="both"/>
        <w:rPr>
          <w:rFonts w:ascii="Arial" w:hAnsi="Arial" w:cs="Arial"/>
        </w:rPr>
      </w:pPr>
      <w:bookmarkStart w:id="6" w:name="ABSTRACT_END"/>
      <w:bookmarkEnd w:id="6"/>
      <w:r>
        <w:rPr>
          <w:rFonts w:ascii="Arial" w:hAnsi="Arial" w:cs="Arial"/>
          <w:rtl/>
        </w:rPr>
        <w:t xml:space="preserve">מעובדות כתב האישום עולה כי ביום 25.12.12 או בסמוך לכך, באקוודור, קשר הנאשם קשר עם אזרח קולומביה שזהותו אינה ידועה, להעברת מזוודה ובתוכה סם מסוכן מסוג קוקאין לישראל בתמורה לסך 3,000 דולר אמריקאי. במסגרת הקשר נתן האזרח הקולומביאני לנאשם כסף במזומן לצורך רכישת כרטיס טיסה לישראל, אירוח בבית מלון ודמי כיס בסך 865 דולר אמריקאי. </w:t>
      </w:r>
    </w:p>
    <w:p w14:paraId="4DB6D07B" w14:textId="77777777" w:rsidR="00171AB3" w:rsidRDefault="00556498">
      <w:pPr>
        <w:numPr>
          <w:ilvl w:val="0"/>
          <w:numId w:val="1"/>
        </w:numPr>
        <w:spacing w:after="240" w:line="360" w:lineRule="auto"/>
        <w:ind w:hanging="694"/>
        <w:jc w:val="both"/>
        <w:rPr>
          <w:rFonts w:ascii="Arial" w:hAnsi="Arial" w:cs="Arial"/>
        </w:rPr>
      </w:pPr>
      <w:r>
        <w:rPr>
          <w:rFonts w:ascii="Arial" w:hAnsi="Arial" w:cs="Arial"/>
          <w:rtl/>
        </w:rPr>
        <w:t xml:space="preserve">ביום 15.1.13 בשעה 18:30 לערך, נחת הנאשם בנמל התעופה בן גוריון בטיסה מאקוודור כשבידיו מזוודה ובתוכה מוטמן סם מסוכן מסוג קוקאין במשקל של 1,142 גרם נטו. </w:t>
      </w:r>
    </w:p>
    <w:p w14:paraId="7968E99A" w14:textId="77777777" w:rsidR="00171AB3" w:rsidRDefault="00556498">
      <w:pPr>
        <w:spacing w:after="240" w:line="360" w:lineRule="auto"/>
        <w:ind w:firstLine="720"/>
        <w:jc w:val="both"/>
        <w:rPr>
          <w:rFonts w:ascii="Arial" w:hAnsi="Arial" w:cs="Arial"/>
          <w:b/>
          <w:bCs/>
          <w:u w:val="single"/>
        </w:rPr>
      </w:pPr>
      <w:r>
        <w:rPr>
          <w:rFonts w:ascii="Arial" w:hAnsi="Arial" w:cs="Arial"/>
          <w:b/>
          <w:bCs/>
          <w:u w:val="single"/>
          <w:rtl/>
        </w:rPr>
        <w:t>טיעוני הצדדים לעונש</w:t>
      </w:r>
    </w:p>
    <w:p w14:paraId="48D6C0DD" w14:textId="77777777" w:rsidR="00171AB3" w:rsidRDefault="00556498">
      <w:pPr>
        <w:numPr>
          <w:ilvl w:val="0"/>
          <w:numId w:val="1"/>
        </w:numPr>
        <w:spacing w:after="240" w:line="360" w:lineRule="auto"/>
        <w:ind w:hanging="694"/>
        <w:jc w:val="both"/>
        <w:rPr>
          <w:rFonts w:ascii="Arial" w:hAnsi="Arial" w:cs="Arial"/>
        </w:rPr>
      </w:pPr>
      <w:r>
        <w:rPr>
          <w:rFonts w:ascii="Arial" w:hAnsi="Arial" w:cs="Arial"/>
          <w:rtl/>
        </w:rPr>
        <w:lastRenderedPageBreak/>
        <w:t xml:space="preserve">ב"כ המאשימה, עוה"ד רוני שוהם, עמדה על חומרת העבירות בכלל ובענייננו בפרט, כך לאור כמות הסם הגדולה, סוג הסם – קוקאין, שהינו הסם היקר ביותר והעובדה שהעבירה בוצעה אגב קשירת קשר. התובעת ביקשה לבכר את האינטרס הציבורי שעניינו מיגור תופעת ייבוא סמים מסוכנים על פני נסיבותיו האישיות של הנאשם, הגם שמדובר בנסיבות קשות. כן, טענה כי אין לקבל את טענתו, לפיה כבלדר, חלקו שולי בשרשרת הייבוא שכן זו חוליה בלעדיה אין. לגישתה, הרתעת בלדרים פוטנציאליים עשויה לפגוע בענף "ייבוא" הסמים, שהפך לרחב היקף, בעיקר ממדינות דרום אמריקה. ראוי שמסר יועבר, כי ייבוא סמים לישראל אינו משתלם לנוכח העונש הצפוי. </w:t>
      </w:r>
    </w:p>
    <w:p w14:paraId="71B1CB4E" w14:textId="77777777" w:rsidR="00171AB3" w:rsidRDefault="00556498">
      <w:pPr>
        <w:numPr>
          <w:ilvl w:val="0"/>
          <w:numId w:val="1"/>
        </w:numPr>
        <w:spacing w:after="240" w:line="360" w:lineRule="auto"/>
        <w:ind w:hanging="636"/>
        <w:jc w:val="both"/>
        <w:rPr>
          <w:rFonts w:ascii="Arial" w:hAnsi="Arial" w:cs="Arial"/>
        </w:rPr>
      </w:pPr>
      <w:r>
        <w:rPr>
          <w:rFonts w:ascii="Arial" w:hAnsi="Arial" w:cs="Arial"/>
          <w:rtl/>
        </w:rPr>
        <w:t>התובעת הציעה מתחם ענישה בין 3 ל – 6 שנות מאסר לאור כמות הסם הגדולה. לשיטתה, הנסיבה היחידה העומדת לזכות הנאשם היא ניסיונו לסייע בחשיפת מעורבים נוספים בייבוא, אך משקלה נמוך. ב"כ המאשימה עתרה בנוסף לחילוט סכום הכסף שנתפס על גוף הנאשם.</w:t>
      </w:r>
    </w:p>
    <w:p w14:paraId="4CD15430" w14:textId="77777777" w:rsidR="00171AB3" w:rsidRDefault="00556498">
      <w:pPr>
        <w:numPr>
          <w:ilvl w:val="0"/>
          <w:numId w:val="1"/>
        </w:numPr>
        <w:spacing w:after="240" w:line="360" w:lineRule="auto"/>
        <w:ind w:hanging="636"/>
        <w:jc w:val="both"/>
        <w:rPr>
          <w:rFonts w:ascii="Arial" w:hAnsi="Arial" w:cs="Arial"/>
        </w:rPr>
      </w:pPr>
      <w:r>
        <w:rPr>
          <w:rFonts w:ascii="Arial" w:hAnsi="Arial" w:cs="Arial"/>
          <w:rtl/>
        </w:rPr>
        <w:t>ב"כ הנאשם, עוה"ד גלית בש, עמדה על נסיבותיו האישיות של הנאשם – יליד 1986, אזרח אקוודור, נעדר עבר פלילי, נשוי ואב ל – 5 ילדים שעובד כנהג (הוגשו אישורים המאמתים את המידע).</w:t>
      </w:r>
    </w:p>
    <w:p w14:paraId="1597A229" w14:textId="77777777" w:rsidR="00171AB3" w:rsidRDefault="00556498">
      <w:pPr>
        <w:numPr>
          <w:ilvl w:val="0"/>
          <w:numId w:val="1"/>
        </w:numPr>
        <w:spacing w:after="240" w:line="360" w:lineRule="auto"/>
        <w:ind w:hanging="636"/>
        <w:jc w:val="both"/>
        <w:rPr>
          <w:rFonts w:ascii="Arial" w:hAnsi="Arial" w:cs="Arial"/>
        </w:rPr>
      </w:pPr>
      <w:r>
        <w:rPr>
          <w:rFonts w:ascii="Arial" w:hAnsi="Arial" w:cs="Arial"/>
          <w:rtl/>
        </w:rPr>
        <w:t>הסנגורית הטעימה את שיתוף הפעולה של הנאשם עם המשטרה ממועד מעצרו – חרף הסכנה הכרוכה בו. לגישתה, סיוע הנאשם היה מהותי ללכידת האזרח הישראלי אשר הזמין את הסמים לישראל. כן הדגישה את העדר מעורבותו בהליך ייבוא הסם, לבד הבלדרות; לדידה של הסנגורית, הנאשם נוצל ע"י אחרים בשל מצוקתו הכלכלית. לפיכך, לטעמה, אין אינטרס בהרתעת בלדרים, אשר להם אין חלק בארגון ותכנון העבירה, אלא בלכידת העומדים בראש שרשרת הייבוא. הסנגורית ציינה לקולא את משך ההליך על פני 10 חודשים, בשל חומרי חקירה חדשים שהושגו לאורכו. הסנגורית העמידה את מתחם הענישה על 24-40 חודשי מאסר בפועל. לעניין החילוט, ביקשה הסנגורית שלא לחלט את מלוא הסכום שנתפס כדי לאפשר לנאשם דמי מחיה בעת מאסרו.</w:t>
      </w:r>
    </w:p>
    <w:p w14:paraId="7534C7DF" w14:textId="77777777" w:rsidR="00171AB3" w:rsidRDefault="00556498">
      <w:pPr>
        <w:numPr>
          <w:ilvl w:val="0"/>
          <w:numId w:val="1"/>
        </w:numPr>
        <w:spacing w:after="240" w:line="360" w:lineRule="auto"/>
        <w:ind w:hanging="636"/>
        <w:jc w:val="both"/>
        <w:rPr>
          <w:rFonts w:ascii="Arial" w:hAnsi="Arial" w:cs="Arial"/>
        </w:rPr>
      </w:pPr>
      <w:r>
        <w:rPr>
          <w:rFonts w:ascii="Arial" w:hAnsi="Arial" w:cs="Arial"/>
          <w:rtl/>
        </w:rPr>
        <w:t xml:space="preserve">ב"כ הצדדים הפנו כל אחת לפסיקה התומכת בעתירותיהן לעונש. </w:t>
      </w:r>
    </w:p>
    <w:p w14:paraId="04E4B312" w14:textId="77777777" w:rsidR="00171AB3" w:rsidRDefault="00556498">
      <w:pPr>
        <w:numPr>
          <w:ilvl w:val="0"/>
          <w:numId w:val="1"/>
        </w:numPr>
        <w:spacing w:after="240" w:line="360" w:lineRule="auto"/>
        <w:ind w:hanging="636"/>
        <w:jc w:val="both"/>
        <w:rPr>
          <w:rStyle w:val="a6"/>
          <w:rFonts w:ascii="Arial" w:hAnsi="Arial" w:cs="Arial"/>
          <w:rtl/>
        </w:rPr>
      </w:pPr>
      <w:r>
        <w:rPr>
          <w:rFonts w:ascii="Arial" w:hAnsi="Arial" w:cs="Arial"/>
          <w:rtl/>
        </w:rPr>
        <w:t xml:space="preserve">הנאשם פנה לבית המשפט במלים אחרונות וביקש סליחה על מעשיו. הוא הסביר כי מצבו הכלכלי הקשה עמד ברקע מעשהו. </w:t>
      </w:r>
      <w:r>
        <w:rPr>
          <w:rStyle w:val="a6"/>
          <w:rFonts w:ascii="Arial" w:hAnsi="Arial" w:cs="Arial"/>
          <w:rtl/>
        </w:rPr>
        <w:t xml:space="preserve">הוא ביקש את רחמי בית המשפט על מנת שיוכל לשוב למשפחתו במהרה. </w:t>
      </w:r>
    </w:p>
    <w:p w14:paraId="54B67328" w14:textId="77777777" w:rsidR="00171AB3" w:rsidRDefault="00556498">
      <w:pPr>
        <w:spacing w:after="240" w:line="360" w:lineRule="auto"/>
        <w:ind w:left="720"/>
        <w:jc w:val="both"/>
        <w:rPr>
          <w:rFonts w:ascii="Arial" w:hAnsi="Arial" w:cs="Arial"/>
          <w:b/>
          <w:bCs/>
          <w:u w:val="single"/>
        </w:rPr>
      </w:pPr>
      <w:r>
        <w:rPr>
          <w:rFonts w:ascii="Arial" w:hAnsi="Arial" w:cs="Arial"/>
          <w:b/>
          <w:bCs/>
          <w:u w:val="single"/>
          <w:rtl/>
        </w:rPr>
        <w:lastRenderedPageBreak/>
        <w:t>דיון והכרעה</w:t>
      </w:r>
    </w:p>
    <w:p w14:paraId="766CB984" w14:textId="77777777" w:rsidR="00171AB3" w:rsidRDefault="00556498">
      <w:pPr>
        <w:numPr>
          <w:ilvl w:val="0"/>
          <w:numId w:val="1"/>
        </w:numPr>
        <w:spacing w:line="360" w:lineRule="auto"/>
        <w:ind w:hanging="692"/>
        <w:jc w:val="both"/>
        <w:rPr>
          <w:rFonts w:ascii="Arial" w:hAnsi="Arial" w:cs="Arial"/>
          <w:b/>
          <w:bCs/>
          <w:u w:val="single"/>
        </w:rPr>
      </w:pPr>
      <w:r>
        <w:rPr>
          <w:rFonts w:ascii="Arial" w:hAnsi="Arial" w:cs="Arial"/>
          <w:b/>
          <w:bCs/>
          <w:sz w:val="22"/>
          <w:szCs w:val="22"/>
          <w:u w:val="single"/>
          <w:rtl/>
        </w:rPr>
        <w:t>הערכים המוגנים שנפגעים ע"י ביצוע עבירות סמים</w:t>
      </w:r>
    </w:p>
    <w:p w14:paraId="4416040D" w14:textId="77777777" w:rsidR="00171AB3" w:rsidRDefault="00556498">
      <w:pPr>
        <w:spacing w:after="240" w:line="360" w:lineRule="auto"/>
        <w:ind w:left="720"/>
        <w:jc w:val="both"/>
        <w:rPr>
          <w:rFonts w:ascii="Arial" w:hAnsi="Arial" w:cs="Arial"/>
          <w:rtl/>
        </w:rPr>
      </w:pPr>
      <w:r>
        <w:rPr>
          <w:rFonts w:ascii="Arial" w:hAnsi="Arial" w:cs="Arial"/>
          <w:rtl/>
        </w:rPr>
        <w:t>על חומרתן של עבירות הסמים בכלל, ועבירת הייבוא בפרט, אין להכביר במלים; השפעתם ההרסנית של הסמים על שלומה, בריאותה וביטחונה של החברה הובילו את בתי המשפט לקחת חלק במיגור נגע הסמים ע"י הטלת עונשי מאסר כבדים ומרתיעים. בעבירות אלו, נסיבותיו האישיות של נאשם נסוגות, לרוב, מפני האינטרס הציבורי</w:t>
      </w:r>
      <w:r>
        <w:rPr>
          <w:rFonts w:ascii="Arial" w:hAnsi="Arial" w:cs="Arial"/>
          <w:sz w:val="22"/>
          <w:szCs w:val="22"/>
          <w:rtl/>
        </w:rPr>
        <w:t xml:space="preserve">. </w:t>
      </w:r>
      <w:r>
        <w:rPr>
          <w:rFonts w:ascii="Arial" w:hAnsi="Arial" w:cs="Arial"/>
          <w:rtl/>
        </w:rPr>
        <w:t>כך נקבע:</w:t>
      </w:r>
    </w:p>
    <w:p w14:paraId="1BA62D62" w14:textId="77777777" w:rsidR="00171AB3" w:rsidRDefault="00556498">
      <w:pPr>
        <w:tabs>
          <w:tab w:val="left" w:pos="1360"/>
        </w:tabs>
        <w:spacing w:line="276" w:lineRule="auto"/>
        <w:ind w:left="1360" w:right="709"/>
        <w:jc w:val="both"/>
        <w:rPr>
          <w:rFonts w:ascii="Arial" w:hAnsi="Arial" w:cs="Arial"/>
          <w:sz w:val="22"/>
          <w:szCs w:val="22"/>
          <w:rtl/>
        </w:rPr>
      </w:pPr>
      <w:r>
        <w:rPr>
          <w:rFonts w:ascii="Arial" w:hAnsi="Arial" w:cs="Arial"/>
          <w:sz w:val="22"/>
          <w:szCs w:val="22"/>
          <w:rtl/>
        </w:rPr>
        <w:t>"</w:t>
      </w:r>
      <w:r>
        <w:rPr>
          <w:rFonts w:ascii="Arial" w:hAnsi="Arial" w:cs="Arial"/>
          <w:b/>
          <w:bCs/>
          <w:sz w:val="22"/>
          <w:szCs w:val="22"/>
          <w:rtl/>
        </w:rPr>
        <w:t>מתוך מודעות להשפעות הקשות של השימוש בסמים על גופו ועל נפשו של המשתמש – בין השאר, יציאתו של אדם ממעגל החיים הרגיל –ועם התגברות השימוש בסם אמר המחוקק להנחות את בתי-המשפט להחמיר בעונשים המוטלים על סוחרים בסמים. כך קבע המחוקק – והוסיף וקבע – בצד עבירות הסמים עונשים מרביים האמורים לשקף את הצורך הדוחק להביא להדברת הנגע... בעבירות סמים נסוגים השיקולים האישיים של העבריין מפני שיקולי הנזק הקשה שהשימוש בסם מביא על המשתמשים בו...שומה עליו על בית-המשפט לשקול את הפגיעה הקשה בצרכני הסם – צרכנים קיימים וצרכנים פוטנציאליים – לרבות גרירתם לביצוען של עבירות פליליות לצורך מימון הסם.</w:t>
      </w:r>
      <w:r>
        <w:rPr>
          <w:rFonts w:ascii="Arial" w:hAnsi="Arial" w:cs="Arial"/>
          <w:sz w:val="22"/>
          <w:szCs w:val="22"/>
          <w:rtl/>
        </w:rPr>
        <w:t>" (</w:t>
      </w:r>
      <w:hyperlink r:id="rId9" w:history="1">
        <w:r w:rsidRPr="00556498">
          <w:rPr>
            <w:rFonts w:ascii="Arial" w:hAnsi="Arial" w:cs="Arial"/>
            <w:color w:val="0000FF"/>
            <w:sz w:val="22"/>
            <w:szCs w:val="22"/>
            <w:u w:val="single"/>
            <w:rtl/>
          </w:rPr>
          <w:t>ע"פ 6029/03</w:t>
        </w:r>
      </w:hyperlink>
      <w:r>
        <w:rPr>
          <w:rFonts w:ascii="Arial" w:hAnsi="Arial" w:cs="Arial"/>
          <w:sz w:val="22"/>
          <w:szCs w:val="22"/>
          <w:rtl/>
        </w:rPr>
        <w:t xml:space="preserve"> </w:t>
      </w:r>
      <w:r>
        <w:rPr>
          <w:rFonts w:ascii="Arial" w:hAnsi="Arial" w:cs="Arial"/>
          <w:b/>
          <w:bCs/>
          <w:sz w:val="22"/>
          <w:szCs w:val="22"/>
          <w:rtl/>
        </w:rPr>
        <w:t>מדינת ישראל נ' שמאי</w:t>
      </w:r>
      <w:r>
        <w:rPr>
          <w:rFonts w:ascii="Arial" w:hAnsi="Arial" w:cs="Arial"/>
          <w:sz w:val="22"/>
          <w:szCs w:val="22"/>
          <w:rtl/>
        </w:rPr>
        <w:t>, נח(2) 734 (2004)).</w:t>
      </w:r>
    </w:p>
    <w:p w14:paraId="5127C717" w14:textId="77777777" w:rsidR="00171AB3" w:rsidRDefault="00171AB3">
      <w:pPr>
        <w:tabs>
          <w:tab w:val="left" w:pos="1360"/>
        </w:tabs>
        <w:ind w:left="1360" w:right="426"/>
        <w:jc w:val="both"/>
        <w:rPr>
          <w:rFonts w:ascii="Arial" w:hAnsi="Arial" w:cs="Arial"/>
          <w:rtl/>
        </w:rPr>
      </w:pPr>
    </w:p>
    <w:p w14:paraId="7E0DA9EC" w14:textId="77777777" w:rsidR="00171AB3" w:rsidRDefault="00556498">
      <w:pPr>
        <w:numPr>
          <w:ilvl w:val="0"/>
          <w:numId w:val="1"/>
        </w:numPr>
        <w:spacing w:line="360" w:lineRule="auto"/>
        <w:ind w:hanging="692"/>
        <w:jc w:val="both"/>
        <w:rPr>
          <w:rFonts w:ascii="Arial" w:hAnsi="Arial" w:cs="Arial"/>
          <w:b/>
          <w:bCs/>
          <w:u w:val="single"/>
        </w:rPr>
      </w:pPr>
      <w:r>
        <w:rPr>
          <w:rFonts w:ascii="Arial" w:hAnsi="Arial" w:cs="Arial"/>
          <w:b/>
          <w:bCs/>
          <w:sz w:val="22"/>
          <w:szCs w:val="22"/>
          <w:u w:val="single"/>
          <w:rtl/>
        </w:rPr>
        <w:t>מתחם הענישה ההולם את הנסיבות דנן</w:t>
      </w:r>
    </w:p>
    <w:p w14:paraId="6D3CCA81" w14:textId="77777777" w:rsidR="00171AB3" w:rsidRDefault="00556498">
      <w:pPr>
        <w:spacing w:after="240" w:line="360" w:lineRule="auto"/>
        <w:ind w:left="720"/>
        <w:jc w:val="both"/>
        <w:rPr>
          <w:rFonts w:ascii="Arial" w:hAnsi="Arial" w:cs="Arial"/>
          <w:rtl/>
        </w:rPr>
      </w:pPr>
      <w:r>
        <w:rPr>
          <w:rFonts w:ascii="Arial" w:hAnsi="Arial" w:cs="Arial"/>
          <w:rtl/>
        </w:rPr>
        <w:t>בענייננו, מדובר בעבירת ייבוא סם מסוג קוקאין, סם "כבד" בכמות נכבדה של 1,142 גרם. אלמלא לכידתו ומעצרו של הנאשם, היה ציבור רחב נפגע בעטיו. העבירה תוכננה, תוזמנה ובוצעה בתמורה לקבלת סכום ראוי, הגם שאין מחלוקת, כי ברקע עמדה מצוקתו הכלכלית הקשה של הנאשם. בהיותו בלדר, הנאשם הינו החוליה החלשה בשרשרת ייבוא הסם, אולם בלעדיו, לא ניתן לייבאו.</w:t>
      </w:r>
    </w:p>
    <w:p w14:paraId="503195CC" w14:textId="77777777" w:rsidR="00171AB3" w:rsidRDefault="00556498">
      <w:pPr>
        <w:spacing w:after="240" w:line="360" w:lineRule="auto"/>
        <w:ind w:left="720"/>
        <w:jc w:val="both"/>
        <w:rPr>
          <w:rFonts w:ascii="Arial" w:hAnsi="Arial" w:cs="Arial"/>
          <w:b/>
          <w:bCs/>
          <w:sz w:val="22"/>
          <w:szCs w:val="22"/>
          <w:rtl/>
        </w:rPr>
      </w:pPr>
      <w:r>
        <w:rPr>
          <w:rFonts w:ascii="Arial" w:hAnsi="Arial" w:cs="Arial"/>
          <w:rtl/>
        </w:rPr>
        <w:t xml:space="preserve">העיון בפסיקה העוסקת בעבירות של ייבוא סם, מלמד על קשת עונשים רחבה. במקרים שנסיבותיהם דומות, מתחם הענישה עומד על 30-60 חודשי מאסר בפועל. </w:t>
      </w:r>
    </w:p>
    <w:p w14:paraId="194C9259" w14:textId="77777777" w:rsidR="00171AB3" w:rsidRDefault="00556498">
      <w:pPr>
        <w:numPr>
          <w:ilvl w:val="0"/>
          <w:numId w:val="1"/>
        </w:numPr>
        <w:spacing w:line="360" w:lineRule="auto"/>
        <w:ind w:hanging="692"/>
        <w:jc w:val="both"/>
        <w:rPr>
          <w:rFonts w:ascii="Arial" w:hAnsi="Arial" w:cs="Arial"/>
          <w:b/>
          <w:bCs/>
          <w:sz w:val="22"/>
          <w:szCs w:val="22"/>
          <w:u w:val="single"/>
        </w:rPr>
      </w:pPr>
      <w:r>
        <w:rPr>
          <w:rFonts w:ascii="Arial" w:hAnsi="Arial" w:cs="Arial"/>
          <w:b/>
          <w:bCs/>
          <w:sz w:val="22"/>
          <w:szCs w:val="22"/>
          <w:u w:val="single"/>
          <w:rtl/>
        </w:rPr>
        <w:t>קביעת העונש בתוך המתחם</w:t>
      </w:r>
    </w:p>
    <w:p w14:paraId="29970EA4" w14:textId="77777777" w:rsidR="00171AB3" w:rsidRDefault="00556498">
      <w:pPr>
        <w:spacing w:after="240" w:line="360" w:lineRule="auto"/>
        <w:ind w:left="720"/>
        <w:jc w:val="both"/>
        <w:rPr>
          <w:rFonts w:ascii="Arial" w:hAnsi="Arial" w:cs="Arial"/>
          <w:sz w:val="22"/>
          <w:szCs w:val="22"/>
        </w:rPr>
      </w:pPr>
      <w:r>
        <w:rPr>
          <w:rFonts w:ascii="Arial" w:hAnsi="Arial" w:cs="Arial"/>
          <w:rtl/>
        </w:rPr>
        <w:t>הנאשם נעדר עבר פלילי וזו לו הסתבכותו הראשונה בפלילים. נסיבותיו האישיות, קרי, היותו תושב זר ומנותק ממשפחתו והוויית חייו באקוודור תיזקפנה לקולא. כך גם שיתוף הפעולה עם המשטרה והסיוע שהעמיד בלכידת שולחיו, כמו גם, הודייתו בהזדמנות הראשונה. עם זאת, בעבירות מסוג דא, נסוגות הנסיבות האישיות מפני האינטרס הציבורי בשל חומרתן. כך, לשיקולי הגמול וההרתעה זכות בכורה, על רקע נפיצותן של עבירות ייבוא סם ממדינות דרום אמריקה.</w:t>
      </w:r>
      <w:r>
        <w:rPr>
          <w:rFonts w:ascii="Arial" w:hAnsi="Arial" w:cs="Arial"/>
          <w:b/>
          <w:bCs/>
          <w:sz w:val="22"/>
          <w:szCs w:val="22"/>
          <w:rtl/>
        </w:rPr>
        <w:t xml:space="preserve"> </w:t>
      </w:r>
    </w:p>
    <w:p w14:paraId="231966CC" w14:textId="77777777" w:rsidR="00171AB3" w:rsidRDefault="00556498">
      <w:pPr>
        <w:numPr>
          <w:ilvl w:val="0"/>
          <w:numId w:val="1"/>
        </w:numPr>
        <w:spacing w:after="240" w:line="360" w:lineRule="auto"/>
        <w:ind w:hanging="694"/>
        <w:jc w:val="both"/>
        <w:rPr>
          <w:rFonts w:ascii="Arial" w:hAnsi="Arial" w:cs="Arial"/>
        </w:rPr>
      </w:pPr>
      <w:r>
        <w:rPr>
          <w:rFonts w:ascii="Arial" w:hAnsi="Arial" w:cs="Arial"/>
          <w:rtl/>
        </w:rPr>
        <w:t>לאור כל האמור לעיל, ולאחר שקלול מכלול השיקולים לחומרא ולקולא, אני גוזרת על הנאשם את העונשים הבאים:</w:t>
      </w:r>
    </w:p>
    <w:p w14:paraId="208962F3" w14:textId="77777777" w:rsidR="00171AB3" w:rsidRDefault="00556498">
      <w:pPr>
        <w:numPr>
          <w:ilvl w:val="1"/>
          <w:numId w:val="1"/>
        </w:numPr>
        <w:spacing w:after="240" w:line="360" w:lineRule="auto"/>
        <w:jc w:val="both"/>
        <w:rPr>
          <w:rFonts w:ascii="Arial" w:hAnsi="Arial" w:cs="Arial"/>
        </w:rPr>
      </w:pPr>
      <w:r>
        <w:rPr>
          <w:rFonts w:ascii="Arial" w:hAnsi="Arial" w:cs="Arial" w:hint="cs"/>
          <w:rtl/>
        </w:rPr>
        <w:t>42</w:t>
      </w:r>
      <w:r>
        <w:rPr>
          <w:rFonts w:ascii="Arial" w:hAnsi="Arial" w:cs="Arial"/>
          <w:rtl/>
        </w:rPr>
        <w:t xml:space="preserve"> חודשי מאסר בפועל בניכוי ימי מעצרו.</w:t>
      </w:r>
    </w:p>
    <w:p w14:paraId="51A5B8A7" w14:textId="77777777" w:rsidR="00171AB3" w:rsidRDefault="00556498">
      <w:pPr>
        <w:numPr>
          <w:ilvl w:val="1"/>
          <w:numId w:val="1"/>
        </w:numPr>
        <w:spacing w:after="240" w:line="360" w:lineRule="auto"/>
        <w:jc w:val="both"/>
        <w:rPr>
          <w:rFonts w:ascii="Arial" w:hAnsi="Arial" w:cs="Arial"/>
        </w:rPr>
      </w:pPr>
      <w:r>
        <w:rPr>
          <w:rFonts w:ascii="Arial" w:hAnsi="Arial" w:cs="Arial"/>
          <w:rtl/>
        </w:rPr>
        <w:t xml:space="preserve">12 חודשי מאסר על תנאי והתנאי הוא שלא יעבור משך 3 שנים מיום שחרורו עבירת פשע לפי </w:t>
      </w:r>
      <w:hyperlink r:id="rId10" w:history="1">
        <w:r w:rsidRPr="00556498">
          <w:rPr>
            <w:rFonts w:ascii="Arial" w:hAnsi="Arial" w:cs="Arial"/>
            <w:color w:val="0000FF"/>
            <w:u w:val="single"/>
            <w:rtl/>
          </w:rPr>
          <w:t>פקודת הסמים המסוכנים</w:t>
        </w:r>
      </w:hyperlink>
      <w:r>
        <w:rPr>
          <w:rFonts w:ascii="Arial" w:hAnsi="Arial" w:cs="Arial"/>
          <w:rtl/>
        </w:rPr>
        <w:t>.</w:t>
      </w:r>
    </w:p>
    <w:p w14:paraId="5DA9B73B" w14:textId="77777777" w:rsidR="00171AB3" w:rsidRDefault="00556498">
      <w:pPr>
        <w:numPr>
          <w:ilvl w:val="1"/>
          <w:numId w:val="1"/>
        </w:numPr>
        <w:spacing w:after="240" w:line="360" w:lineRule="auto"/>
        <w:jc w:val="both"/>
        <w:rPr>
          <w:rFonts w:ascii="Arial" w:hAnsi="Arial" w:cs="Arial"/>
          <w:rtl/>
        </w:rPr>
      </w:pPr>
      <w:r>
        <w:rPr>
          <w:rFonts w:ascii="Arial" w:hAnsi="Arial" w:cs="Arial"/>
          <w:rtl/>
        </w:rPr>
        <w:t>אני מורה על חילוט מחצית הסכום שנתפס על גופו של הנאשם (432 דולר אמריקאי יחולטו לטובת הקרן לחילוט סמים והיתרה תועבר לידי הנאשם).</w:t>
      </w:r>
    </w:p>
    <w:p w14:paraId="52E74719" w14:textId="77777777" w:rsidR="00171AB3" w:rsidRDefault="00556498">
      <w:pPr>
        <w:spacing w:line="360" w:lineRule="auto"/>
        <w:jc w:val="both"/>
        <w:rPr>
          <w:rFonts w:ascii="Arial" w:hAnsi="Arial" w:cs="Arial"/>
          <w:b/>
          <w:bCs/>
          <w:rtl/>
        </w:rPr>
      </w:pPr>
      <w:r>
        <w:rPr>
          <w:rFonts w:ascii="Arial" w:hAnsi="Arial" w:cs="Arial" w:hint="cs"/>
          <w:b/>
          <w:bCs/>
          <w:rtl/>
        </w:rPr>
        <w:t>זכות ערעור לבית המשפט העליון תוך 45 יום.</w:t>
      </w:r>
    </w:p>
    <w:p w14:paraId="0D9F5CCE" w14:textId="77777777" w:rsidR="00171AB3" w:rsidRDefault="00171AB3">
      <w:pPr>
        <w:spacing w:line="360" w:lineRule="auto"/>
        <w:jc w:val="both"/>
        <w:rPr>
          <w:rFonts w:ascii="Arial" w:hAnsi="Arial" w:cs="Arial"/>
          <w:b/>
          <w:bCs/>
          <w:rtl/>
        </w:rPr>
      </w:pPr>
    </w:p>
    <w:p w14:paraId="35B812B1" w14:textId="77777777" w:rsidR="00171AB3" w:rsidRDefault="00556498">
      <w:pPr>
        <w:rPr>
          <w:rFonts w:ascii="Arial" w:hAnsi="Arial" w:cs="Arial"/>
          <w:sz w:val="28"/>
          <w:szCs w:val="28"/>
          <w:rtl/>
        </w:rPr>
      </w:pPr>
      <w:r>
        <w:rPr>
          <w:rFonts w:ascii="Arial" w:hAnsi="Arial" w:cs="Arial"/>
          <w:rtl/>
        </w:rPr>
        <w:t xml:space="preserve">ניתן היום,  ל' חשון תשע"ד, 3 נובמבר 2013, במעמד הנאשם וב"כ הצדדים. </w:t>
      </w:r>
    </w:p>
    <w:p w14:paraId="71B1F18E" w14:textId="77777777" w:rsidR="00171AB3" w:rsidRPr="00556498" w:rsidRDefault="00556498">
      <w:pPr>
        <w:jc w:val="center"/>
        <w:rPr>
          <w:rFonts w:ascii="Arial" w:hAnsi="Arial" w:cs="Arial"/>
          <w:color w:val="FFFFFF"/>
          <w:sz w:val="2"/>
          <w:szCs w:val="2"/>
          <w:rtl/>
        </w:rPr>
      </w:pPr>
      <w:r w:rsidRPr="00556498">
        <w:rPr>
          <w:rFonts w:ascii="Arial" w:hAnsi="Arial" w:cs="Arial"/>
          <w:color w:val="FFFFFF"/>
          <w:sz w:val="2"/>
          <w:szCs w:val="2"/>
          <w:rtl/>
        </w:rPr>
        <w:t xml:space="preserve">5129371   </w:t>
      </w:r>
      <w:r w:rsidRPr="00556498">
        <w:rPr>
          <w:rFonts w:ascii="Arial" w:hAnsi="Arial" w:cs="Arial"/>
          <w:color w:val="FFFFFF"/>
          <w:sz w:val="2"/>
          <w:szCs w:val="2"/>
          <w:rtl/>
        </w:rPr>
        <w:tab/>
      </w:r>
      <w:r w:rsidRPr="00556498">
        <w:rPr>
          <w:rFonts w:ascii="Arial" w:hAnsi="Arial" w:cs="Arial"/>
          <w:color w:val="FFFFFF"/>
          <w:sz w:val="2"/>
          <w:szCs w:val="2"/>
          <w:rtl/>
        </w:rPr>
        <w:tab/>
      </w:r>
      <w:r w:rsidRPr="00556498">
        <w:rPr>
          <w:rFonts w:ascii="Arial" w:hAnsi="Arial" w:cs="Arial"/>
          <w:color w:val="FFFFFF"/>
          <w:sz w:val="2"/>
          <w:szCs w:val="2"/>
          <w:rtl/>
        </w:rPr>
        <w:tab/>
      </w:r>
      <w:r w:rsidRPr="00556498">
        <w:rPr>
          <w:rFonts w:ascii="Arial" w:hAnsi="Arial" w:cs="Arial"/>
          <w:color w:val="FFFFFF"/>
          <w:sz w:val="2"/>
          <w:szCs w:val="2"/>
          <w:rtl/>
        </w:rPr>
        <w:tab/>
      </w:r>
    </w:p>
    <w:tbl>
      <w:tblPr>
        <w:bidiVisual/>
        <w:tblW w:w="0" w:type="auto"/>
        <w:jc w:val="right"/>
        <w:tblLook w:val="01E0" w:firstRow="1" w:lastRow="1" w:firstColumn="1" w:lastColumn="1" w:noHBand="0" w:noVBand="0"/>
      </w:tblPr>
      <w:tblGrid>
        <w:gridCol w:w="3157"/>
      </w:tblGrid>
      <w:tr w:rsidR="00171AB3" w14:paraId="7E78EA63" w14:textId="77777777">
        <w:trPr>
          <w:trHeight w:val="708"/>
          <w:jc w:val="right"/>
        </w:trPr>
        <w:tc>
          <w:tcPr>
            <w:tcW w:w="3157" w:type="dxa"/>
            <w:tcBorders>
              <w:top w:val="nil"/>
              <w:left w:val="nil"/>
              <w:bottom w:val="single" w:sz="4" w:space="0" w:color="auto"/>
              <w:right w:val="nil"/>
            </w:tcBorders>
            <w:vAlign w:val="bottom"/>
          </w:tcPr>
          <w:p w14:paraId="528CCBF2" w14:textId="77777777" w:rsidR="00171AB3" w:rsidRPr="00556498" w:rsidRDefault="00556498">
            <w:pPr>
              <w:jc w:val="center"/>
              <w:rPr>
                <w:rFonts w:ascii="Courier New" w:hAnsi="Courier New"/>
                <w:b/>
                <w:bCs/>
                <w:color w:val="FFFFFF"/>
                <w:sz w:val="2"/>
                <w:szCs w:val="2"/>
                <w:rtl/>
              </w:rPr>
            </w:pPr>
            <w:r w:rsidRPr="00556498">
              <w:rPr>
                <w:rFonts w:ascii="Courier New" w:hAnsi="Courier New"/>
                <w:b/>
                <w:bCs/>
                <w:color w:val="FFFFFF"/>
                <w:sz w:val="2"/>
                <w:szCs w:val="2"/>
                <w:rtl/>
              </w:rPr>
              <w:t>54678313</w:t>
            </w:r>
          </w:p>
        </w:tc>
      </w:tr>
      <w:tr w:rsidR="00171AB3" w14:paraId="3CC2A583" w14:textId="77777777">
        <w:trPr>
          <w:trHeight w:val="436"/>
          <w:jc w:val="right"/>
        </w:trPr>
        <w:tc>
          <w:tcPr>
            <w:tcW w:w="3157" w:type="dxa"/>
            <w:tcBorders>
              <w:top w:val="single" w:sz="4" w:space="0" w:color="auto"/>
              <w:left w:val="nil"/>
              <w:bottom w:val="nil"/>
              <w:right w:val="nil"/>
            </w:tcBorders>
            <w:vAlign w:val="bottom"/>
          </w:tcPr>
          <w:p w14:paraId="7FC4D23F" w14:textId="77777777" w:rsidR="00171AB3" w:rsidRDefault="00556498">
            <w:pPr>
              <w:jc w:val="center"/>
              <w:rPr>
                <w:rFonts w:ascii="Arial" w:hAnsi="Arial" w:cs="Arial"/>
                <w:b/>
                <w:bCs/>
              </w:rPr>
            </w:pPr>
            <w:r>
              <w:rPr>
                <w:rFonts w:ascii="Arial" w:hAnsi="Arial" w:cs="Arial"/>
                <w:b/>
                <w:bCs/>
                <w:rtl/>
              </w:rPr>
              <w:t>ורדה מרוז, שופטת</w:t>
            </w:r>
          </w:p>
        </w:tc>
      </w:tr>
    </w:tbl>
    <w:p w14:paraId="1254585A" w14:textId="77777777" w:rsidR="00171AB3" w:rsidRDefault="00171AB3"/>
    <w:p w14:paraId="48CE2C4B" w14:textId="77777777" w:rsidR="00171AB3" w:rsidRDefault="00556498">
      <w:pPr>
        <w:jc w:val="center"/>
      </w:pPr>
      <w:r>
        <w:rPr>
          <w:rFonts w:ascii="Arial" w:hAnsi="Arial" w:cs="Arial"/>
          <w:rtl/>
        </w:rPr>
        <w:tab/>
      </w:r>
    </w:p>
    <w:p w14:paraId="28860A8C" w14:textId="77777777" w:rsidR="00171AB3" w:rsidRDefault="00171AB3">
      <w:pPr>
        <w:jc w:val="center"/>
        <w:rPr>
          <w:rFonts w:ascii="Arial" w:hAnsi="Arial" w:cs="Arial"/>
          <w:sz w:val="28"/>
          <w:szCs w:val="28"/>
          <w:rtl/>
        </w:rPr>
      </w:pPr>
    </w:p>
    <w:p w14:paraId="394F5368" w14:textId="77777777" w:rsidR="00171AB3" w:rsidRDefault="00171AB3">
      <w:pPr>
        <w:rPr>
          <w:rFonts w:ascii="Arial" w:hAnsi="Arial" w:cs="Arial"/>
          <w:sz w:val="28"/>
          <w:szCs w:val="28"/>
          <w:rtl/>
        </w:rPr>
      </w:pPr>
    </w:p>
    <w:p w14:paraId="333F9F9D" w14:textId="77777777" w:rsidR="00171AB3" w:rsidRDefault="00171AB3">
      <w:pPr>
        <w:pStyle w:val="a3"/>
        <w:jc w:val="center"/>
        <w:rPr>
          <w:rFonts w:ascii="Arial" w:hAnsi="Arial" w:cs="Arial"/>
          <w:rtl/>
        </w:rPr>
      </w:pPr>
    </w:p>
    <w:p w14:paraId="2ADB13EB" w14:textId="77777777" w:rsidR="00556498" w:rsidRPr="00556498" w:rsidRDefault="00556498" w:rsidP="00556498">
      <w:pPr>
        <w:keepNext/>
        <w:rPr>
          <w:rFonts w:ascii="David" w:hAnsi="David"/>
          <w:color w:val="000000"/>
          <w:sz w:val="22"/>
          <w:szCs w:val="22"/>
          <w:rtl/>
        </w:rPr>
      </w:pPr>
    </w:p>
    <w:p w14:paraId="3197D598" w14:textId="77777777" w:rsidR="00556498" w:rsidRPr="00556498" w:rsidRDefault="00556498" w:rsidP="00556498">
      <w:pPr>
        <w:keepNext/>
        <w:rPr>
          <w:rFonts w:ascii="David" w:hAnsi="David"/>
          <w:color w:val="000000"/>
          <w:sz w:val="22"/>
          <w:szCs w:val="22"/>
          <w:rtl/>
        </w:rPr>
      </w:pPr>
      <w:r w:rsidRPr="00556498">
        <w:rPr>
          <w:rFonts w:ascii="David" w:hAnsi="David"/>
          <w:color w:val="000000"/>
          <w:sz w:val="22"/>
          <w:szCs w:val="22"/>
          <w:rtl/>
        </w:rPr>
        <w:t>ורדה מרוז 54678313</w:t>
      </w:r>
    </w:p>
    <w:p w14:paraId="28E9FD0A" w14:textId="77777777" w:rsidR="00556498" w:rsidRDefault="00556498" w:rsidP="00556498">
      <w:r w:rsidRPr="00556498">
        <w:rPr>
          <w:color w:val="000000"/>
          <w:rtl/>
        </w:rPr>
        <w:t>נוסח מסמך זה כפוף לשינויי ניסוח ועריכה</w:t>
      </w:r>
    </w:p>
    <w:p w14:paraId="339D33C9" w14:textId="77777777" w:rsidR="00556498" w:rsidRDefault="00556498" w:rsidP="00556498">
      <w:pPr>
        <w:rPr>
          <w:rtl/>
        </w:rPr>
      </w:pPr>
    </w:p>
    <w:p w14:paraId="30D886FA" w14:textId="77777777" w:rsidR="00556498" w:rsidRDefault="00556498" w:rsidP="00556498">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7DBF004E" w14:textId="77777777" w:rsidR="00171AB3" w:rsidRPr="00556498" w:rsidRDefault="00171AB3" w:rsidP="00556498">
      <w:pPr>
        <w:jc w:val="center"/>
        <w:rPr>
          <w:color w:val="0000FF"/>
          <w:u w:val="single"/>
        </w:rPr>
      </w:pPr>
    </w:p>
    <w:sectPr w:rsidR="00171AB3" w:rsidRPr="00556498" w:rsidSect="00556498">
      <w:headerReference w:type="even" r:id="rId12"/>
      <w:headerReference w:type="default" r:id="rId13"/>
      <w:footerReference w:type="even" r:id="rId14"/>
      <w:footerReference w:type="default" r:id="rId15"/>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8BA26" w14:textId="77777777" w:rsidR="00A85494" w:rsidRPr="00477D5E" w:rsidRDefault="00A85494">
      <w:pPr>
        <w:rPr>
          <w:rFonts w:cs="Arial"/>
          <w:szCs w:val="20"/>
        </w:rPr>
      </w:pPr>
      <w:r>
        <w:separator/>
      </w:r>
    </w:p>
  </w:endnote>
  <w:endnote w:type="continuationSeparator" w:id="0">
    <w:p w14:paraId="41C44443" w14:textId="77777777" w:rsidR="00A85494" w:rsidRPr="00477D5E" w:rsidRDefault="00A8549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0E28" w14:textId="77777777" w:rsidR="00556498" w:rsidRDefault="00556498" w:rsidP="005564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1F3C3D0" w14:textId="77777777" w:rsidR="00171AB3" w:rsidRPr="00556498" w:rsidRDefault="00556498" w:rsidP="00556498">
    <w:pPr>
      <w:pStyle w:val="a4"/>
      <w:pBdr>
        <w:top w:val="single" w:sz="4" w:space="1" w:color="auto"/>
        <w:between w:val="single" w:sz="4" w:space="0" w:color="auto"/>
      </w:pBdr>
      <w:spacing w:after="60"/>
      <w:jc w:val="center"/>
      <w:rPr>
        <w:rFonts w:ascii="FrankRuehl" w:hAnsi="FrankRuehl" w:cs="FrankRuehl"/>
        <w:color w:val="000000"/>
      </w:rPr>
    </w:pPr>
    <w:r w:rsidRPr="005564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CE692" w14:textId="77777777" w:rsidR="00556498" w:rsidRDefault="00556498" w:rsidP="005564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20BF">
      <w:rPr>
        <w:rFonts w:ascii="FrankRuehl" w:hAnsi="FrankRuehl" w:cs="FrankRuehl"/>
        <w:noProof/>
        <w:rtl/>
      </w:rPr>
      <w:t>1</w:t>
    </w:r>
    <w:r>
      <w:rPr>
        <w:rFonts w:ascii="FrankRuehl" w:hAnsi="FrankRuehl" w:cs="FrankRuehl"/>
        <w:rtl/>
      </w:rPr>
      <w:fldChar w:fldCharType="end"/>
    </w:r>
  </w:p>
  <w:p w14:paraId="7D26285B" w14:textId="77777777" w:rsidR="00171AB3" w:rsidRPr="00556498" w:rsidRDefault="00556498" w:rsidP="00556498">
    <w:pPr>
      <w:pStyle w:val="a4"/>
      <w:pBdr>
        <w:top w:val="single" w:sz="4" w:space="1" w:color="auto"/>
        <w:between w:val="single" w:sz="4" w:space="0" w:color="auto"/>
      </w:pBdr>
      <w:spacing w:after="60"/>
      <w:jc w:val="center"/>
      <w:rPr>
        <w:rFonts w:ascii="FrankRuehl" w:hAnsi="FrankRuehl" w:cs="FrankRuehl"/>
        <w:color w:val="000000"/>
      </w:rPr>
    </w:pPr>
    <w:r w:rsidRPr="00556498">
      <w:rPr>
        <w:rFonts w:ascii="FrankRuehl" w:hAnsi="FrankRuehl" w:cs="FrankRuehl"/>
        <w:color w:val="000000"/>
      </w:rPr>
      <w:pict w14:anchorId="36EF7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15E29" w14:textId="77777777" w:rsidR="00A85494" w:rsidRPr="00477D5E" w:rsidRDefault="00A85494">
      <w:pPr>
        <w:rPr>
          <w:rFonts w:cs="Arial"/>
          <w:szCs w:val="20"/>
        </w:rPr>
      </w:pPr>
      <w:r>
        <w:separator/>
      </w:r>
    </w:p>
  </w:footnote>
  <w:footnote w:type="continuationSeparator" w:id="0">
    <w:p w14:paraId="352AB7CA" w14:textId="77777777" w:rsidR="00A85494" w:rsidRPr="00477D5E" w:rsidRDefault="00A8549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8AF29" w14:textId="77777777" w:rsidR="00556498" w:rsidRPr="00556498" w:rsidRDefault="00556498" w:rsidP="005564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54176-01-13</w:t>
    </w:r>
    <w:r>
      <w:rPr>
        <w:rFonts w:ascii="David" w:hAnsi="David"/>
        <w:color w:val="000000"/>
        <w:sz w:val="22"/>
        <w:szCs w:val="22"/>
        <w:rtl/>
      </w:rPr>
      <w:tab/>
      <w:t xml:space="preserve"> מדינת ישראל נ' ויקטור רודריגו אינטריאגו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B4349" w14:textId="77777777" w:rsidR="00556498" w:rsidRPr="00556498" w:rsidRDefault="00556498" w:rsidP="005564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54176-01-13</w:t>
    </w:r>
    <w:r>
      <w:rPr>
        <w:rFonts w:ascii="David" w:hAnsi="David"/>
        <w:color w:val="000000"/>
        <w:sz w:val="22"/>
        <w:szCs w:val="22"/>
        <w:rtl/>
      </w:rPr>
      <w:tab/>
      <w:t xml:space="preserve"> מדינת ישראל נ' ויקטור רודריגו אינטריאגו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F0D5F"/>
    <w:multiLevelType w:val="hybridMultilevel"/>
    <w:tmpl w:val="6CF42A52"/>
    <w:lvl w:ilvl="0" w:tplc="0D8AD292">
      <w:start w:val="1"/>
      <w:numFmt w:val="decimal"/>
      <w:lvlText w:val="%1."/>
      <w:lvlJc w:val="left"/>
      <w:pPr>
        <w:tabs>
          <w:tab w:val="num" w:pos="720"/>
        </w:tabs>
        <w:ind w:left="720" w:hanging="360"/>
      </w:pPr>
      <w:rPr>
        <w:rFonts w:ascii="Arial" w:hAnsi="Arial" w:cs="Arial" w:hint="default"/>
        <w:b w:val="0"/>
        <w:bCs w:val="0"/>
        <w:sz w:val="24"/>
        <w:szCs w:val="24"/>
      </w:rPr>
    </w:lvl>
    <w:lvl w:ilvl="1" w:tplc="EFF2BB10">
      <w:start w:val="1"/>
      <w:numFmt w:val="hebrew1"/>
      <w:lvlText w:val="%2."/>
      <w:lvlJc w:val="center"/>
      <w:pPr>
        <w:tabs>
          <w:tab w:val="num" w:pos="1440"/>
        </w:tabs>
        <w:ind w:left="1440" w:hanging="360"/>
      </w:pPr>
      <w:rPr>
        <w:rFonts w:ascii="Arial" w:hAnsi="Arial" w:cs="Arial" w:hint="default"/>
        <w:sz w:val="24"/>
        <w:szCs w:val="24"/>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204990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1AB3"/>
    <w:rsid w:val="00171AB3"/>
    <w:rsid w:val="001F71BB"/>
    <w:rsid w:val="003220BF"/>
    <w:rsid w:val="00556498"/>
    <w:rsid w:val="00744B45"/>
    <w:rsid w:val="00A85494"/>
    <w:rsid w:val="00BD04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E33BE9"/>
  <w15:chartTrackingRefBased/>
  <w15:docId w15:val="{29B76E5C-61A4-4C57-85E7-B30E8B29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1AB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71AB3"/>
    <w:pPr>
      <w:tabs>
        <w:tab w:val="center" w:pos="4153"/>
        <w:tab w:val="right" w:pos="8306"/>
      </w:tabs>
    </w:pPr>
  </w:style>
  <w:style w:type="paragraph" w:styleId="a4">
    <w:name w:val="footer"/>
    <w:basedOn w:val="a"/>
    <w:rsid w:val="00171AB3"/>
    <w:pPr>
      <w:tabs>
        <w:tab w:val="center" w:pos="4153"/>
        <w:tab w:val="right" w:pos="8306"/>
      </w:tabs>
    </w:pPr>
  </w:style>
  <w:style w:type="character" w:styleId="a5">
    <w:name w:val="page number"/>
    <w:basedOn w:val="a0"/>
    <w:rsid w:val="00171AB3"/>
  </w:style>
  <w:style w:type="character" w:styleId="a6">
    <w:name w:val="line number"/>
    <w:basedOn w:val="a0"/>
    <w:rsid w:val="00171AB3"/>
    <w:rPr>
      <w:sz w:val="20"/>
    </w:rPr>
  </w:style>
  <w:style w:type="character" w:styleId="Hyperlink">
    <w:name w:val="Hyperlink"/>
    <w:basedOn w:val="a0"/>
    <w:rsid w:val="00556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html/law01/073_002.ht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html/law01/P170_001.htm" TargetMode="External"/><Relationship Id="rId4" Type="http://schemas.openxmlformats.org/officeDocument/2006/relationships/webSettings" Target="webSettings.xml"/><Relationship Id="rId9" Type="http://schemas.openxmlformats.org/officeDocument/2006/relationships/hyperlink" Target="http://www.nevo.co.il/links/psika/?link=&#1506;&#1508;%206029/03"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5734</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4849756</vt:i4>
      </vt:variant>
      <vt:variant>
        <vt:i4>9</vt:i4>
      </vt:variant>
      <vt:variant>
        <vt:i4>0</vt:i4>
      </vt:variant>
      <vt:variant>
        <vt:i4>5</vt:i4>
      </vt:variant>
      <vt:variant>
        <vt:lpwstr>http://www.nevo.co.il/law_html/law01/P170_001.htm</vt:lpwstr>
      </vt:variant>
      <vt:variant>
        <vt:lpwstr/>
      </vt:variant>
      <vt:variant>
        <vt:i4>99419572</vt:i4>
      </vt:variant>
      <vt:variant>
        <vt:i4>6</vt:i4>
      </vt:variant>
      <vt:variant>
        <vt:i4>0</vt:i4>
      </vt:variant>
      <vt:variant>
        <vt:i4>5</vt:i4>
      </vt:variant>
      <vt:variant>
        <vt:lpwstr>http://www.nevo.co.il/links/psika/?link=עפ 6029/03</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2025-04-22T20:27:00Z</dcterms:created>
  <dcterms:modified xsi:type="dcterms:W3CDTF">2025-04-22T20:27:00Z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54176</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ויקטור רודריגו אינטריאגו</vt:lpwstr>
  </property>
  <property fmtid="{D5CDD505-2E9C-101B-9397-08002B2CF9AE}" pid="10" name="LAWYER">
    <vt:lpwstr>רוני שוהם;גלית בש</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20131103</vt:lpwstr>
  </property>
  <property fmtid="{D5CDD505-2E9C-101B-9397-08002B2CF9AE}" pid="14" name="TYPE_N_DATE">
    <vt:lpwstr>39020131103</vt:lpwstr>
  </property>
  <property fmtid="{D5CDD505-2E9C-101B-9397-08002B2CF9AE}" pid="15" name="WORDNUMPAGES">
    <vt:lpwstr>4</vt:lpwstr>
  </property>
  <property fmtid="{D5CDD505-2E9C-101B-9397-08002B2CF9AE}" pid="16" name="TYPE_ABS_DATE">
    <vt:lpwstr>390020131103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