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D7C38" w:rsidRPr="00A22A2B" w14:paraId="6FEA7969" w14:textId="77777777">
        <w:trPr>
          <w:trHeight w:hRule="exact" w:val="418"/>
          <w:jc w:val="center"/>
        </w:trPr>
        <w:tc>
          <w:tcPr>
            <w:tcW w:w="8721" w:type="dxa"/>
            <w:gridSpan w:val="2"/>
          </w:tcPr>
          <w:p w14:paraId="3BD4DB36" w14:textId="77777777" w:rsidR="009D7C38" w:rsidRPr="00A22A2B" w:rsidRDefault="00A22A2B">
            <w:pPr>
              <w:pStyle w:val="a3"/>
              <w:jc w:val="center"/>
              <w:rPr>
                <w:rFonts w:ascii="Tahoma" w:hAnsi="Tahoma" w:cs="Tahoma"/>
                <w:color w:val="000080"/>
                <w:rtl/>
              </w:rPr>
            </w:pPr>
            <w:bookmarkStart w:id="0" w:name="LastJudge"/>
            <w:r w:rsidRPr="00A22A2B">
              <w:rPr>
                <w:rFonts w:ascii="Tahoma" w:hAnsi="Tahoma" w:cs="Tahoma"/>
                <w:b/>
                <w:bCs/>
                <w:color w:val="000080"/>
                <w:rtl/>
              </w:rPr>
              <w:t>בית המשפט המחוזי בתל אביב - יפו</w:t>
            </w:r>
          </w:p>
        </w:tc>
      </w:tr>
      <w:tr w:rsidR="009D7C38" w:rsidRPr="00A22A2B" w14:paraId="2A872CAF" w14:textId="77777777">
        <w:trPr>
          <w:trHeight w:val="337"/>
          <w:jc w:val="center"/>
        </w:trPr>
        <w:tc>
          <w:tcPr>
            <w:tcW w:w="5054" w:type="dxa"/>
          </w:tcPr>
          <w:p w14:paraId="1140A656" w14:textId="77777777" w:rsidR="009D7C38" w:rsidRPr="00A22A2B" w:rsidRDefault="00A22A2B" w:rsidP="00111B4E">
            <w:pPr>
              <w:rPr>
                <w:rFonts w:cs="FrankRuehl"/>
                <w:sz w:val="28"/>
                <w:szCs w:val="28"/>
                <w:rtl/>
              </w:rPr>
            </w:pPr>
            <w:r w:rsidRPr="00A22A2B">
              <w:rPr>
                <w:rFonts w:cs="FrankRuehl"/>
                <w:sz w:val="28"/>
                <w:szCs w:val="28"/>
                <w:rtl/>
              </w:rPr>
              <w:t>ת"פ</w:t>
            </w:r>
            <w:r w:rsidRPr="00A22A2B">
              <w:rPr>
                <w:rFonts w:cs="FrankRuehl" w:hint="cs"/>
                <w:sz w:val="28"/>
                <w:szCs w:val="28"/>
                <w:rtl/>
              </w:rPr>
              <w:t xml:space="preserve"> </w:t>
            </w:r>
            <w:r w:rsidRPr="00A22A2B">
              <w:rPr>
                <w:rFonts w:cs="FrankRuehl"/>
                <w:sz w:val="28"/>
                <w:szCs w:val="28"/>
                <w:rtl/>
              </w:rPr>
              <w:t>50759-02-13</w:t>
            </w:r>
            <w:r w:rsidRPr="00A22A2B">
              <w:rPr>
                <w:rFonts w:cs="FrankRuehl" w:hint="cs"/>
                <w:sz w:val="28"/>
                <w:szCs w:val="28"/>
                <w:rtl/>
              </w:rPr>
              <w:t xml:space="preserve"> </w:t>
            </w:r>
          </w:p>
          <w:p w14:paraId="7839E803" w14:textId="77777777" w:rsidR="009D7C38" w:rsidRPr="00A22A2B" w:rsidRDefault="009D7C38">
            <w:pPr>
              <w:pStyle w:val="a3"/>
              <w:rPr>
                <w:rFonts w:cs="FrankRuehl"/>
                <w:sz w:val="28"/>
                <w:szCs w:val="28"/>
                <w:rtl/>
              </w:rPr>
            </w:pPr>
          </w:p>
        </w:tc>
        <w:tc>
          <w:tcPr>
            <w:tcW w:w="3667" w:type="dxa"/>
          </w:tcPr>
          <w:p w14:paraId="6086B2D3" w14:textId="77777777" w:rsidR="009D7C38" w:rsidRPr="00A22A2B" w:rsidRDefault="009D7C38">
            <w:pPr>
              <w:pStyle w:val="a3"/>
              <w:jc w:val="right"/>
              <w:rPr>
                <w:rFonts w:cs="FrankRuehl"/>
                <w:sz w:val="28"/>
                <w:szCs w:val="28"/>
                <w:rtl/>
              </w:rPr>
            </w:pPr>
          </w:p>
        </w:tc>
      </w:tr>
    </w:tbl>
    <w:p w14:paraId="1EC9FBDC" w14:textId="77777777" w:rsidR="009D7C38" w:rsidRPr="00A22A2B" w:rsidRDefault="00A22A2B" w:rsidP="00E3164E">
      <w:pPr>
        <w:pStyle w:val="a3"/>
        <w:rPr>
          <w:rFonts w:ascii="Arial" w:hAnsi="Arial"/>
          <w:rtl/>
        </w:rPr>
      </w:pPr>
      <w:r w:rsidRPr="00A22A2B">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D7C38" w:rsidRPr="00A22A2B" w14:paraId="5FC2F6ED" w14:textId="77777777">
        <w:trPr>
          <w:trHeight w:val="295"/>
          <w:jc w:val="center"/>
        </w:trPr>
        <w:tc>
          <w:tcPr>
            <w:tcW w:w="923" w:type="dxa"/>
            <w:tcBorders>
              <w:top w:val="nil"/>
              <w:left w:val="nil"/>
              <w:bottom w:val="nil"/>
              <w:right w:val="nil"/>
            </w:tcBorders>
          </w:tcPr>
          <w:p w14:paraId="45CFE8EF" w14:textId="77777777" w:rsidR="009D7C38" w:rsidRPr="00A22A2B" w:rsidRDefault="00A22A2B">
            <w:pPr>
              <w:jc w:val="both"/>
              <w:rPr>
                <w:rFonts w:ascii="Arial" w:hAnsi="Arial" w:cs="FrankRuehl"/>
                <w:sz w:val="28"/>
                <w:szCs w:val="28"/>
              </w:rPr>
            </w:pPr>
            <w:bookmarkStart w:id="1" w:name="_GoBack"/>
            <w:bookmarkEnd w:id="1"/>
            <w:r w:rsidRPr="00A22A2B">
              <w:rPr>
                <w:rFonts w:ascii="Arial" w:hAnsi="Arial" w:cs="FrankRuehl" w:hint="cs"/>
                <w:sz w:val="28"/>
                <w:szCs w:val="28"/>
                <w:rtl/>
              </w:rPr>
              <w:t>ב</w:t>
            </w:r>
            <w:r w:rsidRPr="00A22A2B">
              <w:rPr>
                <w:rFonts w:ascii="Arial" w:hAnsi="Arial" w:cs="FrankRuehl"/>
                <w:sz w:val="28"/>
                <w:szCs w:val="28"/>
                <w:rtl/>
              </w:rPr>
              <w:t xml:space="preserve">פני </w:t>
            </w:r>
          </w:p>
        </w:tc>
        <w:tc>
          <w:tcPr>
            <w:tcW w:w="7897" w:type="dxa"/>
            <w:gridSpan w:val="2"/>
            <w:tcBorders>
              <w:top w:val="nil"/>
              <w:left w:val="nil"/>
              <w:bottom w:val="nil"/>
              <w:right w:val="nil"/>
            </w:tcBorders>
          </w:tcPr>
          <w:p w14:paraId="5427F3A3" w14:textId="77777777" w:rsidR="009D7C38" w:rsidRPr="00A22A2B" w:rsidRDefault="00A22A2B">
            <w:pPr>
              <w:rPr>
                <w:rFonts w:ascii="Arial" w:hAnsi="Arial"/>
                <w:b/>
                <w:bCs/>
                <w:rtl/>
              </w:rPr>
            </w:pPr>
            <w:r w:rsidRPr="00A22A2B">
              <w:rPr>
                <w:rFonts w:ascii="Arial" w:hAnsi="Arial" w:hint="cs"/>
                <w:b/>
                <w:bCs/>
                <w:rtl/>
              </w:rPr>
              <w:t>כב' ה</w:t>
            </w:r>
            <w:r w:rsidRPr="00A22A2B">
              <w:rPr>
                <w:rFonts w:hint="cs"/>
                <w:rtl/>
              </w:rPr>
              <w:t>שופטת</w:t>
            </w:r>
            <w:r w:rsidRPr="00A22A2B">
              <w:rPr>
                <w:rFonts w:ascii="Arial" w:hAnsi="Arial" w:hint="cs"/>
                <w:b/>
                <w:bCs/>
                <w:rtl/>
              </w:rPr>
              <w:t xml:space="preserve">  </w:t>
            </w:r>
            <w:r w:rsidRPr="00A22A2B">
              <w:rPr>
                <w:rFonts w:hint="cs"/>
                <w:rtl/>
              </w:rPr>
              <w:t>יהודית אמסטרדם</w:t>
            </w:r>
          </w:p>
          <w:p w14:paraId="1BBA93C0" w14:textId="77777777" w:rsidR="009D7C38" w:rsidRPr="00A22A2B" w:rsidRDefault="009D7C38">
            <w:pPr>
              <w:jc w:val="both"/>
              <w:rPr>
                <w:rFonts w:ascii="Arial" w:hAnsi="Arial" w:cs="FrankRuehl"/>
                <w:sz w:val="28"/>
                <w:szCs w:val="28"/>
              </w:rPr>
            </w:pPr>
          </w:p>
        </w:tc>
      </w:tr>
      <w:tr w:rsidR="009D7C38" w:rsidRPr="00A22A2B" w14:paraId="73E55359" w14:textId="77777777">
        <w:trPr>
          <w:trHeight w:val="355"/>
          <w:jc w:val="center"/>
        </w:trPr>
        <w:tc>
          <w:tcPr>
            <w:tcW w:w="923" w:type="dxa"/>
            <w:tcBorders>
              <w:top w:val="nil"/>
              <w:left w:val="nil"/>
              <w:bottom w:val="nil"/>
              <w:right w:val="nil"/>
            </w:tcBorders>
          </w:tcPr>
          <w:p w14:paraId="5587DB8E" w14:textId="77777777" w:rsidR="009D7C38" w:rsidRPr="00A22A2B" w:rsidRDefault="00A22A2B">
            <w:pPr>
              <w:jc w:val="both"/>
              <w:rPr>
                <w:rFonts w:ascii="Arial" w:hAnsi="Arial" w:cs="FrankRuehl"/>
                <w:sz w:val="28"/>
                <w:szCs w:val="28"/>
              </w:rPr>
            </w:pPr>
            <w:bookmarkStart w:id="2" w:name="FirstAppellant"/>
            <w:bookmarkStart w:id="3" w:name="FirstLawyer"/>
            <w:r w:rsidRPr="00A22A2B">
              <w:rPr>
                <w:rFonts w:ascii="Arial" w:hAnsi="Arial" w:cs="FrankRuehl" w:hint="cs"/>
                <w:sz w:val="28"/>
                <w:szCs w:val="28"/>
                <w:rtl/>
              </w:rPr>
              <w:t>בעניין:</w:t>
            </w:r>
          </w:p>
        </w:tc>
        <w:tc>
          <w:tcPr>
            <w:tcW w:w="4126" w:type="dxa"/>
            <w:tcBorders>
              <w:top w:val="nil"/>
              <w:left w:val="nil"/>
              <w:bottom w:val="nil"/>
              <w:right w:val="nil"/>
            </w:tcBorders>
          </w:tcPr>
          <w:p w14:paraId="57FEC148" w14:textId="77777777" w:rsidR="009D7C38" w:rsidRPr="00A22A2B" w:rsidRDefault="00A22A2B">
            <w:pPr>
              <w:rPr>
                <w:rtl/>
              </w:rPr>
            </w:pPr>
            <w:r w:rsidRPr="00A22A2B">
              <w:rPr>
                <w:rFonts w:hint="cs"/>
                <w:rtl/>
              </w:rPr>
              <w:t>מדינת ישראל</w:t>
            </w:r>
          </w:p>
          <w:p w14:paraId="6349DA2B" w14:textId="77777777" w:rsidR="009D7C38" w:rsidRPr="00A22A2B" w:rsidRDefault="00A22A2B">
            <w:r w:rsidRPr="00A22A2B">
              <w:rPr>
                <w:rFonts w:hint="cs"/>
                <w:rtl/>
              </w:rPr>
              <w:t>ע"י ב"כ עו"ד שגיב עוזרי</w:t>
            </w:r>
          </w:p>
        </w:tc>
        <w:tc>
          <w:tcPr>
            <w:tcW w:w="3771" w:type="dxa"/>
            <w:tcBorders>
              <w:top w:val="nil"/>
              <w:left w:val="nil"/>
              <w:bottom w:val="nil"/>
              <w:right w:val="nil"/>
            </w:tcBorders>
          </w:tcPr>
          <w:p w14:paraId="23439CDB" w14:textId="77777777" w:rsidR="009D7C38" w:rsidRPr="00A22A2B" w:rsidRDefault="009D7C38">
            <w:pPr>
              <w:jc w:val="both"/>
              <w:rPr>
                <w:rFonts w:ascii="Arial" w:hAnsi="Arial" w:cs="FrankRuehl"/>
                <w:sz w:val="28"/>
                <w:szCs w:val="28"/>
              </w:rPr>
            </w:pPr>
          </w:p>
        </w:tc>
      </w:tr>
      <w:bookmarkEnd w:id="2"/>
      <w:bookmarkEnd w:id="3"/>
      <w:tr w:rsidR="009D7C38" w:rsidRPr="00A22A2B" w14:paraId="4E8D450C" w14:textId="77777777">
        <w:trPr>
          <w:trHeight w:val="355"/>
          <w:jc w:val="center"/>
        </w:trPr>
        <w:tc>
          <w:tcPr>
            <w:tcW w:w="923" w:type="dxa"/>
            <w:tcBorders>
              <w:top w:val="nil"/>
              <w:left w:val="nil"/>
              <w:bottom w:val="nil"/>
              <w:right w:val="nil"/>
            </w:tcBorders>
          </w:tcPr>
          <w:p w14:paraId="3FBB7CB6" w14:textId="77777777" w:rsidR="009D7C38" w:rsidRPr="00A22A2B" w:rsidRDefault="009D7C38">
            <w:pPr>
              <w:jc w:val="both"/>
              <w:rPr>
                <w:rFonts w:ascii="Arial" w:hAnsi="Arial" w:cs="FrankRuehl"/>
                <w:sz w:val="28"/>
                <w:szCs w:val="28"/>
                <w:rtl/>
              </w:rPr>
            </w:pPr>
          </w:p>
        </w:tc>
        <w:tc>
          <w:tcPr>
            <w:tcW w:w="4126" w:type="dxa"/>
            <w:tcBorders>
              <w:top w:val="nil"/>
              <w:left w:val="nil"/>
              <w:bottom w:val="nil"/>
              <w:right w:val="nil"/>
            </w:tcBorders>
          </w:tcPr>
          <w:p w14:paraId="16AC23DE" w14:textId="77777777" w:rsidR="009D7C38" w:rsidRPr="00A22A2B" w:rsidRDefault="009D7C38">
            <w:pPr>
              <w:jc w:val="both"/>
              <w:rPr>
                <w:rtl/>
              </w:rPr>
            </w:pPr>
          </w:p>
        </w:tc>
        <w:tc>
          <w:tcPr>
            <w:tcW w:w="3771" w:type="dxa"/>
            <w:tcBorders>
              <w:top w:val="nil"/>
              <w:left w:val="nil"/>
              <w:bottom w:val="nil"/>
              <w:right w:val="nil"/>
            </w:tcBorders>
          </w:tcPr>
          <w:p w14:paraId="64E8B5A4" w14:textId="77777777" w:rsidR="009D7C38" w:rsidRPr="00A22A2B" w:rsidRDefault="00A22A2B">
            <w:pPr>
              <w:jc w:val="right"/>
              <w:rPr>
                <w:rFonts w:ascii="Arial" w:hAnsi="Arial" w:cs="FrankRuehl"/>
                <w:sz w:val="28"/>
                <w:szCs w:val="28"/>
                <w:rtl/>
              </w:rPr>
            </w:pPr>
            <w:r w:rsidRPr="00A22A2B">
              <w:rPr>
                <w:rFonts w:ascii="Arial" w:hAnsi="Arial" w:cs="FrankRuehl" w:hint="cs"/>
                <w:sz w:val="28"/>
                <w:szCs w:val="28"/>
                <w:rtl/>
              </w:rPr>
              <w:t>ה</w:t>
            </w:r>
            <w:r w:rsidRPr="00A22A2B">
              <w:rPr>
                <w:rFonts w:hint="cs"/>
                <w:rtl/>
              </w:rPr>
              <w:t>מאשימה</w:t>
            </w:r>
          </w:p>
        </w:tc>
      </w:tr>
      <w:tr w:rsidR="009D7C38" w:rsidRPr="00A22A2B" w14:paraId="6BE2527D" w14:textId="77777777">
        <w:trPr>
          <w:trHeight w:val="355"/>
          <w:jc w:val="center"/>
        </w:trPr>
        <w:tc>
          <w:tcPr>
            <w:tcW w:w="923" w:type="dxa"/>
            <w:tcBorders>
              <w:top w:val="nil"/>
              <w:left w:val="nil"/>
              <w:bottom w:val="nil"/>
              <w:right w:val="nil"/>
            </w:tcBorders>
          </w:tcPr>
          <w:p w14:paraId="1C9EA97D" w14:textId="77777777" w:rsidR="009D7C38" w:rsidRPr="00A22A2B" w:rsidRDefault="009D7C38">
            <w:pPr>
              <w:jc w:val="both"/>
              <w:rPr>
                <w:rFonts w:ascii="Arial" w:hAnsi="Arial" w:cs="FrankRuehl"/>
                <w:sz w:val="28"/>
                <w:szCs w:val="28"/>
                <w:rtl/>
              </w:rPr>
            </w:pPr>
          </w:p>
        </w:tc>
        <w:tc>
          <w:tcPr>
            <w:tcW w:w="7897" w:type="dxa"/>
            <w:gridSpan w:val="2"/>
            <w:tcBorders>
              <w:top w:val="nil"/>
              <w:left w:val="nil"/>
              <w:bottom w:val="nil"/>
              <w:right w:val="nil"/>
            </w:tcBorders>
          </w:tcPr>
          <w:p w14:paraId="0DD8E8DF" w14:textId="77777777" w:rsidR="009D7C38" w:rsidRPr="00A22A2B" w:rsidRDefault="009D7C38">
            <w:pPr>
              <w:jc w:val="center"/>
              <w:rPr>
                <w:rFonts w:ascii="Arial" w:hAnsi="Arial" w:cs="FrankRuehl"/>
                <w:b/>
                <w:bCs/>
                <w:sz w:val="28"/>
                <w:szCs w:val="28"/>
                <w:rtl/>
              </w:rPr>
            </w:pPr>
          </w:p>
          <w:p w14:paraId="556A58ED" w14:textId="77777777" w:rsidR="009D7C38" w:rsidRPr="00A22A2B" w:rsidRDefault="00A22A2B">
            <w:pPr>
              <w:jc w:val="center"/>
              <w:rPr>
                <w:rFonts w:ascii="Arial" w:hAnsi="Arial" w:cs="FrankRuehl"/>
                <w:b/>
                <w:bCs/>
                <w:sz w:val="28"/>
                <w:szCs w:val="28"/>
              </w:rPr>
            </w:pPr>
            <w:r w:rsidRPr="00A22A2B">
              <w:rPr>
                <w:rFonts w:ascii="Arial" w:hAnsi="Arial" w:cs="FrankRuehl"/>
                <w:b/>
                <w:bCs/>
                <w:sz w:val="28"/>
                <w:szCs w:val="28"/>
                <w:rtl/>
              </w:rPr>
              <w:t>נגד</w:t>
            </w:r>
          </w:p>
        </w:tc>
      </w:tr>
      <w:tr w:rsidR="009D7C38" w:rsidRPr="00A22A2B" w14:paraId="4BC1BE7F" w14:textId="77777777">
        <w:trPr>
          <w:trHeight w:val="355"/>
          <w:jc w:val="center"/>
        </w:trPr>
        <w:tc>
          <w:tcPr>
            <w:tcW w:w="923" w:type="dxa"/>
            <w:tcBorders>
              <w:top w:val="nil"/>
              <w:left w:val="nil"/>
              <w:bottom w:val="nil"/>
              <w:right w:val="nil"/>
            </w:tcBorders>
          </w:tcPr>
          <w:p w14:paraId="64836FCE" w14:textId="77777777" w:rsidR="009D7C38" w:rsidRPr="00A22A2B" w:rsidRDefault="009D7C38">
            <w:pPr>
              <w:rPr>
                <w:rFonts w:ascii="Arial" w:hAnsi="Arial" w:cs="FrankRuehl"/>
                <w:sz w:val="28"/>
                <w:szCs w:val="28"/>
                <w:rtl/>
              </w:rPr>
            </w:pPr>
          </w:p>
        </w:tc>
        <w:tc>
          <w:tcPr>
            <w:tcW w:w="4126" w:type="dxa"/>
            <w:tcBorders>
              <w:top w:val="nil"/>
              <w:left w:val="nil"/>
              <w:bottom w:val="nil"/>
              <w:right w:val="nil"/>
            </w:tcBorders>
          </w:tcPr>
          <w:p w14:paraId="21652F58" w14:textId="77777777" w:rsidR="009D7C38" w:rsidRPr="00A22A2B" w:rsidRDefault="00111B4E">
            <w:pPr>
              <w:rPr>
                <w:rtl/>
              </w:rPr>
            </w:pPr>
            <w:r>
              <w:rPr>
                <w:rFonts w:hint="cs"/>
                <w:rtl/>
              </w:rPr>
              <w:t>פלוני</w:t>
            </w:r>
          </w:p>
          <w:p w14:paraId="41D5FFF6" w14:textId="77777777" w:rsidR="009D7C38" w:rsidRPr="00A22A2B" w:rsidRDefault="00A22A2B">
            <w:pPr>
              <w:rPr>
                <w:rtl/>
              </w:rPr>
            </w:pPr>
            <w:r w:rsidRPr="00A22A2B">
              <w:rPr>
                <w:rFonts w:hint="cs"/>
                <w:rtl/>
              </w:rPr>
              <w:t>ע"י ב"כ עו"ד שרון קינן</w:t>
            </w:r>
          </w:p>
        </w:tc>
        <w:tc>
          <w:tcPr>
            <w:tcW w:w="3771" w:type="dxa"/>
            <w:tcBorders>
              <w:top w:val="nil"/>
              <w:left w:val="nil"/>
              <w:bottom w:val="nil"/>
              <w:right w:val="nil"/>
            </w:tcBorders>
          </w:tcPr>
          <w:p w14:paraId="49C954A9" w14:textId="77777777" w:rsidR="009D7C38" w:rsidRPr="00A22A2B" w:rsidRDefault="009D7C38">
            <w:pPr>
              <w:jc w:val="right"/>
              <w:rPr>
                <w:rFonts w:ascii="Arial" w:hAnsi="Arial" w:cs="FrankRuehl"/>
                <w:sz w:val="28"/>
                <w:szCs w:val="28"/>
              </w:rPr>
            </w:pPr>
          </w:p>
        </w:tc>
      </w:tr>
      <w:tr w:rsidR="009D7C38" w:rsidRPr="00A22A2B" w14:paraId="627A0D11" w14:textId="77777777">
        <w:trPr>
          <w:trHeight w:val="355"/>
          <w:jc w:val="center"/>
        </w:trPr>
        <w:tc>
          <w:tcPr>
            <w:tcW w:w="923" w:type="dxa"/>
            <w:tcBorders>
              <w:top w:val="nil"/>
              <w:left w:val="nil"/>
              <w:bottom w:val="nil"/>
              <w:right w:val="nil"/>
            </w:tcBorders>
          </w:tcPr>
          <w:p w14:paraId="62B5E594" w14:textId="77777777" w:rsidR="009D7C38" w:rsidRPr="00A22A2B" w:rsidRDefault="009D7C38">
            <w:pPr>
              <w:jc w:val="both"/>
              <w:rPr>
                <w:rFonts w:ascii="Arial" w:hAnsi="Arial" w:cs="FrankRuehl"/>
                <w:sz w:val="28"/>
                <w:szCs w:val="28"/>
                <w:rtl/>
              </w:rPr>
            </w:pPr>
          </w:p>
        </w:tc>
        <w:tc>
          <w:tcPr>
            <w:tcW w:w="4126" w:type="dxa"/>
            <w:tcBorders>
              <w:top w:val="nil"/>
              <w:left w:val="nil"/>
              <w:bottom w:val="nil"/>
              <w:right w:val="nil"/>
            </w:tcBorders>
          </w:tcPr>
          <w:p w14:paraId="773537A1" w14:textId="77777777" w:rsidR="009D7C38" w:rsidRPr="00A22A2B" w:rsidRDefault="009D7C38">
            <w:pPr>
              <w:jc w:val="both"/>
              <w:rPr>
                <w:rtl/>
              </w:rPr>
            </w:pPr>
          </w:p>
        </w:tc>
        <w:tc>
          <w:tcPr>
            <w:tcW w:w="3771" w:type="dxa"/>
            <w:tcBorders>
              <w:top w:val="nil"/>
              <w:left w:val="nil"/>
              <w:bottom w:val="nil"/>
              <w:right w:val="nil"/>
            </w:tcBorders>
          </w:tcPr>
          <w:p w14:paraId="4FA405A9" w14:textId="77777777" w:rsidR="009D7C38" w:rsidRPr="00A22A2B" w:rsidRDefault="00A22A2B">
            <w:pPr>
              <w:jc w:val="right"/>
              <w:rPr>
                <w:rFonts w:ascii="Arial" w:hAnsi="Arial" w:cs="FrankRuehl"/>
                <w:sz w:val="28"/>
                <w:szCs w:val="28"/>
              </w:rPr>
            </w:pPr>
            <w:r w:rsidRPr="00A22A2B">
              <w:rPr>
                <w:rFonts w:ascii="Arial" w:hAnsi="Arial" w:cs="FrankRuehl" w:hint="cs"/>
                <w:sz w:val="28"/>
                <w:szCs w:val="28"/>
                <w:rtl/>
              </w:rPr>
              <w:t>ה</w:t>
            </w:r>
            <w:r w:rsidRPr="00A22A2B">
              <w:rPr>
                <w:rFonts w:hint="cs"/>
                <w:rtl/>
              </w:rPr>
              <w:t>נאשם</w:t>
            </w:r>
          </w:p>
        </w:tc>
      </w:tr>
      <w:tr w:rsidR="009D7C38" w14:paraId="63821A84" w14:textId="77777777">
        <w:trPr>
          <w:trHeight w:val="355"/>
          <w:jc w:val="center"/>
        </w:trPr>
        <w:tc>
          <w:tcPr>
            <w:tcW w:w="8820" w:type="dxa"/>
            <w:gridSpan w:val="3"/>
            <w:tcBorders>
              <w:top w:val="nil"/>
              <w:left w:val="nil"/>
              <w:bottom w:val="nil"/>
              <w:right w:val="nil"/>
            </w:tcBorders>
          </w:tcPr>
          <w:p w14:paraId="7F543BDC" w14:textId="77777777" w:rsidR="00FB1928" w:rsidRDefault="00FB1928" w:rsidP="00A22A2B">
            <w:pPr>
              <w:jc w:val="center"/>
              <w:rPr>
                <w:rFonts w:ascii="Arial" w:hAnsi="Arial" w:cs="FrankRuehl"/>
                <w:sz w:val="32"/>
                <w:szCs w:val="32"/>
                <w:rtl/>
              </w:rPr>
            </w:pPr>
            <w:bookmarkStart w:id="4" w:name="PsakDin" w:colFirst="0" w:colLast="0"/>
            <w:bookmarkStart w:id="5" w:name="LawTable"/>
            <w:bookmarkEnd w:id="0"/>
            <w:bookmarkEnd w:id="5"/>
          </w:p>
          <w:p w14:paraId="5D895C55" w14:textId="77777777" w:rsidR="00FB1928" w:rsidRPr="00FB1928" w:rsidRDefault="00FB1928" w:rsidP="00FB1928">
            <w:pPr>
              <w:spacing w:after="120" w:line="240" w:lineRule="exact"/>
              <w:ind w:left="283" w:hanging="283"/>
              <w:jc w:val="both"/>
              <w:rPr>
                <w:rFonts w:ascii="FrankRuehl" w:hAnsi="FrankRuehl" w:cs="FrankRuehl"/>
                <w:rtl/>
              </w:rPr>
            </w:pPr>
          </w:p>
          <w:p w14:paraId="79A81AFE" w14:textId="77777777" w:rsidR="00FB1928" w:rsidRPr="00FB1928" w:rsidRDefault="00FB1928" w:rsidP="00FB1928">
            <w:pPr>
              <w:spacing w:after="120" w:line="240" w:lineRule="exact"/>
              <w:ind w:left="283" w:hanging="283"/>
              <w:jc w:val="both"/>
              <w:rPr>
                <w:rFonts w:ascii="FrankRuehl" w:hAnsi="FrankRuehl" w:cs="FrankRuehl"/>
                <w:rtl/>
              </w:rPr>
            </w:pPr>
            <w:r w:rsidRPr="00FB1928">
              <w:rPr>
                <w:rFonts w:ascii="FrankRuehl" w:hAnsi="FrankRuehl" w:cs="FrankRuehl"/>
                <w:rtl/>
              </w:rPr>
              <w:t xml:space="preserve">חקיקה שאוזכרה: </w:t>
            </w:r>
          </w:p>
          <w:p w14:paraId="4120749D" w14:textId="77777777" w:rsidR="00FB1928" w:rsidRPr="00FB1928" w:rsidRDefault="00FB1928" w:rsidP="00FB1928">
            <w:pPr>
              <w:spacing w:after="120" w:line="240" w:lineRule="exact"/>
              <w:ind w:left="283" w:hanging="283"/>
              <w:jc w:val="both"/>
              <w:rPr>
                <w:rFonts w:ascii="FrankRuehl" w:hAnsi="FrankRuehl" w:cs="FrankRuehl"/>
                <w:rtl/>
              </w:rPr>
            </w:pPr>
            <w:hyperlink r:id="rId6" w:history="1">
              <w:r w:rsidRPr="00FB1928">
                <w:rPr>
                  <w:rFonts w:ascii="FrankRuehl" w:hAnsi="FrankRuehl" w:cs="FrankRuehl"/>
                  <w:color w:val="0000FF"/>
                  <w:u w:val="single"/>
                  <w:rtl/>
                </w:rPr>
                <w:t>חוק העונשין, תשל"ז-1977</w:t>
              </w:r>
            </w:hyperlink>
            <w:r w:rsidRPr="00FB1928">
              <w:rPr>
                <w:rFonts w:ascii="FrankRuehl" w:hAnsi="FrankRuehl" w:cs="FrankRuehl"/>
                <w:rtl/>
              </w:rPr>
              <w:t xml:space="preserve">: סע'  </w:t>
            </w:r>
            <w:hyperlink r:id="rId7" w:history="1">
              <w:r w:rsidRPr="00FB1928">
                <w:rPr>
                  <w:rFonts w:ascii="FrankRuehl" w:hAnsi="FrankRuehl" w:cs="FrankRuehl"/>
                  <w:color w:val="0000FF"/>
                  <w:u w:val="single"/>
                  <w:rtl/>
                </w:rPr>
                <w:t>29</w:t>
              </w:r>
            </w:hyperlink>
            <w:r w:rsidRPr="00FB1928">
              <w:rPr>
                <w:rFonts w:ascii="FrankRuehl" w:hAnsi="FrankRuehl" w:cs="FrankRuehl"/>
                <w:rtl/>
              </w:rPr>
              <w:t xml:space="preserve">, </w:t>
            </w:r>
            <w:hyperlink r:id="rId8" w:history="1">
              <w:r w:rsidRPr="00FB1928">
                <w:rPr>
                  <w:rFonts w:ascii="FrankRuehl" w:hAnsi="FrankRuehl" w:cs="FrankRuehl"/>
                  <w:color w:val="0000FF"/>
                  <w:u w:val="single"/>
                  <w:rtl/>
                </w:rPr>
                <w:t>402(ב)</w:t>
              </w:r>
            </w:hyperlink>
          </w:p>
          <w:p w14:paraId="15268C12" w14:textId="77777777" w:rsidR="00FB1928" w:rsidRPr="00FB1928" w:rsidRDefault="00FB1928" w:rsidP="00FB1928">
            <w:pPr>
              <w:spacing w:after="120" w:line="240" w:lineRule="exact"/>
              <w:ind w:left="283" w:hanging="283"/>
              <w:jc w:val="both"/>
              <w:rPr>
                <w:rFonts w:ascii="FrankRuehl" w:hAnsi="FrankRuehl" w:cs="FrankRuehl"/>
                <w:rtl/>
              </w:rPr>
            </w:pPr>
            <w:hyperlink r:id="rId9" w:history="1">
              <w:r w:rsidRPr="00FB1928">
                <w:rPr>
                  <w:rFonts w:ascii="FrankRuehl" w:hAnsi="FrankRuehl" w:cs="FrankRuehl"/>
                  <w:color w:val="0000FF"/>
                  <w:u w:val="single"/>
                  <w:rtl/>
                </w:rPr>
                <w:t>פקודת הסמים המסוכנים [נוסח חדש], תשל"ג-1973</w:t>
              </w:r>
            </w:hyperlink>
          </w:p>
          <w:p w14:paraId="02D84AA3" w14:textId="77777777" w:rsidR="00FB1928" w:rsidRPr="00FB1928" w:rsidRDefault="00FB1928" w:rsidP="00FB1928">
            <w:pPr>
              <w:spacing w:after="120" w:line="240" w:lineRule="exact"/>
              <w:ind w:left="283" w:hanging="283"/>
              <w:jc w:val="both"/>
              <w:rPr>
                <w:rFonts w:ascii="FrankRuehl" w:hAnsi="FrankRuehl" w:cs="FrankRuehl"/>
                <w:rtl/>
              </w:rPr>
            </w:pPr>
          </w:p>
          <w:p w14:paraId="3EB3F641" w14:textId="77777777" w:rsidR="00FB1928" w:rsidRPr="00FB1928" w:rsidRDefault="00FB1928" w:rsidP="00A22A2B">
            <w:pPr>
              <w:jc w:val="center"/>
              <w:rPr>
                <w:rFonts w:ascii="Arial" w:hAnsi="Arial" w:cs="FrankRuehl"/>
                <w:sz w:val="32"/>
                <w:szCs w:val="32"/>
                <w:rtl/>
              </w:rPr>
            </w:pPr>
            <w:bookmarkStart w:id="6" w:name="LawTable_End"/>
            <w:bookmarkEnd w:id="6"/>
          </w:p>
          <w:p w14:paraId="18FAE772" w14:textId="77777777" w:rsidR="00FB1928" w:rsidRPr="00FB1928" w:rsidRDefault="00FB1928" w:rsidP="00A22A2B">
            <w:pPr>
              <w:jc w:val="center"/>
              <w:rPr>
                <w:rFonts w:ascii="Arial" w:hAnsi="Arial" w:cs="FrankRuehl"/>
                <w:sz w:val="32"/>
                <w:szCs w:val="32"/>
                <w:rtl/>
              </w:rPr>
            </w:pPr>
          </w:p>
          <w:p w14:paraId="6C8DC3FF" w14:textId="77777777" w:rsidR="00F32D83" w:rsidRPr="00F32D83" w:rsidRDefault="00F32D83" w:rsidP="00A22A2B">
            <w:pPr>
              <w:jc w:val="center"/>
              <w:rPr>
                <w:rFonts w:ascii="Arial" w:hAnsi="Arial" w:cs="FrankRuehl"/>
                <w:sz w:val="32"/>
                <w:szCs w:val="32"/>
                <w:rtl/>
              </w:rPr>
            </w:pPr>
          </w:p>
          <w:p w14:paraId="15A507B3" w14:textId="77777777" w:rsidR="00A22A2B" w:rsidRPr="00A22A2B" w:rsidRDefault="00A22A2B" w:rsidP="00A22A2B">
            <w:pPr>
              <w:jc w:val="center"/>
              <w:rPr>
                <w:rFonts w:ascii="Arial" w:hAnsi="Arial" w:cs="FrankRuehl"/>
                <w:b/>
                <w:bCs/>
                <w:sz w:val="32"/>
                <w:szCs w:val="32"/>
                <w:rtl/>
              </w:rPr>
            </w:pPr>
            <w:r w:rsidRPr="00A22A2B">
              <w:rPr>
                <w:rFonts w:ascii="Arial" w:hAnsi="Arial" w:cs="FrankRuehl"/>
                <w:b/>
                <w:bCs/>
                <w:sz w:val="32"/>
                <w:szCs w:val="32"/>
                <w:rtl/>
              </w:rPr>
              <w:t>גזר דין</w:t>
            </w:r>
          </w:p>
          <w:p w14:paraId="77250D74" w14:textId="77777777" w:rsidR="009D7C38" w:rsidRPr="00A22A2B" w:rsidRDefault="009D7C38" w:rsidP="00A22A2B">
            <w:pPr>
              <w:jc w:val="center"/>
              <w:rPr>
                <w:rFonts w:ascii="Arial" w:hAnsi="Arial" w:cs="FrankRuehl"/>
                <w:bCs/>
                <w:sz w:val="32"/>
                <w:szCs w:val="32"/>
                <w:rtl/>
              </w:rPr>
            </w:pPr>
          </w:p>
        </w:tc>
      </w:tr>
      <w:bookmarkEnd w:id="4"/>
    </w:tbl>
    <w:p w14:paraId="11403211" w14:textId="77777777" w:rsidR="009D7C38" w:rsidRDefault="009D7C38">
      <w:pPr>
        <w:spacing w:line="360" w:lineRule="auto"/>
        <w:jc w:val="both"/>
        <w:rPr>
          <w:rFonts w:ascii="Arial" w:hAnsi="Arial"/>
          <w:rtl/>
        </w:rPr>
      </w:pPr>
    </w:p>
    <w:p w14:paraId="66CD702B" w14:textId="77777777" w:rsidR="009D7C38" w:rsidRDefault="00A22A2B">
      <w:pPr>
        <w:spacing w:line="360" w:lineRule="auto"/>
        <w:jc w:val="both"/>
        <w:rPr>
          <w:rFonts w:ascii="Arial" w:hAnsi="Arial"/>
          <w:rtl/>
        </w:rPr>
      </w:pPr>
      <w:r>
        <w:rPr>
          <w:rFonts w:ascii="Arial" w:hAnsi="Arial" w:hint="cs"/>
          <w:sz w:val="28"/>
          <w:szCs w:val="28"/>
          <w:rtl/>
        </w:rPr>
        <w:t>א.</w:t>
      </w:r>
      <w:r>
        <w:rPr>
          <w:rFonts w:ascii="Arial" w:hAnsi="Arial" w:hint="cs"/>
          <w:sz w:val="28"/>
          <w:szCs w:val="28"/>
          <w:rtl/>
        </w:rPr>
        <w:tab/>
      </w:r>
      <w:r>
        <w:rPr>
          <w:rFonts w:ascii="Arial" w:hAnsi="Arial" w:hint="cs"/>
          <w:b/>
          <w:bCs/>
          <w:sz w:val="28"/>
          <w:szCs w:val="28"/>
          <w:u w:val="single"/>
          <w:rtl/>
        </w:rPr>
        <w:t>פתח דבר</w:t>
      </w:r>
    </w:p>
    <w:p w14:paraId="72551216" w14:textId="77777777" w:rsidR="009D7C38" w:rsidRDefault="009D7C38">
      <w:pPr>
        <w:spacing w:line="360" w:lineRule="auto"/>
        <w:jc w:val="both"/>
        <w:rPr>
          <w:rFonts w:ascii="Arial" w:hAnsi="Arial"/>
          <w:rtl/>
        </w:rPr>
      </w:pPr>
    </w:p>
    <w:p w14:paraId="44A3C87C" w14:textId="77777777" w:rsidR="009D7C38" w:rsidRDefault="00A22A2B">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7" w:name="ABSTRACT_START"/>
      <w:bookmarkEnd w:id="7"/>
      <w:r>
        <w:rPr>
          <w:rFonts w:ascii="Arial" w:hAnsi="Arial" w:hint="cs"/>
          <w:rtl/>
        </w:rPr>
        <w:t xml:space="preserve">הנאשם הורשע עפ"י הודאתו, במסגרת הסדר טיעון, בביצוע עבירה של שוד (בחבורה ובאלימות) </w:t>
      </w:r>
      <w:r>
        <w:rPr>
          <w:rFonts w:ascii="Arial" w:hAnsi="Arial"/>
          <w:rtl/>
        </w:rPr>
        <w:t>–</w:t>
      </w:r>
      <w:r>
        <w:rPr>
          <w:rFonts w:ascii="Arial" w:hAnsi="Arial" w:hint="cs"/>
          <w:rtl/>
        </w:rPr>
        <w:t xml:space="preserve"> עבירה לפי </w:t>
      </w:r>
      <w:hyperlink r:id="rId10" w:history="1">
        <w:r w:rsidR="00FB1928" w:rsidRPr="00FB1928">
          <w:rPr>
            <w:rFonts w:ascii="Arial" w:hAnsi="Arial"/>
            <w:color w:val="0000FF"/>
            <w:u w:val="single"/>
            <w:rtl/>
          </w:rPr>
          <w:t>סעיף 402(ב)</w:t>
        </w:r>
      </w:hyperlink>
      <w:r>
        <w:rPr>
          <w:rFonts w:ascii="Arial" w:hAnsi="Arial" w:hint="cs"/>
          <w:rtl/>
        </w:rPr>
        <w:t xml:space="preserve"> ביחד עם </w:t>
      </w:r>
      <w:hyperlink r:id="rId11" w:history="1">
        <w:r w:rsidR="00FB1928" w:rsidRPr="00FB1928">
          <w:rPr>
            <w:rFonts w:ascii="Arial" w:hAnsi="Arial"/>
            <w:color w:val="0000FF"/>
            <w:u w:val="single"/>
            <w:rtl/>
          </w:rPr>
          <w:t>סעיף 29</w:t>
        </w:r>
      </w:hyperlink>
      <w:r>
        <w:rPr>
          <w:rFonts w:ascii="Arial" w:hAnsi="Arial" w:hint="cs"/>
          <w:rtl/>
        </w:rPr>
        <w:t xml:space="preserve"> ל</w:t>
      </w:r>
      <w:hyperlink r:id="rId12" w:history="1">
        <w:r w:rsidR="00F32D83" w:rsidRPr="00F32D83">
          <w:rPr>
            <w:rStyle w:val="Hyperlink"/>
            <w:rFonts w:ascii="Arial" w:hAnsi="Arial"/>
            <w:rtl/>
          </w:rPr>
          <w:t>חוק העונשין</w:t>
        </w:r>
      </w:hyperlink>
      <w:r>
        <w:rPr>
          <w:rFonts w:ascii="Arial" w:hAnsi="Arial" w:hint="cs"/>
          <w:rtl/>
        </w:rPr>
        <w:t>, התשל"ז-1977.</w:t>
      </w:r>
    </w:p>
    <w:p w14:paraId="5A4F0580" w14:textId="77777777" w:rsidR="009D7C38" w:rsidRDefault="009D7C38">
      <w:pPr>
        <w:spacing w:line="360" w:lineRule="auto"/>
        <w:ind w:left="720" w:hanging="720"/>
        <w:jc w:val="both"/>
        <w:rPr>
          <w:rFonts w:ascii="Arial" w:hAnsi="Arial"/>
          <w:rtl/>
        </w:rPr>
      </w:pPr>
      <w:bookmarkStart w:id="8" w:name="ABSTRACT_END"/>
      <w:bookmarkEnd w:id="8"/>
    </w:p>
    <w:p w14:paraId="2492F224" w14:textId="77777777" w:rsidR="009D7C38" w:rsidRDefault="00A22A2B">
      <w:pPr>
        <w:spacing w:line="360" w:lineRule="auto"/>
        <w:ind w:left="720" w:hanging="720"/>
        <w:jc w:val="both"/>
        <w:rPr>
          <w:rFonts w:ascii="Arial" w:hAnsi="Arial"/>
          <w:rtl/>
        </w:rPr>
      </w:pPr>
      <w:r>
        <w:rPr>
          <w:rFonts w:ascii="Arial" w:hAnsi="Arial" w:hint="cs"/>
          <w:rtl/>
        </w:rPr>
        <w:t>2.</w:t>
      </w:r>
      <w:r>
        <w:rPr>
          <w:rFonts w:ascii="Arial" w:hAnsi="Arial" w:hint="cs"/>
          <w:rtl/>
        </w:rPr>
        <w:tab/>
        <w:t xml:space="preserve">עפ"י כתב האישום בו הודה הנאשם, בתאריך 18.02.2013 בסמוך לשעה 20:00, בהיותו בגינה ברח' ציהתל"י ת"א ביחד עם אחר, פנה הנאשם לדוד כהן שעישן אותה עת טבק באמצעות נרגילה, וביקש ממנו להשתמש בנרגילה. </w:t>
      </w:r>
    </w:p>
    <w:p w14:paraId="34602579" w14:textId="77777777" w:rsidR="009D7C38" w:rsidRDefault="00A22A2B">
      <w:pPr>
        <w:spacing w:line="360" w:lineRule="auto"/>
        <w:ind w:left="720"/>
        <w:jc w:val="both"/>
        <w:rPr>
          <w:rFonts w:ascii="Arial" w:hAnsi="Arial"/>
          <w:rtl/>
        </w:rPr>
      </w:pPr>
      <w:r>
        <w:rPr>
          <w:rFonts w:ascii="Arial" w:hAnsi="Arial" w:hint="cs"/>
          <w:rtl/>
        </w:rPr>
        <w:t xml:space="preserve">לאחר מכן, דרש הנאשם מדוד כהן למסור לו את מכשיר הטלפון הנייד שלו, וכשהלה סירב תקף אותו בכך שהיכה בראשו באמצעות צינור הנרגילה. </w:t>
      </w:r>
    </w:p>
    <w:p w14:paraId="678A56FD" w14:textId="77777777" w:rsidR="009D7C38" w:rsidRDefault="00A22A2B">
      <w:pPr>
        <w:spacing w:line="360" w:lineRule="auto"/>
        <w:ind w:left="720"/>
        <w:jc w:val="both"/>
        <w:rPr>
          <w:rFonts w:ascii="Arial" w:hAnsi="Arial"/>
          <w:rtl/>
        </w:rPr>
      </w:pPr>
      <w:r>
        <w:rPr>
          <w:rFonts w:ascii="Arial" w:hAnsi="Arial" w:hint="cs"/>
          <w:rtl/>
        </w:rPr>
        <w:t>עקב התקיפה האלימה מסר דוד כהן לנאשם את מכשיר הטלפון הסלולרי שלו.</w:t>
      </w:r>
    </w:p>
    <w:p w14:paraId="4138256A" w14:textId="77777777" w:rsidR="009D7C38" w:rsidRDefault="009D7C38">
      <w:pPr>
        <w:spacing w:line="360" w:lineRule="auto"/>
        <w:ind w:left="720" w:hanging="720"/>
        <w:jc w:val="both"/>
        <w:rPr>
          <w:rFonts w:ascii="Arial" w:hAnsi="Arial"/>
          <w:rtl/>
        </w:rPr>
      </w:pPr>
    </w:p>
    <w:p w14:paraId="220036DD" w14:textId="77777777" w:rsidR="009D7C38" w:rsidRDefault="00A22A2B">
      <w:pPr>
        <w:spacing w:line="360" w:lineRule="auto"/>
        <w:ind w:left="720" w:hanging="720"/>
        <w:jc w:val="both"/>
        <w:rPr>
          <w:rFonts w:ascii="Arial" w:hAnsi="Arial"/>
          <w:rtl/>
        </w:rPr>
      </w:pPr>
      <w:r>
        <w:rPr>
          <w:rFonts w:ascii="Arial" w:hAnsi="Arial" w:hint="cs"/>
          <w:rtl/>
        </w:rPr>
        <w:lastRenderedPageBreak/>
        <w:tab/>
        <w:t xml:space="preserve">בהמשך, ערך הנאשם חיפוש על גופו של דוד באבאי </w:t>
      </w:r>
      <w:r>
        <w:rPr>
          <w:rFonts w:ascii="Arial" w:hAnsi="Arial"/>
          <w:rtl/>
        </w:rPr>
        <w:t>–</w:t>
      </w:r>
      <w:r>
        <w:rPr>
          <w:rFonts w:ascii="Arial" w:hAnsi="Arial" w:hint="cs"/>
          <w:rtl/>
        </w:rPr>
        <w:t xml:space="preserve"> חברו של דוד כהן, אך לא מצא דבר.</w:t>
      </w:r>
    </w:p>
    <w:p w14:paraId="7D459093" w14:textId="77777777" w:rsidR="009D7C38" w:rsidRDefault="00A22A2B">
      <w:pPr>
        <w:spacing w:line="360" w:lineRule="auto"/>
        <w:ind w:left="720" w:hanging="720"/>
        <w:jc w:val="both"/>
        <w:rPr>
          <w:rFonts w:ascii="Arial" w:hAnsi="Arial"/>
          <w:rtl/>
        </w:rPr>
      </w:pPr>
      <w:r>
        <w:rPr>
          <w:rFonts w:ascii="Arial" w:hAnsi="Arial" w:hint="cs"/>
          <w:rtl/>
        </w:rPr>
        <w:tab/>
        <w:t xml:space="preserve">הנאשם הודיע לחבר אחר של דוד כהן שהיה במקום </w:t>
      </w:r>
      <w:r>
        <w:rPr>
          <w:rFonts w:ascii="Arial" w:hAnsi="Arial"/>
          <w:rtl/>
        </w:rPr>
        <w:t>–</w:t>
      </w:r>
      <w:r>
        <w:rPr>
          <w:rFonts w:ascii="Arial" w:hAnsi="Arial" w:hint="cs"/>
          <w:rtl/>
        </w:rPr>
        <w:t xml:space="preserve"> ינון מרדכי מלול, כי הוא נוטל את אופניו, אך כאשר ביקש לערוך חיפוש על גופו, והלה סירב לאפשר לו זאת, היכה הנאשם אותו בראשו בצינור הנרגילה.</w:t>
      </w:r>
    </w:p>
    <w:p w14:paraId="70C864DD" w14:textId="77777777" w:rsidR="009D7C38" w:rsidRDefault="00A22A2B">
      <w:pPr>
        <w:spacing w:line="360" w:lineRule="auto"/>
        <w:ind w:left="720" w:hanging="720"/>
        <w:jc w:val="both"/>
        <w:rPr>
          <w:rFonts w:ascii="Arial" w:hAnsi="Arial"/>
          <w:rtl/>
        </w:rPr>
      </w:pPr>
      <w:r>
        <w:rPr>
          <w:rFonts w:ascii="Arial" w:hAnsi="Arial" w:hint="cs"/>
          <w:rtl/>
        </w:rPr>
        <w:tab/>
        <w:t>עקב תקיפתו האלימה של הנאשם מסר ינון לנאשם את מכשיר הטלפון הנייד שלו.</w:t>
      </w:r>
    </w:p>
    <w:p w14:paraId="52D27017" w14:textId="77777777" w:rsidR="009D7C38" w:rsidRDefault="00A22A2B">
      <w:pPr>
        <w:spacing w:line="360" w:lineRule="auto"/>
        <w:ind w:left="720" w:hanging="720"/>
        <w:jc w:val="both"/>
        <w:rPr>
          <w:rFonts w:ascii="Arial" w:hAnsi="Arial"/>
          <w:rtl/>
        </w:rPr>
      </w:pPr>
      <w:r>
        <w:rPr>
          <w:rFonts w:ascii="Arial" w:hAnsi="Arial" w:hint="cs"/>
          <w:rtl/>
        </w:rPr>
        <w:tab/>
      </w:r>
    </w:p>
    <w:p w14:paraId="6E22FB4B" w14:textId="77777777" w:rsidR="009D7C38" w:rsidRDefault="00A22A2B">
      <w:pPr>
        <w:spacing w:line="360" w:lineRule="auto"/>
        <w:ind w:left="720" w:hanging="720"/>
        <w:jc w:val="both"/>
        <w:rPr>
          <w:rFonts w:ascii="Arial" w:hAnsi="Arial"/>
          <w:rtl/>
        </w:rPr>
      </w:pPr>
      <w:r>
        <w:rPr>
          <w:rFonts w:ascii="Arial" w:hAnsi="Arial" w:hint="cs"/>
          <w:rtl/>
        </w:rPr>
        <w:tab/>
        <w:t xml:space="preserve">הנאשם אף ערך חיפוש על גופו של חבר אחר של דוד כהן </w:t>
      </w:r>
      <w:r>
        <w:rPr>
          <w:rFonts w:ascii="Arial" w:hAnsi="Arial"/>
          <w:rtl/>
        </w:rPr>
        <w:t>–</w:t>
      </w:r>
      <w:r>
        <w:rPr>
          <w:rFonts w:ascii="Arial" w:hAnsi="Arial" w:hint="cs"/>
          <w:rtl/>
        </w:rPr>
        <w:t xml:space="preserve"> מרדכי נדב מוכתר, ומצא בכיס מכנסיו רק חפיסת סיגריות, ונטל אותה.</w:t>
      </w:r>
    </w:p>
    <w:p w14:paraId="4F0F5D63" w14:textId="77777777" w:rsidR="009D7C38" w:rsidRDefault="00A22A2B">
      <w:pPr>
        <w:spacing w:line="360" w:lineRule="auto"/>
        <w:ind w:left="720" w:hanging="720"/>
        <w:jc w:val="both"/>
        <w:rPr>
          <w:rFonts w:ascii="Arial" w:hAnsi="Arial"/>
          <w:rtl/>
        </w:rPr>
      </w:pPr>
      <w:r>
        <w:rPr>
          <w:rFonts w:ascii="Arial" w:hAnsi="Arial" w:hint="cs"/>
          <w:rtl/>
        </w:rPr>
        <w:tab/>
        <w:t>הנאשם, שסבר שמרדכי מסתכל לעברו, גידף אותו ואיים עליו באומרו "בפעם הבאה אל תסתכל עלי", וכן היכה אותו בחוזקה בראשו באמצעות צינור הנרגילה.</w:t>
      </w:r>
    </w:p>
    <w:p w14:paraId="1B7E8399" w14:textId="77777777" w:rsidR="009D7C38" w:rsidRDefault="00A22A2B">
      <w:pPr>
        <w:spacing w:line="360" w:lineRule="auto"/>
        <w:ind w:left="720" w:hanging="720"/>
        <w:jc w:val="both"/>
        <w:rPr>
          <w:rFonts w:ascii="Arial" w:hAnsi="Arial"/>
          <w:rtl/>
        </w:rPr>
      </w:pPr>
      <w:r>
        <w:rPr>
          <w:rFonts w:ascii="Arial" w:hAnsi="Arial" w:hint="cs"/>
          <w:rtl/>
        </w:rPr>
        <w:tab/>
      </w:r>
    </w:p>
    <w:p w14:paraId="5F8B35E2" w14:textId="77777777" w:rsidR="009D7C38" w:rsidRDefault="00A22A2B">
      <w:pPr>
        <w:spacing w:line="360" w:lineRule="auto"/>
        <w:ind w:left="720" w:hanging="720"/>
        <w:jc w:val="both"/>
        <w:rPr>
          <w:rFonts w:ascii="Arial" w:hAnsi="Arial"/>
          <w:rtl/>
        </w:rPr>
      </w:pPr>
      <w:r>
        <w:rPr>
          <w:rFonts w:ascii="Arial" w:hAnsi="Arial" w:hint="cs"/>
          <w:rtl/>
        </w:rPr>
        <w:tab/>
        <w:t>לאחר המעשים המתוארים לעיל, נמלט הנאשם מהמקום כשהוא גונב את אופניו של ינון. האחר שהיה עם הנאשם הלך לצידו.</w:t>
      </w:r>
    </w:p>
    <w:p w14:paraId="7A9F0CDE" w14:textId="77777777" w:rsidR="009D7C38" w:rsidRDefault="00A22A2B">
      <w:pPr>
        <w:spacing w:line="360" w:lineRule="auto"/>
        <w:ind w:left="720" w:hanging="720"/>
        <w:jc w:val="both"/>
        <w:rPr>
          <w:rFonts w:ascii="Arial" w:hAnsi="Arial"/>
          <w:rtl/>
        </w:rPr>
      </w:pPr>
      <w:r>
        <w:rPr>
          <w:rFonts w:ascii="Arial" w:hAnsi="Arial" w:hint="cs"/>
          <w:rtl/>
        </w:rPr>
        <w:tab/>
        <w:t xml:space="preserve">דוד כהן פנה איפוא לאחר ושאל אותו לפשר התנהגות הנאשם, אך הלה טען כי איננו מכיר את הנאשם. </w:t>
      </w:r>
    </w:p>
    <w:p w14:paraId="42BDA4D2" w14:textId="77777777" w:rsidR="009D7C38" w:rsidRDefault="00A22A2B">
      <w:pPr>
        <w:spacing w:line="360" w:lineRule="auto"/>
        <w:ind w:left="720"/>
        <w:jc w:val="both"/>
        <w:rPr>
          <w:rFonts w:ascii="Arial" w:hAnsi="Arial"/>
          <w:rtl/>
        </w:rPr>
      </w:pPr>
      <w:r>
        <w:rPr>
          <w:rFonts w:ascii="Arial" w:hAnsi="Arial" w:hint="cs"/>
          <w:rtl/>
        </w:rPr>
        <w:t>משהחל דוד כהן לרדוף אחר הנאשם על-מנת להשיב את מכשיר הטלפון הסלולרי שלו, הוציא הנאשם מברג מכיס מעילו, איים על דוד כהן לבל יתקרב אליו, ושרט אותו בביטנו.</w:t>
      </w:r>
    </w:p>
    <w:p w14:paraId="0068F604" w14:textId="77777777" w:rsidR="009D7C38" w:rsidRDefault="00A22A2B">
      <w:pPr>
        <w:spacing w:line="360" w:lineRule="auto"/>
        <w:ind w:left="720" w:hanging="720"/>
        <w:jc w:val="both"/>
        <w:rPr>
          <w:rFonts w:ascii="Arial" w:hAnsi="Arial"/>
          <w:rtl/>
        </w:rPr>
      </w:pPr>
      <w:r>
        <w:rPr>
          <w:rFonts w:ascii="Arial" w:hAnsi="Arial" w:hint="cs"/>
          <w:rtl/>
        </w:rPr>
        <w:tab/>
        <w:t>לאחר מכן נמלטו הנאשם והאחר מהמקום.</w:t>
      </w:r>
    </w:p>
    <w:p w14:paraId="55B2B63E" w14:textId="77777777" w:rsidR="009D7C38" w:rsidRDefault="009D7C38">
      <w:pPr>
        <w:spacing w:line="360" w:lineRule="auto"/>
        <w:jc w:val="both"/>
        <w:rPr>
          <w:rFonts w:ascii="Arial" w:hAnsi="Arial"/>
          <w:rtl/>
        </w:rPr>
      </w:pPr>
    </w:p>
    <w:p w14:paraId="44064A9B" w14:textId="77777777" w:rsidR="009D7C38" w:rsidRDefault="00A22A2B">
      <w:pPr>
        <w:spacing w:line="360" w:lineRule="auto"/>
        <w:jc w:val="both"/>
        <w:rPr>
          <w:rFonts w:ascii="Arial" w:hAnsi="Arial"/>
          <w:rtl/>
        </w:rPr>
      </w:pPr>
      <w:r>
        <w:rPr>
          <w:rFonts w:ascii="Arial" w:hAnsi="Arial" w:hint="cs"/>
          <w:sz w:val="28"/>
          <w:szCs w:val="28"/>
          <w:rtl/>
        </w:rPr>
        <w:t>ב.</w:t>
      </w:r>
      <w:r>
        <w:rPr>
          <w:rFonts w:ascii="Arial" w:hAnsi="Arial" w:hint="cs"/>
          <w:sz w:val="28"/>
          <w:szCs w:val="28"/>
          <w:rtl/>
        </w:rPr>
        <w:tab/>
      </w:r>
      <w:r>
        <w:rPr>
          <w:rFonts w:ascii="Arial" w:hAnsi="Arial" w:hint="cs"/>
          <w:b/>
          <w:bCs/>
          <w:sz w:val="28"/>
          <w:szCs w:val="28"/>
          <w:u w:val="single"/>
          <w:rtl/>
        </w:rPr>
        <w:t>הסדר הטיעון</w:t>
      </w:r>
    </w:p>
    <w:p w14:paraId="4068FB9E" w14:textId="77777777" w:rsidR="009D7C38" w:rsidRDefault="009D7C38">
      <w:pPr>
        <w:spacing w:line="360" w:lineRule="auto"/>
        <w:jc w:val="both"/>
        <w:rPr>
          <w:rFonts w:ascii="Arial" w:hAnsi="Arial"/>
          <w:rtl/>
        </w:rPr>
      </w:pPr>
    </w:p>
    <w:p w14:paraId="1689B80A" w14:textId="77777777" w:rsidR="009D7C38" w:rsidRDefault="00A22A2B">
      <w:pPr>
        <w:spacing w:line="360" w:lineRule="auto"/>
        <w:ind w:left="720" w:hanging="720"/>
        <w:jc w:val="both"/>
        <w:rPr>
          <w:rFonts w:ascii="Arial" w:hAnsi="Arial"/>
          <w:rtl/>
        </w:rPr>
      </w:pPr>
      <w:r>
        <w:rPr>
          <w:rFonts w:ascii="Arial" w:hAnsi="Arial" w:hint="cs"/>
          <w:rtl/>
        </w:rPr>
        <w:t>3.</w:t>
      </w:r>
      <w:r>
        <w:rPr>
          <w:rFonts w:ascii="Arial" w:hAnsi="Arial" w:hint="cs"/>
          <w:rtl/>
        </w:rPr>
        <w:tab/>
        <w:t>ב"כ הצדדים הגיעו להסדר טיעון, לפיו הנאשם הודה והורשע עפ"י הודאתו בביצוע העבירות נשוא כתב האישום, וכן התבקש תסקיר שירות המבחן בעניינו.</w:t>
      </w:r>
    </w:p>
    <w:p w14:paraId="3C6610BB" w14:textId="77777777" w:rsidR="009D7C38" w:rsidRDefault="00A22A2B">
      <w:pPr>
        <w:spacing w:line="360" w:lineRule="auto"/>
        <w:ind w:left="720" w:hanging="720"/>
        <w:jc w:val="both"/>
        <w:rPr>
          <w:rFonts w:ascii="Arial" w:hAnsi="Arial"/>
          <w:rtl/>
        </w:rPr>
      </w:pPr>
      <w:r>
        <w:rPr>
          <w:rFonts w:ascii="Arial" w:hAnsi="Arial" w:hint="cs"/>
          <w:rtl/>
        </w:rPr>
        <w:tab/>
        <w:t>עוד הוסכם כי ההגנה תעתור להטלת עונש של 6 חודשי מאסר לריצוי בעבודות שירות, ואילו המאשימה תגבש עמדתה לאחר קבלת תסקיר שירות המבחן.</w:t>
      </w:r>
    </w:p>
    <w:p w14:paraId="329C9925" w14:textId="77777777" w:rsidR="009D7C38" w:rsidRDefault="009D7C38">
      <w:pPr>
        <w:spacing w:line="360" w:lineRule="auto"/>
        <w:ind w:left="720" w:hanging="720"/>
        <w:jc w:val="both"/>
        <w:rPr>
          <w:rFonts w:ascii="Arial" w:hAnsi="Arial"/>
          <w:rtl/>
        </w:rPr>
      </w:pPr>
    </w:p>
    <w:p w14:paraId="3CABF7A9" w14:textId="77777777" w:rsidR="009D7C38" w:rsidRDefault="00A22A2B">
      <w:pPr>
        <w:spacing w:line="360" w:lineRule="auto"/>
        <w:ind w:left="720" w:hanging="720"/>
        <w:jc w:val="both"/>
        <w:rPr>
          <w:rFonts w:ascii="Arial" w:hAnsi="Arial"/>
          <w:rtl/>
        </w:rPr>
      </w:pPr>
      <w:r>
        <w:rPr>
          <w:rFonts w:ascii="Arial" w:hAnsi="Arial" w:hint="cs"/>
          <w:rtl/>
        </w:rPr>
        <w:tab/>
        <w:t>לאחר שהתקבל תסקיר שירות המבחן, עתרה התביעה לביהמ"ש להטיל על הנאשם עונש מאסר מאחורי סורג ובריח.</w:t>
      </w:r>
    </w:p>
    <w:p w14:paraId="2C48D25B" w14:textId="77777777" w:rsidR="009D7C38" w:rsidRDefault="009D7C38">
      <w:pPr>
        <w:spacing w:line="360" w:lineRule="auto"/>
        <w:jc w:val="both"/>
        <w:rPr>
          <w:rFonts w:ascii="Arial" w:hAnsi="Arial"/>
          <w:rtl/>
        </w:rPr>
      </w:pPr>
    </w:p>
    <w:p w14:paraId="00BABD3C" w14:textId="77777777" w:rsidR="009D7C38" w:rsidRDefault="00A22A2B">
      <w:pPr>
        <w:spacing w:line="360" w:lineRule="auto"/>
        <w:jc w:val="both"/>
        <w:rPr>
          <w:rFonts w:ascii="Arial" w:hAnsi="Arial"/>
          <w:rtl/>
        </w:rPr>
      </w:pPr>
      <w:r>
        <w:rPr>
          <w:rFonts w:ascii="Arial" w:hAnsi="Arial" w:hint="cs"/>
          <w:sz w:val="28"/>
          <w:szCs w:val="28"/>
          <w:rtl/>
        </w:rPr>
        <w:t>ג.</w:t>
      </w:r>
      <w:r>
        <w:rPr>
          <w:rFonts w:ascii="Arial" w:hAnsi="Arial" w:hint="cs"/>
          <w:sz w:val="28"/>
          <w:szCs w:val="28"/>
          <w:rtl/>
        </w:rPr>
        <w:tab/>
      </w:r>
      <w:r>
        <w:rPr>
          <w:rFonts w:ascii="Arial" w:hAnsi="Arial" w:hint="cs"/>
          <w:b/>
          <w:bCs/>
          <w:sz w:val="28"/>
          <w:szCs w:val="28"/>
          <w:u w:val="single"/>
          <w:rtl/>
        </w:rPr>
        <w:t>עברו הפלילי של הנאשם</w:t>
      </w:r>
    </w:p>
    <w:p w14:paraId="16FA67EA" w14:textId="77777777" w:rsidR="009D7C38" w:rsidRDefault="009D7C38">
      <w:pPr>
        <w:spacing w:line="360" w:lineRule="auto"/>
        <w:jc w:val="both"/>
        <w:rPr>
          <w:rFonts w:ascii="Arial" w:hAnsi="Arial"/>
          <w:rtl/>
        </w:rPr>
      </w:pPr>
    </w:p>
    <w:p w14:paraId="1F712991" w14:textId="77777777" w:rsidR="009D7C38" w:rsidRDefault="00A22A2B">
      <w:pPr>
        <w:spacing w:line="360" w:lineRule="auto"/>
        <w:ind w:left="720" w:hanging="720"/>
        <w:jc w:val="both"/>
        <w:rPr>
          <w:rFonts w:ascii="Arial" w:hAnsi="Arial"/>
          <w:rtl/>
        </w:rPr>
      </w:pPr>
      <w:r>
        <w:rPr>
          <w:rFonts w:ascii="Arial" w:hAnsi="Arial" w:hint="cs"/>
          <w:rtl/>
        </w:rPr>
        <w:t>4.</w:t>
      </w:r>
      <w:r>
        <w:rPr>
          <w:rFonts w:ascii="Arial" w:hAnsi="Arial" w:hint="cs"/>
          <w:rtl/>
        </w:rPr>
        <w:tab/>
        <w:t>הנאשם הורשע ע"י בימ"ש לנוער ת"א בביצוע עבירה של סחר בסם מסוכן, ונדון לעונש של של"צ למשך 80 שעות, חתימה על התחייבות בסך 5,000 ₪ למשך שנתיים, קנס בסך     1,000 ₪ ופסילת רישיון הנהיגה על-תנאי.</w:t>
      </w:r>
    </w:p>
    <w:p w14:paraId="53546F70" w14:textId="77777777" w:rsidR="009D7C38" w:rsidRDefault="009D7C38">
      <w:pPr>
        <w:spacing w:line="360" w:lineRule="auto"/>
        <w:jc w:val="both"/>
        <w:rPr>
          <w:rFonts w:ascii="Arial" w:hAnsi="Arial"/>
          <w:rtl/>
        </w:rPr>
      </w:pPr>
    </w:p>
    <w:p w14:paraId="6943F004" w14:textId="77777777" w:rsidR="009D7C38" w:rsidRDefault="00A22A2B">
      <w:pPr>
        <w:spacing w:line="360" w:lineRule="auto"/>
        <w:jc w:val="both"/>
        <w:rPr>
          <w:rFonts w:ascii="Arial" w:hAnsi="Arial"/>
          <w:rtl/>
        </w:rPr>
      </w:pPr>
      <w:r>
        <w:rPr>
          <w:rFonts w:ascii="Arial" w:hAnsi="Arial" w:hint="cs"/>
          <w:sz w:val="28"/>
          <w:szCs w:val="28"/>
          <w:rtl/>
        </w:rPr>
        <w:lastRenderedPageBreak/>
        <w:t>ד.</w:t>
      </w:r>
      <w:r>
        <w:rPr>
          <w:rFonts w:ascii="Arial" w:hAnsi="Arial" w:hint="cs"/>
          <w:sz w:val="28"/>
          <w:szCs w:val="28"/>
          <w:rtl/>
        </w:rPr>
        <w:tab/>
      </w:r>
      <w:r>
        <w:rPr>
          <w:rFonts w:ascii="Arial" w:hAnsi="Arial" w:hint="cs"/>
          <w:b/>
          <w:bCs/>
          <w:sz w:val="28"/>
          <w:szCs w:val="28"/>
          <w:u w:val="single"/>
          <w:rtl/>
        </w:rPr>
        <w:t>תסקיר שירות המבחן</w:t>
      </w:r>
    </w:p>
    <w:p w14:paraId="6E5BC72E" w14:textId="77777777" w:rsidR="009D7C38" w:rsidRDefault="009D7C38">
      <w:pPr>
        <w:spacing w:line="360" w:lineRule="auto"/>
        <w:jc w:val="both"/>
        <w:rPr>
          <w:rFonts w:ascii="Arial" w:hAnsi="Arial"/>
          <w:rtl/>
        </w:rPr>
      </w:pPr>
    </w:p>
    <w:p w14:paraId="51F527F8" w14:textId="77777777" w:rsidR="009D7C38" w:rsidRDefault="00A22A2B">
      <w:pPr>
        <w:spacing w:line="360" w:lineRule="auto"/>
        <w:ind w:left="720" w:hanging="720"/>
        <w:jc w:val="both"/>
        <w:rPr>
          <w:rFonts w:ascii="Arial" w:hAnsi="Arial"/>
          <w:rtl/>
        </w:rPr>
      </w:pPr>
      <w:r>
        <w:rPr>
          <w:rFonts w:ascii="Arial" w:hAnsi="Arial" w:hint="cs"/>
          <w:rtl/>
        </w:rPr>
        <w:t>5.</w:t>
      </w:r>
      <w:r>
        <w:rPr>
          <w:rFonts w:ascii="Arial" w:hAnsi="Arial" w:hint="cs"/>
          <w:rtl/>
        </w:rPr>
        <w:tab/>
        <w:t>מתסקיר שירות המבחן שהוגש בעניינו של הנאשם עולה כי הנאשם הינו צעיר בן 18 וחצי אשר סיים 12 שנות לימוד. בנוסף, הוא סיים לימודי ספרות, אך לא עבד בתחום זה.</w:t>
      </w:r>
    </w:p>
    <w:p w14:paraId="450B4377" w14:textId="77777777" w:rsidR="009D7C38" w:rsidRDefault="00A22A2B">
      <w:pPr>
        <w:spacing w:line="360" w:lineRule="auto"/>
        <w:ind w:left="720" w:hanging="720"/>
        <w:jc w:val="both"/>
        <w:rPr>
          <w:rFonts w:ascii="Arial" w:hAnsi="Arial"/>
          <w:rtl/>
        </w:rPr>
      </w:pPr>
      <w:r>
        <w:rPr>
          <w:rFonts w:ascii="Arial" w:hAnsi="Arial" w:hint="cs"/>
          <w:rtl/>
        </w:rPr>
        <w:tab/>
        <w:t>שירות המבחן התרשם כי הנאשם מתקשה ליטול אחריות אישית, מציג את עצמו כחלש מול סביבתו, ומשליך האחריות למעורבותו ולביצוע העבירות על אחרים אשר לטענתו היו היוזמים והאקטיביים בביצוע העבירות, כשהוא תופס את חלקו כנגרר וכפסיבי יותר.</w:t>
      </w:r>
    </w:p>
    <w:p w14:paraId="5C27F50F" w14:textId="77777777" w:rsidR="009D7C38" w:rsidRDefault="00A22A2B">
      <w:pPr>
        <w:spacing w:line="360" w:lineRule="auto"/>
        <w:ind w:left="720" w:hanging="720"/>
        <w:jc w:val="both"/>
        <w:rPr>
          <w:rFonts w:ascii="Arial" w:hAnsi="Arial"/>
          <w:rtl/>
        </w:rPr>
      </w:pPr>
      <w:r>
        <w:rPr>
          <w:rFonts w:ascii="Arial" w:hAnsi="Arial" w:hint="cs"/>
          <w:rtl/>
        </w:rPr>
        <w:tab/>
        <w:t>עוד צוין, כי הנאשם מתקשה לבחון את התנהגותו לעומק, הוא בעל קווי אישיות ילדותיים, אמו מגוננת עליו, ולדעתה מעורבותו במעשה נבעה מהשפעה שלילית עליו.</w:t>
      </w:r>
    </w:p>
    <w:p w14:paraId="03F12F92" w14:textId="77777777" w:rsidR="009D7C38" w:rsidRDefault="00A22A2B">
      <w:pPr>
        <w:spacing w:line="360" w:lineRule="auto"/>
        <w:ind w:left="720" w:hanging="720"/>
        <w:jc w:val="both"/>
        <w:rPr>
          <w:rFonts w:ascii="Arial" w:hAnsi="Arial"/>
          <w:rtl/>
        </w:rPr>
      </w:pPr>
      <w:r>
        <w:rPr>
          <w:rFonts w:ascii="Arial" w:hAnsi="Arial" w:hint="cs"/>
          <w:rtl/>
        </w:rPr>
        <w:tab/>
        <w:t>לנאשם עבירה קודמת של סחר בסמים, ועל כן מדובר בהישנות ביצוע עבירה פלילית על אף תקופת פיקוח בה הועמד בשירות המבחן לנוער.</w:t>
      </w:r>
    </w:p>
    <w:p w14:paraId="56BAB5D3" w14:textId="77777777" w:rsidR="009D7C38" w:rsidRDefault="00A22A2B">
      <w:pPr>
        <w:spacing w:line="360" w:lineRule="auto"/>
        <w:ind w:left="720" w:hanging="720"/>
        <w:jc w:val="both"/>
        <w:rPr>
          <w:rFonts w:ascii="Arial" w:hAnsi="Arial"/>
          <w:rtl/>
        </w:rPr>
      </w:pPr>
      <w:r>
        <w:rPr>
          <w:rFonts w:ascii="Arial" w:hAnsi="Arial" w:hint="cs"/>
          <w:rtl/>
        </w:rPr>
        <w:tab/>
        <w:t>שירות המבחן נמנע מהמלצה טיפולית בעניינו, והעריך כי הנאשם זקוק לענישה קונקרטית ומוחשית שתבהיר לו את חומרת התנהגותו ותציב בפניו גבול ברור ומרתיע.</w:t>
      </w:r>
    </w:p>
    <w:p w14:paraId="53DE4BEC" w14:textId="77777777" w:rsidR="009D7C38" w:rsidRDefault="009D7C38">
      <w:pPr>
        <w:spacing w:line="360" w:lineRule="auto"/>
        <w:ind w:left="720" w:hanging="720"/>
        <w:jc w:val="both"/>
        <w:rPr>
          <w:rFonts w:ascii="Arial" w:hAnsi="Arial"/>
          <w:rtl/>
        </w:rPr>
      </w:pPr>
    </w:p>
    <w:p w14:paraId="121388A2" w14:textId="77777777" w:rsidR="009D7C38" w:rsidRDefault="00A22A2B">
      <w:pPr>
        <w:spacing w:line="360" w:lineRule="auto"/>
        <w:ind w:left="720" w:hanging="720"/>
        <w:jc w:val="both"/>
        <w:rPr>
          <w:rFonts w:ascii="Arial" w:hAnsi="Arial"/>
          <w:rtl/>
        </w:rPr>
      </w:pPr>
      <w:r>
        <w:rPr>
          <w:rFonts w:ascii="Arial" w:hAnsi="Arial" w:hint="cs"/>
          <w:sz w:val="28"/>
          <w:szCs w:val="28"/>
          <w:rtl/>
        </w:rPr>
        <w:t>ה.</w:t>
      </w:r>
      <w:r>
        <w:rPr>
          <w:rFonts w:ascii="Arial" w:hAnsi="Arial" w:hint="cs"/>
          <w:sz w:val="28"/>
          <w:szCs w:val="28"/>
          <w:rtl/>
        </w:rPr>
        <w:tab/>
      </w:r>
      <w:r>
        <w:rPr>
          <w:rFonts w:ascii="Arial" w:hAnsi="Arial" w:hint="cs"/>
          <w:b/>
          <w:bCs/>
          <w:sz w:val="28"/>
          <w:szCs w:val="28"/>
          <w:u w:val="single"/>
          <w:rtl/>
        </w:rPr>
        <w:t>טיעוני ב"כ הצדדים</w:t>
      </w:r>
    </w:p>
    <w:p w14:paraId="126D77E9" w14:textId="77777777" w:rsidR="009D7C38" w:rsidRDefault="009D7C38">
      <w:pPr>
        <w:spacing w:line="360" w:lineRule="auto"/>
        <w:ind w:left="720" w:hanging="720"/>
        <w:jc w:val="both"/>
        <w:rPr>
          <w:rFonts w:ascii="Arial" w:hAnsi="Arial"/>
          <w:rtl/>
        </w:rPr>
      </w:pPr>
    </w:p>
    <w:p w14:paraId="0C9DDCF2" w14:textId="77777777" w:rsidR="009D7C38" w:rsidRDefault="00A22A2B">
      <w:pPr>
        <w:spacing w:line="360" w:lineRule="auto"/>
        <w:ind w:left="720" w:hanging="720"/>
        <w:jc w:val="both"/>
        <w:rPr>
          <w:rFonts w:ascii="Arial" w:hAnsi="Arial"/>
          <w:rtl/>
        </w:rPr>
      </w:pPr>
      <w:r>
        <w:rPr>
          <w:rFonts w:ascii="Arial" w:hAnsi="Arial" w:hint="cs"/>
          <w:rtl/>
        </w:rPr>
        <w:t>6.</w:t>
      </w:r>
      <w:r>
        <w:rPr>
          <w:rFonts w:ascii="Arial" w:hAnsi="Arial" w:hint="cs"/>
          <w:rtl/>
        </w:rPr>
        <w:tab/>
        <w:t>ב"כ המאשימה עתר לביהמ"ש להטיל על הנאשם עונש מאסר בפועל מאחורי סורג ובריח, וכן מאסר על-תנאי, קנס ותשלום פיצוי למתלוננים, בהדגישו כי מדובר במעשי בריונות שביצע הנאשם ביחד עם אחר, כשהנאשם נוטל תפקיד דומיננטי בכל האירוע.</w:t>
      </w:r>
    </w:p>
    <w:p w14:paraId="1F31E557" w14:textId="77777777" w:rsidR="009D7C38" w:rsidRDefault="00A22A2B">
      <w:pPr>
        <w:spacing w:line="360" w:lineRule="auto"/>
        <w:ind w:left="720" w:hanging="720"/>
        <w:jc w:val="both"/>
        <w:rPr>
          <w:rFonts w:ascii="Arial" w:hAnsi="Arial"/>
          <w:rtl/>
        </w:rPr>
      </w:pPr>
      <w:r>
        <w:rPr>
          <w:rFonts w:ascii="Arial" w:hAnsi="Arial" w:hint="cs"/>
          <w:rtl/>
        </w:rPr>
        <w:tab/>
        <w:t>הנאשם ערך חיפוש על גופם של שניים מהמתלוננים ללא הסכמתם, נטל את אשר היה בכיסם, נטל אופניו של אחד מהם,  ותקף באמצעות צינור נרגילה את מי שסירב לאפשר לו לערוך חיפוש על גופו.</w:t>
      </w:r>
    </w:p>
    <w:p w14:paraId="583801A3" w14:textId="77777777" w:rsidR="009D7C38" w:rsidRDefault="00A22A2B">
      <w:pPr>
        <w:spacing w:line="360" w:lineRule="auto"/>
        <w:ind w:left="720" w:hanging="720"/>
        <w:jc w:val="both"/>
        <w:rPr>
          <w:rFonts w:ascii="Arial" w:hAnsi="Arial"/>
          <w:rtl/>
        </w:rPr>
      </w:pPr>
      <w:r>
        <w:rPr>
          <w:rFonts w:ascii="Arial" w:hAnsi="Arial" w:hint="cs"/>
          <w:rtl/>
        </w:rPr>
        <w:tab/>
        <w:t>הנאשם לא מסר את פרטיו של שותפו למעשה, ובכך מנע העמדתו לדין.</w:t>
      </w:r>
    </w:p>
    <w:p w14:paraId="77A3AB8B" w14:textId="77777777" w:rsidR="009D7C38" w:rsidRDefault="009D7C38">
      <w:pPr>
        <w:spacing w:line="360" w:lineRule="auto"/>
        <w:ind w:left="720" w:hanging="720"/>
        <w:jc w:val="both"/>
        <w:rPr>
          <w:rFonts w:ascii="Arial" w:hAnsi="Arial"/>
          <w:rtl/>
        </w:rPr>
      </w:pPr>
    </w:p>
    <w:p w14:paraId="5CF8F1D3" w14:textId="77777777" w:rsidR="009D7C38" w:rsidRDefault="00A22A2B">
      <w:pPr>
        <w:spacing w:line="360" w:lineRule="auto"/>
        <w:ind w:left="720" w:hanging="720"/>
        <w:jc w:val="both"/>
        <w:rPr>
          <w:rFonts w:ascii="Arial" w:hAnsi="Arial"/>
          <w:rtl/>
        </w:rPr>
      </w:pPr>
      <w:r>
        <w:rPr>
          <w:rFonts w:ascii="Arial" w:hAnsi="Arial" w:hint="cs"/>
          <w:rtl/>
        </w:rPr>
        <w:t>7.</w:t>
      </w:r>
      <w:r>
        <w:rPr>
          <w:rFonts w:ascii="Arial" w:hAnsi="Arial" w:hint="cs"/>
          <w:rtl/>
        </w:rPr>
        <w:tab/>
        <w:t>עוד הפנה ב"כ המאשימה את ביהמ"ש לתסקיר שירות המבחן, הממליץ על ענישה מוחשית שתציב בפני הנאשם גבול ברור ותבהיר לו את חומרת התנהגותו.</w:t>
      </w:r>
    </w:p>
    <w:p w14:paraId="55620F15" w14:textId="77777777" w:rsidR="009D7C38" w:rsidRDefault="009D7C38">
      <w:pPr>
        <w:spacing w:line="360" w:lineRule="auto"/>
        <w:ind w:left="720" w:hanging="720"/>
        <w:jc w:val="both"/>
        <w:rPr>
          <w:rFonts w:ascii="Arial" w:hAnsi="Arial"/>
          <w:rtl/>
        </w:rPr>
      </w:pPr>
    </w:p>
    <w:p w14:paraId="2DE973E5" w14:textId="77777777" w:rsidR="009D7C38" w:rsidRDefault="00A22A2B">
      <w:pPr>
        <w:spacing w:line="360" w:lineRule="auto"/>
        <w:ind w:left="720" w:hanging="720"/>
        <w:jc w:val="both"/>
        <w:rPr>
          <w:rFonts w:ascii="Arial" w:hAnsi="Arial"/>
          <w:rtl/>
        </w:rPr>
      </w:pPr>
      <w:r>
        <w:rPr>
          <w:rFonts w:ascii="Arial" w:hAnsi="Arial" w:hint="cs"/>
          <w:rtl/>
        </w:rPr>
        <w:tab/>
        <w:t xml:space="preserve">התביעה שללה הטלת ענישה ברף התחתון של הענישה עפ"י הסדר הטיעון </w:t>
      </w:r>
      <w:r>
        <w:rPr>
          <w:rFonts w:ascii="Arial" w:hAnsi="Arial"/>
          <w:rtl/>
        </w:rPr>
        <w:t>–</w:t>
      </w:r>
      <w:r>
        <w:rPr>
          <w:rFonts w:ascii="Arial" w:hAnsi="Arial" w:hint="cs"/>
          <w:rtl/>
        </w:rPr>
        <w:t xml:space="preserve"> מאסר לריצוי בעבודות שירות, וזאת אף אם ישולם פיצוי מראש למתלוננים, שכן לדעתה, לא יהא בכך ענישה הולמת וראויה, והיא אף לא תרתיע את הנאשם.</w:t>
      </w:r>
    </w:p>
    <w:p w14:paraId="700FD4CE" w14:textId="77777777" w:rsidR="009D7C38" w:rsidRDefault="009D7C38">
      <w:pPr>
        <w:spacing w:line="360" w:lineRule="auto"/>
        <w:ind w:left="720" w:hanging="720"/>
        <w:jc w:val="both"/>
        <w:rPr>
          <w:rFonts w:ascii="Arial" w:hAnsi="Arial"/>
          <w:rtl/>
        </w:rPr>
      </w:pPr>
    </w:p>
    <w:p w14:paraId="2A63E104" w14:textId="77777777" w:rsidR="009D7C38" w:rsidRDefault="00A22A2B">
      <w:pPr>
        <w:spacing w:line="360" w:lineRule="auto"/>
        <w:ind w:left="720" w:hanging="720"/>
        <w:jc w:val="both"/>
        <w:rPr>
          <w:rFonts w:ascii="Arial" w:hAnsi="Arial"/>
          <w:rtl/>
        </w:rPr>
      </w:pPr>
      <w:r>
        <w:rPr>
          <w:rFonts w:ascii="Arial" w:hAnsi="Arial" w:hint="cs"/>
          <w:rtl/>
        </w:rPr>
        <w:t>8.</w:t>
      </w:r>
      <w:r>
        <w:rPr>
          <w:rFonts w:ascii="Arial" w:hAnsi="Arial" w:hint="cs"/>
          <w:rtl/>
        </w:rPr>
        <w:tab/>
        <w:t xml:space="preserve">ב"כ המאשימה הציג בפני ביהמ"ש אסופת פסיקה (שהמנחה ביניהם הוא </w:t>
      </w:r>
      <w:hyperlink r:id="rId13" w:history="1">
        <w:r w:rsidR="00F32D83" w:rsidRPr="00F32D83">
          <w:rPr>
            <w:rStyle w:val="Hyperlink"/>
            <w:rFonts w:ascii="Arial" w:hAnsi="Arial"/>
            <w:rtl/>
          </w:rPr>
          <w:t>ע"פ 7655/12</w:t>
        </w:r>
      </w:hyperlink>
      <w:r>
        <w:rPr>
          <w:rFonts w:ascii="Arial" w:hAnsi="Arial" w:hint="cs"/>
          <w:rtl/>
        </w:rPr>
        <w:t xml:space="preserve"> אדריס פייסל נ' מדינת ישראל), שם, הטיל ביהמ"ש העליון 20 חודשי מאסר בפועל לנאשם שפעל ביחד עם אחרים וריסס תרסיס על פניו של מתלונן, וזאת בשים לב בכך שלא היה מדובר בעבירה מתוכננת, הנזק שנגרם למתלונן לא היה חמור, ולנאשם לא היה עבר פלילי, וזאת על אף הפיצוי הגבוה ששולם למתלונן.</w:t>
      </w:r>
    </w:p>
    <w:p w14:paraId="54BC2BCC" w14:textId="77777777" w:rsidR="009D7C38" w:rsidRDefault="009D7C38">
      <w:pPr>
        <w:spacing w:line="360" w:lineRule="auto"/>
        <w:ind w:left="720" w:hanging="720"/>
        <w:jc w:val="both"/>
        <w:rPr>
          <w:rFonts w:ascii="Arial" w:hAnsi="Arial"/>
          <w:rtl/>
        </w:rPr>
      </w:pPr>
    </w:p>
    <w:p w14:paraId="51E906AD" w14:textId="77777777" w:rsidR="009D7C38" w:rsidRDefault="00A22A2B">
      <w:pPr>
        <w:spacing w:line="360" w:lineRule="auto"/>
        <w:ind w:left="720" w:hanging="720"/>
        <w:jc w:val="both"/>
        <w:rPr>
          <w:rFonts w:ascii="Arial" w:hAnsi="Arial"/>
          <w:rtl/>
        </w:rPr>
      </w:pPr>
      <w:r>
        <w:rPr>
          <w:rFonts w:ascii="Arial" w:hAnsi="Arial" w:hint="cs"/>
          <w:rtl/>
        </w:rPr>
        <w:t>9.</w:t>
      </w:r>
      <w:r>
        <w:rPr>
          <w:rFonts w:ascii="Arial" w:hAnsi="Arial" w:hint="cs"/>
          <w:rtl/>
        </w:rPr>
        <w:tab/>
        <w:t xml:space="preserve">ב"כ הנאשם מסכים עם ב"כ המאשימה כי מדובר בהתנהגות בריונית ועבירה חמורה, אלא שלדעתו, עקב גילו של הנאשם (18 וחצי), היכרותו המוקדמת עם המתלוננים שאפשרה לו לשבת עמם ולעשן נרגילה, הודאתו במסגרת הסדר טיעון, בעיות הבריאות מהן הוא סובל, לרבות העיוות בצורת דיבורו וליקויי הלמידה שלו, ונטילת אחריות על-ידו למעשיו </w:t>
      </w:r>
      <w:r>
        <w:rPr>
          <w:rFonts w:ascii="Arial" w:hAnsi="Arial"/>
          <w:rtl/>
        </w:rPr>
        <w:t>–</w:t>
      </w:r>
      <w:r>
        <w:rPr>
          <w:rFonts w:ascii="Arial" w:hAnsi="Arial" w:hint="cs"/>
          <w:rtl/>
        </w:rPr>
        <w:t xml:space="preserve"> כל אלה יש בהם כדי להביא להקלה בעונשו. על כן עתר לביהמ"ש להטיל על הנאשם עונש מאסר לריצוי בעבודות שירות.</w:t>
      </w:r>
    </w:p>
    <w:p w14:paraId="73B20551" w14:textId="77777777" w:rsidR="009D7C38" w:rsidRDefault="00A22A2B">
      <w:pPr>
        <w:spacing w:line="360" w:lineRule="auto"/>
        <w:ind w:left="720" w:hanging="720"/>
        <w:jc w:val="both"/>
        <w:rPr>
          <w:rFonts w:ascii="Arial" w:hAnsi="Arial"/>
          <w:rtl/>
        </w:rPr>
      </w:pPr>
      <w:r>
        <w:rPr>
          <w:rFonts w:ascii="Arial" w:hAnsi="Arial" w:hint="cs"/>
          <w:rtl/>
        </w:rPr>
        <w:tab/>
        <w:t>ב"כ הנאשם הציג לביהמ"ש אסופת פסקי-דין שבהם הוטלה ענישה של מאסר בעבודות שירות, אם כי מרבית המקרים אינם דומים לענייננו.</w:t>
      </w:r>
    </w:p>
    <w:p w14:paraId="0F82F8E7" w14:textId="77777777" w:rsidR="009D7C38" w:rsidRDefault="00A22A2B">
      <w:pPr>
        <w:spacing w:line="360" w:lineRule="auto"/>
        <w:ind w:left="720" w:hanging="720"/>
        <w:jc w:val="both"/>
        <w:rPr>
          <w:rFonts w:ascii="Arial" w:hAnsi="Arial"/>
          <w:rtl/>
        </w:rPr>
      </w:pPr>
      <w:r>
        <w:rPr>
          <w:rFonts w:ascii="Arial" w:hAnsi="Arial" w:hint="cs"/>
          <w:rtl/>
        </w:rPr>
        <w:tab/>
        <w:t xml:space="preserve">עוד לדבריו, לנאשם אין עבר פלילי מכביד, ועברו מתמצה בעבירה לפי </w:t>
      </w:r>
      <w:hyperlink r:id="rId14" w:history="1">
        <w:r w:rsidR="00F32D83" w:rsidRPr="00F32D83">
          <w:rPr>
            <w:rStyle w:val="Hyperlink"/>
            <w:rFonts w:ascii="Arial" w:hAnsi="Arial"/>
            <w:rtl/>
          </w:rPr>
          <w:t>פקודת הסמים המסוכנים</w:t>
        </w:r>
      </w:hyperlink>
      <w:r>
        <w:rPr>
          <w:rFonts w:ascii="Arial" w:hAnsi="Arial" w:hint="cs"/>
          <w:rtl/>
        </w:rPr>
        <w:t xml:space="preserve"> שבוצעה בעת שהיה מכור לסמים. כיום לדבריו, הוא אינו מכור עוד לסם, והוא מביע צער וחרטה על מעשיו.</w:t>
      </w:r>
    </w:p>
    <w:p w14:paraId="2E936ECA" w14:textId="77777777" w:rsidR="009D7C38" w:rsidRDefault="009D7C38">
      <w:pPr>
        <w:spacing w:line="360" w:lineRule="auto"/>
        <w:ind w:left="720" w:hanging="720"/>
        <w:jc w:val="both"/>
        <w:rPr>
          <w:rFonts w:ascii="Arial" w:hAnsi="Arial"/>
          <w:rtl/>
        </w:rPr>
      </w:pPr>
    </w:p>
    <w:p w14:paraId="690E100D" w14:textId="77777777" w:rsidR="009D7C38" w:rsidRDefault="00A22A2B">
      <w:pPr>
        <w:spacing w:line="360" w:lineRule="auto"/>
        <w:ind w:left="720" w:hanging="720"/>
        <w:jc w:val="both"/>
        <w:rPr>
          <w:rFonts w:ascii="Arial" w:hAnsi="Arial"/>
          <w:rtl/>
        </w:rPr>
      </w:pPr>
      <w:r>
        <w:rPr>
          <w:rFonts w:ascii="Arial" w:hAnsi="Arial" w:hint="cs"/>
          <w:rtl/>
        </w:rPr>
        <w:tab/>
        <w:t xml:space="preserve">משפחתו של הנאשם התגייסה עבורו והפקידה סכום כסף בלתי מבוטל </w:t>
      </w:r>
      <w:r>
        <w:rPr>
          <w:rFonts w:ascii="Arial" w:hAnsi="Arial"/>
          <w:rtl/>
        </w:rPr>
        <w:t>–</w:t>
      </w:r>
      <w:r>
        <w:rPr>
          <w:rFonts w:ascii="Arial" w:hAnsi="Arial" w:hint="cs"/>
          <w:rtl/>
        </w:rPr>
        <w:t xml:space="preserve"> סך של 20,000 ₪ כפיצוי למתלוננים, וזאת על אף מצבם הכלכלי הקשה, וכל זאת על-מנת לחלץ את הנאשם מבית האסורים.</w:t>
      </w:r>
    </w:p>
    <w:p w14:paraId="5B8AA64D" w14:textId="77777777" w:rsidR="009D7C38" w:rsidRDefault="009D7C38">
      <w:pPr>
        <w:spacing w:line="360" w:lineRule="auto"/>
        <w:ind w:left="720" w:hanging="720"/>
        <w:jc w:val="both"/>
        <w:rPr>
          <w:rFonts w:ascii="Arial" w:hAnsi="Arial"/>
          <w:rtl/>
        </w:rPr>
      </w:pPr>
    </w:p>
    <w:p w14:paraId="711AC12B" w14:textId="77777777" w:rsidR="009D7C38" w:rsidRDefault="00A22A2B">
      <w:pPr>
        <w:spacing w:line="360" w:lineRule="auto"/>
        <w:ind w:left="720" w:hanging="720"/>
        <w:jc w:val="both"/>
        <w:rPr>
          <w:rFonts w:ascii="Arial" w:hAnsi="Arial"/>
          <w:rtl/>
        </w:rPr>
      </w:pPr>
      <w:r>
        <w:rPr>
          <w:rFonts w:ascii="Arial" w:hAnsi="Arial" w:hint="cs"/>
          <w:rtl/>
        </w:rPr>
        <w:t>10.</w:t>
      </w:r>
      <w:r>
        <w:rPr>
          <w:rFonts w:ascii="Arial" w:hAnsi="Arial" w:hint="cs"/>
          <w:rtl/>
        </w:rPr>
        <w:tab/>
        <w:t>הנאשם נשא אף הוא את דברו, וטען כי עשה טעות. הוא הבטיח לביהמ"ש כי "</w:t>
      </w:r>
      <w:r>
        <w:rPr>
          <w:rFonts w:ascii="Arial" w:hAnsi="Arial" w:hint="cs"/>
          <w:b/>
          <w:bCs/>
          <w:rtl/>
        </w:rPr>
        <w:t>זו הפעם האחרונה שאני מגיע לביהמ"ש</w:t>
      </w:r>
      <w:r>
        <w:rPr>
          <w:rFonts w:ascii="Arial" w:hAnsi="Arial" w:hint="cs"/>
          <w:rtl/>
        </w:rPr>
        <w:t>", בהוסיפו שהוא ניתק את קשריו עם החברים הקודמים, ואיננו משתמש בסמים. עוד לדבריו, יש לו כישרון בתחום הספרות, ובכוונתו להתחיל לעבוד בתחום זה.</w:t>
      </w:r>
    </w:p>
    <w:p w14:paraId="2A718FB9" w14:textId="77777777" w:rsidR="009D7C38" w:rsidRDefault="009D7C38">
      <w:pPr>
        <w:spacing w:line="360" w:lineRule="auto"/>
        <w:ind w:left="720" w:hanging="720"/>
        <w:jc w:val="both"/>
        <w:rPr>
          <w:rFonts w:ascii="Arial" w:hAnsi="Arial"/>
          <w:rtl/>
        </w:rPr>
      </w:pPr>
    </w:p>
    <w:p w14:paraId="61A384D8" w14:textId="77777777" w:rsidR="009D7C38" w:rsidRDefault="00A22A2B">
      <w:pPr>
        <w:spacing w:line="360" w:lineRule="auto"/>
        <w:ind w:left="720" w:hanging="720"/>
        <w:jc w:val="both"/>
        <w:rPr>
          <w:rFonts w:ascii="Arial" w:hAnsi="Arial"/>
          <w:rtl/>
        </w:rPr>
      </w:pPr>
      <w:r>
        <w:rPr>
          <w:rFonts w:ascii="Arial" w:hAnsi="Arial" w:hint="cs"/>
          <w:sz w:val="28"/>
          <w:szCs w:val="28"/>
          <w:rtl/>
        </w:rPr>
        <w:t>ו.</w:t>
      </w:r>
      <w:r>
        <w:rPr>
          <w:rFonts w:ascii="Arial" w:hAnsi="Arial" w:hint="cs"/>
          <w:sz w:val="28"/>
          <w:szCs w:val="28"/>
          <w:rtl/>
        </w:rPr>
        <w:tab/>
      </w:r>
      <w:r>
        <w:rPr>
          <w:rFonts w:ascii="Arial" w:hAnsi="Arial" w:hint="cs"/>
          <w:b/>
          <w:bCs/>
          <w:sz w:val="28"/>
          <w:szCs w:val="28"/>
          <w:u w:val="single"/>
          <w:rtl/>
        </w:rPr>
        <w:t>דיון</w:t>
      </w:r>
    </w:p>
    <w:p w14:paraId="592C4E19" w14:textId="77777777" w:rsidR="009D7C38" w:rsidRDefault="009D7C38">
      <w:pPr>
        <w:spacing w:line="360" w:lineRule="auto"/>
        <w:ind w:left="720" w:hanging="720"/>
        <w:jc w:val="both"/>
        <w:rPr>
          <w:rFonts w:ascii="Arial" w:hAnsi="Arial"/>
          <w:rtl/>
        </w:rPr>
      </w:pPr>
    </w:p>
    <w:p w14:paraId="13BD0A0C" w14:textId="77777777" w:rsidR="009D7C38" w:rsidRDefault="00A22A2B">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עסקינן באיש צעיר שלא הפנים את הטיפול שניתן לו בזמנו בשירות המבחן לאחר ביצוע העבירה הראשונה של סחר בסם מסוכן. הנאשם, בנוכחות אחר, נהג כבריון בתיק דנן. </w:t>
      </w:r>
    </w:p>
    <w:p w14:paraId="56373697" w14:textId="77777777" w:rsidR="009D7C38" w:rsidRDefault="00A22A2B">
      <w:pPr>
        <w:spacing w:line="360" w:lineRule="auto"/>
        <w:ind w:left="720"/>
        <w:jc w:val="both"/>
        <w:rPr>
          <w:rFonts w:ascii="Arial" w:hAnsi="Arial"/>
          <w:rtl/>
        </w:rPr>
      </w:pPr>
      <w:r>
        <w:rPr>
          <w:rFonts w:ascii="Arial" w:hAnsi="Arial" w:hint="cs"/>
          <w:rtl/>
        </w:rPr>
        <w:t xml:space="preserve">זאת ועוד, אי-מסירת פרטיו של האחר </w:t>
      </w:r>
      <w:r>
        <w:rPr>
          <w:rFonts w:ascii="Arial" w:hAnsi="Arial"/>
          <w:rtl/>
        </w:rPr>
        <w:t>–</w:t>
      </w:r>
      <w:r>
        <w:rPr>
          <w:rFonts w:ascii="Arial" w:hAnsi="Arial" w:hint="cs"/>
          <w:rtl/>
        </w:rPr>
        <w:t xml:space="preserve">יש בה כדי להחמיר עם מעשי הנאשם, שכן, לא מן הנמנע שהוא לא הסגיר את שותפו בשל פחד, אך בכך שמר לעצמו "ערוץ תקשורת" עם העולם העברייני, וגם אם הוא טוען שניתק קשריו עם החברה השולית </w:t>
      </w:r>
      <w:r>
        <w:rPr>
          <w:rFonts w:ascii="Arial" w:hAnsi="Arial"/>
          <w:rtl/>
        </w:rPr>
        <w:t>–</w:t>
      </w:r>
      <w:r>
        <w:rPr>
          <w:rFonts w:ascii="Arial" w:hAnsi="Arial" w:hint="cs"/>
          <w:rtl/>
        </w:rPr>
        <w:t xml:space="preserve"> יכול וקשרים אלו יתחדשו בשל אי-מסירת שמו של השותף.</w:t>
      </w:r>
    </w:p>
    <w:p w14:paraId="1F361C98" w14:textId="77777777" w:rsidR="009D7C38" w:rsidRDefault="009D7C38">
      <w:pPr>
        <w:spacing w:line="360" w:lineRule="auto"/>
        <w:jc w:val="both"/>
        <w:rPr>
          <w:rFonts w:ascii="Arial" w:hAnsi="Arial"/>
          <w:rtl/>
        </w:rPr>
      </w:pPr>
    </w:p>
    <w:p w14:paraId="79F3AF9C" w14:textId="77777777" w:rsidR="009D7C38" w:rsidRDefault="00A22A2B">
      <w:pPr>
        <w:spacing w:line="360" w:lineRule="auto"/>
        <w:ind w:left="720" w:hanging="720"/>
        <w:jc w:val="both"/>
        <w:rPr>
          <w:rFonts w:ascii="Arial" w:hAnsi="Arial"/>
          <w:rtl/>
        </w:rPr>
      </w:pPr>
      <w:r>
        <w:rPr>
          <w:rFonts w:ascii="Arial" w:hAnsi="Arial" w:hint="cs"/>
          <w:rtl/>
        </w:rPr>
        <w:t>12.</w:t>
      </w:r>
      <w:r>
        <w:rPr>
          <w:rFonts w:ascii="Arial" w:hAnsi="Arial" w:hint="cs"/>
          <w:rtl/>
        </w:rPr>
        <w:tab/>
        <w:t>מתחם הענישה שנקבע ע"י הצדדים בהסדר הטיעון נע בין 6 חודשי עבודות שירות ל-18 חודשי מאסר בפועל.</w:t>
      </w:r>
    </w:p>
    <w:p w14:paraId="14A4DCF3" w14:textId="77777777" w:rsidR="009D7C38" w:rsidRDefault="009D7C38">
      <w:pPr>
        <w:spacing w:line="360" w:lineRule="auto"/>
        <w:ind w:left="720" w:hanging="720"/>
        <w:jc w:val="both"/>
        <w:rPr>
          <w:rFonts w:ascii="Arial" w:hAnsi="Arial"/>
          <w:rtl/>
        </w:rPr>
      </w:pPr>
    </w:p>
    <w:p w14:paraId="13BD11B3" w14:textId="77777777" w:rsidR="009D7C38" w:rsidRDefault="00A22A2B">
      <w:pPr>
        <w:spacing w:line="360" w:lineRule="auto"/>
        <w:ind w:left="720" w:hanging="720"/>
        <w:jc w:val="both"/>
        <w:rPr>
          <w:rFonts w:ascii="Arial" w:hAnsi="Arial"/>
          <w:rtl/>
        </w:rPr>
      </w:pPr>
      <w:r>
        <w:rPr>
          <w:rFonts w:ascii="Arial" w:hAnsi="Arial" w:hint="cs"/>
          <w:rtl/>
        </w:rPr>
        <w:tab/>
        <w:t xml:space="preserve">אין ספק כי העבירות שבוצעו ע"י הנאשם </w:t>
      </w:r>
      <w:r>
        <w:rPr>
          <w:rFonts w:ascii="Arial" w:hAnsi="Arial"/>
          <w:rtl/>
        </w:rPr>
        <w:t>–</w:t>
      </w:r>
      <w:r>
        <w:rPr>
          <w:rFonts w:ascii="Arial" w:hAnsi="Arial" w:hint="cs"/>
          <w:rtl/>
        </w:rPr>
        <w:t xml:space="preserve"> חמורות, וענישה של מאסר מאחורי סורג ובריח תהא ענישה הולמת עבור מעשים אלו.</w:t>
      </w:r>
    </w:p>
    <w:p w14:paraId="575CB513" w14:textId="77777777" w:rsidR="009D7C38" w:rsidRDefault="00A22A2B">
      <w:pPr>
        <w:spacing w:line="360" w:lineRule="auto"/>
        <w:jc w:val="both"/>
        <w:rPr>
          <w:rFonts w:ascii="Arial" w:hAnsi="Arial"/>
          <w:rtl/>
        </w:rPr>
      </w:pPr>
      <w:r>
        <w:rPr>
          <w:rFonts w:ascii="Arial" w:hAnsi="Arial" w:hint="cs"/>
          <w:rtl/>
        </w:rPr>
        <w:tab/>
        <w:t>הנאשם ניסה לשכנע את ביהמ"ש כי כיום הוא נוטל אחריות למעשיו, והוא לא ישוב לבצעם.</w:t>
      </w:r>
    </w:p>
    <w:p w14:paraId="1A9B8AD2" w14:textId="77777777" w:rsidR="009D7C38" w:rsidRDefault="00A22A2B">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התלבטתי לא מעט בעניין ענישתו של הנאשם בתיק דנן, שכן, מדובר בצעיר לימים, שאישיותו טרם גובשה, ויכול ולהבטחתו שלא ישוב לביצוע מעשי עבירה </w:t>
      </w:r>
      <w:r>
        <w:rPr>
          <w:rFonts w:ascii="Arial" w:hAnsi="Arial"/>
          <w:rtl/>
        </w:rPr>
        <w:t>–</w:t>
      </w:r>
      <w:r>
        <w:rPr>
          <w:rFonts w:ascii="Arial" w:hAnsi="Arial" w:hint="cs"/>
          <w:rtl/>
        </w:rPr>
        <w:t xml:space="preserve"> יהא אכן כיסוי, הגם ששירות המבחן לא מצא לנכון להמליץ על מאסר לריצוי בעבודות שירות.</w:t>
      </w:r>
    </w:p>
    <w:p w14:paraId="5C2969DD" w14:textId="77777777" w:rsidR="009D7C38" w:rsidRDefault="009D7C38">
      <w:pPr>
        <w:spacing w:line="360" w:lineRule="auto"/>
        <w:ind w:left="720" w:hanging="720"/>
        <w:jc w:val="both"/>
        <w:rPr>
          <w:rFonts w:ascii="Arial" w:hAnsi="Arial"/>
          <w:rtl/>
        </w:rPr>
      </w:pPr>
    </w:p>
    <w:p w14:paraId="3BCF1961" w14:textId="77777777" w:rsidR="009D7C38" w:rsidRDefault="00A22A2B">
      <w:pPr>
        <w:spacing w:line="360" w:lineRule="auto"/>
        <w:ind w:left="720" w:hanging="720"/>
        <w:jc w:val="both"/>
        <w:rPr>
          <w:rFonts w:ascii="Arial" w:hAnsi="Arial"/>
          <w:rtl/>
        </w:rPr>
      </w:pPr>
      <w:r>
        <w:rPr>
          <w:rFonts w:ascii="Arial" w:hAnsi="Arial" w:hint="cs"/>
          <w:rtl/>
        </w:rPr>
        <w:t>14.</w:t>
      </w:r>
      <w:r>
        <w:rPr>
          <w:rFonts w:ascii="Arial" w:hAnsi="Arial" w:hint="cs"/>
          <w:rtl/>
        </w:rPr>
        <w:tab/>
        <w:t>סביר להניח ששליחתו של הנאשם היום לתקופת מאסר בפועל בת 18 חודשים תפנים אצלו נורמות עברייניות, ולא ניתן יהא להחזירו למוטב.</w:t>
      </w:r>
    </w:p>
    <w:p w14:paraId="130D6CC4" w14:textId="77777777" w:rsidR="009D7C38" w:rsidRDefault="00A22A2B">
      <w:pPr>
        <w:spacing w:line="360" w:lineRule="auto"/>
        <w:ind w:left="720" w:hanging="720"/>
        <w:jc w:val="both"/>
        <w:rPr>
          <w:rFonts w:ascii="Arial" w:hAnsi="Arial"/>
          <w:rtl/>
        </w:rPr>
      </w:pPr>
      <w:r>
        <w:rPr>
          <w:rFonts w:ascii="Arial" w:hAnsi="Arial" w:hint="cs"/>
          <w:rtl/>
        </w:rPr>
        <w:tab/>
        <w:t xml:space="preserve">לעומת זאת, בגילו הצעיר (18 וחצי שנים) אם יבצע עבודות שירות ואח"כ יצטרך לעבוד ולהחזיר את כספי הפיצוי שמשפחתו אספה עבורו, אזי בצד מאסר על-תנאי ופיצוי </w:t>
      </w:r>
      <w:r>
        <w:rPr>
          <w:rFonts w:ascii="Arial" w:hAnsi="Arial"/>
          <w:rtl/>
        </w:rPr>
        <w:t>–</w:t>
      </w:r>
      <w:r>
        <w:rPr>
          <w:rFonts w:ascii="Arial" w:hAnsi="Arial" w:hint="cs"/>
          <w:rtl/>
        </w:rPr>
        <w:t xml:space="preserve"> יש סיכוי שבפעם זו יפנים את הלקח.</w:t>
      </w:r>
    </w:p>
    <w:p w14:paraId="05125C78" w14:textId="77777777" w:rsidR="009D7C38" w:rsidRDefault="009D7C38">
      <w:pPr>
        <w:spacing w:line="360" w:lineRule="auto"/>
        <w:ind w:left="720" w:hanging="720"/>
        <w:jc w:val="both"/>
        <w:rPr>
          <w:rFonts w:ascii="Arial" w:hAnsi="Arial"/>
          <w:rtl/>
        </w:rPr>
      </w:pPr>
    </w:p>
    <w:p w14:paraId="2C722317" w14:textId="77777777" w:rsidR="009D7C38" w:rsidRDefault="00A22A2B">
      <w:pPr>
        <w:spacing w:line="360" w:lineRule="auto"/>
        <w:ind w:left="720" w:hanging="720"/>
        <w:jc w:val="both"/>
        <w:rPr>
          <w:rFonts w:ascii="Arial" w:hAnsi="Arial"/>
          <w:rtl/>
        </w:rPr>
      </w:pPr>
      <w:r>
        <w:rPr>
          <w:rFonts w:ascii="Arial" w:hAnsi="Arial" w:hint="cs"/>
          <w:rtl/>
        </w:rPr>
        <w:t>15.</w:t>
      </w:r>
      <w:r>
        <w:rPr>
          <w:rFonts w:ascii="Arial" w:hAnsi="Arial" w:hint="cs"/>
          <w:rtl/>
        </w:rPr>
        <w:tab/>
        <w:t>לאור כל המקובץ לעיל, החלטתי לפנים משורת הדין, להטיל על הנאשם כדלקמן:</w:t>
      </w:r>
    </w:p>
    <w:p w14:paraId="31B8E560" w14:textId="77777777" w:rsidR="009D7C38" w:rsidRDefault="009D7C38">
      <w:pPr>
        <w:spacing w:line="360" w:lineRule="auto"/>
        <w:ind w:left="720" w:hanging="720"/>
        <w:jc w:val="both"/>
        <w:rPr>
          <w:rFonts w:ascii="Arial" w:hAnsi="Arial"/>
          <w:sz w:val="12"/>
          <w:szCs w:val="12"/>
          <w:rtl/>
        </w:rPr>
      </w:pPr>
    </w:p>
    <w:p w14:paraId="1D445A4F" w14:textId="77777777" w:rsidR="009D7C38" w:rsidRDefault="00A22A2B">
      <w:pPr>
        <w:spacing w:line="360" w:lineRule="auto"/>
        <w:ind w:left="1440" w:hanging="720"/>
        <w:jc w:val="both"/>
        <w:rPr>
          <w:rFonts w:ascii="Arial" w:hAnsi="Arial"/>
          <w:rtl/>
        </w:rPr>
      </w:pPr>
      <w:r>
        <w:rPr>
          <w:rFonts w:ascii="Arial" w:hAnsi="Arial" w:hint="cs"/>
          <w:rtl/>
        </w:rPr>
        <w:t>א)</w:t>
      </w:r>
      <w:r>
        <w:rPr>
          <w:rFonts w:ascii="Arial" w:hAnsi="Arial" w:hint="cs"/>
          <w:rtl/>
        </w:rPr>
        <w:tab/>
        <w:t>6 חודשי מאסר לריצוי בעבודות שירות ב"בית לשובע", רח' צ'לנוב 18 ת"א בימים א'-ה', 8.5 שעות עבודה יומיות.</w:t>
      </w:r>
    </w:p>
    <w:p w14:paraId="624958A5" w14:textId="77777777" w:rsidR="009D7C38" w:rsidRDefault="00A22A2B">
      <w:pPr>
        <w:spacing w:line="360" w:lineRule="auto"/>
        <w:ind w:left="1440" w:hanging="720"/>
        <w:jc w:val="both"/>
        <w:rPr>
          <w:rFonts w:ascii="Arial" w:hAnsi="Arial"/>
          <w:rtl/>
        </w:rPr>
      </w:pPr>
      <w:r>
        <w:rPr>
          <w:rFonts w:ascii="Arial" w:hAnsi="Arial" w:hint="cs"/>
          <w:rtl/>
        </w:rPr>
        <w:tab/>
        <w:t xml:space="preserve">הנאשם יתייצב לתחילת ריצוי עבודות השירות בתאריך 05.11.2013 שעה 08:00 במשרדי הממונה על עבודות השירות </w:t>
      </w:r>
      <w:r>
        <w:rPr>
          <w:rFonts w:ascii="Arial" w:hAnsi="Arial"/>
          <w:rtl/>
        </w:rPr>
        <w:t>–</w:t>
      </w:r>
      <w:r>
        <w:rPr>
          <w:rFonts w:ascii="Arial" w:hAnsi="Arial" w:hint="cs"/>
          <w:rtl/>
        </w:rPr>
        <w:t xml:space="preserve"> מפקדת מחוז מרכז.</w:t>
      </w:r>
    </w:p>
    <w:p w14:paraId="32DAAAE0" w14:textId="77777777" w:rsidR="009D7C38" w:rsidRDefault="009D7C38">
      <w:pPr>
        <w:spacing w:line="360" w:lineRule="auto"/>
        <w:ind w:left="1440" w:hanging="720"/>
        <w:jc w:val="both"/>
        <w:rPr>
          <w:rFonts w:ascii="Arial" w:hAnsi="Arial"/>
          <w:sz w:val="10"/>
          <w:szCs w:val="10"/>
          <w:rtl/>
        </w:rPr>
      </w:pPr>
    </w:p>
    <w:p w14:paraId="09DA33A9" w14:textId="77777777" w:rsidR="009D7C38" w:rsidRDefault="00A22A2B">
      <w:pPr>
        <w:spacing w:line="360" w:lineRule="auto"/>
        <w:ind w:left="1440" w:hanging="720"/>
        <w:jc w:val="both"/>
        <w:rPr>
          <w:rFonts w:ascii="Arial" w:hAnsi="Arial"/>
          <w:rtl/>
        </w:rPr>
      </w:pPr>
      <w:r>
        <w:rPr>
          <w:rFonts w:ascii="Arial" w:hAnsi="Arial" w:hint="cs"/>
          <w:rtl/>
        </w:rPr>
        <w:tab/>
        <w:t>תשומת לב הנאשם להערת הממונה על עבודות השירות, לפיה "</w:t>
      </w:r>
      <w:r>
        <w:rPr>
          <w:rFonts w:ascii="Arial" w:hAnsi="Arial" w:hint="cs"/>
          <w:b/>
          <w:bCs/>
          <w:rtl/>
        </w:rPr>
        <w:t>מדובר בתנאי העסקה קפדניים ונוקשים, וכל חריגה מכללים אלו יש בה כדי להפסיק את עבודות השירות</w:t>
      </w:r>
      <w:r>
        <w:rPr>
          <w:rFonts w:ascii="Arial" w:hAnsi="Arial" w:hint="cs"/>
          <w:rtl/>
        </w:rPr>
        <w:t>".</w:t>
      </w:r>
    </w:p>
    <w:p w14:paraId="12FC9D89" w14:textId="77777777" w:rsidR="009D7C38" w:rsidRDefault="009D7C38">
      <w:pPr>
        <w:spacing w:line="360" w:lineRule="auto"/>
        <w:ind w:left="1440" w:hanging="720"/>
        <w:jc w:val="both"/>
        <w:rPr>
          <w:rFonts w:ascii="Arial" w:hAnsi="Arial"/>
          <w:sz w:val="10"/>
          <w:szCs w:val="10"/>
          <w:rtl/>
        </w:rPr>
      </w:pPr>
    </w:p>
    <w:p w14:paraId="00343AA9" w14:textId="77777777" w:rsidR="009D7C38" w:rsidRDefault="00A22A2B">
      <w:pPr>
        <w:spacing w:line="360" w:lineRule="auto"/>
        <w:ind w:left="1440" w:hanging="720"/>
        <w:jc w:val="both"/>
        <w:rPr>
          <w:rFonts w:ascii="Arial" w:hAnsi="Arial"/>
          <w:rtl/>
        </w:rPr>
      </w:pPr>
      <w:r>
        <w:rPr>
          <w:rFonts w:ascii="Arial" w:hAnsi="Arial" w:hint="cs"/>
          <w:rtl/>
        </w:rPr>
        <w:t>ב)</w:t>
      </w:r>
      <w:r>
        <w:rPr>
          <w:rFonts w:ascii="Arial" w:hAnsi="Arial" w:hint="cs"/>
          <w:rtl/>
        </w:rPr>
        <w:tab/>
        <w:t>12 חודשי מאסר על-תנאי, והתנאי הוא שלא יעבור העבירה בה הורשע או כל עבירת אלימות מסוג פשע, וזאת תוך שלוש שנים מתום ריצוי עבודות השירות.</w:t>
      </w:r>
    </w:p>
    <w:p w14:paraId="6EBB071C" w14:textId="77777777" w:rsidR="009D7C38" w:rsidRDefault="009D7C38">
      <w:pPr>
        <w:spacing w:line="360" w:lineRule="auto"/>
        <w:ind w:left="1440" w:hanging="720"/>
        <w:jc w:val="both"/>
        <w:rPr>
          <w:rFonts w:ascii="Arial" w:hAnsi="Arial"/>
          <w:sz w:val="10"/>
          <w:szCs w:val="10"/>
          <w:rtl/>
        </w:rPr>
      </w:pPr>
    </w:p>
    <w:p w14:paraId="180CB357" w14:textId="77777777" w:rsidR="009D7C38" w:rsidRDefault="00A22A2B">
      <w:pPr>
        <w:spacing w:line="360" w:lineRule="auto"/>
        <w:ind w:left="1440" w:hanging="720"/>
        <w:jc w:val="both"/>
        <w:rPr>
          <w:rFonts w:ascii="Arial" w:hAnsi="Arial"/>
          <w:rtl/>
        </w:rPr>
      </w:pPr>
      <w:r>
        <w:rPr>
          <w:rFonts w:ascii="Arial" w:hAnsi="Arial" w:hint="cs"/>
          <w:rtl/>
        </w:rPr>
        <w:t>ג)</w:t>
      </w:r>
      <w:r>
        <w:rPr>
          <w:rFonts w:ascii="Arial" w:hAnsi="Arial" w:hint="cs"/>
          <w:rtl/>
        </w:rPr>
        <w:tab/>
        <w:t>תשלום פיצוי בסך 20,000 ₪ אשר הופקד ע"י הנאשם.</w:t>
      </w:r>
    </w:p>
    <w:p w14:paraId="3A48BD57" w14:textId="77777777" w:rsidR="009D7C38" w:rsidRDefault="00A22A2B">
      <w:pPr>
        <w:spacing w:line="360" w:lineRule="auto"/>
        <w:ind w:left="1440" w:hanging="720"/>
        <w:jc w:val="both"/>
        <w:rPr>
          <w:rFonts w:ascii="Arial" w:hAnsi="Arial"/>
          <w:rtl/>
        </w:rPr>
      </w:pPr>
      <w:r>
        <w:rPr>
          <w:rFonts w:ascii="Arial" w:hAnsi="Arial" w:hint="cs"/>
          <w:rtl/>
        </w:rPr>
        <w:tab/>
        <w:t xml:space="preserve">הפיצוי יועבר בחלוקה שווה ע"י מזכירות ביהמ"ש למתלוננים ששמם הוזכר   בסעיף 1 לכתב האישום. </w:t>
      </w:r>
    </w:p>
    <w:p w14:paraId="139476F1" w14:textId="77777777" w:rsidR="009D7C38" w:rsidRDefault="00A22A2B">
      <w:pPr>
        <w:spacing w:line="360" w:lineRule="auto"/>
        <w:ind w:left="1440"/>
        <w:jc w:val="both"/>
        <w:rPr>
          <w:rFonts w:ascii="Arial" w:hAnsi="Arial"/>
          <w:rtl/>
        </w:rPr>
      </w:pPr>
      <w:r>
        <w:rPr>
          <w:rFonts w:ascii="Arial" w:hAnsi="Arial" w:hint="cs"/>
          <w:rtl/>
        </w:rPr>
        <w:t>ב"כ המאשימה יעביר את כתובתם העדכנית של המתלוננים למזכירות ביהמ"ש.</w:t>
      </w:r>
    </w:p>
    <w:p w14:paraId="41A3C834" w14:textId="77777777" w:rsidR="009D7C38" w:rsidRDefault="009D7C38">
      <w:pPr>
        <w:spacing w:line="360" w:lineRule="auto"/>
        <w:ind w:left="1440"/>
        <w:jc w:val="both"/>
        <w:rPr>
          <w:rFonts w:ascii="Arial" w:hAnsi="Arial"/>
          <w:sz w:val="16"/>
          <w:szCs w:val="16"/>
          <w:rtl/>
        </w:rPr>
      </w:pPr>
    </w:p>
    <w:p w14:paraId="434445C3" w14:textId="77777777" w:rsidR="009D7C38" w:rsidRDefault="00A22A2B">
      <w:pPr>
        <w:spacing w:line="360" w:lineRule="auto"/>
        <w:jc w:val="both"/>
        <w:rPr>
          <w:rFonts w:ascii="Arial" w:hAnsi="Arial"/>
          <w:b/>
          <w:bCs/>
          <w:rtl/>
        </w:rPr>
      </w:pPr>
      <w:r>
        <w:rPr>
          <w:rFonts w:ascii="Arial" w:hAnsi="Arial" w:hint="cs"/>
          <w:b/>
          <w:bCs/>
          <w:rtl/>
        </w:rPr>
        <w:t>הודע לנאשם על זכותו לערער על גזר-הדין לביהמ"ש העליון תוך 45 ימים.</w:t>
      </w:r>
    </w:p>
    <w:p w14:paraId="2D351FA2" w14:textId="77777777" w:rsidR="009D7C38" w:rsidRDefault="00A22A2B">
      <w:pPr>
        <w:rPr>
          <w:rtl/>
        </w:rPr>
      </w:pPr>
      <w:r w:rsidRPr="00A22A2B">
        <w:rPr>
          <w:rFonts w:ascii="Arial" w:hAnsi="Arial"/>
          <w:color w:val="FFFFFF"/>
          <w:sz w:val="2"/>
          <w:szCs w:val="2"/>
          <w:rtl/>
        </w:rPr>
        <w:t>5129371</w:t>
      </w:r>
      <w:r>
        <w:rPr>
          <w:rFonts w:ascii="Arial" w:hAnsi="Arial"/>
          <w:rtl/>
        </w:rPr>
        <w:t xml:space="preserve">ניתן היום,  כ"ד חשון תשע"ד, 28 אוקטובר 2013, בנוכחות הצדדים. </w:t>
      </w:r>
    </w:p>
    <w:tbl>
      <w:tblPr>
        <w:bidiVisual/>
        <w:tblW w:w="0" w:type="auto"/>
        <w:tblInd w:w="6509" w:type="dxa"/>
        <w:tblLook w:val="01E0" w:firstRow="1" w:lastRow="1" w:firstColumn="1" w:lastColumn="1" w:noHBand="0" w:noVBand="0"/>
      </w:tblPr>
      <w:tblGrid>
        <w:gridCol w:w="2012"/>
      </w:tblGrid>
      <w:tr w:rsidR="009D7C38" w14:paraId="51DCB065" w14:textId="77777777">
        <w:trPr>
          <w:trHeight w:val="820"/>
        </w:trPr>
        <w:tc>
          <w:tcPr>
            <w:tcW w:w="2012" w:type="dxa"/>
            <w:tcBorders>
              <w:top w:val="nil"/>
              <w:left w:val="nil"/>
              <w:bottom w:val="single" w:sz="4" w:space="0" w:color="auto"/>
              <w:right w:val="nil"/>
            </w:tcBorders>
            <w:vAlign w:val="center"/>
          </w:tcPr>
          <w:p w14:paraId="6A0B62DD" w14:textId="77777777" w:rsidR="009D7C38" w:rsidRPr="00A22A2B" w:rsidRDefault="00A22A2B">
            <w:pPr>
              <w:jc w:val="center"/>
              <w:rPr>
                <w:rFonts w:ascii="Courier New" w:hAnsi="Courier New"/>
                <w:b/>
                <w:bCs/>
                <w:color w:val="FFFFFF"/>
                <w:sz w:val="2"/>
                <w:szCs w:val="2"/>
              </w:rPr>
            </w:pPr>
            <w:r w:rsidRPr="00A22A2B">
              <w:rPr>
                <w:rFonts w:ascii="Courier New" w:hAnsi="Courier New"/>
                <w:b/>
                <w:bCs/>
                <w:color w:val="FFFFFF"/>
                <w:sz w:val="2"/>
                <w:szCs w:val="2"/>
                <w:rtl/>
              </w:rPr>
              <w:t>54678313</w:t>
            </w:r>
          </w:p>
        </w:tc>
      </w:tr>
      <w:tr w:rsidR="009D7C38" w14:paraId="6673A824" w14:textId="77777777">
        <w:trPr>
          <w:trHeight w:val="91"/>
        </w:trPr>
        <w:tc>
          <w:tcPr>
            <w:tcW w:w="2012" w:type="dxa"/>
            <w:tcBorders>
              <w:top w:val="single" w:sz="4" w:space="0" w:color="auto"/>
              <w:left w:val="nil"/>
              <w:bottom w:val="nil"/>
              <w:right w:val="nil"/>
            </w:tcBorders>
          </w:tcPr>
          <w:p w14:paraId="1A67F30D" w14:textId="77777777" w:rsidR="009D7C38" w:rsidRDefault="00A22A2B">
            <w:pPr>
              <w:jc w:val="center"/>
              <w:rPr>
                <w:rFonts w:ascii="Courier New" w:hAnsi="Courier New"/>
                <w:b/>
                <w:bCs/>
                <w:rtl/>
              </w:rPr>
            </w:pPr>
            <w:r>
              <w:rPr>
                <w:rFonts w:ascii="Courier New" w:hAnsi="Courier New" w:hint="cs"/>
                <w:b/>
                <w:bCs/>
                <w:rtl/>
              </w:rPr>
              <w:t>יהודית אמסטרדם, שופטת</w:t>
            </w:r>
          </w:p>
          <w:p w14:paraId="20E403D4" w14:textId="77777777" w:rsidR="009D7C38" w:rsidRDefault="009D7C38">
            <w:pPr>
              <w:rPr>
                <w:rFonts w:ascii="Courier New" w:hAnsi="Courier New"/>
                <w:b/>
                <w:bCs/>
              </w:rPr>
            </w:pPr>
          </w:p>
        </w:tc>
      </w:tr>
    </w:tbl>
    <w:p w14:paraId="7E065BE5" w14:textId="77777777" w:rsidR="009D7C38" w:rsidRPr="00111B4E" w:rsidRDefault="00111B4E">
      <w:pPr>
        <w:rPr>
          <w:color w:val="FFFFFF"/>
          <w:sz w:val="2"/>
          <w:szCs w:val="2"/>
        </w:rPr>
      </w:pPr>
      <w:r w:rsidRPr="00111B4E">
        <w:rPr>
          <w:color w:val="FFFFFF"/>
          <w:sz w:val="2"/>
          <w:szCs w:val="2"/>
          <w:rtl/>
        </w:rPr>
        <w:t>5129371</w:t>
      </w:r>
    </w:p>
    <w:p w14:paraId="550052D5" w14:textId="77777777" w:rsidR="00A22A2B" w:rsidRPr="00111B4E" w:rsidRDefault="00111B4E" w:rsidP="00A22A2B">
      <w:pPr>
        <w:keepNext/>
        <w:rPr>
          <w:rFonts w:ascii="David" w:hAnsi="David"/>
          <w:color w:val="FFFFFF"/>
          <w:sz w:val="2"/>
          <w:szCs w:val="2"/>
          <w:rtl/>
        </w:rPr>
      </w:pPr>
      <w:r w:rsidRPr="00111B4E">
        <w:rPr>
          <w:rFonts w:ascii="David" w:hAnsi="David"/>
          <w:color w:val="FFFFFF"/>
          <w:sz w:val="2"/>
          <w:szCs w:val="2"/>
          <w:rtl/>
        </w:rPr>
        <w:t>54678313</w:t>
      </w:r>
    </w:p>
    <w:p w14:paraId="08768BED" w14:textId="77777777" w:rsidR="00A22A2B" w:rsidRDefault="00A22A2B" w:rsidP="00A22A2B">
      <w:pPr>
        <w:rPr>
          <w:rtl/>
        </w:rPr>
      </w:pPr>
    </w:p>
    <w:p w14:paraId="46E2AEB5" w14:textId="77777777" w:rsidR="00A22A2B" w:rsidRDefault="00A22A2B" w:rsidP="00A22A2B">
      <w:pPr>
        <w:jc w:val="center"/>
        <w:rPr>
          <w:color w:val="0000FF"/>
          <w:u w:val="single"/>
        </w:rPr>
      </w:pPr>
      <w:r w:rsidRPr="0095702A">
        <w:rPr>
          <w:color w:val="000000"/>
          <w:rtl/>
        </w:rPr>
        <w:t>בעניין עריכה ושינויים במסמכי פסיקה, חקיקה ועוד באתר נבו – הקש כאן</w:t>
      </w:r>
    </w:p>
    <w:p w14:paraId="015524A8" w14:textId="77777777" w:rsidR="00111B4E" w:rsidRPr="00111B4E" w:rsidRDefault="00111B4E" w:rsidP="00111B4E">
      <w:pPr>
        <w:keepNext/>
        <w:rPr>
          <w:rFonts w:ascii="David" w:hAnsi="David"/>
          <w:color w:val="000000"/>
          <w:sz w:val="22"/>
          <w:szCs w:val="22"/>
          <w:rtl/>
        </w:rPr>
      </w:pPr>
    </w:p>
    <w:p w14:paraId="3A6BFEC6" w14:textId="77777777" w:rsidR="00111B4E" w:rsidRPr="00111B4E" w:rsidRDefault="00111B4E" w:rsidP="00111B4E">
      <w:pPr>
        <w:keepNext/>
        <w:rPr>
          <w:rFonts w:ascii="David" w:hAnsi="David"/>
          <w:color w:val="000000"/>
          <w:sz w:val="22"/>
          <w:szCs w:val="22"/>
          <w:rtl/>
        </w:rPr>
      </w:pPr>
      <w:r w:rsidRPr="00111B4E">
        <w:rPr>
          <w:rFonts w:ascii="David" w:hAnsi="David"/>
          <w:color w:val="000000"/>
          <w:sz w:val="22"/>
          <w:szCs w:val="22"/>
          <w:rtl/>
        </w:rPr>
        <w:t>יהודית אמסטרדם 54678313-/</w:t>
      </w:r>
    </w:p>
    <w:p w14:paraId="5C19BF2E" w14:textId="77777777" w:rsidR="009D7C38" w:rsidRPr="00A22A2B" w:rsidRDefault="00111B4E" w:rsidP="00111B4E">
      <w:pPr>
        <w:rPr>
          <w:color w:val="0000FF"/>
          <w:u w:val="single"/>
        </w:rPr>
      </w:pPr>
      <w:r w:rsidRPr="00111B4E">
        <w:rPr>
          <w:color w:val="000000"/>
          <w:u w:val="single"/>
          <w:rtl/>
        </w:rPr>
        <w:t>נוסח מסמך זה כפוף לשינויי ניסוח ועריכה</w:t>
      </w:r>
    </w:p>
    <w:sectPr w:rsidR="009D7C38" w:rsidRPr="00A22A2B" w:rsidSect="00111B4E">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0E138" w14:textId="77777777" w:rsidR="00896CE8" w:rsidRPr="00126E88" w:rsidRDefault="00896CE8">
      <w:pPr>
        <w:rPr>
          <w:rFonts w:cs="Arial"/>
          <w:szCs w:val="20"/>
        </w:rPr>
      </w:pPr>
      <w:r>
        <w:separator/>
      </w:r>
    </w:p>
  </w:endnote>
  <w:endnote w:type="continuationSeparator" w:id="0">
    <w:p w14:paraId="3016AE98" w14:textId="77777777" w:rsidR="00896CE8" w:rsidRPr="00126E88" w:rsidRDefault="00896CE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C023D" w14:textId="77777777" w:rsidR="005D07C6" w:rsidRDefault="005D07C6" w:rsidP="00111B4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AEC795" w14:textId="77777777" w:rsidR="005D07C6" w:rsidRPr="00111B4E" w:rsidRDefault="005D07C6" w:rsidP="00111B4E">
    <w:pPr>
      <w:pStyle w:val="a4"/>
      <w:pBdr>
        <w:top w:val="single" w:sz="4" w:space="1" w:color="auto"/>
        <w:between w:val="single" w:sz="4" w:space="0" w:color="auto"/>
      </w:pBdr>
      <w:spacing w:after="60"/>
      <w:jc w:val="center"/>
      <w:rPr>
        <w:rFonts w:ascii="FrankRuehl" w:hAnsi="FrankRuehl" w:cs="FrankRuehl"/>
        <w:color w:val="000000"/>
      </w:rPr>
    </w:pPr>
    <w:r w:rsidRPr="00111B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10E49" w14:textId="77777777" w:rsidR="005D07C6" w:rsidRDefault="005D07C6" w:rsidP="00111B4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6774">
      <w:rPr>
        <w:rFonts w:ascii="FrankRuehl" w:hAnsi="FrankRuehl" w:cs="FrankRuehl"/>
        <w:noProof/>
        <w:rtl/>
      </w:rPr>
      <w:t>1</w:t>
    </w:r>
    <w:r>
      <w:rPr>
        <w:rFonts w:ascii="FrankRuehl" w:hAnsi="FrankRuehl" w:cs="FrankRuehl"/>
        <w:rtl/>
      </w:rPr>
      <w:fldChar w:fldCharType="end"/>
    </w:r>
  </w:p>
  <w:p w14:paraId="4B5DBD84" w14:textId="77777777" w:rsidR="005D07C6" w:rsidRPr="00111B4E" w:rsidRDefault="005D07C6" w:rsidP="00111B4E">
    <w:pPr>
      <w:pStyle w:val="a4"/>
      <w:pBdr>
        <w:top w:val="single" w:sz="4" w:space="1" w:color="auto"/>
        <w:between w:val="single" w:sz="4" w:space="0" w:color="auto"/>
      </w:pBdr>
      <w:spacing w:after="60"/>
      <w:jc w:val="center"/>
      <w:rPr>
        <w:rFonts w:ascii="FrankRuehl" w:hAnsi="FrankRuehl" w:cs="FrankRuehl"/>
        <w:color w:val="000000"/>
      </w:rPr>
    </w:pPr>
    <w:r w:rsidRPr="00111B4E">
      <w:rPr>
        <w:rFonts w:ascii="FrankRuehl" w:hAnsi="FrankRuehl" w:cs="FrankRuehl"/>
        <w:color w:val="000000"/>
      </w:rPr>
      <w:pict w14:anchorId="6480C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34A22" w14:textId="77777777" w:rsidR="00896CE8" w:rsidRPr="00126E88" w:rsidRDefault="00896CE8">
      <w:pPr>
        <w:rPr>
          <w:rFonts w:cs="Arial"/>
          <w:szCs w:val="20"/>
        </w:rPr>
      </w:pPr>
      <w:r>
        <w:separator/>
      </w:r>
    </w:p>
  </w:footnote>
  <w:footnote w:type="continuationSeparator" w:id="0">
    <w:p w14:paraId="248E8690" w14:textId="77777777" w:rsidR="00896CE8" w:rsidRPr="00126E88" w:rsidRDefault="00896CE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133D" w14:textId="77777777" w:rsidR="005D07C6" w:rsidRPr="00111B4E" w:rsidRDefault="005D07C6" w:rsidP="00111B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50759-02-13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3CB9D" w14:textId="77777777" w:rsidR="005D07C6" w:rsidRPr="00111B4E" w:rsidRDefault="005D07C6" w:rsidP="00111B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50759-02-13</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7C38"/>
    <w:rsid w:val="00111B4E"/>
    <w:rsid w:val="004C6563"/>
    <w:rsid w:val="005B3B91"/>
    <w:rsid w:val="005D07C6"/>
    <w:rsid w:val="006C62E9"/>
    <w:rsid w:val="007A1CD0"/>
    <w:rsid w:val="00896CE8"/>
    <w:rsid w:val="008B44C3"/>
    <w:rsid w:val="0095702A"/>
    <w:rsid w:val="009D7C38"/>
    <w:rsid w:val="00A22A2B"/>
    <w:rsid w:val="00A36774"/>
    <w:rsid w:val="00CF39AC"/>
    <w:rsid w:val="00DC62A3"/>
    <w:rsid w:val="00E3164E"/>
    <w:rsid w:val="00F32D83"/>
    <w:rsid w:val="00F44BA9"/>
    <w:rsid w:val="00FB19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D0B2AE"/>
  <w15:chartTrackingRefBased/>
  <w15:docId w15:val="{78D05A28-9150-471D-BC03-7E4C98E4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7C3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D7C38"/>
    <w:pPr>
      <w:tabs>
        <w:tab w:val="center" w:pos="4153"/>
        <w:tab w:val="right" w:pos="8306"/>
      </w:tabs>
    </w:pPr>
  </w:style>
  <w:style w:type="paragraph" w:styleId="a4">
    <w:name w:val="footer"/>
    <w:basedOn w:val="a"/>
    <w:rsid w:val="009D7C38"/>
    <w:pPr>
      <w:tabs>
        <w:tab w:val="center" w:pos="4153"/>
        <w:tab w:val="right" w:pos="8306"/>
      </w:tabs>
    </w:pPr>
  </w:style>
  <w:style w:type="character" w:styleId="a5">
    <w:name w:val="page number"/>
    <w:basedOn w:val="a0"/>
    <w:rsid w:val="009D7C38"/>
  </w:style>
  <w:style w:type="character" w:styleId="Hyperlink">
    <w:name w:val="Hyperlink"/>
    <w:rsid w:val="00A22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2.b" TargetMode="External"/><Relationship Id="rId13" Type="http://schemas.openxmlformats.org/officeDocument/2006/relationships/hyperlink" Target="http://www.nevo.co.il/case/5603213"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29" TargetMode="External"/><Relationship Id="rId12" Type="http://schemas.openxmlformats.org/officeDocument/2006/relationships/hyperlink" Target="http://www.nevo.co.il/law/703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9"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402.b"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1389</Words>
  <Characters>6946</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8319</CharactersWithSpaces>
  <SharedDoc>false</SharedDoc>
  <HLinks>
    <vt:vector size="54" baseType="variant">
      <vt:variant>
        <vt:i4>8257637</vt:i4>
      </vt:variant>
      <vt:variant>
        <vt:i4>24</vt:i4>
      </vt:variant>
      <vt:variant>
        <vt:i4>0</vt:i4>
      </vt:variant>
      <vt:variant>
        <vt:i4>5</vt:i4>
      </vt:variant>
      <vt:variant>
        <vt:lpwstr>http://www.nevo.co.il/law/4216</vt:lpwstr>
      </vt:variant>
      <vt:variant>
        <vt:lpwstr/>
      </vt:variant>
      <vt:variant>
        <vt:i4>3407984</vt:i4>
      </vt:variant>
      <vt:variant>
        <vt:i4>21</vt:i4>
      </vt:variant>
      <vt:variant>
        <vt:i4>0</vt:i4>
      </vt:variant>
      <vt:variant>
        <vt:i4>5</vt:i4>
      </vt:variant>
      <vt:variant>
        <vt:lpwstr>http://www.nevo.co.il/case/5603213</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4915283</vt:i4>
      </vt:variant>
      <vt:variant>
        <vt:i4>12</vt:i4>
      </vt:variant>
      <vt:variant>
        <vt:i4>0</vt:i4>
      </vt:variant>
      <vt:variant>
        <vt:i4>5</vt:i4>
      </vt:variant>
      <vt:variant>
        <vt:lpwstr>http://www.nevo.co.il/law/70301/402.b</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4915283</vt:i4>
      </vt:variant>
      <vt:variant>
        <vt:i4>6</vt:i4>
      </vt:variant>
      <vt:variant>
        <vt:i4>0</vt:i4>
      </vt:variant>
      <vt:variant>
        <vt:i4>5</vt:i4>
      </vt:variant>
      <vt:variant>
        <vt:lpwstr>http://www.nevo.co.il/law/70301/402.b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2025-04-22T20:28:00Z</dcterms:created>
  <dcterms:modified xsi:type="dcterms:W3CDTF">2025-04-22T20:28:00Z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50759</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שגיב עוזרי;שרון קינן</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20131028</vt:lpwstr>
  </property>
  <property fmtid="{D5CDD505-2E9C-101B-9397-08002B2CF9AE}" pid="14" name="TYPE_N_DATE">
    <vt:lpwstr>39020131028</vt:lpwstr>
  </property>
  <property fmtid="{D5CDD505-2E9C-101B-9397-08002B2CF9AE}" pid="15" name="WORDNUMPAGES">
    <vt:lpwstr>5</vt:lpwstr>
  </property>
  <property fmtid="{D5CDD505-2E9C-101B-9397-08002B2CF9AE}" pid="16" name="TYPE_ABS_DATE">
    <vt:lpwstr>390020131028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5603213</vt:lpwstr>
  </property>
  <property fmtid="{D5CDD505-2E9C-101B-9397-08002B2CF9AE}" pid="36" name="LAWLISTTMP1">
    <vt:lpwstr>70301/402.b;029</vt:lpwstr>
  </property>
  <property fmtid="{D5CDD505-2E9C-101B-9397-08002B2CF9AE}" pid="37" name="LAWLISTTMP2">
    <vt:lpwstr>4216</vt:lpwstr>
  </property>
</Properties>
</file>