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25E77" w:rsidRPr="00C33994" w14:paraId="72347AE6" w14:textId="77777777">
        <w:trPr>
          <w:trHeight w:hRule="exact" w:val="418"/>
          <w:jc w:val="center"/>
        </w:trPr>
        <w:tc>
          <w:tcPr>
            <w:tcW w:w="8721" w:type="dxa"/>
            <w:gridSpan w:val="2"/>
          </w:tcPr>
          <w:p w14:paraId="53FED4BF" w14:textId="77777777" w:rsidR="00825E77" w:rsidRPr="00C33994" w:rsidRDefault="00EE4660">
            <w:pPr>
              <w:pStyle w:val="a3"/>
              <w:jc w:val="center"/>
              <w:rPr>
                <w:rFonts w:ascii="Tahoma" w:hAnsi="Tahoma" w:cs="Tahoma"/>
                <w:color w:val="000080"/>
                <w:rtl/>
              </w:rPr>
            </w:pPr>
            <w:bookmarkStart w:id="0" w:name="LastJudge"/>
            <w:r>
              <w:rPr>
                <w:rFonts w:ascii="Tahoma" w:hAnsi="Tahoma" w:cs="Tahoma" w:hint="cs"/>
                <w:b/>
                <w:bCs/>
                <w:color w:val="000080"/>
                <w:rtl/>
              </w:rPr>
              <w:t>ב</w:t>
            </w:r>
            <w:r w:rsidR="00C33994" w:rsidRPr="00C33994">
              <w:rPr>
                <w:rFonts w:ascii="Tahoma" w:hAnsi="Tahoma" w:cs="Tahoma"/>
                <w:b/>
                <w:bCs/>
                <w:color w:val="000080"/>
                <w:rtl/>
              </w:rPr>
              <w:t>ית המשפט המחוזי בתל אביב - יפו</w:t>
            </w:r>
          </w:p>
        </w:tc>
      </w:tr>
      <w:tr w:rsidR="00825E77" w:rsidRPr="00C33994" w14:paraId="509D36A6" w14:textId="77777777">
        <w:trPr>
          <w:trHeight w:val="337"/>
          <w:jc w:val="center"/>
        </w:trPr>
        <w:tc>
          <w:tcPr>
            <w:tcW w:w="5057" w:type="dxa"/>
          </w:tcPr>
          <w:p w14:paraId="625BCFC0" w14:textId="77777777" w:rsidR="00825E77" w:rsidRPr="00C33994" w:rsidRDefault="00C33994">
            <w:pPr>
              <w:rPr>
                <w:rFonts w:cs="FrankRuehl"/>
                <w:sz w:val="28"/>
                <w:szCs w:val="28"/>
                <w:rtl/>
              </w:rPr>
            </w:pPr>
            <w:r w:rsidRPr="00C33994">
              <w:rPr>
                <w:rFonts w:cs="FrankRuehl"/>
                <w:sz w:val="28"/>
                <w:szCs w:val="28"/>
                <w:rtl/>
              </w:rPr>
              <w:t>ת"פ</w:t>
            </w:r>
            <w:r w:rsidRPr="00C33994">
              <w:rPr>
                <w:rFonts w:cs="FrankRuehl" w:hint="cs"/>
                <w:sz w:val="28"/>
                <w:szCs w:val="28"/>
                <w:rtl/>
              </w:rPr>
              <w:t xml:space="preserve"> </w:t>
            </w:r>
            <w:r w:rsidRPr="00C33994">
              <w:rPr>
                <w:rFonts w:cs="FrankRuehl"/>
                <w:sz w:val="28"/>
                <w:szCs w:val="28"/>
                <w:rtl/>
              </w:rPr>
              <w:t>22062-04-13</w:t>
            </w:r>
            <w:r w:rsidRPr="00C33994">
              <w:rPr>
                <w:rFonts w:cs="FrankRuehl" w:hint="cs"/>
                <w:sz w:val="28"/>
                <w:szCs w:val="28"/>
                <w:rtl/>
              </w:rPr>
              <w:t xml:space="preserve"> </w:t>
            </w:r>
            <w:r w:rsidRPr="00C33994">
              <w:rPr>
                <w:rFonts w:cs="FrankRuehl"/>
                <w:sz w:val="28"/>
                <w:szCs w:val="28"/>
                <w:rtl/>
              </w:rPr>
              <w:t>מדינת ישראל נ' טורו(עציר)</w:t>
            </w:r>
          </w:p>
          <w:p w14:paraId="773DDEE0" w14:textId="77777777" w:rsidR="00825E77" w:rsidRPr="00C33994" w:rsidRDefault="00825E77">
            <w:pPr>
              <w:pStyle w:val="a3"/>
              <w:rPr>
                <w:rFonts w:cs="FrankRuehl"/>
                <w:sz w:val="28"/>
                <w:szCs w:val="28"/>
                <w:rtl/>
              </w:rPr>
            </w:pPr>
          </w:p>
        </w:tc>
        <w:tc>
          <w:tcPr>
            <w:tcW w:w="3664" w:type="dxa"/>
          </w:tcPr>
          <w:p w14:paraId="1B9C2752" w14:textId="77777777" w:rsidR="00825E77" w:rsidRPr="00C33994" w:rsidRDefault="00825E77">
            <w:pPr>
              <w:pStyle w:val="a3"/>
              <w:jc w:val="right"/>
              <w:rPr>
                <w:rFonts w:cs="FrankRuehl"/>
                <w:sz w:val="28"/>
                <w:szCs w:val="28"/>
                <w:rtl/>
              </w:rPr>
            </w:pPr>
          </w:p>
        </w:tc>
      </w:tr>
    </w:tbl>
    <w:p w14:paraId="3A46718C" w14:textId="77777777" w:rsidR="00825E77" w:rsidRPr="00C33994" w:rsidRDefault="00C33994">
      <w:pPr>
        <w:pStyle w:val="a3"/>
        <w:jc w:val="right"/>
        <w:rPr>
          <w:rtl/>
        </w:rPr>
      </w:pPr>
      <w:r w:rsidRPr="00C33994">
        <w:rPr>
          <w:rFonts w:hint="cs"/>
          <w:rtl/>
        </w:rPr>
        <w:t xml:space="preserve"> 29.01.2014</w:t>
      </w:r>
    </w:p>
    <w:p w14:paraId="3B7EC946" w14:textId="77777777" w:rsidR="00825E77" w:rsidRPr="00C33994" w:rsidRDefault="00825E77">
      <w:pPr>
        <w:rPr>
          <w:sz w:val="22"/>
          <w:szCs w:val="2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25E77" w:rsidRPr="00C33994" w14:paraId="26C7548B" w14:textId="77777777">
        <w:trPr>
          <w:trHeight w:val="295"/>
          <w:jc w:val="center"/>
        </w:trPr>
        <w:tc>
          <w:tcPr>
            <w:tcW w:w="923" w:type="dxa"/>
            <w:tcBorders>
              <w:top w:val="nil"/>
              <w:left w:val="nil"/>
              <w:bottom w:val="nil"/>
              <w:right w:val="nil"/>
            </w:tcBorders>
          </w:tcPr>
          <w:p w14:paraId="09FC4BDD" w14:textId="77777777" w:rsidR="00825E77" w:rsidRPr="00C33994" w:rsidRDefault="00C33994">
            <w:pPr>
              <w:jc w:val="both"/>
              <w:rPr>
                <w:rFonts w:ascii="Arial" w:hAnsi="Arial" w:cs="FrankRuehl"/>
                <w:sz w:val="28"/>
                <w:szCs w:val="28"/>
              </w:rPr>
            </w:pPr>
            <w:r w:rsidRPr="00C33994">
              <w:rPr>
                <w:rFonts w:ascii="Arial" w:hAnsi="Arial" w:cs="FrankRuehl" w:hint="cs"/>
                <w:sz w:val="28"/>
                <w:szCs w:val="28"/>
                <w:rtl/>
              </w:rPr>
              <w:t>ב</w:t>
            </w:r>
            <w:r w:rsidRPr="00C33994">
              <w:rPr>
                <w:rFonts w:ascii="Arial" w:hAnsi="Arial" w:cs="FrankRuehl"/>
                <w:sz w:val="28"/>
                <w:szCs w:val="28"/>
                <w:rtl/>
              </w:rPr>
              <w:t xml:space="preserve">פני </w:t>
            </w:r>
          </w:p>
        </w:tc>
        <w:tc>
          <w:tcPr>
            <w:tcW w:w="7897" w:type="dxa"/>
            <w:gridSpan w:val="2"/>
            <w:tcBorders>
              <w:top w:val="nil"/>
              <w:left w:val="nil"/>
              <w:bottom w:val="nil"/>
              <w:right w:val="nil"/>
            </w:tcBorders>
          </w:tcPr>
          <w:p w14:paraId="2EF71110" w14:textId="77777777" w:rsidR="00825E77" w:rsidRPr="00C33994" w:rsidRDefault="00C33994">
            <w:pPr>
              <w:rPr>
                <w:rFonts w:ascii="Arial" w:hAnsi="Arial"/>
                <w:b/>
                <w:bCs/>
                <w:rtl/>
              </w:rPr>
            </w:pPr>
            <w:r w:rsidRPr="00C33994">
              <w:rPr>
                <w:rFonts w:ascii="Arial" w:hAnsi="Arial" w:hint="cs"/>
                <w:b/>
                <w:bCs/>
                <w:rtl/>
              </w:rPr>
              <w:t>כב' ה</w:t>
            </w:r>
            <w:r w:rsidRPr="00C33994">
              <w:rPr>
                <w:rFonts w:hint="cs"/>
                <w:rtl/>
              </w:rPr>
              <w:t>שופטת</w:t>
            </w:r>
            <w:r w:rsidRPr="00C33994">
              <w:rPr>
                <w:rFonts w:ascii="Arial" w:hAnsi="Arial" w:hint="cs"/>
                <w:b/>
                <w:bCs/>
                <w:rtl/>
              </w:rPr>
              <w:t xml:space="preserve">  </w:t>
            </w:r>
            <w:r w:rsidRPr="00C33994">
              <w:rPr>
                <w:rFonts w:hint="cs"/>
                <w:rtl/>
              </w:rPr>
              <w:t>יהודית אמסטרדם</w:t>
            </w:r>
          </w:p>
          <w:p w14:paraId="575659FE" w14:textId="77777777" w:rsidR="00825E77" w:rsidRPr="00C33994" w:rsidRDefault="00825E77">
            <w:pPr>
              <w:jc w:val="both"/>
              <w:rPr>
                <w:rFonts w:ascii="Arial" w:hAnsi="Arial" w:cs="FrankRuehl"/>
                <w:sz w:val="28"/>
                <w:szCs w:val="28"/>
              </w:rPr>
            </w:pPr>
          </w:p>
        </w:tc>
      </w:tr>
      <w:tr w:rsidR="00825E77" w:rsidRPr="00C33994" w14:paraId="3B1F6E18" w14:textId="77777777">
        <w:trPr>
          <w:trHeight w:val="355"/>
          <w:jc w:val="center"/>
        </w:trPr>
        <w:tc>
          <w:tcPr>
            <w:tcW w:w="923" w:type="dxa"/>
            <w:tcBorders>
              <w:top w:val="nil"/>
              <w:left w:val="nil"/>
              <w:bottom w:val="nil"/>
              <w:right w:val="nil"/>
            </w:tcBorders>
          </w:tcPr>
          <w:p w14:paraId="48032838" w14:textId="77777777" w:rsidR="00825E77" w:rsidRPr="00C33994" w:rsidRDefault="00C33994">
            <w:pPr>
              <w:jc w:val="both"/>
              <w:rPr>
                <w:rFonts w:ascii="Arial" w:hAnsi="Arial" w:cs="FrankRuehl"/>
                <w:sz w:val="28"/>
                <w:szCs w:val="28"/>
              </w:rPr>
            </w:pPr>
            <w:bookmarkStart w:id="1" w:name="FirstAppellant"/>
            <w:bookmarkStart w:id="2" w:name="FirstLawyer"/>
            <w:r w:rsidRPr="00C33994">
              <w:rPr>
                <w:rFonts w:ascii="Arial" w:hAnsi="Arial" w:cs="FrankRuehl" w:hint="cs"/>
                <w:sz w:val="28"/>
                <w:szCs w:val="28"/>
                <w:rtl/>
              </w:rPr>
              <w:t>בעניין:</w:t>
            </w:r>
          </w:p>
        </w:tc>
        <w:tc>
          <w:tcPr>
            <w:tcW w:w="4126" w:type="dxa"/>
            <w:tcBorders>
              <w:top w:val="nil"/>
              <w:left w:val="nil"/>
              <w:bottom w:val="nil"/>
              <w:right w:val="nil"/>
            </w:tcBorders>
          </w:tcPr>
          <w:p w14:paraId="3C2AD060" w14:textId="77777777" w:rsidR="00825E77" w:rsidRPr="00C33994" w:rsidRDefault="00C33994">
            <w:pPr>
              <w:rPr>
                <w:rtl/>
              </w:rPr>
            </w:pPr>
            <w:r w:rsidRPr="00C33994">
              <w:rPr>
                <w:rFonts w:hint="cs"/>
                <w:rtl/>
              </w:rPr>
              <w:t>מדינת ישראל</w:t>
            </w:r>
          </w:p>
          <w:p w14:paraId="5188B928" w14:textId="77777777" w:rsidR="00825E77" w:rsidRPr="00C33994" w:rsidRDefault="00C33994">
            <w:r w:rsidRPr="00C33994">
              <w:rPr>
                <w:rFonts w:hint="cs"/>
                <w:rtl/>
              </w:rPr>
              <w:t>ע"י ב"כ עו"ד אסף שביט</w:t>
            </w:r>
          </w:p>
        </w:tc>
        <w:tc>
          <w:tcPr>
            <w:tcW w:w="3771" w:type="dxa"/>
            <w:tcBorders>
              <w:top w:val="nil"/>
              <w:left w:val="nil"/>
              <w:bottom w:val="nil"/>
              <w:right w:val="nil"/>
            </w:tcBorders>
          </w:tcPr>
          <w:p w14:paraId="05341BE9" w14:textId="77777777" w:rsidR="00825E77" w:rsidRPr="00C33994" w:rsidRDefault="00825E77">
            <w:pPr>
              <w:jc w:val="both"/>
              <w:rPr>
                <w:rFonts w:ascii="Arial" w:hAnsi="Arial" w:cs="FrankRuehl"/>
                <w:sz w:val="28"/>
                <w:szCs w:val="28"/>
              </w:rPr>
            </w:pPr>
          </w:p>
        </w:tc>
      </w:tr>
      <w:bookmarkEnd w:id="1"/>
      <w:bookmarkEnd w:id="2"/>
      <w:tr w:rsidR="00825E77" w:rsidRPr="00C33994" w14:paraId="7B6ECDCD" w14:textId="77777777">
        <w:trPr>
          <w:trHeight w:val="355"/>
          <w:jc w:val="center"/>
        </w:trPr>
        <w:tc>
          <w:tcPr>
            <w:tcW w:w="923" w:type="dxa"/>
            <w:tcBorders>
              <w:top w:val="nil"/>
              <w:left w:val="nil"/>
              <w:bottom w:val="nil"/>
              <w:right w:val="nil"/>
            </w:tcBorders>
          </w:tcPr>
          <w:p w14:paraId="3FCF6E41" w14:textId="77777777" w:rsidR="00825E77" w:rsidRPr="00C33994" w:rsidRDefault="00825E77">
            <w:pPr>
              <w:jc w:val="both"/>
              <w:rPr>
                <w:rFonts w:ascii="Arial" w:hAnsi="Arial" w:cs="FrankRuehl"/>
                <w:sz w:val="28"/>
                <w:szCs w:val="28"/>
                <w:rtl/>
              </w:rPr>
            </w:pPr>
          </w:p>
        </w:tc>
        <w:tc>
          <w:tcPr>
            <w:tcW w:w="4126" w:type="dxa"/>
            <w:tcBorders>
              <w:top w:val="nil"/>
              <w:left w:val="nil"/>
              <w:bottom w:val="nil"/>
              <w:right w:val="nil"/>
            </w:tcBorders>
          </w:tcPr>
          <w:p w14:paraId="13C57DCC" w14:textId="77777777" w:rsidR="00825E77" w:rsidRPr="00C33994" w:rsidRDefault="00825E77">
            <w:pPr>
              <w:jc w:val="both"/>
              <w:rPr>
                <w:rtl/>
              </w:rPr>
            </w:pPr>
          </w:p>
        </w:tc>
        <w:tc>
          <w:tcPr>
            <w:tcW w:w="3771" w:type="dxa"/>
            <w:tcBorders>
              <w:top w:val="nil"/>
              <w:left w:val="nil"/>
              <w:bottom w:val="nil"/>
              <w:right w:val="nil"/>
            </w:tcBorders>
          </w:tcPr>
          <w:p w14:paraId="1A77A7D8" w14:textId="77777777" w:rsidR="00825E77" w:rsidRPr="00C33994" w:rsidRDefault="00C33994">
            <w:pPr>
              <w:jc w:val="right"/>
              <w:rPr>
                <w:rFonts w:ascii="Arial" w:hAnsi="Arial" w:cs="FrankRuehl"/>
                <w:sz w:val="28"/>
                <w:szCs w:val="28"/>
                <w:rtl/>
              </w:rPr>
            </w:pPr>
            <w:r w:rsidRPr="00C33994">
              <w:rPr>
                <w:rFonts w:ascii="Arial" w:hAnsi="Arial" w:cs="FrankRuehl" w:hint="cs"/>
                <w:sz w:val="28"/>
                <w:szCs w:val="28"/>
                <w:rtl/>
              </w:rPr>
              <w:t>ה</w:t>
            </w:r>
            <w:r w:rsidRPr="00C33994">
              <w:rPr>
                <w:rFonts w:hint="cs"/>
                <w:rtl/>
              </w:rPr>
              <w:t>מאשימה</w:t>
            </w:r>
          </w:p>
        </w:tc>
      </w:tr>
      <w:tr w:rsidR="00825E77" w:rsidRPr="00C33994" w14:paraId="7CA5A22E" w14:textId="77777777">
        <w:trPr>
          <w:trHeight w:val="355"/>
          <w:jc w:val="center"/>
        </w:trPr>
        <w:tc>
          <w:tcPr>
            <w:tcW w:w="923" w:type="dxa"/>
            <w:tcBorders>
              <w:top w:val="nil"/>
              <w:left w:val="nil"/>
              <w:bottom w:val="nil"/>
              <w:right w:val="nil"/>
            </w:tcBorders>
          </w:tcPr>
          <w:p w14:paraId="64DA247C" w14:textId="77777777" w:rsidR="00825E77" w:rsidRPr="00C33994" w:rsidRDefault="00825E77">
            <w:pPr>
              <w:jc w:val="both"/>
              <w:rPr>
                <w:rFonts w:ascii="Arial" w:hAnsi="Arial" w:cs="FrankRuehl"/>
                <w:sz w:val="28"/>
                <w:szCs w:val="28"/>
                <w:rtl/>
              </w:rPr>
            </w:pPr>
          </w:p>
        </w:tc>
        <w:tc>
          <w:tcPr>
            <w:tcW w:w="7897" w:type="dxa"/>
            <w:gridSpan w:val="2"/>
            <w:tcBorders>
              <w:top w:val="nil"/>
              <w:left w:val="nil"/>
              <w:bottom w:val="nil"/>
              <w:right w:val="nil"/>
            </w:tcBorders>
          </w:tcPr>
          <w:p w14:paraId="1FB6A25C" w14:textId="77777777" w:rsidR="00825E77" w:rsidRPr="00C33994" w:rsidRDefault="00825E77">
            <w:pPr>
              <w:jc w:val="center"/>
              <w:rPr>
                <w:rFonts w:ascii="Arial" w:hAnsi="Arial" w:cs="FrankRuehl"/>
                <w:b/>
                <w:bCs/>
                <w:sz w:val="28"/>
                <w:szCs w:val="28"/>
                <w:rtl/>
              </w:rPr>
            </w:pPr>
          </w:p>
          <w:p w14:paraId="3C7F59D2" w14:textId="77777777" w:rsidR="00825E77" w:rsidRPr="00C33994" w:rsidRDefault="00C33994">
            <w:pPr>
              <w:jc w:val="center"/>
              <w:rPr>
                <w:rFonts w:ascii="Arial" w:hAnsi="Arial" w:cs="FrankRuehl"/>
                <w:b/>
                <w:bCs/>
                <w:sz w:val="28"/>
                <w:szCs w:val="28"/>
              </w:rPr>
            </w:pPr>
            <w:r w:rsidRPr="00C33994">
              <w:rPr>
                <w:rFonts w:ascii="Arial" w:hAnsi="Arial" w:cs="FrankRuehl"/>
                <w:b/>
                <w:bCs/>
                <w:sz w:val="28"/>
                <w:szCs w:val="28"/>
                <w:rtl/>
              </w:rPr>
              <w:t>נגד</w:t>
            </w:r>
          </w:p>
        </w:tc>
      </w:tr>
      <w:tr w:rsidR="00825E77" w:rsidRPr="00C33994" w14:paraId="60FB6128" w14:textId="77777777">
        <w:trPr>
          <w:trHeight w:val="355"/>
          <w:jc w:val="center"/>
        </w:trPr>
        <w:tc>
          <w:tcPr>
            <w:tcW w:w="923" w:type="dxa"/>
            <w:tcBorders>
              <w:top w:val="nil"/>
              <w:left w:val="nil"/>
              <w:bottom w:val="nil"/>
              <w:right w:val="nil"/>
            </w:tcBorders>
          </w:tcPr>
          <w:p w14:paraId="794BB731" w14:textId="77777777" w:rsidR="00825E77" w:rsidRPr="00C33994" w:rsidRDefault="00825E77">
            <w:pPr>
              <w:rPr>
                <w:rFonts w:ascii="Arial" w:hAnsi="Arial" w:cs="FrankRuehl"/>
                <w:sz w:val="28"/>
                <w:szCs w:val="28"/>
                <w:rtl/>
              </w:rPr>
            </w:pPr>
          </w:p>
        </w:tc>
        <w:tc>
          <w:tcPr>
            <w:tcW w:w="4126" w:type="dxa"/>
            <w:tcBorders>
              <w:top w:val="nil"/>
              <w:left w:val="nil"/>
              <w:bottom w:val="nil"/>
              <w:right w:val="nil"/>
            </w:tcBorders>
          </w:tcPr>
          <w:p w14:paraId="68BFD600" w14:textId="77777777" w:rsidR="00825E77" w:rsidRPr="00C33994" w:rsidRDefault="00C33994">
            <w:pPr>
              <w:rPr>
                <w:rtl/>
              </w:rPr>
            </w:pPr>
            <w:r w:rsidRPr="00C33994">
              <w:rPr>
                <w:rFonts w:hint="cs"/>
                <w:rtl/>
              </w:rPr>
              <w:t>איגור טורו (עציר)</w:t>
            </w:r>
          </w:p>
        </w:tc>
        <w:tc>
          <w:tcPr>
            <w:tcW w:w="3771" w:type="dxa"/>
            <w:tcBorders>
              <w:top w:val="nil"/>
              <w:left w:val="nil"/>
              <w:bottom w:val="nil"/>
              <w:right w:val="nil"/>
            </w:tcBorders>
          </w:tcPr>
          <w:p w14:paraId="228199F0" w14:textId="77777777" w:rsidR="00825E77" w:rsidRPr="00C33994" w:rsidRDefault="00825E77">
            <w:pPr>
              <w:jc w:val="right"/>
              <w:rPr>
                <w:rFonts w:ascii="Arial" w:hAnsi="Arial" w:cs="FrankRuehl"/>
                <w:sz w:val="28"/>
                <w:szCs w:val="28"/>
              </w:rPr>
            </w:pPr>
          </w:p>
        </w:tc>
      </w:tr>
      <w:tr w:rsidR="00825E77" w:rsidRPr="00C33994" w14:paraId="3128BC6E" w14:textId="77777777">
        <w:trPr>
          <w:trHeight w:val="355"/>
          <w:jc w:val="center"/>
        </w:trPr>
        <w:tc>
          <w:tcPr>
            <w:tcW w:w="923" w:type="dxa"/>
            <w:tcBorders>
              <w:top w:val="nil"/>
              <w:left w:val="nil"/>
              <w:bottom w:val="nil"/>
              <w:right w:val="nil"/>
            </w:tcBorders>
          </w:tcPr>
          <w:p w14:paraId="26CB149F" w14:textId="77777777" w:rsidR="00825E77" w:rsidRPr="00C33994" w:rsidRDefault="00825E77">
            <w:pPr>
              <w:jc w:val="both"/>
              <w:rPr>
                <w:rFonts w:ascii="Arial" w:hAnsi="Arial" w:cs="FrankRuehl"/>
                <w:sz w:val="28"/>
                <w:szCs w:val="28"/>
                <w:rtl/>
              </w:rPr>
            </w:pPr>
          </w:p>
        </w:tc>
        <w:tc>
          <w:tcPr>
            <w:tcW w:w="4126" w:type="dxa"/>
            <w:tcBorders>
              <w:top w:val="nil"/>
              <w:left w:val="nil"/>
              <w:bottom w:val="nil"/>
              <w:right w:val="nil"/>
            </w:tcBorders>
          </w:tcPr>
          <w:p w14:paraId="57E2F07A" w14:textId="77777777" w:rsidR="00825E77" w:rsidRPr="00C33994" w:rsidRDefault="00C33994">
            <w:pPr>
              <w:jc w:val="both"/>
              <w:rPr>
                <w:rtl/>
              </w:rPr>
            </w:pPr>
            <w:r w:rsidRPr="00C33994">
              <w:rPr>
                <w:rFonts w:hint="cs"/>
                <w:rtl/>
              </w:rPr>
              <w:t>ע"י ב"כ עו"ד ירון דויד</w:t>
            </w:r>
          </w:p>
        </w:tc>
        <w:tc>
          <w:tcPr>
            <w:tcW w:w="3771" w:type="dxa"/>
            <w:tcBorders>
              <w:top w:val="nil"/>
              <w:left w:val="nil"/>
              <w:bottom w:val="nil"/>
              <w:right w:val="nil"/>
            </w:tcBorders>
          </w:tcPr>
          <w:p w14:paraId="3830548F" w14:textId="77777777" w:rsidR="00825E77" w:rsidRPr="00C33994" w:rsidRDefault="00C33994">
            <w:pPr>
              <w:jc w:val="right"/>
              <w:rPr>
                <w:rFonts w:ascii="Arial" w:hAnsi="Arial" w:cs="FrankRuehl"/>
                <w:sz w:val="28"/>
                <w:szCs w:val="28"/>
              </w:rPr>
            </w:pPr>
            <w:r w:rsidRPr="00C33994">
              <w:rPr>
                <w:rFonts w:ascii="Arial" w:hAnsi="Arial" w:cs="FrankRuehl" w:hint="cs"/>
                <w:sz w:val="28"/>
                <w:szCs w:val="28"/>
                <w:rtl/>
              </w:rPr>
              <w:t>ה</w:t>
            </w:r>
            <w:r w:rsidRPr="00C33994">
              <w:rPr>
                <w:rFonts w:hint="cs"/>
                <w:rtl/>
              </w:rPr>
              <w:t>נאשם</w:t>
            </w:r>
          </w:p>
        </w:tc>
      </w:tr>
    </w:tbl>
    <w:p w14:paraId="02D19092" w14:textId="77777777" w:rsidR="00EE4660" w:rsidRDefault="00EE4660">
      <w:pPr>
        <w:rPr>
          <w:rtl/>
        </w:rPr>
      </w:pPr>
      <w:bookmarkStart w:id="3" w:name="LawTable"/>
    </w:p>
    <w:p w14:paraId="3CA3E4E4" w14:textId="77777777" w:rsidR="00EE4660" w:rsidRPr="00EE4660" w:rsidRDefault="00EE4660" w:rsidP="00EE4660">
      <w:pPr>
        <w:spacing w:after="120" w:line="240" w:lineRule="exact"/>
        <w:ind w:left="283" w:hanging="283"/>
        <w:jc w:val="both"/>
        <w:rPr>
          <w:rFonts w:ascii="FrankRuehl" w:hAnsi="FrankRuehl" w:cs="FrankRuehl"/>
          <w:rtl/>
        </w:rPr>
      </w:pPr>
      <w:r w:rsidRPr="00EE4660">
        <w:rPr>
          <w:rFonts w:ascii="FrankRuehl" w:hAnsi="FrankRuehl" w:cs="FrankRuehl"/>
          <w:rtl/>
        </w:rPr>
        <w:t xml:space="preserve">חקיקה שאוזכרה: </w:t>
      </w:r>
    </w:p>
    <w:p w14:paraId="7690CCFA" w14:textId="77777777" w:rsidR="00EE4660" w:rsidRPr="00EE4660" w:rsidRDefault="00EE4660" w:rsidP="00EE4660">
      <w:pPr>
        <w:spacing w:after="120" w:line="240" w:lineRule="exact"/>
        <w:ind w:left="283" w:hanging="283"/>
        <w:jc w:val="both"/>
        <w:rPr>
          <w:rFonts w:ascii="FrankRuehl" w:hAnsi="FrankRuehl" w:cs="FrankRuehl"/>
          <w:rtl/>
        </w:rPr>
      </w:pPr>
      <w:hyperlink r:id="rId7" w:history="1">
        <w:r w:rsidRPr="00EE4660">
          <w:rPr>
            <w:rFonts w:ascii="FrankRuehl" w:hAnsi="FrankRuehl" w:cs="FrankRuehl"/>
            <w:color w:val="0000FF"/>
            <w:u w:val="single"/>
            <w:rtl/>
          </w:rPr>
          <w:t>חוק העונשין, תשל"ז-1977</w:t>
        </w:r>
      </w:hyperlink>
      <w:r w:rsidRPr="00EE4660">
        <w:rPr>
          <w:rFonts w:ascii="FrankRuehl" w:hAnsi="FrankRuehl" w:cs="FrankRuehl"/>
          <w:rtl/>
        </w:rPr>
        <w:t xml:space="preserve">: סע'  </w:t>
      </w:r>
      <w:hyperlink r:id="rId8" w:history="1">
        <w:r w:rsidRPr="00EE4660">
          <w:rPr>
            <w:rFonts w:ascii="FrankRuehl" w:hAnsi="FrankRuehl" w:cs="FrankRuehl"/>
            <w:color w:val="0000FF"/>
            <w:u w:val="single"/>
            <w:rtl/>
          </w:rPr>
          <w:t>499(א)(1)</w:t>
        </w:r>
      </w:hyperlink>
    </w:p>
    <w:p w14:paraId="2C1494F9" w14:textId="77777777" w:rsidR="00EE4660" w:rsidRDefault="00EE4660" w:rsidP="00EE4660">
      <w:pPr>
        <w:spacing w:after="120" w:line="240" w:lineRule="exact"/>
        <w:ind w:left="283" w:hanging="283"/>
        <w:jc w:val="both"/>
        <w:rPr>
          <w:rFonts w:ascii="FrankRuehl" w:hAnsi="FrankRuehl" w:cs="FrankRuehl" w:hint="cs"/>
          <w:rtl/>
        </w:rPr>
      </w:pPr>
      <w:hyperlink r:id="rId9" w:history="1">
        <w:r w:rsidRPr="00EE4660">
          <w:rPr>
            <w:rFonts w:ascii="FrankRuehl" w:hAnsi="FrankRuehl" w:cs="FrankRuehl"/>
            <w:color w:val="0000FF"/>
            <w:u w:val="single"/>
            <w:rtl/>
          </w:rPr>
          <w:t>פקודת הסמים המסוכנים [נוסח חדש], תשל"ג-1973</w:t>
        </w:r>
      </w:hyperlink>
      <w:r w:rsidRPr="00EE4660">
        <w:rPr>
          <w:rFonts w:ascii="FrankRuehl" w:hAnsi="FrankRuehl" w:cs="FrankRuehl"/>
          <w:rtl/>
        </w:rPr>
        <w:t xml:space="preserve">: סע'  </w:t>
      </w:r>
      <w:hyperlink r:id="rId10" w:history="1">
        <w:r w:rsidRPr="00EE4660">
          <w:rPr>
            <w:rFonts w:ascii="FrankRuehl" w:hAnsi="FrankRuehl" w:cs="FrankRuehl"/>
            <w:color w:val="0000FF"/>
            <w:u w:val="single"/>
            <w:rtl/>
          </w:rPr>
          <w:t>7(א)</w:t>
        </w:r>
      </w:hyperlink>
      <w:r w:rsidRPr="00EE4660">
        <w:rPr>
          <w:rFonts w:ascii="FrankRuehl" w:hAnsi="FrankRuehl" w:cs="FrankRuehl"/>
          <w:rtl/>
        </w:rPr>
        <w:t xml:space="preserve">, </w:t>
      </w:r>
      <w:hyperlink r:id="rId11" w:history="1">
        <w:r w:rsidRPr="00EE4660">
          <w:rPr>
            <w:rFonts w:ascii="FrankRuehl" w:hAnsi="FrankRuehl" w:cs="FrankRuehl"/>
            <w:color w:val="0000FF"/>
            <w:u w:val="single"/>
            <w:rtl/>
          </w:rPr>
          <w:t>7(ג)</w:t>
        </w:r>
      </w:hyperlink>
      <w:r w:rsidRPr="00EE4660">
        <w:rPr>
          <w:rFonts w:ascii="FrankRuehl" w:hAnsi="FrankRuehl" w:cs="FrankRuehl"/>
          <w:rtl/>
        </w:rPr>
        <w:t xml:space="preserve">, </w:t>
      </w:r>
      <w:hyperlink r:id="rId12" w:history="1">
        <w:r w:rsidRPr="00EE4660">
          <w:rPr>
            <w:rFonts w:ascii="FrankRuehl" w:hAnsi="FrankRuehl" w:cs="FrankRuehl"/>
            <w:color w:val="0000FF"/>
            <w:u w:val="single"/>
            <w:rtl/>
          </w:rPr>
          <w:t>13</w:t>
        </w:r>
      </w:hyperlink>
      <w:r w:rsidRPr="00EE4660">
        <w:rPr>
          <w:rFonts w:ascii="FrankRuehl" w:hAnsi="FrankRuehl" w:cs="FrankRuehl"/>
          <w:rtl/>
        </w:rPr>
        <w:t xml:space="preserve">, </w:t>
      </w:r>
      <w:hyperlink r:id="rId13" w:history="1">
        <w:r w:rsidRPr="00EE4660">
          <w:rPr>
            <w:rFonts w:ascii="FrankRuehl" w:hAnsi="FrankRuehl" w:cs="FrankRuehl"/>
            <w:color w:val="0000FF"/>
            <w:u w:val="single"/>
            <w:rtl/>
          </w:rPr>
          <w:t>19א</w:t>
        </w:r>
      </w:hyperlink>
    </w:p>
    <w:p w14:paraId="2CA3DB91" w14:textId="77777777" w:rsidR="006709BE" w:rsidRDefault="006709BE" w:rsidP="00EE4660">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5E77" w14:paraId="07A9F066" w14:textId="77777777">
        <w:trPr>
          <w:trHeight w:val="355"/>
          <w:jc w:val="center"/>
        </w:trPr>
        <w:tc>
          <w:tcPr>
            <w:tcW w:w="8820" w:type="dxa"/>
            <w:tcBorders>
              <w:top w:val="nil"/>
              <w:left w:val="nil"/>
              <w:bottom w:val="nil"/>
              <w:right w:val="nil"/>
            </w:tcBorders>
          </w:tcPr>
          <w:p w14:paraId="252B0B9D" w14:textId="77777777" w:rsidR="00C33994" w:rsidRPr="00C33994" w:rsidRDefault="00C33994" w:rsidP="00C33994">
            <w:pPr>
              <w:jc w:val="center"/>
              <w:rPr>
                <w:rFonts w:ascii="Arial" w:hAnsi="Arial" w:cs="FrankRuehl"/>
                <w:b/>
                <w:bCs/>
                <w:sz w:val="32"/>
                <w:szCs w:val="32"/>
                <w:u w:val="single"/>
                <w:rtl/>
              </w:rPr>
            </w:pPr>
            <w:bookmarkStart w:id="4" w:name="PsakDin" w:colFirst="0" w:colLast="0"/>
            <w:bookmarkEnd w:id="0"/>
            <w:bookmarkEnd w:id="3"/>
            <w:r w:rsidRPr="00C33994">
              <w:rPr>
                <w:rFonts w:ascii="Arial" w:hAnsi="Arial" w:cs="FrankRuehl"/>
                <w:b/>
                <w:bCs/>
                <w:sz w:val="32"/>
                <w:szCs w:val="32"/>
                <w:u w:val="single"/>
                <w:rtl/>
              </w:rPr>
              <w:t>גזר דין</w:t>
            </w:r>
          </w:p>
          <w:p w14:paraId="7F6959E0" w14:textId="77777777" w:rsidR="00825E77" w:rsidRPr="00C33994" w:rsidRDefault="00825E77" w:rsidP="00C33994">
            <w:pPr>
              <w:jc w:val="center"/>
              <w:rPr>
                <w:rFonts w:ascii="Arial" w:hAnsi="Arial" w:cs="FrankRuehl"/>
                <w:bCs/>
                <w:sz w:val="32"/>
                <w:szCs w:val="32"/>
                <w:u w:val="single"/>
                <w:rtl/>
              </w:rPr>
            </w:pPr>
          </w:p>
        </w:tc>
      </w:tr>
      <w:bookmarkEnd w:id="4"/>
    </w:tbl>
    <w:p w14:paraId="1D781CA6" w14:textId="77777777" w:rsidR="00825E77" w:rsidRDefault="00825E77">
      <w:pPr>
        <w:rPr>
          <w:rFonts w:ascii="Arial" w:hAnsi="Arial"/>
          <w:rtl/>
        </w:rPr>
      </w:pPr>
    </w:p>
    <w:p w14:paraId="23EFCA7F" w14:textId="77777777" w:rsidR="00825E77" w:rsidRDefault="00C33994">
      <w:pPr>
        <w:spacing w:line="360" w:lineRule="auto"/>
        <w:jc w:val="both"/>
        <w:rPr>
          <w:b/>
          <w:bCs/>
          <w:sz w:val="28"/>
          <w:szCs w:val="28"/>
          <w:u w:val="single"/>
        </w:rPr>
      </w:pPr>
      <w:r>
        <w:rPr>
          <w:rFonts w:hint="cs"/>
          <w:sz w:val="28"/>
          <w:szCs w:val="28"/>
          <w:rtl/>
        </w:rPr>
        <w:t>א.</w:t>
      </w:r>
      <w:r>
        <w:rPr>
          <w:rFonts w:hint="cs"/>
          <w:sz w:val="28"/>
          <w:szCs w:val="28"/>
          <w:rtl/>
        </w:rPr>
        <w:tab/>
      </w:r>
      <w:r>
        <w:rPr>
          <w:rFonts w:hint="cs"/>
          <w:b/>
          <w:bCs/>
          <w:sz w:val="28"/>
          <w:szCs w:val="28"/>
          <w:u w:val="single"/>
          <w:rtl/>
        </w:rPr>
        <w:t>פתח דבר</w:t>
      </w:r>
    </w:p>
    <w:p w14:paraId="41383AD6" w14:textId="77777777" w:rsidR="00825E77" w:rsidRDefault="00825E77">
      <w:pPr>
        <w:spacing w:line="360" w:lineRule="auto"/>
        <w:jc w:val="both"/>
        <w:rPr>
          <w:rtl/>
        </w:rPr>
      </w:pPr>
    </w:p>
    <w:p w14:paraId="2535EF46" w14:textId="77777777" w:rsidR="00825E77" w:rsidRDefault="00C33994">
      <w:pPr>
        <w:spacing w:line="360" w:lineRule="auto"/>
        <w:ind w:left="1440" w:hanging="720"/>
        <w:jc w:val="both"/>
        <w:rPr>
          <w:rtl/>
        </w:rPr>
      </w:pPr>
      <w:r>
        <w:rPr>
          <w:rFonts w:hint="cs"/>
          <w:rtl/>
        </w:rPr>
        <w:t>1.</w:t>
      </w:r>
      <w:r>
        <w:rPr>
          <w:rFonts w:hint="cs"/>
          <w:rtl/>
        </w:rPr>
        <w:tab/>
        <w:t xml:space="preserve">הנאשם הורשע לאחר שמיעת ראיות בביצוע העבירות המיוחסות לו בכתב האישום- קשירת קשר לביצוע פשע, יבוא סם מסוכן והחזקת סם מסוכן- עבירה לפי </w:t>
      </w:r>
      <w:hyperlink r:id="rId14" w:history="1">
        <w:r w:rsidR="00EE4660" w:rsidRPr="00EE4660">
          <w:rPr>
            <w:color w:val="0000FF"/>
            <w:u w:val="single"/>
            <w:rtl/>
          </w:rPr>
          <w:t>סעיף 499(א)(1)</w:t>
        </w:r>
      </w:hyperlink>
      <w:r>
        <w:rPr>
          <w:rFonts w:hint="cs"/>
          <w:rtl/>
        </w:rPr>
        <w:t xml:space="preserve"> ל</w:t>
      </w:r>
      <w:hyperlink r:id="rId15" w:history="1">
        <w:r w:rsidRPr="00C33994">
          <w:rPr>
            <w:color w:val="0000FF"/>
            <w:u w:val="single"/>
            <w:rtl/>
          </w:rPr>
          <w:t>חוק העונשין</w:t>
        </w:r>
      </w:hyperlink>
      <w:r>
        <w:rPr>
          <w:rFonts w:hint="cs"/>
          <w:rtl/>
        </w:rPr>
        <w:t>, התשל"ז- 1977 (להלן: "</w:t>
      </w:r>
      <w:r>
        <w:rPr>
          <w:rFonts w:hint="cs"/>
          <w:b/>
          <w:bCs/>
          <w:rtl/>
        </w:rPr>
        <w:t>חוק העונשין</w:t>
      </w:r>
      <w:r>
        <w:rPr>
          <w:rFonts w:hint="cs"/>
          <w:rtl/>
        </w:rPr>
        <w:t xml:space="preserve">"), וכן עבירות לפי </w:t>
      </w:r>
      <w:hyperlink r:id="rId16" w:history="1">
        <w:r w:rsidR="00EE4660" w:rsidRPr="00EE4660">
          <w:rPr>
            <w:color w:val="0000FF"/>
            <w:u w:val="single"/>
            <w:rtl/>
          </w:rPr>
          <w:t>סעיף 13</w:t>
        </w:r>
      </w:hyperlink>
      <w:r>
        <w:rPr>
          <w:rFonts w:hint="cs"/>
          <w:rtl/>
        </w:rPr>
        <w:t xml:space="preserve"> בצירוף </w:t>
      </w:r>
      <w:hyperlink r:id="rId17" w:history="1">
        <w:r w:rsidR="00EE4660" w:rsidRPr="00EE4660">
          <w:rPr>
            <w:color w:val="0000FF"/>
            <w:u w:val="single"/>
            <w:rtl/>
          </w:rPr>
          <w:t>סעיף 19א</w:t>
        </w:r>
      </w:hyperlink>
      <w:r>
        <w:rPr>
          <w:rFonts w:hint="cs"/>
          <w:rtl/>
        </w:rPr>
        <w:t xml:space="preserve"> וסעיף- </w:t>
      </w:r>
      <w:hyperlink r:id="rId18" w:history="1">
        <w:r w:rsidR="00EE4660" w:rsidRPr="00EE4660">
          <w:rPr>
            <w:color w:val="0000FF"/>
            <w:u w:val="single"/>
            <w:rtl/>
          </w:rPr>
          <w:t>7(א)</w:t>
        </w:r>
      </w:hyperlink>
      <w:r>
        <w:rPr>
          <w:rFonts w:hint="cs"/>
          <w:rtl/>
        </w:rPr>
        <w:t xml:space="preserve"> בצי</w:t>
      </w:r>
      <w:bookmarkStart w:id="5" w:name="_GoBack"/>
      <w:bookmarkEnd w:id="5"/>
      <w:r>
        <w:rPr>
          <w:rFonts w:hint="cs"/>
          <w:rtl/>
        </w:rPr>
        <w:t xml:space="preserve">רוף </w:t>
      </w:r>
      <w:hyperlink r:id="rId19" w:history="1">
        <w:r w:rsidR="00EE4660" w:rsidRPr="00EE4660">
          <w:rPr>
            <w:color w:val="0000FF"/>
            <w:u w:val="single"/>
            <w:rtl/>
          </w:rPr>
          <w:t>סעיף 7(ג)</w:t>
        </w:r>
      </w:hyperlink>
      <w:r>
        <w:rPr>
          <w:rFonts w:hint="cs"/>
          <w:rtl/>
        </w:rPr>
        <w:t xml:space="preserve"> ל</w:t>
      </w:r>
      <w:hyperlink r:id="rId20" w:history="1">
        <w:r w:rsidRPr="00C33994">
          <w:rPr>
            <w:color w:val="0000FF"/>
            <w:u w:val="single"/>
            <w:rtl/>
          </w:rPr>
          <w:t>פקודת הסמים המסוכנים</w:t>
        </w:r>
      </w:hyperlink>
      <w:r>
        <w:rPr>
          <w:rFonts w:hint="cs"/>
          <w:rtl/>
        </w:rPr>
        <w:t xml:space="preserve"> (נוסח חדש), התשל"ג- 1973 (להלן: "</w:t>
      </w:r>
      <w:r>
        <w:rPr>
          <w:rFonts w:hint="cs"/>
          <w:b/>
          <w:bCs/>
          <w:rtl/>
        </w:rPr>
        <w:t>פקודת הסמים</w:t>
      </w:r>
      <w:r>
        <w:rPr>
          <w:rFonts w:hint="cs"/>
          <w:rtl/>
        </w:rPr>
        <w:t>").</w:t>
      </w:r>
    </w:p>
    <w:p w14:paraId="21290781" w14:textId="77777777" w:rsidR="00825E77" w:rsidRDefault="00825E77">
      <w:pPr>
        <w:spacing w:line="360" w:lineRule="auto"/>
        <w:jc w:val="both"/>
        <w:rPr>
          <w:rtl/>
        </w:rPr>
      </w:pPr>
    </w:p>
    <w:p w14:paraId="3E11A6BF" w14:textId="77777777" w:rsidR="00825E77" w:rsidRDefault="00C33994">
      <w:pPr>
        <w:spacing w:line="360" w:lineRule="auto"/>
        <w:ind w:left="1440" w:hanging="720"/>
        <w:jc w:val="both"/>
        <w:rPr>
          <w:rtl/>
        </w:rPr>
      </w:pPr>
      <w:r>
        <w:rPr>
          <w:rFonts w:hint="cs"/>
          <w:rtl/>
        </w:rPr>
        <w:t>2.</w:t>
      </w:r>
      <w:r>
        <w:rPr>
          <w:rFonts w:hint="cs"/>
          <w:rtl/>
        </w:rPr>
        <w:tab/>
        <w:t>עובדות כתב האישום פורטו בהכרעת הדין, ועל כן "בקליפת האגוז" יצוין כי הנאשם קשר קשר עם אחרים לייבא מקולומביה לישראל סם מסוכן מסוג קוקאין במשקל 1.272 קילוגרם (להלן: "</w:t>
      </w:r>
      <w:r>
        <w:rPr>
          <w:rFonts w:hint="cs"/>
          <w:b/>
          <w:bCs/>
          <w:rtl/>
        </w:rPr>
        <w:t>הסם</w:t>
      </w:r>
      <w:r>
        <w:rPr>
          <w:rFonts w:hint="cs"/>
          <w:rtl/>
        </w:rPr>
        <w:t>"), וזאת באמצעות קרלוס אלברטו אשר שימש כבלדר ונשא את הסם על גופו (להלן: "</w:t>
      </w:r>
      <w:r>
        <w:rPr>
          <w:rFonts w:hint="cs"/>
          <w:b/>
          <w:bCs/>
          <w:rtl/>
        </w:rPr>
        <w:t>הבלדר</w:t>
      </w:r>
      <w:r>
        <w:rPr>
          <w:rFonts w:hint="cs"/>
          <w:rtl/>
        </w:rPr>
        <w:t xml:space="preserve">"). </w:t>
      </w:r>
    </w:p>
    <w:p w14:paraId="4636C0C8" w14:textId="77777777" w:rsidR="00825E77" w:rsidRDefault="00C33994">
      <w:pPr>
        <w:spacing w:line="360" w:lineRule="auto"/>
        <w:ind w:left="1440"/>
        <w:jc w:val="both"/>
        <w:rPr>
          <w:rtl/>
        </w:rPr>
      </w:pPr>
      <w:r>
        <w:rPr>
          <w:rFonts w:hint="cs"/>
          <w:rtl/>
        </w:rPr>
        <w:t>כחודש ימים עובר לתאריך 27.3.13, הציע אלכס - אחיו של הנאשם לבלדר להעביר סמים לישראל. במסגרת קשירת הקשר נפגשו אלכס, הבלדר ואדם נוסף המכונה תומס בעיר בוגוטה שבקולומביה, וסיכמו את פרטי התוכנית והתמורה שיקבל הבלדר.</w:t>
      </w:r>
    </w:p>
    <w:p w14:paraId="3D8E98DD" w14:textId="77777777" w:rsidR="00825E77" w:rsidRDefault="00825E77">
      <w:pPr>
        <w:spacing w:line="360" w:lineRule="auto"/>
        <w:jc w:val="both"/>
        <w:rPr>
          <w:rtl/>
        </w:rPr>
      </w:pPr>
    </w:p>
    <w:p w14:paraId="228B38D1" w14:textId="77777777" w:rsidR="00825E77" w:rsidRDefault="00C33994">
      <w:pPr>
        <w:spacing w:line="360" w:lineRule="auto"/>
        <w:ind w:left="1440"/>
        <w:jc w:val="both"/>
        <w:rPr>
          <w:rtl/>
        </w:rPr>
      </w:pPr>
      <w:r>
        <w:rPr>
          <w:rFonts w:hint="cs"/>
          <w:rtl/>
        </w:rPr>
        <w:t>בתאריך 27.3.13 נפגשו אלכס, תומס והבלדר בבית קפה בבוגוטה, ובפגישה זו נכח גם הנאשם (להלן: "</w:t>
      </w:r>
      <w:r>
        <w:rPr>
          <w:rFonts w:hint="cs"/>
          <w:b/>
          <w:bCs/>
          <w:rtl/>
        </w:rPr>
        <w:t>הפגישה בבוגוטה</w:t>
      </w:r>
      <w:r>
        <w:rPr>
          <w:rFonts w:hint="cs"/>
          <w:rtl/>
        </w:rPr>
        <w:t xml:space="preserve">"). </w:t>
      </w:r>
    </w:p>
    <w:p w14:paraId="520F7E4B" w14:textId="77777777" w:rsidR="00825E77" w:rsidRDefault="00C33994">
      <w:pPr>
        <w:spacing w:line="360" w:lineRule="auto"/>
        <w:ind w:left="1440"/>
        <w:jc w:val="both"/>
        <w:rPr>
          <w:rtl/>
        </w:rPr>
      </w:pPr>
      <w:r>
        <w:rPr>
          <w:rFonts w:hint="cs"/>
          <w:rtl/>
        </w:rPr>
        <w:t xml:space="preserve">במהלך הפגישה חזרו תומס ואלכס בפני הבלדר על פרטי התוכנית, והבלדר הוצג בפני הנאשם על מנת שיתרשם ממנו ויוכל לזהותו מאוחר יותר.  </w:t>
      </w:r>
    </w:p>
    <w:p w14:paraId="376CF151" w14:textId="77777777" w:rsidR="00825E77" w:rsidRDefault="00C33994">
      <w:pPr>
        <w:spacing w:line="360" w:lineRule="auto"/>
        <w:ind w:left="1440"/>
        <w:jc w:val="both"/>
        <w:rPr>
          <w:rtl/>
        </w:rPr>
      </w:pPr>
      <w:r>
        <w:rPr>
          <w:rFonts w:hint="cs"/>
          <w:rtl/>
        </w:rPr>
        <w:t>למחרת, מסרו אלכס ותומס לבלדר את הסם, וכן כרטיס טיסה מקולומביה לישראל דרך גרמניה. בהמשך, התלוו השניים לבלדר בנסיעתו לשדה התעופה בבוגוטה בדרכו לישראל, לשם מימוש התוכנית המשותפת.</w:t>
      </w:r>
    </w:p>
    <w:p w14:paraId="697283BE" w14:textId="77777777" w:rsidR="00825E77" w:rsidRDefault="00C33994">
      <w:pPr>
        <w:spacing w:line="360" w:lineRule="auto"/>
        <w:ind w:left="1440"/>
        <w:jc w:val="both"/>
        <w:rPr>
          <w:rtl/>
        </w:rPr>
      </w:pPr>
      <w:r>
        <w:rPr>
          <w:rFonts w:hint="cs"/>
          <w:rtl/>
        </w:rPr>
        <w:t xml:space="preserve">סמוך לאחר מכן, שילם תומס מראש, תחת שם בדוי, עבור שהותו של הבלדר במלון "ויטל" ברחוב ויצמן בתל אביב. </w:t>
      </w:r>
    </w:p>
    <w:p w14:paraId="69350FA0" w14:textId="77777777" w:rsidR="00825E77" w:rsidRDefault="00825E77">
      <w:pPr>
        <w:spacing w:line="360" w:lineRule="auto"/>
        <w:jc w:val="both"/>
        <w:rPr>
          <w:rtl/>
        </w:rPr>
      </w:pPr>
    </w:p>
    <w:p w14:paraId="33A553C7" w14:textId="77777777" w:rsidR="00825E77" w:rsidRDefault="00C33994">
      <w:pPr>
        <w:spacing w:line="360" w:lineRule="auto"/>
        <w:ind w:left="1440"/>
        <w:jc w:val="both"/>
        <w:rPr>
          <w:rtl/>
        </w:rPr>
      </w:pPr>
      <w:r>
        <w:rPr>
          <w:rFonts w:hint="cs"/>
          <w:rtl/>
        </w:rPr>
        <w:t xml:space="preserve">בתאריך 27.3.13 סמוך לשעה 1:30 הגיע הבלדר בטיסה לישראל, בחיפוש שנערך בכליו בנתב"ג נתפס הסם, והבלדר נעצר בידי השוטרים. </w:t>
      </w:r>
    </w:p>
    <w:p w14:paraId="688BCD49" w14:textId="77777777" w:rsidR="00825E77" w:rsidRDefault="00C33994">
      <w:pPr>
        <w:spacing w:line="360" w:lineRule="auto"/>
        <w:ind w:left="1440"/>
        <w:jc w:val="both"/>
        <w:rPr>
          <w:rtl/>
        </w:rPr>
      </w:pPr>
      <w:r>
        <w:rPr>
          <w:rFonts w:hint="cs"/>
          <w:rtl/>
        </w:rPr>
        <w:t xml:space="preserve">בהמשך, על פי הנחיות טלפוניות מאלכס ותומס, אמור היה הבלדר, בתאריך  28.3.13,  למסור את הסכם לאחר. </w:t>
      </w:r>
    </w:p>
    <w:p w14:paraId="564F5B1C" w14:textId="77777777" w:rsidR="00825E77" w:rsidRDefault="00C33994">
      <w:pPr>
        <w:spacing w:line="360" w:lineRule="auto"/>
        <w:ind w:left="1440"/>
        <w:jc w:val="both"/>
        <w:rPr>
          <w:rtl/>
        </w:rPr>
      </w:pPr>
      <w:r>
        <w:rPr>
          <w:rFonts w:hint="cs"/>
          <w:rtl/>
        </w:rPr>
        <w:t xml:space="preserve">הבלדר שיתף פעולה עם השוטרים, ובעקבות שיתוף הפעולה נעצר אלירן בן אמיתי בעת שהגיע למלון ויטל לקבל את הסם מידיו של הבלדר. </w:t>
      </w:r>
    </w:p>
    <w:p w14:paraId="3D672919" w14:textId="77777777" w:rsidR="00825E77" w:rsidRDefault="00C33994">
      <w:pPr>
        <w:spacing w:line="360" w:lineRule="auto"/>
        <w:ind w:left="1440"/>
        <w:jc w:val="both"/>
        <w:rPr>
          <w:rtl/>
        </w:rPr>
      </w:pPr>
      <w:r>
        <w:rPr>
          <w:rFonts w:hint="cs"/>
          <w:rtl/>
        </w:rPr>
        <w:t xml:space="preserve">בתאריך 29.3.13 סמוך לשעה 16:30 הגיע הנאשם בתיאום עם אלכס ותומס בטיסה לישראל, וזאת על מנת לוודא שהעברת הסם המיובא ע"י הבלדר בוצעה כמתוכנן, וכדי לגבות את יתרת התשלום מהצד השני לעסקה. </w:t>
      </w:r>
    </w:p>
    <w:p w14:paraId="39A07B73" w14:textId="77777777" w:rsidR="00825E77" w:rsidRDefault="00825E77">
      <w:pPr>
        <w:spacing w:line="360" w:lineRule="auto"/>
        <w:jc w:val="both"/>
        <w:rPr>
          <w:b/>
          <w:bCs/>
          <w:u w:val="single"/>
          <w:rtl/>
        </w:rPr>
      </w:pPr>
    </w:p>
    <w:p w14:paraId="5CACBCAC" w14:textId="77777777" w:rsidR="00825E77" w:rsidRDefault="00C33994">
      <w:pPr>
        <w:spacing w:line="360" w:lineRule="auto"/>
        <w:jc w:val="both"/>
        <w:rPr>
          <w:b/>
          <w:bCs/>
          <w:sz w:val="28"/>
          <w:szCs w:val="28"/>
          <w:u w:val="single"/>
          <w:rtl/>
        </w:rPr>
      </w:pPr>
      <w:r>
        <w:rPr>
          <w:rFonts w:hint="cs"/>
          <w:sz w:val="28"/>
          <w:szCs w:val="28"/>
          <w:rtl/>
        </w:rPr>
        <w:t>ב.</w:t>
      </w:r>
      <w:r>
        <w:rPr>
          <w:rFonts w:hint="cs"/>
          <w:sz w:val="28"/>
          <w:szCs w:val="28"/>
          <w:rtl/>
        </w:rPr>
        <w:tab/>
      </w:r>
      <w:r>
        <w:rPr>
          <w:rFonts w:hint="cs"/>
          <w:b/>
          <w:bCs/>
          <w:sz w:val="28"/>
          <w:szCs w:val="28"/>
          <w:u w:val="single"/>
          <w:rtl/>
        </w:rPr>
        <w:t xml:space="preserve">טיעוני ב"כ המאשימה </w:t>
      </w:r>
    </w:p>
    <w:p w14:paraId="69CF00C7" w14:textId="77777777" w:rsidR="00825E77" w:rsidRDefault="00825E77">
      <w:pPr>
        <w:spacing w:line="360" w:lineRule="auto"/>
        <w:jc w:val="both"/>
        <w:rPr>
          <w:rtl/>
        </w:rPr>
      </w:pPr>
    </w:p>
    <w:p w14:paraId="455DBA85" w14:textId="77777777" w:rsidR="00825E77" w:rsidRDefault="00C33994">
      <w:pPr>
        <w:spacing w:line="360" w:lineRule="auto"/>
        <w:ind w:left="1440" w:hanging="720"/>
        <w:jc w:val="both"/>
        <w:rPr>
          <w:rtl/>
        </w:rPr>
      </w:pPr>
      <w:r>
        <w:rPr>
          <w:rFonts w:hint="cs"/>
          <w:rtl/>
        </w:rPr>
        <w:t>3.</w:t>
      </w:r>
      <w:r>
        <w:rPr>
          <w:rFonts w:hint="cs"/>
          <w:rtl/>
        </w:rPr>
        <w:tab/>
        <w:t xml:space="preserve">ב"כ המאשימה עתר לבית המשפט לקבוע מתחם ענישה בין 5 ל-10 שנות מאסר בגין העבירות שבוצעו על ידי הנאשם, ולהטיל עליו עונש מאסר ברף העליון של המתחם.  </w:t>
      </w:r>
    </w:p>
    <w:p w14:paraId="37C94D32" w14:textId="77777777" w:rsidR="00825E77" w:rsidRDefault="00C33994">
      <w:pPr>
        <w:spacing w:line="360" w:lineRule="auto"/>
        <w:ind w:left="1440"/>
        <w:jc w:val="both"/>
        <w:rPr>
          <w:rtl/>
        </w:rPr>
      </w:pPr>
      <w:r>
        <w:rPr>
          <w:rFonts w:hint="cs"/>
          <w:rtl/>
        </w:rPr>
        <w:t>ב"כ המאשימה הדגיש כי עפ"י ההלכה הפסוקה יש להחמיר בענישתו של כל מי שמשמש חוליה ביבוא וסחר בסם, וזאת בשל הפגיעה באינטרס הציבורי.</w:t>
      </w:r>
    </w:p>
    <w:p w14:paraId="40A33894" w14:textId="77777777" w:rsidR="00825E77" w:rsidRDefault="00C33994">
      <w:pPr>
        <w:spacing w:line="360" w:lineRule="auto"/>
        <w:ind w:left="1440"/>
        <w:jc w:val="both"/>
        <w:rPr>
          <w:rtl/>
        </w:rPr>
      </w:pPr>
      <w:r>
        <w:rPr>
          <w:rFonts w:hint="cs"/>
          <w:rtl/>
        </w:rPr>
        <w:t xml:space="preserve">עוד לדבריו, אין לגזור מעונשו של הבלדר גזירה שווה לעונש הראוי לנאשם, שכן במסגרת תפקידו הגיע הנאשם לישראל בבואו אחר הבלדר "כצל" על מנת לגבות כספים מהצד השני לעסקת הסמים. </w:t>
      </w:r>
    </w:p>
    <w:p w14:paraId="50BE4F32" w14:textId="77777777" w:rsidR="00825E77" w:rsidRDefault="00C33994">
      <w:pPr>
        <w:spacing w:line="360" w:lineRule="auto"/>
        <w:ind w:left="1440"/>
        <w:jc w:val="both"/>
        <w:rPr>
          <w:rtl/>
        </w:rPr>
      </w:pPr>
      <w:r>
        <w:rPr>
          <w:rFonts w:hint="cs"/>
          <w:rtl/>
        </w:rPr>
        <w:t xml:space="preserve">לשיטת ב"כ המאשימה, יש לראות את הנאשם כבעל תפקיד מרכזי ברשת הפצת הסם הקרוב במעמדו למתכנן ולמשלח. </w:t>
      </w:r>
    </w:p>
    <w:p w14:paraId="2FF10B4E" w14:textId="77777777" w:rsidR="00825E77" w:rsidRDefault="00825E77">
      <w:pPr>
        <w:spacing w:line="360" w:lineRule="auto"/>
        <w:jc w:val="both"/>
        <w:rPr>
          <w:rtl/>
        </w:rPr>
      </w:pPr>
    </w:p>
    <w:p w14:paraId="4D4B7684" w14:textId="77777777" w:rsidR="00825E77" w:rsidRDefault="00C33994">
      <w:pPr>
        <w:spacing w:line="360" w:lineRule="auto"/>
        <w:ind w:left="1440" w:hanging="720"/>
        <w:jc w:val="both"/>
        <w:rPr>
          <w:rtl/>
        </w:rPr>
      </w:pPr>
      <w:r>
        <w:rPr>
          <w:rFonts w:hint="cs"/>
          <w:rtl/>
        </w:rPr>
        <w:lastRenderedPageBreak/>
        <w:t>4.</w:t>
      </w:r>
      <w:r>
        <w:rPr>
          <w:rFonts w:hint="cs"/>
          <w:rtl/>
        </w:rPr>
        <w:tab/>
        <w:t>ב"כ המאשימה הוסיף וציין כי על הבלדר הוטל עונש החורג ממתחם הענישה ההולמת, שכן זו ניתנה במסגרת הסדר טיעון נוכח סיועו של הבלדר למשטרה בפיצוח הפרשה.</w:t>
      </w:r>
    </w:p>
    <w:p w14:paraId="630E9538" w14:textId="77777777" w:rsidR="00825E77" w:rsidRDefault="00C33994">
      <w:pPr>
        <w:spacing w:line="360" w:lineRule="auto"/>
        <w:ind w:left="1440"/>
        <w:jc w:val="both"/>
        <w:rPr>
          <w:rtl/>
        </w:rPr>
      </w:pPr>
      <w:r>
        <w:rPr>
          <w:rFonts w:hint="cs"/>
          <w:rtl/>
        </w:rPr>
        <w:t>בית המשפט הופנה ל</w:t>
      </w:r>
      <w:hyperlink r:id="rId21" w:history="1">
        <w:r w:rsidRPr="00C33994">
          <w:rPr>
            <w:color w:val="0000FF"/>
            <w:u w:val="single"/>
            <w:rtl/>
          </w:rPr>
          <w:t>ע"פ 512/13</w:t>
        </w:r>
      </w:hyperlink>
      <w:r>
        <w:rPr>
          <w:rFonts w:hint="cs"/>
          <w:rtl/>
        </w:rPr>
        <w:t xml:space="preserve"> </w:t>
      </w:r>
      <w:r>
        <w:rPr>
          <w:rFonts w:hint="cs"/>
          <w:b/>
          <w:bCs/>
          <w:rtl/>
        </w:rPr>
        <w:t>פלוני נ' מדינת ישראל</w:t>
      </w:r>
      <w:r>
        <w:rPr>
          <w:rFonts w:hint="cs"/>
          <w:rtl/>
        </w:rPr>
        <w:t xml:space="preserve"> (פורסם במאגרים, 4.12.13) שם עמד בית המשפט העליון על האבחנה שבין עונש המוטל במסגרת הסדר טיעון ובין מתחם העונש ההולם שלא במסגרת הסדר. </w:t>
      </w:r>
    </w:p>
    <w:p w14:paraId="417F7B6E" w14:textId="77777777" w:rsidR="00825E77" w:rsidRDefault="00825E77">
      <w:pPr>
        <w:spacing w:line="360" w:lineRule="auto"/>
        <w:jc w:val="both"/>
        <w:rPr>
          <w:rtl/>
        </w:rPr>
      </w:pPr>
    </w:p>
    <w:p w14:paraId="52AF0EFD" w14:textId="77777777" w:rsidR="00825E77" w:rsidRDefault="00C33994">
      <w:pPr>
        <w:spacing w:line="360" w:lineRule="auto"/>
        <w:ind w:left="1440" w:hanging="720"/>
        <w:jc w:val="both"/>
        <w:rPr>
          <w:rtl/>
        </w:rPr>
      </w:pPr>
      <w:r>
        <w:rPr>
          <w:rFonts w:hint="cs"/>
          <w:rtl/>
        </w:rPr>
        <w:t>5.</w:t>
      </w:r>
      <w:r>
        <w:rPr>
          <w:rFonts w:hint="cs"/>
          <w:rtl/>
        </w:rPr>
        <w:tab/>
        <w:t xml:space="preserve">עוד טען ב"כ המאשימה כי לא קיימות נסיבות משמעותיות לקולא בעניינו של הנאשם  אשר לא  הודה ולא נטל אחריות למעשיו, וכן נמנע מלשתף פעולה עם המשטרה, ואף לא העיד בבית המשפט.  </w:t>
      </w:r>
    </w:p>
    <w:p w14:paraId="20DEEC8F" w14:textId="77777777" w:rsidR="00825E77" w:rsidRDefault="00825E77">
      <w:pPr>
        <w:spacing w:line="360" w:lineRule="auto"/>
        <w:ind w:left="1440" w:hanging="720"/>
        <w:jc w:val="both"/>
        <w:rPr>
          <w:rtl/>
        </w:rPr>
      </w:pPr>
    </w:p>
    <w:p w14:paraId="2325EBF7" w14:textId="77777777" w:rsidR="00825E77" w:rsidRDefault="00C33994">
      <w:pPr>
        <w:spacing w:line="360" w:lineRule="auto"/>
        <w:ind w:left="1440" w:hanging="720"/>
        <w:jc w:val="both"/>
        <w:rPr>
          <w:rtl/>
        </w:rPr>
      </w:pPr>
      <w:r>
        <w:rPr>
          <w:rFonts w:hint="cs"/>
          <w:rtl/>
        </w:rPr>
        <w:t>6.</w:t>
      </w:r>
      <w:r>
        <w:rPr>
          <w:rFonts w:hint="cs"/>
          <w:rtl/>
        </w:rPr>
        <w:tab/>
        <w:t>ב"כ המאשימה הפנה את בית המשפט ל</w:t>
      </w:r>
      <w:hyperlink r:id="rId22" w:history="1">
        <w:r>
          <w:rPr>
            <w:rStyle w:val="Hyperlink"/>
            <w:rFonts w:hint="cs"/>
            <w:rtl/>
          </w:rPr>
          <w:t>ע"פ 7052/06</w:t>
        </w:r>
      </w:hyperlink>
      <w:r>
        <w:rPr>
          <w:rFonts w:hint="cs"/>
          <w:rtl/>
        </w:rPr>
        <w:t xml:space="preserve"> </w:t>
      </w:r>
      <w:r>
        <w:rPr>
          <w:rFonts w:hint="cs"/>
          <w:b/>
          <w:bCs/>
          <w:rtl/>
        </w:rPr>
        <w:t xml:space="preserve">אבישי יגאלי נ' מדינת ישראל </w:t>
      </w:r>
      <w:r>
        <w:rPr>
          <w:rFonts w:hint="cs"/>
          <w:rtl/>
        </w:rPr>
        <w:t xml:space="preserve">(פורסם בנבו) שם הורשע נאשם, לאחר שמיעת ראיות, בשני מקרים של יבוא סם מסוכן מסוג קוקאין, ובית המשפט המחוזי גזר עליו 10 שנות מאסר בפועל. </w:t>
      </w:r>
    </w:p>
    <w:p w14:paraId="00DA172F" w14:textId="77777777" w:rsidR="00825E77" w:rsidRDefault="00C33994">
      <w:pPr>
        <w:spacing w:line="360" w:lineRule="auto"/>
        <w:ind w:left="720" w:firstLine="720"/>
        <w:jc w:val="both"/>
        <w:rPr>
          <w:rtl/>
        </w:rPr>
      </w:pPr>
      <w:r>
        <w:rPr>
          <w:rFonts w:hint="cs"/>
          <w:rtl/>
        </w:rPr>
        <w:t>בית המשפט העליון דחה את ערעורו על חומרת העונש, בציינו:</w:t>
      </w:r>
    </w:p>
    <w:p w14:paraId="49B81F3F" w14:textId="77777777" w:rsidR="00825E77" w:rsidRDefault="00C33994">
      <w:pPr>
        <w:spacing w:line="360" w:lineRule="auto"/>
        <w:ind w:left="2160" w:right="720"/>
        <w:jc w:val="both"/>
        <w:rPr>
          <w:b/>
          <w:bCs/>
          <w:rtl/>
        </w:rPr>
      </w:pPr>
      <w:r>
        <w:rPr>
          <w:rFonts w:hint="cs"/>
          <w:b/>
          <w:bCs/>
          <w:rtl/>
        </w:rPr>
        <w:t>"לא מצאתי כי גזר דינו של בית המשפט המחוזי חרג ממדיניות הענישה הנהוגה בעבירות סחר בסמים אשר בשל הנזק החברתי רב הממדים שהן גורמות כמו גם השחתת חייהם של בני אדם עד בלי היכר, חזר ושנה בית משפט זה כי יש להחמיר בעונש כלפי מבצעיהן תוך התחשבות פחותה בנסיבותיהם האישיות... שומא על בתי המשפט לנהוג ביד קשה אף ביתר שאת וזאת על מנת להלחם בנגע הסמים ולשרשו".</w:t>
      </w:r>
    </w:p>
    <w:p w14:paraId="37937E11" w14:textId="77777777" w:rsidR="00825E77" w:rsidRDefault="00825E77">
      <w:pPr>
        <w:spacing w:line="360" w:lineRule="auto"/>
        <w:jc w:val="both"/>
        <w:rPr>
          <w:rtl/>
        </w:rPr>
      </w:pPr>
    </w:p>
    <w:p w14:paraId="305830BD" w14:textId="77777777" w:rsidR="00825E77" w:rsidRDefault="00C33994">
      <w:pPr>
        <w:spacing w:line="360" w:lineRule="auto"/>
        <w:ind w:left="1440"/>
        <w:jc w:val="both"/>
        <w:rPr>
          <w:rtl/>
        </w:rPr>
      </w:pPr>
      <w:r>
        <w:rPr>
          <w:rFonts w:hint="cs"/>
          <w:rtl/>
        </w:rPr>
        <w:t>ב</w:t>
      </w:r>
      <w:hyperlink r:id="rId23" w:history="1">
        <w:r>
          <w:rPr>
            <w:rStyle w:val="Hyperlink"/>
            <w:rFonts w:hint="cs"/>
            <w:rtl/>
          </w:rPr>
          <w:t>ע"פ 2587/09</w:t>
        </w:r>
      </w:hyperlink>
      <w:r>
        <w:rPr>
          <w:rFonts w:hint="cs"/>
          <w:rtl/>
        </w:rPr>
        <w:t xml:space="preserve"> </w:t>
      </w:r>
      <w:r>
        <w:rPr>
          <w:rFonts w:hint="cs"/>
          <w:b/>
          <w:bCs/>
          <w:rtl/>
        </w:rPr>
        <w:t xml:space="preserve">סקר אבו רקייק נ' מ.י. </w:t>
      </w:r>
      <w:r>
        <w:rPr>
          <w:rFonts w:hint="cs"/>
          <w:rtl/>
        </w:rPr>
        <w:t xml:space="preserve">(פורסם בנבו) נדון ערעורו של נאשם שהורשע על פי הודאתו בייבוא סם מסוכן מסוג הירואין במשקל </w:t>
      </w:r>
      <w:smartTag w:uri="urn:schemas-microsoft-com:office:smarttags" w:element="metricconverter">
        <w:smartTagPr>
          <w:attr w:name="ProductID" w:val="910 גרם"/>
        </w:smartTagPr>
        <w:r>
          <w:rPr>
            <w:rFonts w:hint="cs"/>
            <w:rtl/>
          </w:rPr>
          <w:t>910 גרם</w:t>
        </w:r>
      </w:smartTag>
      <w:r>
        <w:rPr>
          <w:rFonts w:hint="cs"/>
          <w:rtl/>
        </w:rPr>
        <w:t xml:space="preserve">. </w:t>
      </w:r>
    </w:p>
    <w:p w14:paraId="42527EFA" w14:textId="77777777" w:rsidR="00825E77" w:rsidRDefault="00C33994">
      <w:pPr>
        <w:spacing w:line="360" w:lineRule="auto"/>
        <w:ind w:left="1440"/>
        <w:jc w:val="both"/>
        <w:rPr>
          <w:rtl/>
        </w:rPr>
      </w:pPr>
      <w:r>
        <w:rPr>
          <w:rFonts w:hint="cs"/>
          <w:rtl/>
        </w:rPr>
        <w:t>בית המשפט המחוזי הטיל עליו שבע וחצי שנות מאסר בפועל, ובית המשפט העליון דחה את ערעורו, בציינו:</w:t>
      </w:r>
    </w:p>
    <w:p w14:paraId="71DE1F20" w14:textId="77777777" w:rsidR="00825E77" w:rsidRDefault="00C33994">
      <w:pPr>
        <w:spacing w:line="360" w:lineRule="auto"/>
        <w:ind w:left="2160" w:right="720"/>
        <w:jc w:val="both"/>
        <w:rPr>
          <w:rtl/>
        </w:rPr>
      </w:pPr>
      <w:r>
        <w:rPr>
          <w:rFonts w:hint="cs"/>
          <w:b/>
          <w:bCs/>
          <w:rtl/>
        </w:rPr>
        <w:t>"על בית המשפט לתרום את חלקו במאבק נגד נגע הסמים. במקרים דוגמת זה שבפנינו אין מנוס מענישה מחמירה. זאת, על מנת להרתיע הן את הנאשם שהורשע והן אחרים שעלולים להתפתות לעסוק בייבוא סם בשל הרווח הכספי הצפוי להם"</w:t>
      </w:r>
      <w:r>
        <w:rPr>
          <w:rFonts w:hint="cs"/>
          <w:rtl/>
        </w:rPr>
        <w:t>.</w:t>
      </w:r>
    </w:p>
    <w:p w14:paraId="715CF473" w14:textId="77777777" w:rsidR="00825E77" w:rsidRDefault="00825E77">
      <w:pPr>
        <w:spacing w:line="360" w:lineRule="auto"/>
        <w:jc w:val="both"/>
        <w:rPr>
          <w:rtl/>
        </w:rPr>
      </w:pPr>
    </w:p>
    <w:p w14:paraId="161ADA4A" w14:textId="77777777" w:rsidR="00825E77" w:rsidRDefault="00C33994">
      <w:pPr>
        <w:spacing w:line="360" w:lineRule="auto"/>
        <w:ind w:left="1440"/>
        <w:jc w:val="both"/>
        <w:rPr>
          <w:rtl/>
        </w:rPr>
      </w:pPr>
      <w:r>
        <w:rPr>
          <w:rFonts w:hint="cs"/>
          <w:rtl/>
        </w:rPr>
        <w:t>ב</w:t>
      </w:r>
      <w:hyperlink r:id="rId24" w:history="1">
        <w:r w:rsidRPr="00C33994">
          <w:rPr>
            <w:color w:val="0000FF"/>
            <w:u w:val="single"/>
            <w:rtl/>
          </w:rPr>
          <w:t>ע"פ 10254/09</w:t>
        </w:r>
      </w:hyperlink>
      <w:r>
        <w:rPr>
          <w:rFonts w:hint="cs"/>
          <w:rtl/>
        </w:rPr>
        <w:t xml:space="preserve"> </w:t>
      </w:r>
      <w:r>
        <w:rPr>
          <w:rFonts w:hint="cs"/>
          <w:b/>
          <w:bCs/>
          <w:rtl/>
        </w:rPr>
        <w:t xml:space="preserve">יוסף דהן נ' מדינת ישראל </w:t>
      </w:r>
      <w:r>
        <w:rPr>
          <w:rFonts w:hint="cs"/>
          <w:rtl/>
        </w:rPr>
        <w:t xml:space="preserve">(פורסם בנבו) נדון ערעורו של נאשם אשר הורשע לאחר שמיעת ראיות, בייבוא סם מסוג קוקאין במשקל 1940 גרם תוך ניצול עבודתו כפקיד בדואר ישראל. בית המשפט המחוזי הטיל עליו 12 שנות מאסר בפועל, ובית המשפט העליון דחה את ערעורו. </w:t>
      </w:r>
    </w:p>
    <w:p w14:paraId="1F34FBC3" w14:textId="77777777" w:rsidR="00825E77" w:rsidRDefault="00825E77">
      <w:pPr>
        <w:spacing w:line="360" w:lineRule="auto"/>
        <w:jc w:val="both"/>
        <w:rPr>
          <w:rtl/>
        </w:rPr>
      </w:pPr>
    </w:p>
    <w:p w14:paraId="4EAB2821" w14:textId="77777777" w:rsidR="00825E77" w:rsidRDefault="00C33994">
      <w:pPr>
        <w:spacing w:line="360" w:lineRule="auto"/>
        <w:ind w:left="1440"/>
        <w:jc w:val="both"/>
        <w:rPr>
          <w:rtl/>
        </w:rPr>
      </w:pPr>
      <w:r>
        <w:rPr>
          <w:rFonts w:hint="cs"/>
          <w:rtl/>
        </w:rPr>
        <w:t>ב</w:t>
      </w:r>
      <w:hyperlink r:id="rId25" w:history="1">
        <w:r>
          <w:rPr>
            <w:rStyle w:val="Hyperlink"/>
            <w:rFonts w:hint="cs"/>
            <w:rtl/>
          </w:rPr>
          <w:t xml:space="preserve">ע"פ 3920/00 </w:t>
        </w:r>
        <w:r>
          <w:rPr>
            <w:rStyle w:val="Hyperlink"/>
            <w:rFonts w:hint="cs"/>
            <w:b/>
            <w:bCs/>
            <w:rtl/>
          </w:rPr>
          <w:t>פלונית נ' מדינת ישראל</w:t>
        </w:r>
        <w:r>
          <w:rPr>
            <w:rStyle w:val="Hyperlink"/>
            <w:rFonts w:hint="cs"/>
            <w:rtl/>
          </w:rPr>
          <w:t xml:space="preserve"> (פורסם בנבו, ) </w:t>
        </w:r>
      </w:hyperlink>
      <w:r>
        <w:rPr>
          <w:rFonts w:hint="cs"/>
          <w:rtl/>
        </w:rPr>
        <w:t xml:space="preserve">נדון ערעורן של שתי נאשמות ששימשו כבלדריות והורשעו בייבוא סם מסוג קוקאין במשקל </w:t>
      </w:r>
      <w:smartTag w:uri="urn:schemas-microsoft-com:office:smarttags" w:element="metricconverter">
        <w:smartTagPr>
          <w:attr w:name="ProductID" w:val="1500 גרם"/>
        </w:smartTagPr>
        <w:r>
          <w:rPr>
            <w:rFonts w:hint="cs"/>
            <w:rtl/>
          </w:rPr>
          <w:t>1500 גרם</w:t>
        </w:r>
      </w:smartTag>
      <w:r>
        <w:rPr>
          <w:rFonts w:hint="cs"/>
          <w:rtl/>
        </w:rPr>
        <w:t xml:space="preserve">. </w:t>
      </w:r>
      <w:r>
        <w:rPr>
          <w:rFonts w:hint="cs"/>
          <w:rtl/>
        </w:rPr>
        <w:br/>
        <w:t>בית המשפט המחוזי גזר עליהן שש שנות מאסר בפועל, ובית המשפט העליון דחה את ערעורן על חומרת העונש בציינו:</w:t>
      </w:r>
    </w:p>
    <w:p w14:paraId="172F4DFC" w14:textId="77777777" w:rsidR="00825E77" w:rsidRDefault="00C33994">
      <w:pPr>
        <w:spacing w:line="360" w:lineRule="auto"/>
        <w:ind w:left="2160" w:right="720"/>
        <w:jc w:val="both"/>
        <w:rPr>
          <w:rtl/>
        </w:rPr>
      </w:pPr>
      <w:r>
        <w:rPr>
          <w:rFonts w:hint="cs"/>
          <w:b/>
          <w:bCs/>
          <w:rtl/>
        </w:rPr>
        <w:t>"זו דרכו האכזרית של סחר בסמים הבינ"ל, המגייס לעבודת הבלדרות המסוכנת אנשים תמימי מראה הנתונים בנסיבות אישיות קשות. על מערכת אכיפת החוק להרתיע על ידי ענישה נוקשה ומחמירה גם אנשים דוגמת המערערות שהן במובן מסוים קורבנות של סוחרי הסם בעצמן, כדי לשים מכשול בדרכו של נגע הסמים, ולהגן על המדינה מפני גורמי הפשע הבינ"ל"</w:t>
      </w:r>
      <w:r>
        <w:rPr>
          <w:rFonts w:hint="cs"/>
          <w:rtl/>
        </w:rPr>
        <w:t>.</w:t>
      </w:r>
    </w:p>
    <w:p w14:paraId="0CCF87C7" w14:textId="77777777" w:rsidR="00825E77" w:rsidRDefault="00825E77">
      <w:pPr>
        <w:spacing w:line="360" w:lineRule="auto"/>
        <w:jc w:val="both"/>
        <w:rPr>
          <w:b/>
          <w:bCs/>
          <w:u w:val="single"/>
          <w:rtl/>
        </w:rPr>
      </w:pPr>
    </w:p>
    <w:p w14:paraId="10989EDC" w14:textId="77777777" w:rsidR="00825E77" w:rsidRDefault="00C33994">
      <w:pPr>
        <w:spacing w:line="360" w:lineRule="auto"/>
        <w:jc w:val="both"/>
        <w:rPr>
          <w:b/>
          <w:bCs/>
          <w:sz w:val="28"/>
          <w:szCs w:val="28"/>
          <w:u w:val="single"/>
          <w:rtl/>
        </w:rPr>
      </w:pPr>
      <w:r>
        <w:rPr>
          <w:rFonts w:hint="cs"/>
          <w:sz w:val="28"/>
          <w:szCs w:val="28"/>
          <w:rtl/>
        </w:rPr>
        <w:t>ג.</w:t>
      </w:r>
      <w:r>
        <w:rPr>
          <w:rFonts w:hint="cs"/>
          <w:sz w:val="28"/>
          <w:szCs w:val="28"/>
          <w:rtl/>
        </w:rPr>
        <w:tab/>
      </w:r>
      <w:r>
        <w:rPr>
          <w:rFonts w:hint="cs"/>
          <w:b/>
          <w:bCs/>
          <w:sz w:val="28"/>
          <w:szCs w:val="28"/>
          <w:u w:val="single"/>
          <w:rtl/>
        </w:rPr>
        <w:t xml:space="preserve">טיעוני ב"כ הנאשם </w:t>
      </w:r>
    </w:p>
    <w:p w14:paraId="4A130EED" w14:textId="77777777" w:rsidR="00825E77" w:rsidRDefault="00825E77">
      <w:pPr>
        <w:spacing w:line="360" w:lineRule="auto"/>
        <w:jc w:val="both"/>
        <w:rPr>
          <w:rtl/>
        </w:rPr>
      </w:pPr>
    </w:p>
    <w:p w14:paraId="58306BFE" w14:textId="77777777" w:rsidR="00825E77" w:rsidRDefault="00C33994">
      <w:pPr>
        <w:spacing w:line="360" w:lineRule="auto"/>
        <w:ind w:left="1440" w:hanging="720"/>
        <w:jc w:val="both"/>
        <w:rPr>
          <w:rtl/>
        </w:rPr>
      </w:pPr>
      <w:r>
        <w:rPr>
          <w:rFonts w:hint="cs"/>
          <w:rtl/>
        </w:rPr>
        <w:t>7.</w:t>
      </w:r>
      <w:r>
        <w:rPr>
          <w:rFonts w:hint="cs"/>
          <w:rtl/>
        </w:rPr>
        <w:tab/>
        <w:t>ב"כ הנאשם עתר לבית המשפט, לקבוע מתחם ענישה הולם לעבירות בהן הורשע הנאשם בין 2.5 ל- 5 שנות מאסר, ולהטיל על הנאשם עונש מאסר ברף התחתון של המתחם, שלא יעלה על העונש שהוטל על הבלדר (3 שנים וארבעה חודשים).</w:t>
      </w:r>
    </w:p>
    <w:p w14:paraId="54ABDD91" w14:textId="77777777" w:rsidR="00825E77" w:rsidRDefault="00825E77">
      <w:pPr>
        <w:spacing w:line="360" w:lineRule="auto"/>
        <w:ind w:left="1440"/>
        <w:jc w:val="both"/>
        <w:rPr>
          <w:rtl/>
        </w:rPr>
      </w:pPr>
    </w:p>
    <w:p w14:paraId="605FEBE6" w14:textId="77777777" w:rsidR="00825E77" w:rsidRDefault="00C33994">
      <w:pPr>
        <w:spacing w:line="360" w:lineRule="auto"/>
        <w:ind w:left="1440"/>
        <w:jc w:val="both"/>
        <w:rPr>
          <w:rtl/>
        </w:rPr>
      </w:pPr>
      <w:r>
        <w:rPr>
          <w:rFonts w:hint="cs"/>
          <w:rtl/>
        </w:rPr>
        <w:t xml:space="preserve">ב"כ הנאשם טען בהרחבה כי אין לראות את הנאשם כמי שנטל חלק משמעותי ומרכזי יותר מזה שנטל הבלדר, וחלקו של הנאשם בביצוע העבירות נשוא התיק דנן הינו שולי אפילו יותר מזה של הבלדר, בפרט נוכח העובדה שבתיק דנן רב הנסתר על הנגלה, ולא ניתן לייחס לו באף שלב שליטה על תוכנית ייבוא הסם. </w:t>
      </w:r>
    </w:p>
    <w:p w14:paraId="5AE9C9CB" w14:textId="77777777" w:rsidR="00825E77" w:rsidRDefault="00825E77">
      <w:pPr>
        <w:spacing w:line="360" w:lineRule="auto"/>
        <w:jc w:val="both"/>
        <w:rPr>
          <w:rtl/>
        </w:rPr>
      </w:pPr>
    </w:p>
    <w:p w14:paraId="55EF5885" w14:textId="77777777" w:rsidR="00825E77" w:rsidRDefault="00C33994">
      <w:pPr>
        <w:spacing w:line="360" w:lineRule="auto"/>
        <w:ind w:left="1440"/>
        <w:jc w:val="both"/>
        <w:rPr>
          <w:rtl/>
        </w:rPr>
      </w:pPr>
      <w:r>
        <w:rPr>
          <w:rFonts w:hint="cs"/>
          <w:rtl/>
        </w:rPr>
        <w:t xml:space="preserve">בנוסף, עתר שלא לזקוף לחובת מרשו את אופן ניהול התיק ואת כפירתו בעובדות כתב האישום. עוד לדבריו, ניהול המשפט היה יעיל ומהיר בדרך של הגשת ראיות מוסכמות ויריעת המחלוקת נותרה צרה למדי. </w:t>
      </w:r>
    </w:p>
    <w:p w14:paraId="5A23D61C" w14:textId="77777777" w:rsidR="00825E77" w:rsidRDefault="00825E77">
      <w:pPr>
        <w:spacing w:line="360" w:lineRule="auto"/>
        <w:jc w:val="both"/>
        <w:rPr>
          <w:rtl/>
        </w:rPr>
      </w:pPr>
    </w:p>
    <w:p w14:paraId="2BD9CA50" w14:textId="77777777" w:rsidR="00825E77" w:rsidRDefault="00C33994">
      <w:pPr>
        <w:spacing w:line="360" w:lineRule="auto"/>
        <w:ind w:left="1440" w:hanging="720"/>
        <w:jc w:val="both"/>
        <w:rPr>
          <w:rtl/>
        </w:rPr>
      </w:pPr>
      <w:r>
        <w:rPr>
          <w:rFonts w:hint="cs"/>
          <w:rtl/>
        </w:rPr>
        <w:t>8.</w:t>
      </w:r>
      <w:r>
        <w:rPr>
          <w:rFonts w:hint="cs"/>
          <w:rtl/>
        </w:rPr>
        <w:tab/>
        <w:t>ב"כ הנאשם איבחן בין פסקי הדין שהגיש ב"כ המאשימה לבין המקרה דנן בציינו, כי הענישה כנגד ישראלים המייבאים סמים צריכה להיות חמורה מזו המוטלת על זרים. עוד התייחס למספר האישומים המוזכרים בתיקים האחרים, ולמהות תפקידו של הנאשם ביחס למארגנים ששלחו את הבלדר ולכמות הסם שיובא.</w:t>
      </w:r>
    </w:p>
    <w:p w14:paraId="5D33263E" w14:textId="77777777" w:rsidR="00825E77" w:rsidRDefault="00C33994">
      <w:pPr>
        <w:spacing w:line="360" w:lineRule="auto"/>
        <w:ind w:left="1440"/>
        <w:jc w:val="both"/>
        <w:rPr>
          <w:rtl/>
        </w:rPr>
      </w:pPr>
      <w:r>
        <w:rPr>
          <w:rFonts w:hint="cs"/>
          <w:rtl/>
        </w:rPr>
        <w:t xml:space="preserve">ב"כ הנאשם הפנה אף הוא את בית המשפט לשורה של פסקי דין אשר ניתנו בבתי המשפט המחוזיים. אקדים ואציין, כי מרבית מפסקי הדין שהוגשו אינם רלוונטיים לענייננו, מאחר ועניינם בענישה מוסכמת בין הצדדים במסגרת הסדרי טיעון.   </w:t>
      </w:r>
    </w:p>
    <w:p w14:paraId="0E4F07CC" w14:textId="77777777" w:rsidR="00825E77" w:rsidRDefault="00825E77">
      <w:pPr>
        <w:spacing w:line="360" w:lineRule="auto"/>
        <w:ind w:left="1440" w:hanging="720"/>
        <w:jc w:val="both"/>
        <w:rPr>
          <w:rtl/>
        </w:rPr>
      </w:pPr>
    </w:p>
    <w:p w14:paraId="08EAC679" w14:textId="77777777" w:rsidR="00825E77" w:rsidRDefault="00C33994">
      <w:pPr>
        <w:spacing w:line="360" w:lineRule="auto"/>
        <w:ind w:left="1440" w:hanging="720"/>
        <w:jc w:val="both"/>
        <w:rPr>
          <w:rtl/>
        </w:rPr>
      </w:pPr>
      <w:r>
        <w:rPr>
          <w:rFonts w:hint="cs"/>
          <w:rtl/>
        </w:rPr>
        <w:t>9.</w:t>
      </w:r>
      <w:r>
        <w:rPr>
          <w:rFonts w:hint="cs"/>
          <w:rtl/>
        </w:rPr>
        <w:tab/>
        <w:t>עוד ביקש ב"כ הנאשם, כי לא יהא לנאשם לרועץ - אי יכולת ההגנה לבסס טענות בדבר מחלתו במסמכים רפואיים, ועסקינן בטענת ההגנה באדם חולה המתקשה בדיבור ובהפעלת יתר שרירי גופו.</w:t>
      </w:r>
    </w:p>
    <w:p w14:paraId="31CCCDA0" w14:textId="77777777" w:rsidR="00825E77" w:rsidRDefault="00C33994">
      <w:pPr>
        <w:spacing w:line="360" w:lineRule="auto"/>
        <w:ind w:left="1440" w:hanging="720"/>
        <w:jc w:val="both"/>
        <w:rPr>
          <w:rtl/>
        </w:rPr>
      </w:pPr>
      <w:r>
        <w:rPr>
          <w:rFonts w:hint="cs"/>
          <w:rtl/>
        </w:rPr>
        <w:t xml:space="preserve"> </w:t>
      </w:r>
    </w:p>
    <w:p w14:paraId="18F93969" w14:textId="77777777" w:rsidR="00825E77" w:rsidRDefault="00C33994">
      <w:pPr>
        <w:spacing w:line="360" w:lineRule="auto"/>
        <w:jc w:val="both"/>
        <w:rPr>
          <w:b/>
          <w:bCs/>
          <w:sz w:val="28"/>
          <w:szCs w:val="28"/>
          <w:u w:val="single"/>
          <w:rtl/>
        </w:rPr>
      </w:pPr>
      <w:r>
        <w:rPr>
          <w:rFonts w:hint="cs"/>
          <w:sz w:val="28"/>
          <w:szCs w:val="28"/>
          <w:rtl/>
        </w:rPr>
        <w:t>ד.</w:t>
      </w:r>
      <w:r>
        <w:rPr>
          <w:rFonts w:hint="cs"/>
          <w:sz w:val="28"/>
          <w:szCs w:val="28"/>
          <w:rtl/>
        </w:rPr>
        <w:tab/>
      </w:r>
      <w:r>
        <w:rPr>
          <w:rFonts w:hint="cs"/>
          <w:b/>
          <w:bCs/>
          <w:sz w:val="28"/>
          <w:szCs w:val="28"/>
          <w:u w:val="single"/>
          <w:rtl/>
        </w:rPr>
        <w:t xml:space="preserve">דברי הנאשם </w:t>
      </w:r>
    </w:p>
    <w:p w14:paraId="2C1C3328" w14:textId="77777777" w:rsidR="00825E77" w:rsidRDefault="00825E77">
      <w:pPr>
        <w:spacing w:line="360" w:lineRule="auto"/>
        <w:jc w:val="both"/>
        <w:rPr>
          <w:rtl/>
        </w:rPr>
      </w:pPr>
    </w:p>
    <w:p w14:paraId="50E36058" w14:textId="77777777" w:rsidR="00825E77" w:rsidRDefault="00C33994">
      <w:pPr>
        <w:spacing w:line="360" w:lineRule="auto"/>
        <w:ind w:left="1440" w:hanging="720"/>
        <w:jc w:val="both"/>
        <w:rPr>
          <w:rtl/>
        </w:rPr>
      </w:pPr>
      <w:r>
        <w:rPr>
          <w:rFonts w:hint="cs"/>
          <w:rtl/>
        </w:rPr>
        <w:t>10.</w:t>
      </w:r>
      <w:r>
        <w:rPr>
          <w:rFonts w:hint="cs"/>
          <w:rtl/>
        </w:rPr>
        <w:tab/>
        <w:t xml:space="preserve">הנאשם נמנע מלהביע חרטה על מעשיו, ושב וטען לחפותו. </w:t>
      </w:r>
    </w:p>
    <w:p w14:paraId="3DF3EF81" w14:textId="77777777" w:rsidR="00825E77" w:rsidRDefault="00C33994">
      <w:pPr>
        <w:spacing w:line="360" w:lineRule="auto"/>
        <w:ind w:left="1440"/>
        <w:jc w:val="both"/>
        <w:rPr>
          <w:rtl/>
        </w:rPr>
      </w:pPr>
      <w:r>
        <w:rPr>
          <w:rFonts w:hint="cs"/>
          <w:rtl/>
        </w:rPr>
        <w:t xml:space="preserve">לשאלת בית המשפט באשר למצבו האישי השיב, כי הוא נשוי ואב לשבעה ילדים, אך חזר והדגיש את נסיבות מעצרו, ואת העובדה שעל גופו לא נתפס סם.  </w:t>
      </w:r>
    </w:p>
    <w:p w14:paraId="5237F20B" w14:textId="77777777" w:rsidR="00825E77" w:rsidRDefault="00825E77">
      <w:pPr>
        <w:spacing w:line="360" w:lineRule="auto"/>
        <w:jc w:val="both"/>
        <w:rPr>
          <w:sz w:val="28"/>
          <w:szCs w:val="28"/>
          <w:rtl/>
        </w:rPr>
      </w:pPr>
    </w:p>
    <w:p w14:paraId="474D6317" w14:textId="77777777" w:rsidR="00825E77" w:rsidRDefault="00C33994">
      <w:pPr>
        <w:spacing w:line="360" w:lineRule="auto"/>
        <w:jc w:val="both"/>
        <w:rPr>
          <w:sz w:val="28"/>
          <w:szCs w:val="28"/>
          <w:rtl/>
        </w:rPr>
      </w:pPr>
      <w:r>
        <w:rPr>
          <w:rFonts w:hint="cs"/>
          <w:sz w:val="28"/>
          <w:szCs w:val="28"/>
          <w:rtl/>
        </w:rPr>
        <w:t>ה.</w:t>
      </w:r>
      <w:r>
        <w:rPr>
          <w:rFonts w:hint="cs"/>
          <w:sz w:val="28"/>
          <w:szCs w:val="28"/>
          <w:rtl/>
        </w:rPr>
        <w:tab/>
      </w:r>
      <w:r>
        <w:rPr>
          <w:rFonts w:hint="cs"/>
          <w:b/>
          <w:bCs/>
          <w:sz w:val="28"/>
          <w:szCs w:val="28"/>
          <w:u w:val="single"/>
          <w:rtl/>
        </w:rPr>
        <w:t xml:space="preserve">דיון </w:t>
      </w:r>
    </w:p>
    <w:p w14:paraId="7EDF540D" w14:textId="77777777" w:rsidR="00825E77" w:rsidRDefault="00825E77">
      <w:pPr>
        <w:spacing w:line="360" w:lineRule="auto"/>
        <w:jc w:val="both"/>
        <w:rPr>
          <w:rtl/>
        </w:rPr>
      </w:pPr>
    </w:p>
    <w:p w14:paraId="58A869BD" w14:textId="77777777" w:rsidR="00825E77" w:rsidRDefault="00C33994">
      <w:pPr>
        <w:spacing w:line="360" w:lineRule="auto"/>
        <w:ind w:left="1440" w:hanging="720"/>
        <w:jc w:val="both"/>
        <w:rPr>
          <w:rtl/>
        </w:rPr>
      </w:pPr>
      <w:r>
        <w:rPr>
          <w:rFonts w:hint="cs"/>
          <w:rtl/>
        </w:rPr>
        <w:t>11.</w:t>
      </w:r>
      <w:r>
        <w:rPr>
          <w:rFonts w:hint="cs"/>
          <w:rtl/>
        </w:rPr>
        <w:tab/>
        <w:t xml:space="preserve">הנאשם הורשע בקשירת קשר ליבוא סם מסוג קוקאין, בייבוא קוקאין ובהחזקתו. </w:t>
      </w:r>
    </w:p>
    <w:p w14:paraId="4FED4A9B" w14:textId="77777777" w:rsidR="00825E77" w:rsidRDefault="00825E77">
      <w:pPr>
        <w:spacing w:line="360" w:lineRule="auto"/>
        <w:ind w:left="1440" w:hanging="720"/>
        <w:jc w:val="both"/>
        <w:rPr>
          <w:rtl/>
        </w:rPr>
      </w:pPr>
    </w:p>
    <w:p w14:paraId="5D53F911" w14:textId="77777777" w:rsidR="00825E77" w:rsidRDefault="00C33994">
      <w:pPr>
        <w:spacing w:line="360" w:lineRule="auto"/>
        <w:ind w:left="1440" w:hanging="720"/>
        <w:jc w:val="both"/>
        <w:rPr>
          <w:rtl/>
        </w:rPr>
      </w:pPr>
      <w:r>
        <w:rPr>
          <w:rFonts w:hint="cs"/>
          <w:rtl/>
        </w:rPr>
        <w:tab/>
        <w:t xml:space="preserve">דיו רב נשפך בהלכה הפסוקה על החומרה שבעבירות יבוא סם מהסוג בו עסקינן והענישה החמורה שיש להטיל על מבצעיהן. </w:t>
      </w:r>
    </w:p>
    <w:p w14:paraId="7986FC6E" w14:textId="77777777" w:rsidR="00825E77" w:rsidRDefault="00825E77">
      <w:pPr>
        <w:spacing w:line="360" w:lineRule="auto"/>
        <w:ind w:left="720" w:firstLine="720"/>
        <w:jc w:val="both"/>
        <w:rPr>
          <w:rtl/>
        </w:rPr>
      </w:pPr>
    </w:p>
    <w:p w14:paraId="4A8F0072" w14:textId="77777777" w:rsidR="00825E77" w:rsidRDefault="00C33994">
      <w:pPr>
        <w:spacing w:line="360" w:lineRule="auto"/>
        <w:ind w:left="1440"/>
        <w:jc w:val="both"/>
        <w:rPr>
          <w:rtl/>
        </w:rPr>
      </w:pPr>
      <w:r>
        <w:rPr>
          <w:rFonts w:hint="cs"/>
          <w:rtl/>
        </w:rPr>
        <w:t>ב</w:t>
      </w:r>
      <w:hyperlink r:id="rId26" w:history="1">
        <w:r>
          <w:rPr>
            <w:rStyle w:val="Hyperlink"/>
            <w:rFonts w:hint="cs"/>
            <w:rtl/>
          </w:rPr>
          <w:t>ע"פ</w:t>
        </w:r>
      </w:hyperlink>
      <w:r>
        <w:rPr>
          <w:rFonts w:hint="cs"/>
          <w:rtl/>
        </w:rPr>
        <w:t xml:space="preserve"> 966/94 </w:t>
      </w:r>
      <w:r>
        <w:rPr>
          <w:rFonts w:hint="cs"/>
          <w:b/>
          <w:bCs/>
          <w:rtl/>
        </w:rPr>
        <w:t>אמזלג נ' מדינת ישראל</w:t>
      </w:r>
      <w:r>
        <w:rPr>
          <w:rFonts w:hint="cs"/>
          <w:rtl/>
        </w:rPr>
        <w:t xml:space="preserve"> (פורסם במאגרים, 10.12.95) הביע בית המשפט העליון עמדתו בנושא הענישה שבעבירות הסמים, בציינו כי : </w:t>
      </w:r>
    </w:p>
    <w:p w14:paraId="6B10F23F" w14:textId="77777777" w:rsidR="00825E77" w:rsidRDefault="00C33994">
      <w:pPr>
        <w:spacing w:line="360" w:lineRule="auto"/>
        <w:ind w:left="2160" w:right="720"/>
        <w:jc w:val="both"/>
        <w:rPr>
          <w:b/>
          <w:bCs/>
          <w:rtl/>
        </w:rPr>
      </w:pPr>
      <w:r>
        <w:rPr>
          <w:rFonts w:hint="cs"/>
          <w:rtl/>
        </w:rPr>
        <w:t>"</w:t>
      </w:r>
      <w:r>
        <w:rPr>
          <w:rFonts w:hint="cs"/>
          <w:b/>
          <w:bCs/>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hint="cs"/>
          <w:rtl/>
        </w:rPr>
        <w:t>"</w:t>
      </w:r>
    </w:p>
    <w:p w14:paraId="042A5D1E" w14:textId="77777777" w:rsidR="00825E77" w:rsidRDefault="00825E77">
      <w:pPr>
        <w:spacing w:line="360" w:lineRule="auto"/>
        <w:jc w:val="both"/>
        <w:rPr>
          <w:rtl/>
        </w:rPr>
      </w:pPr>
    </w:p>
    <w:p w14:paraId="6842EFAF" w14:textId="77777777" w:rsidR="00825E77" w:rsidRDefault="00C33994">
      <w:pPr>
        <w:spacing w:line="360" w:lineRule="auto"/>
        <w:ind w:left="1440" w:hanging="720"/>
        <w:jc w:val="both"/>
        <w:rPr>
          <w:rtl/>
        </w:rPr>
      </w:pPr>
      <w:r>
        <w:rPr>
          <w:rFonts w:hint="cs"/>
          <w:rtl/>
        </w:rPr>
        <w:t>12.</w:t>
      </w:r>
      <w:r>
        <w:rPr>
          <w:rFonts w:hint="cs"/>
          <w:rtl/>
        </w:rPr>
        <w:tab/>
        <w:t xml:space="preserve">בענייננו, כפי שנאמר בהכרעת הדין, הנאשם נמנה על המעגל הפנימי של יבוא סם לישראל, כמי שהיה מודע לכל פרטיה הרלוונטיים של התכנית העבריינית ויישומה, ומי שיועד לו כנראה תפקיד של איסוף, בירור ביצוע העסקה והעברת הכספים הכרוכים בה. </w:t>
      </w:r>
    </w:p>
    <w:p w14:paraId="6AF1F7B8" w14:textId="77777777" w:rsidR="00825E77" w:rsidRDefault="00C33994">
      <w:pPr>
        <w:spacing w:line="360" w:lineRule="auto"/>
        <w:ind w:left="1440"/>
        <w:jc w:val="both"/>
        <w:rPr>
          <w:rtl/>
        </w:rPr>
      </w:pPr>
      <w:r>
        <w:rPr>
          <w:rFonts w:hint="cs"/>
          <w:rtl/>
        </w:rPr>
        <w:t xml:space="preserve">אמנם, מעמדו המדויק של הנאשם לא הוברר – אך ברור שמעורבים אחרים </w:t>
      </w:r>
      <w:r>
        <w:rPr>
          <w:rtl/>
        </w:rPr>
        <w:t>–</w:t>
      </w:r>
      <w:r>
        <w:rPr>
          <w:rFonts w:hint="cs"/>
          <w:rtl/>
        </w:rPr>
        <w:t xml:space="preserve"> אחיו אלכס ותומס, מילאו תפקידים מרכזיים יותר משלו. </w:t>
      </w:r>
    </w:p>
    <w:p w14:paraId="5FB9444E" w14:textId="77777777" w:rsidR="00825E77" w:rsidRDefault="00825E77">
      <w:pPr>
        <w:spacing w:line="360" w:lineRule="auto"/>
        <w:ind w:left="720" w:hanging="766"/>
        <w:jc w:val="both"/>
        <w:rPr>
          <w:b/>
          <w:bCs/>
          <w:u w:val="single"/>
          <w:rtl/>
        </w:rPr>
      </w:pPr>
    </w:p>
    <w:p w14:paraId="617E44EB" w14:textId="77777777" w:rsidR="00825E77" w:rsidRDefault="00C33994">
      <w:pPr>
        <w:spacing w:line="360" w:lineRule="auto"/>
        <w:jc w:val="both"/>
        <w:rPr>
          <w:b/>
          <w:bCs/>
          <w:u w:val="single"/>
          <w:rtl/>
        </w:rPr>
      </w:pPr>
      <w:r>
        <w:rPr>
          <w:rFonts w:hint="cs"/>
          <w:b/>
          <w:bCs/>
          <w:u w:val="single"/>
          <w:rtl/>
        </w:rPr>
        <w:t xml:space="preserve">הבניית שיקול הדעת השיפוטי בענישה </w:t>
      </w:r>
    </w:p>
    <w:p w14:paraId="4426CA61" w14:textId="77777777" w:rsidR="00825E77" w:rsidRDefault="00C33994">
      <w:pPr>
        <w:spacing w:line="360" w:lineRule="auto"/>
        <w:ind w:left="1440" w:hanging="720"/>
        <w:jc w:val="both"/>
        <w:rPr>
          <w:rtl/>
        </w:rPr>
      </w:pPr>
      <w:r>
        <w:rPr>
          <w:rFonts w:hint="cs"/>
          <w:rtl/>
        </w:rPr>
        <w:t>13.</w:t>
      </w:r>
      <w:r>
        <w:rPr>
          <w:rFonts w:hint="cs"/>
          <w:rtl/>
        </w:rPr>
        <w:tab/>
        <w:t xml:space="preserve">על גזר הדין שבפנינו חל </w:t>
      </w:r>
      <w:r>
        <w:rPr>
          <w:rFonts w:hint="cs"/>
          <w:b/>
          <w:bCs/>
          <w:rtl/>
        </w:rPr>
        <w:t>תיקון מספר 113 ל</w:t>
      </w:r>
      <w:hyperlink r:id="rId27" w:history="1">
        <w:r w:rsidRPr="00C33994">
          <w:rPr>
            <w:b/>
            <w:bCs/>
            <w:color w:val="0000FF"/>
            <w:u w:val="single"/>
            <w:rtl/>
          </w:rPr>
          <w:t>חוק העונשין</w:t>
        </w:r>
      </w:hyperlink>
      <w:r>
        <w:rPr>
          <w:rFonts w:hint="cs"/>
          <w:rtl/>
        </w:rPr>
        <w:t xml:space="preserve"> שעניינו "</w:t>
      </w:r>
      <w:r>
        <w:rPr>
          <w:rFonts w:hint="cs"/>
          <w:b/>
          <w:bCs/>
          <w:rtl/>
        </w:rPr>
        <w:t>הבניית שיקול הדעת השיפוטי בענישה</w:t>
      </w:r>
      <w:r>
        <w:rPr>
          <w:rFonts w:hint="cs"/>
          <w:rtl/>
        </w:rPr>
        <w:t>" (להלן: "</w:t>
      </w:r>
      <w:r>
        <w:rPr>
          <w:rFonts w:hint="cs"/>
          <w:b/>
          <w:bCs/>
          <w:rtl/>
        </w:rPr>
        <w:t>תיקון 113</w:t>
      </w:r>
      <w:r>
        <w:rPr>
          <w:rFonts w:hint="cs"/>
          <w:rtl/>
        </w:rPr>
        <w:t>").</w:t>
      </w:r>
    </w:p>
    <w:p w14:paraId="1F2ED15E" w14:textId="77777777" w:rsidR="00825E77" w:rsidRDefault="00825E77">
      <w:pPr>
        <w:spacing w:line="360" w:lineRule="auto"/>
        <w:ind w:left="-46"/>
        <w:jc w:val="both"/>
        <w:rPr>
          <w:rtl/>
        </w:rPr>
      </w:pPr>
    </w:p>
    <w:p w14:paraId="6222CCBA" w14:textId="77777777" w:rsidR="00825E77" w:rsidRDefault="00C33994">
      <w:pPr>
        <w:spacing w:line="360" w:lineRule="auto"/>
        <w:ind w:left="1440" w:firstLine="46"/>
        <w:jc w:val="both"/>
        <w:rPr>
          <w:rtl/>
        </w:rPr>
      </w:pPr>
      <w:r>
        <w:rPr>
          <w:rFonts w:hint="cs"/>
          <w:rtl/>
        </w:rPr>
        <w:t>תיקון 113 מורה לבית המשפט לקבוע "</w:t>
      </w:r>
      <w:r>
        <w:rPr>
          <w:rFonts w:hint="cs"/>
          <w:b/>
          <w:bCs/>
          <w:rtl/>
        </w:rPr>
        <w:t>מתחם עונש הולם למעשה העבירה שביצע הנאשם</w:t>
      </w:r>
      <w:r>
        <w:rPr>
          <w:rFonts w:hint="cs"/>
          <w:rtl/>
        </w:rPr>
        <w:t>" בהתאם "</w:t>
      </w:r>
      <w:r>
        <w:rPr>
          <w:rFonts w:hint="cs"/>
          <w:b/>
          <w:bCs/>
          <w:rtl/>
        </w:rPr>
        <w:t>לעקרון ההלימה</w:t>
      </w:r>
      <w:r>
        <w:rPr>
          <w:rFonts w:hint="cs"/>
          <w:rtl/>
        </w:rPr>
        <w:t>" המורה על "</w:t>
      </w:r>
      <w:r>
        <w:rPr>
          <w:rFonts w:hint="cs"/>
          <w:b/>
          <w:bCs/>
          <w:rtl/>
        </w:rPr>
        <w:t>קיומו של יחס הולם בין חומרת מעשה העבירה בנסיבותיו ומידת אשמו של הנאשם ובין סוג ומידת העונש המוטל עליו</w:t>
      </w:r>
      <w:r>
        <w:rPr>
          <w:rFonts w:hint="cs"/>
          <w:rtl/>
        </w:rPr>
        <w:t>".</w:t>
      </w:r>
      <w:r>
        <w:rPr>
          <w:rFonts w:hint="cs"/>
          <w:rtl/>
        </w:rPr>
        <w:br/>
        <w:t>בקבעו את מתחם העונש ההולם על בית המשפט להתחשב בערך החברתי שנפגע, במידת הפגיעה בו, במדיניות הענישה הנוהגת ובנסיבות הקשורות בביצוע העבירה.</w:t>
      </w:r>
    </w:p>
    <w:p w14:paraId="6C14E3A5" w14:textId="77777777" w:rsidR="00825E77" w:rsidRDefault="00825E77">
      <w:pPr>
        <w:spacing w:line="360" w:lineRule="auto"/>
        <w:ind w:left="1440" w:firstLine="46"/>
        <w:jc w:val="both"/>
        <w:rPr>
          <w:rtl/>
        </w:rPr>
      </w:pPr>
    </w:p>
    <w:p w14:paraId="786E163E" w14:textId="77777777" w:rsidR="00825E77" w:rsidRDefault="00C33994">
      <w:pPr>
        <w:spacing w:line="360" w:lineRule="auto"/>
        <w:ind w:left="1440" w:hanging="720"/>
        <w:jc w:val="both"/>
        <w:rPr>
          <w:rtl/>
        </w:rPr>
      </w:pPr>
      <w:r>
        <w:rPr>
          <w:rFonts w:hint="cs"/>
          <w:rtl/>
        </w:rPr>
        <w:t>14.</w:t>
      </w:r>
      <w:r>
        <w:rPr>
          <w:rtl/>
        </w:rPr>
        <w:tab/>
      </w:r>
      <w:r>
        <w:rPr>
          <w:rFonts w:hint="cs"/>
          <w:rtl/>
        </w:rPr>
        <w:t xml:space="preserve">אין חולק בדבר הפגיעה הקשה הצפויה לערכים מוגנים כתוצאה מנגע הסמים אשר פשט בחברה והפך למגיפה של ממש. אין צורך גם להכביר מילים בדבר פוטנציאל הסיכון הגלום ביבוא סם מסוג קוקאין לשלום הציבור, ובמיוחד נוכח הכמות שיובאה </w:t>
      </w:r>
      <w:r>
        <w:rPr>
          <w:rtl/>
        </w:rPr>
        <w:t>–</w:t>
      </w:r>
      <w:r>
        <w:rPr>
          <w:rFonts w:hint="cs"/>
          <w:rtl/>
        </w:rPr>
        <w:t xml:space="preserve"> 1.2 ק"ג. הפגיעה היא בראש ובראשונה בבריאותם של צרכני הסם הקיימים, אך גם בצרכנים הפוטנציאליים, כמו גם בציבור כולו הנופל קורבן לעבירות פליליות נוספות המבוצעות ע"י הנרקומנים לצורך מימון הסם.  </w:t>
      </w:r>
    </w:p>
    <w:p w14:paraId="3258388B" w14:textId="77777777" w:rsidR="00825E77" w:rsidRDefault="00C33994">
      <w:pPr>
        <w:spacing w:line="360" w:lineRule="auto"/>
        <w:ind w:left="1440"/>
        <w:jc w:val="both"/>
        <w:rPr>
          <w:rtl/>
        </w:rPr>
      </w:pPr>
      <w:r>
        <w:rPr>
          <w:rFonts w:hint="cs"/>
          <w:rtl/>
        </w:rPr>
        <w:t>יפים לענייננו דברי כב' השופט חשין ב</w:t>
      </w:r>
      <w:hyperlink r:id="rId28" w:history="1">
        <w:r w:rsidRPr="00C33994">
          <w:rPr>
            <w:color w:val="0000FF"/>
            <w:u w:val="single"/>
            <w:rtl/>
          </w:rPr>
          <w:t>ע"פ 4998/95</w:t>
        </w:r>
      </w:hyperlink>
      <w:r>
        <w:rPr>
          <w:rFonts w:hint="cs"/>
          <w:rtl/>
        </w:rPr>
        <w:t xml:space="preserve"> </w:t>
      </w:r>
      <w:r>
        <w:rPr>
          <w:rFonts w:hint="cs"/>
          <w:b/>
          <w:bCs/>
          <w:rtl/>
        </w:rPr>
        <w:t>מדינת ישראל נ' קרדוסו</w:t>
      </w:r>
      <w:r>
        <w:rPr>
          <w:rFonts w:hint="cs"/>
          <w:rtl/>
        </w:rPr>
        <w:t xml:space="preserve"> (פורסם במאגרים, 31.7.1997): </w:t>
      </w:r>
    </w:p>
    <w:p w14:paraId="7D7DF53F" w14:textId="77777777" w:rsidR="00825E77" w:rsidRDefault="00C33994">
      <w:pPr>
        <w:pStyle w:val="Quote"/>
        <w:spacing w:line="360" w:lineRule="auto"/>
        <w:ind w:left="2160" w:right="720"/>
        <w:rPr>
          <w:rFonts w:ascii="Calibri" w:eastAsia="Calibri" w:hAnsi="Calibri" w:cs="David"/>
          <w:sz w:val="24"/>
          <w:rtl/>
          <w:lang w:eastAsia="en-US"/>
        </w:rPr>
      </w:pPr>
      <w:r>
        <w:rPr>
          <w:rFonts w:ascii="Calibri" w:eastAsia="Calibri" w:hAnsi="Calibri" w:cs="David" w:hint="cs"/>
          <w:sz w:val="24"/>
          <w:rtl/>
          <w:lang w:eastAsia="en-US"/>
        </w:rPr>
        <w:t>"</w:t>
      </w:r>
      <w:r>
        <w:rPr>
          <w:rFonts w:ascii="Calibri" w:eastAsia="Calibri" w:hAnsi="Calibri" w:cs="David" w:hint="cs"/>
          <w:b/>
          <w:bCs/>
          <w:sz w:val="24"/>
          <w:rtl/>
          <w:lang w:eastAsia="en-US"/>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עיסקאות-מכר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והכל כדי להשיג מימון לרכישתו של הסם.</w:t>
      </w:r>
      <w:r>
        <w:rPr>
          <w:rFonts w:ascii="Calibri" w:eastAsia="Calibri" w:hAnsi="Calibri" w:cs="David" w:hint="cs"/>
          <w:sz w:val="24"/>
          <w:rtl/>
          <w:lang w:eastAsia="en-US"/>
        </w:rPr>
        <w:t>"</w:t>
      </w:r>
    </w:p>
    <w:p w14:paraId="64368066" w14:textId="77777777" w:rsidR="00825E77" w:rsidRDefault="00C33994">
      <w:pPr>
        <w:spacing w:line="360" w:lineRule="auto"/>
        <w:ind w:left="1440" w:hanging="720"/>
        <w:jc w:val="both"/>
        <w:rPr>
          <w:rFonts w:ascii="Calibri" w:eastAsia="Calibri" w:hAnsi="Calibri"/>
          <w:rtl/>
        </w:rPr>
      </w:pPr>
      <w:r>
        <w:rPr>
          <w:rFonts w:hint="cs"/>
          <w:rtl/>
        </w:rPr>
        <w:t>15.</w:t>
      </w:r>
      <w:r>
        <w:rPr>
          <w:rFonts w:hint="cs"/>
          <w:rtl/>
        </w:rPr>
        <w:tab/>
        <w:t xml:space="preserve">בהכרעת הדין נקבע שתפקיד הנאשם היה לוודא ביצוע העסקה וכנראה להוציא את כספי התמורה מגבולות המדינה. בכך, הוא נועד להשלים את אשר החל הבלדר שתפקידו היה להכניס את הסם בין גבולותיה של ישראל. האנלוגיה בין השניים וחשיבותם שוות הערך למימוש התכנית העבריינית מלמדת כי גם מתחם הענישה הראוי בעניינו של הנאשם צריך שיהיה דומה למקובל בעניינם של בלדרים, להבדיל </w:t>
      </w:r>
      <w:r>
        <w:rPr>
          <w:rFonts w:hint="cs"/>
          <w:u w:val="single"/>
          <w:rtl/>
        </w:rPr>
        <w:t>ממי שהוכח</w:t>
      </w:r>
      <w:r>
        <w:rPr>
          <w:rFonts w:hint="cs"/>
          <w:rtl/>
        </w:rPr>
        <w:t xml:space="preserve"> שהיה יוזם ומשלח.</w:t>
      </w:r>
    </w:p>
    <w:p w14:paraId="19E8B57B" w14:textId="77777777" w:rsidR="00825E77" w:rsidRDefault="00C33994">
      <w:pPr>
        <w:spacing w:line="360" w:lineRule="auto"/>
        <w:ind w:left="1439"/>
        <w:jc w:val="both"/>
        <w:rPr>
          <w:rtl/>
        </w:rPr>
      </w:pPr>
      <w:r>
        <w:rPr>
          <w:rFonts w:hint="cs"/>
          <w:rtl/>
        </w:rPr>
        <w:t xml:space="preserve">ברם, להבדיל מהבלדר בתיק דנן ששיתף פעולה עם המשטרה, ולטענתו בכך סיכן את חיי בני משפחתו, שנותרו בקולומביה, שהרי חלק מהמעורבים בפרשה נותרו שם, שבפנינו, לא שיתף פעולה, לא הביע חרטה, ואף לא העיד בבית המשפט. </w:t>
      </w:r>
    </w:p>
    <w:p w14:paraId="0F86DCCB" w14:textId="77777777" w:rsidR="00825E77" w:rsidRDefault="00825E77">
      <w:pPr>
        <w:spacing w:line="360" w:lineRule="auto"/>
        <w:ind w:left="-46"/>
        <w:jc w:val="both"/>
        <w:rPr>
          <w:rtl/>
        </w:rPr>
      </w:pPr>
    </w:p>
    <w:p w14:paraId="43D1188F" w14:textId="77777777" w:rsidR="00825E77" w:rsidRDefault="00C33994">
      <w:pPr>
        <w:spacing w:line="360" w:lineRule="auto"/>
        <w:ind w:left="1440" w:firstLine="46"/>
        <w:jc w:val="both"/>
        <w:rPr>
          <w:rtl/>
        </w:rPr>
      </w:pPr>
      <w:r>
        <w:rPr>
          <w:rFonts w:hint="cs"/>
          <w:rtl/>
        </w:rPr>
        <w:t>לעניין הענישה ההולמת לבלדרים לעומת, משלחי הסם התייחס לאחרונה כב' השופט מודריק ב</w:t>
      </w:r>
      <w:hyperlink r:id="rId29" w:history="1">
        <w:r w:rsidRPr="00C33994">
          <w:rPr>
            <w:color w:val="0000FF"/>
            <w:u w:val="single"/>
            <w:rtl/>
          </w:rPr>
          <w:t>ת"פ 33745-01-13</w:t>
        </w:r>
      </w:hyperlink>
      <w:r>
        <w:rPr>
          <w:rFonts w:hint="cs"/>
          <w:rtl/>
        </w:rPr>
        <w:t xml:space="preserve"> </w:t>
      </w:r>
      <w:r>
        <w:rPr>
          <w:rFonts w:hint="cs"/>
          <w:b/>
          <w:bCs/>
          <w:rtl/>
        </w:rPr>
        <w:t>מדינת ישראל נ' דסונה</w:t>
      </w:r>
      <w:r>
        <w:rPr>
          <w:rFonts w:hint="cs"/>
          <w:rtl/>
        </w:rPr>
        <w:t xml:space="preserve"> (פורסם במאגרים, 28.10.2013), שעניינו בלדרית שניסתה להבריח לישראל כמות של כ- 4 ק"ג סם מסוג קוקאין. בגזר הדין ציין כב' השופט ד"ר עודד מודריק כי: </w:t>
      </w:r>
    </w:p>
    <w:p w14:paraId="47A8045C" w14:textId="77777777" w:rsidR="00825E77" w:rsidRDefault="00C33994">
      <w:pPr>
        <w:spacing w:line="360" w:lineRule="auto"/>
        <w:ind w:left="2160" w:right="720"/>
        <w:jc w:val="both"/>
        <w:rPr>
          <w:rtl/>
        </w:rPr>
      </w:pPr>
      <w:r>
        <w:rPr>
          <w:rFonts w:hint="cs"/>
          <w:rtl/>
        </w:rPr>
        <w:t>"</w:t>
      </w:r>
      <w:r>
        <w:rPr>
          <w:rFonts w:hint="cs"/>
          <w:b/>
          <w:bCs/>
          <w:rtl/>
        </w:rPr>
        <w:t>נראה על פי מידת הפגיעה בערך החברתי המוגן שעונשו של הבלדר צריך להיות כמחצית ואף פחות מכך מעונש של מי שאני רואה בו כמחולל עיקרי של התהליך העברייני או כנהנה העיקרי ממנו</w:t>
      </w:r>
      <w:r>
        <w:rPr>
          <w:rFonts w:hint="cs"/>
          <w:rtl/>
        </w:rPr>
        <w:t xml:space="preserve">". </w:t>
      </w:r>
    </w:p>
    <w:p w14:paraId="13BC122B" w14:textId="77777777" w:rsidR="00825E77" w:rsidRDefault="00825E77">
      <w:pPr>
        <w:spacing w:line="360" w:lineRule="auto"/>
        <w:ind w:left="-46"/>
        <w:jc w:val="both"/>
        <w:rPr>
          <w:rtl/>
        </w:rPr>
      </w:pPr>
    </w:p>
    <w:p w14:paraId="3111BFCF" w14:textId="77777777" w:rsidR="00825E77" w:rsidRDefault="00C33994">
      <w:pPr>
        <w:spacing w:line="360" w:lineRule="auto"/>
        <w:ind w:left="1440" w:firstLine="46"/>
        <w:jc w:val="both"/>
        <w:rPr>
          <w:rtl/>
        </w:rPr>
      </w:pPr>
      <w:r>
        <w:rPr>
          <w:rFonts w:hint="cs"/>
          <w:rtl/>
        </w:rPr>
        <w:t xml:space="preserve">בהסתמך על ההנמקה האמורה, נקבע שם מתחם עונש הולם שנע בין </w:t>
      </w:r>
      <w:r>
        <w:rPr>
          <w:rFonts w:hint="cs"/>
          <w:u w:val="single"/>
          <w:rtl/>
        </w:rPr>
        <w:t>3.5 ל-6 שנות מאסר</w:t>
      </w:r>
      <w:r>
        <w:rPr>
          <w:rFonts w:hint="cs"/>
          <w:rtl/>
        </w:rPr>
        <w:t xml:space="preserve">. </w:t>
      </w:r>
    </w:p>
    <w:p w14:paraId="10F826EB" w14:textId="77777777" w:rsidR="00825E77" w:rsidRDefault="00825E77">
      <w:pPr>
        <w:spacing w:line="360" w:lineRule="auto"/>
        <w:ind w:left="720"/>
        <w:jc w:val="both"/>
        <w:rPr>
          <w:rtl/>
        </w:rPr>
      </w:pPr>
    </w:p>
    <w:p w14:paraId="1AF9BA20" w14:textId="77777777" w:rsidR="00825E77" w:rsidRDefault="00C33994">
      <w:pPr>
        <w:spacing w:line="360" w:lineRule="auto"/>
        <w:ind w:left="1440" w:hanging="720"/>
        <w:jc w:val="both"/>
        <w:rPr>
          <w:rtl/>
        </w:rPr>
      </w:pPr>
      <w:r>
        <w:rPr>
          <w:rFonts w:hint="cs"/>
          <w:rtl/>
        </w:rPr>
        <w:t>16.</w:t>
      </w:r>
      <w:r>
        <w:rPr>
          <w:rFonts w:hint="cs"/>
          <w:rtl/>
        </w:rPr>
        <w:tab/>
        <w:t xml:space="preserve">ומכאן לנסיבות שאינן כרוכות בביצוע העבירה </w:t>
      </w:r>
      <w:r>
        <w:rPr>
          <w:rtl/>
        </w:rPr>
        <w:t>–</w:t>
      </w:r>
      <w:r>
        <w:rPr>
          <w:rFonts w:hint="cs"/>
          <w:rtl/>
        </w:rPr>
        <w:t xml:space="preserve"> הנסיבות האישיות של הנאשם: </w:t>
      </w:r>
    </w:p>
    <w:p w14:paraId="79660C4D" w14:textId="77777777" w:rsidR="00825E77" w:rsidRDefault="00C33994">
      <w:pPr>
        <w:spacing w:line="360" w:lineRule="auto"/>
        <w:ind w:left="1440"/>
        <w:jc w:val="both"/>
        <w:rPr>
          <w:rtl/>
        </w:rPr>
      </w:pPr>
      <w:r>
        <w:rPr>
          <w:rFonts w:hint="cs"/>
          <w:rtl/>
        </w:rPr>
        <w:t>הנאשם טען כי הוא אב לשבעה ילדים, כלשונו: "</w:t>
      </w:r>
      <w:r>
        <w:rPr>
          <w:rFonts w:hint="cs"/>
          <w:b/>
          <w:bCs/>
          <w:rtl/>
        </w:rPr>
        <w:t>בבית שלי יש לי ארבעה ילדים ובחוץ יש לי שלושה ילדים</w:t>
      </w:r>
      <w:r>
        <w:rPr>
          <w:rFonts w:hint="cs"/>
          <w:rtl/>
        </w:rPr>
        <w:t xml:space="preserve">" (עמ' 24 ש' 1-2 </w:t>
      </w:r>
      <w:hyperlink r:id="rId30" w:history="1">
        <w:r w:rsidRPr="00C33994">
          <w:rPr>
            <w:color w:val="0000FF"/>
            <w:u w:val="single"/>
            <w:rtl/>
          </w:rPr>
          <w:t xml:space="preserve">לישיבת </w:t>
        </w:r>
      </w:hyperlink>
      <w:r>
        <w:rPr>
          <w:rFonts w:hint="cs"/>
          <w:rtl/>
        </w:rPr>
        <w:t xml:space="preserve"> 31/12/13). </w:t>
      </w:r>
    </w:p>
    <w:p w14:paraId="5AF2EC65" w14:textId="77777777" w:rsidR="00825E77" w:rsidRDefault="00825E77">
      <w:pPr>
        <w:spacing w:line="360" w:lineRule="auto"/>
        <w:ind w:left="1440"/>
        <w:jc w:val="both"/>
        <w:rPr>
          <w:rtl/>
        </w:rPr>
      </w:pPr>
    </w:p>
    <w:p w14:paraId="3463B370" w14:textId="77777777" w:rsidR="00825E77" w:rsidRDefault="00C33994">
      <w:pPr>
        <w:spacing w:line="360" w:lineRule="auto"/>
        <w:ind w:left="1440"/>
        <w:jc w:val="both"/>
        <w:rPr>
          <w:rtl/>
        </w:rPr>
      </w:pPr>
      <w:r>
        <w:rPr>
          <w:rFonts w:hint="cs"/>
          <w:rtl/>
        </w:rPr>
        <w:t xml:space="preserve">עוד יצויין, כי במהלך הדיונים בבית המשפט התרשמתי שהנאשם סובל מבעיה רפואית כלשהי, וזאת נוכח הנעת ראשו (רעד), כמו גם אופן דיבורו וקיבעון מחשבתו כשחזר וטען אותן טענות שוב ושוב כאילו הן אינן מובנות לשומע אותו, לפיהן הוא נעצר בנתב"ג, וזאת  על אף שלא נתפסו אצלו סמים. עוד חזר וטען כי נאמר לו שהמעצר יימשך 3 שעות לצורך בדיקות והנה הוא עצור מאז כשישה חודשים. לשאלת ביהמ"ש אם הוא סובל ממחלה כלשהי, השיב הנאשם כי הוא סובל מלחץ דם גבוה וממחלת הפרקינסון, אך לא ידע לציין אילו תרופות / כדורים הוא נוטל. </w:t>
      </w:r>
    </w:p>
    <w:p w14:paraId="6FE793DF" w14:textId="77777777" w:rsidR="00825E77" w:rsidRDefault="00C33994">
      <w:pPr>
        <w:spacing w:line="360" w:lineRule="auto"/>
        <w:ind w:left="1440"/>
        <w:jc w:val="both"/>
        <w:rPr>
          <w:rtl/>
        </w:rPr>
      </w:pPr>
      <w:r>
        <w:rPr>
          <w:rFonts w:hint="cs"/>
          <w:rtl/>
        </w:rPr>
        <w:t xml:space="preserve">לאור המקובץ לעיל התבקש רופא שב"ס להעביר לביהמ"ש את המידע הרפואי שיש ברשותו. </w:t>
      </w:r>
    </w:p>
    <w:p w14:paraId="2220B718" w14:textId="77777777" w:rsidR="00825E77" w:rsidRDefault="00C33994">
      <w:pPr>
        <w:spacing w:line="360" w:lineRule="auto"/>
        <w:ind w:left="1440"/>
        <w:jc w:val="both"/>
        <w:rPr>
          <w:rtl/>
        </w:rPr>
      </w:pPr>
      <w:r>
        <w:rPr>
          <w:rFonts w:hint="cs"/>
          <w:b/>
          <w:bCs/>
          <w:rtl/>
        </w:rPr>
        <w:t>ד"ר אנטולי פוקסמן</w:t>
      </w:r>
      <w:r>
        <w:rPr>
          <w:rFonts w:hint="cs"/>
          <w:rtl/>
        </w:rPr>
        <w:t xml:space="preserve"> ממרפאת בית מעצר תל אביב מסר שהנאשם נבדק בידי נוירולוג, אך לא אובחן כמי שסובל ממחלת הפרקינסון לה הוא טען, והרעד איפוא אינו רעד פרקינסוני. </w:t>
      </w:r>
    </w:p>
    <w:p w14:paraId="5C1CC88B" w14:textId="77777777" w:rsidR="00825E77" w:rsidRDefault="00C33994">
      <w:pPr>
        <w:spacing w:line="360" w:lineRule="auto"/>
        <w:ind w:left="1440"/>
        <w:jc w:val="both"/>
        <w:rPr>
          <w:rtl/>
        </w:rPr>
      </w:pPr>
      <w:r>
        <w:rPr>
          <w:rFonts w:hint="cs"/>
          <w:rtl/>
        </w:rPr>
        <w:t>יחד עם זאת, הומלץ לנאשם טיפול הרגעתי והנאשם מקבל טיפול תרופתי של קלונקס (</w:t>
      </w:r>
      <w:r>
        <w:t>clonex</w:t>
      </w:r>
      <w:r>
        <w:rPr>
          <w:rFonts w:hint="cs"/>
          <w:rtl/>
        </w:rPr>
        <w:t xml:space="preserve">) ושל </w:t>
      </w:r>
      <w:r>
        <w:t>ocsaar</w:t>
      </w:r>
      <w:r>
        <w:rPr>
          <w:rFonts w:hint="cs"/>
          <w:rtl/>
        </w:rPr>
        <w:t xml:space="preserve"> המיועדת להורדת לחץ דם. </w:t>
      </w:r>
    </w:p>
    <w:p w14:paraId="57465882" w14:textId="77777777" w:rsidR="00825E77" w:rsidRDefault="00825E77">
      <w:pPr>
        <w:spacing w:line="360" w:lineRule="auto"/>
        <w:ind w:left="1440"/>
        <w:jc w:val="both"/>
        <w:rPr>
          <w:rtl/>
        </w:rPr>
      </w:pPr>
    </w:p>
    <w:p w14:paraId="40BE4F2A" w14:textId="77777777" w:rsidR="00825E77" w:rsidRDefault="00C33994">
      <w:pPr>
        <w:spacing w:line="360" w:lineRule="auto"/>
        <w:ind w:left="1440" w:hanging="720"/>
        <w:jc w:val="both"/>
        <w:rPr>
          <w:rtl/>
        </w:rPr>
      </w:pPr>
      <w:r>
        <w:rPr>
          <w:rFonts w:hint="cs"/>
          <w:rtl/>
        </w:rPr>
        <w:t>17.</w:t>
      </w:r>
      <w:r>
        <w:rPr>
          <w:rtl/>
        </w:rPr>
        <w:tab/>
      </w:r>
      <w:r>
        <w:rPr>
          <w:rFonts w:hint="cs"/>
          <w:rtl/>
        </w:rPr>
        <w:t xml:space="preserve">עוד יש להתחשב בגזירת העונש בכך  שהנאשם עתיד להיות אסיר במדינה זרה שאת שפתה ותרבותה הוא אינו מבין, ולצד הבדידות שהוא עתיד לחוות, הוא לא יזכה לביקורים וחופשות כמקובל. </w:t>
      </w:r>
    </w:p>
    <w:p w14:paraId="5FEFD33A" w14:textId="77777777" w:rsidR="00825E77" w:rsidRDefault="00825E77">
      <w:pPr>
        <w:spacing w:line="360" w:lineRule="auto"/>
        <w:jc w:val="both"/>
        <w:rPr>
          <w:rtl/>
        </w:rPr>
      </w:pPr>
    </w:p>
    <w:p w14:paraId="0E87312A" w14:textId="77777777" w:rsidR="00825E77" w:rsidRDefault="00C33994">
      <w:pPr>
        <w:spacing w:line="360" w:lineRule="auto"/>
        <w:ind w:left="1440" w:hanging="720"/>
        <w:jc w:val="both"/>
        <w:rPr>
          <w:rtl/>
        </w:rPr>
      </w:pPr>
      <w:r>
        <w:rPr>
          <w:rFonts w:hint="cs"/>
          <w:rtl/>
        </w:rPr>
        <w:t>18.</w:t>
      </w:r>
      <w:r>
        <w:rPr>
          <w:rFonts w:hint="cs"/>
          <w:rtl/>
        </w:rPr>
        <w:tab/>
        <w:t xml:space="preserve">לאור כל האמור לעיל, ולאחר ששקלתי את כל הטיעונים הנדרשים בענייננו, אני מטילה על הנאשם העונשים כדלקמן: </w:t>
      </w:r>
    </w:p>
    <w:p w14:paraId="7375CA9B" w14:textId="77777777" w:rsidR="00825E77" w:rsidRDefault="00C33994">
      <w:pPr>
        <w:pStyle w:val="ListParagraph"/>
        <w:numPr>
          <w:ilvl w:val="0"/>
          <w:numId w:val="1"/>
        </w:numPr>
        <w:spacing w:line="360" w:lineRule="auto"/>
        <w:jc w:val="both"/>
        <w:rPr>
          <w:rFonts w:cs="David"/>
          <w:sz w:val="24"/>
          <w:szCs w:val="24"/>
          <w:rtl/>
        </w:rPr>
      </w:pPr>
      <w:r>
        <w:rPr>
          <w:rFonts w:cs="David" w:hint="cs"/>
          <w:sz w:val="24"/>
          <w:szCs w:val="24"/>
          <w:rtl/>
        </w:rPr>
        <w:t>5 שנות מאסר החל מיום מעצרו בתאריך 29.3.2013.</w:t>
      </w:r>
    </w:p>
    <w:p w14:paraId="08EA9EEA" w14:textId="77777777" w:rsidR="00825E77" w:rsidRDefault="00C33994">
      <w:pPr>
        <w:pStyle w:val="ListParagraph"/>
        <w:numPr>
          <w:ilvl w:val="0"/>
          <w:numId w:val="1"/>
        </w:numPr>
        <w:spacing w:line="360" w:lineRule="auto"/>
        <w:jc w:val="both"/>
        <w:rPr>
          <w:rFonts w:cs="David"/>
          <w:sz w:val="24"/>
          <w:szCs w:val="24"/>
        </w:rPr>
      </w:pPr>
      <w:r>
        <w:rPr>
          <w:rFonts w:cs="David" w:hint="cs"/>
          <w:sz w:val="24"/>
          <w:szCs w:val="24"/>
          <w:rtl/>
        </w:rPr>
        <w:t xml:space="preserve">18 חודשי מאסר על תנאי, והתנאי הוא שלא יעבור תוך 3 שנים מיום שחרורו ממאסר עבירה מהעבירות בהן הורשע או כל עבירה מסוג פשע לפי </w:t>
      </w:r>
      <w:hyperlink r:id="rId31" w:history="1">
        <w:r w:rsidRPr="00C33994">
          <w:rPr>
            <w:rFonts w:cs="David" w:hint="cs"/>
            <w:color w:val="0000FF"/>
            <w:sz w:val="24"/>
            <w:szCs w:val="24"/>
            <w:u w:val="single"/>
            <w:rtl/>
          </w:rPr>
          <w:t>פקודת</w:t>
        </w:r>
        <w:r w:rsidRPr="00C33994">
          <w:rPr>
            <w:rFonts w:cs="David"/>
            <w:color w:val="0000FF"/>
            <w:sz w:val="24"/>
            <w:szCs w:val="24"/>
            <w:u w:val="single"/>
            <w:rtl/>
          </w:rPr>
          <w:t xml:space="preserve"> </w:t>
        </w:r>
        <w:r w:rsidRPr="00C33994">
          <w:rPr>
            <w:rFonts w:cs="David" w:hint="cs"/>
            <w:color w:val="0000FF"/>
            <w:sz w:val="24"/>
            <w:szCs w:val="24"/>
            <w:u w:val="single"/>
            <w:rtl/>
          </w:rPr>
          <w:t>הסמים</w:t>
        </w:r>
        <w:r w:rsidRPr="00C33994">
          <w:rPr>
            <w:rFonts w:cs="David"/>
            <w:color w:val="0000FF"/>
            <w:sz w:val="24"/>
            <w:szCs w:val="24"/>
            <w:u w:val="single"/>
            <w:rtl/>
          </w:rPr>
          <w:t xml:space="preserve"> </w:t>
        </w:r>
        <w:r w:rsidRPr="00C33994">
          <w:rPr>
            <w:rFonts w:cs="David" w:hint="cs"/>
            <w:color w:val="0000FF"/>
            <w:sz w:val="24"/>
            <w:szCs w:val="24"/>
            <w:u w:val="single"/>
            <w:rtl/>
          </w:rPr>
          <w:t>המסוכנים</w:t>
        </w:r>
      </w:hyperlink>
      <w:r>
        <w:rPr>
          <w:rFonts w:cs="David" w:hint="cs"/>
          <w:sz w:val="24"/>
          <w:szCs w:val="24"/>
          <w:rtl/>
        </w:rPr>
        <w:t xml:space="preserve">. </w:t>
      </w:r>
    </w:p>
    <w:p w14:paraId="2BDF1B33" w14:textId="77777777" w:rsidR="00825E77" w:rsidRDefault="00C33994">
      <w:pPr>
        <w:ind w:left="1440"/>
        <w:rPr>
          <w:rtl/>
        </w:rPr>
      </w:pPr>
      <w:r>
        <w:rPr>
          <w:rFonts w:hint="cs"/>
          <w:rtl/>
        </w:rPr>
        <w:t xml:space="preserve">הודע לנאשם על זכותו לערער תוך 45 ימים לביהמ"ש העליון. </w:t>
      </w:r>
    </w:p>
    <w:p w14:paraId="2923431A" w14:textId="77777777" w:rsidR="00825E77" w:rsidRDefault="00825E77">
      <w:pPr>
        <w:ind w:left="1440"/>
        <w:rPr>
          <w:rtl/>
        </w:rPr>
      </w:pPr>
    </w:p>
    <w:p w14:paraId="48D2128A" w14:textId="77777777" w:rsidR="00825E77" w:rsidRDefault="00C33994">
      <w:pPr>
        <w:spacing w:line="360" w:lineRule="auto"/>
        <w:jc w:val="both"/>
        <w:rPr>
          <w:rFonts w:cs="FrankRuehl"/>
          <w:sz w:val="28"/>
          <w:szCs w:val="28"/>
          <w:rtl/>
        </w:rPr>
      </w:pPr>
      <w:r w:rsidRPr="00C33994">
        <w:rPr>
          <w:rFonts w:ascii="Arial" w:hAnsi="Arial"/>
          <w:color w:val="FFFFFF"/>
          <w:sz w:val="2"/>
          <w:szCs w:val="2"/>
          <w:rtl/>
        </w:rPr>
        <w:t>5129371</w:t>
      </w:r>
      <w:r>
        <w:rPr>
          <w:rFonts w:ascii="Arial" w:hAnsi="Arial"/>
          <w:rtl/>
        </w:rPr>
        <w:t xml:space="preserve">ניתן היום,  כ"ט שבט תשע"ד, 30 ינואר 2014, בנוכחות ב"כ המאשימה, ב"כ הנאשם, הנאשם </w:t>
      </w:r>
      <w:r>
        <w:rPr>
          <w:rFonts w:ascii="Arial" w:hAnsi="Arial" w:hint="cs"/>
          <w:rtl/>
        </w:rPr>
        <w:t xml:space="preserve">ומתורגמנית לשפה הספרדית </w:t>
      </w:r>
      <w:r>
        <w:rPr>
          <w:rFonts w:ascii="Arial" w:hAnsi="Arial"/>
          <w:rtl/>
        </w:rPr>
        <w:t>–</w:t>
      </w:r>
      <w:r>
        <w:rPr>
          <w:rFonts w:ascii="Arial" w:hAnsi="Arial" w:hint="cs"/>
          <w:rtl/>
        </w:rPr>
        <w:t xml:space="preserve"> גב' אניטה גרוסטיין</w:t>
      </w:r>
      <w:r>
        <w:rPr>
          <w:rFonts w:cs="FrankRuehl" w:hint="cs"/>
          <w:sz w:val="28"/>
          <w:szCs w:val="28"/>
          <w:rtl/>
        </w:rPr>
        <w:t>.</w:t>
      </w:r>
    </w:p>
    <w:tbl>
      <w:tblPr>
        <w:bidiVisual/>
        <w:tblW w:w="0" w:type="auto"/>
        <w:tblInd w:w="5864" w:type="dxa"/>
        <w:tblLook w:val="01E0" w:firstRow="1" w:lastRow="1" w:firstColumn="1" w:lastColumn="1" w:noHBand="0" w:noVBand="0"/>
      </w:tblPr>
      <w:tblGrid>
        <w:gridCol w:w="2663"/>
      </w:tblGrid>
      <w:tr w:rsidR="00825E77" w14:paraId="20F242A9" w14:textId="77777777">
        <w:trPr>
          <w:trHeight w:val="990"/>
        </w:trPr>
        <w:tc>
          <w:tcPr>
            <w:tcW w:w="2663" w:type="dxa"/>
            <w:tcBorders>
              <w:top w:val="nil"/>
              <w:left w:val="nil"/>
              <w:bottom w:val="single" w:sz="4" w:space="0" w:color="auto"/>
              <w:right w:val="nil"/>
            </w:tcBorders>
            <w:vAlign w:val="center"/>
          </w:tcPr>
          <w:p w14:paraId="3E1E06A8" w14:textId="77777777" w:rsidR="00825E77" w:rsidRPr="00C33994" w:rsidRDefault="00C33994">
            <w:pPr>
              <w:jc w:val="center"/>
              <w:rPr>
                <w:rFonts w:ascii="Courier New" w:hAnsi="Courier New"/>
                <w:b/>
                <w:bCs/>
                <w:color w:val="FFFFFF"/>
                <w:sz w:val="2"/>
                <w:szCs w:val="2"/>
              </w:rPr>
            </w:pPr>
            <w:r w:rsidRPr="00C33994">
              <w:rPr>
                <w:rFonts w:ascii="Courier New" w:hAnsi="Courier New"/>
                <w:b/>
                <w:bCs/>
                <w:color w:val="FFFFFF"/>
                <w:sz w:val="2"/>
                <w:szCs w:val="2"/>
                <w:rtl/>
              </w:rPr>
              <w:t>54678313</w:t>
            </w:r>
          </w:p>
        </w:tc>
      </w:tr>
      <w:tr w:rsidR="00825E77" w14:paraId="1ADD2144" w14:textId="77777777">
        <w:trPr>
          <w:trHeight w:val="227"/>
        </w:trPr>
        <w:tc>
          <w:tcPr>
            <w:tcW w:w="2663" w:type="dxa"/>
            <w:tcBorders>
              <w:top w:val="single" w:sz="4" w:space="0" w:color="auto"/>
              <w:left w:val="nil"/>
              <w:bottom w:val="nil"/>
              <w:right w:val="nil"/>
            </w:tcBorders>
          </w:tcPr>
          <w:p w14:paraId="08F408E4" w14:textId="77777777" w:rsidR="00825E77" w:rsidRDefault="00C33994">
            <w:pPr>
              <w:jc w:val="center"/>
              <w:rPr>
                <w:rFonts w:ascii="Courier New" w:hAnsi="Courier New"/>
                <w:b/>
                <w:bCs/>
                <w:rtl/>
              </w:rPr>
            </w:pPr>
            <w:r>
              <w:rPr>
                <w:rFonts w:ascii="Courier New" w:hAnsi="Courier New" w:hint="cs"/>
                <w:b/>
                <w:bCs/>
                <w:rtl/>
              </w:rPr>
              <w:t>יהודית אמסטרדם, שופטת</w:t>
            </w:r>
          </w:p>
          <w:p w14:paraId="1505CED9" w14:textId="77777777" w:rsidR="00825E77" w:rsidRDefault="00825E77">
            <w:pPr>
              <w:jc w:val="center"/>
              <w:rPr>
                <w:rFonts w:ascii="Courier New" w:hAnsi="Courier New"/>
                <w:b/>
                <w:bCs/>
              </w:rPr>
            </w:pPr>
          </w:p>
        </w:tc>
      </w:tr>
    </w:tbl>
    <w:p w14:paraId="3051FDA7" w14:textId="77777777" w:rsidR="00825E77" w:rsidRDefault="00825E77"/>
    <w:p w14:paraId="547CC23D" w14:textId="77777777" w:rsidR="00C33994" w:rsidRPr="00C33994" w:rsidRDefault="00C33994" w:rsidP="00C33994">
      <w:pPr>
        <w:keepNext/>
        <w:rPr>
          <w:rFonts w:ascii="David" w:hAnsi="David"/>
          <w:color w:val="000000"/>
          <w:sz w:val="22"/>
          <w:szCs w:val="22"/>
          <w:rtl/>
        </w:rPr>
      </w:pPr>
    </w:p>
    <w:p w14:paraId="51347E71" w14:textId="77777777" w:rsidR="00C33994" w:rsidRPr="00C33994" w:rsidRDefault="00C33994" w:rsidP="00C33994">
      <w:pPr>
        <w:keepNext/>
        <w:rPr>
          <w:rFonts w:ascii="David" w:hAnsi="David"/>
          <w:color w:val="000000"/>
          <w:sz w:val="22"/>
          <w:szCs w:val="22"/>
          <w:rtl/>
        </w:rPr>
      </w:pPr>
      <w:r w:rsidRPr="00C33994">
        <w:rPr>
          <w:rFonts w:ascii="David" w:hAnsi="David"/>
          <w:color w:val="000000"/>
          <w:sz w:val="22"/>
          <w:szCs w:val="22"/>
          <w:rtl/>
        </w:rPr>
        <w:t>יהודית אמסטרדם 54678313</w:t>
      </w:r>
    </w:p>
    <w:p w14:paraId="65E39E8C" w14:textId="77777777" w:rsidR="00C33994" w:rsidRDefault="00C33994" w:rsidP="00C33994">
      <w:r w:rsidRPr="00C33994">
        <w:rPr>
          <w:color w:val="000000"/>
          <w:rtl/>
        </w:rPr>
        <w:t>נוסח מסמך זה כפוף לשינויי ניסוח ועריכה</w:t>
      </w:r>
    </w:p>
    <w:p w14:paraId="68465778" w14:textId="77777777" w:rsidR="00C33994" w:rsidRDefault="00C33994" w:rsidP="00C33994">
      <w:pPr>
        <w:rPr>
          <w:rtl/>
        </w:rPr>
      </w:pPr>
    </w:p>
    <w:p w14:paraId="6D968509" w14:textId="77777777" w:rsidR="00C33994" w:rsidRDefault="00C33994" w:rsidP="00C3399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27AA06E" w14:textId="77777777" w:rsidR="00825E77" w:rsidRPr="00C33994" w:rsidRDefault="00825E77" w:rsidP="00C33994">
      <w:pPr>
        <w:jc w:val="center"/>
        <w:rPr>
          <w:color w:val="0000FF"/>
          <w:u w:val="single"/>
        </w:rPr>
      </w:pPr>
    </w:p>
    <w:sectPr w:rsidR="00825E77" w:rsidRPr="00C33994" w:rsidSect="00C33994">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D162A" w14:textId="77777777" w:rsidR="00B956D6" w:rsidRPr="00437516" w:rsidRDefault="00B956D6">
      <w:pPr>
        <w:rPr>
          <w:rFonts w:cs="Arial"/>
          <w:szCs w:val="20"/>
        </w:rPr>
      </w:pPr>
      <w:r>
        <w:separator/>
      </w:r>
    </w:p>
  </w:endnote>
  <w:endnote w:type="continuationSeparator" w:id="0">
    <w:p w14:paraId="39274DE8" w14:textId="77777777" w:rsidR="00B956D6" w:rsidRPr="00437516" w:rsidRDefault="00B956D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5C40B" w14:textId="77777777" w:rsidR="00C33994" w:rsidRDefault="00C33994" w:rsidP="00C3399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BEE0F1" w14:textId="77777777" w:rsidR="00825E77" w:rsidRPr="00C33994" w:rsidRDefault="00C33994" w:rsidP="00C33994">
    <w:pPr>
      <w:pStyle w:val="a4"/>
      <w:pBdr>
        <w:top w:val="single" w:sz="4" w:space="1" w:color="auto"/>
        <w:between w:val="single" w:sz="4" w:space="0" w:color="auto"/>
      </w:pBdr>
      <w:spacing w:after="60"/>
      <w:jc w:val="center"/>
      <w:rPr>
        <w:rFonts w:ascii="FrankRuehl" w:hAnsi="FrankRuehl" w:cs="FrankRuehl"/>
        <w:color w:val="000000"/>
      </w:rPr>
    </w:pPr>
    <w:r w:rsidRPr="00C3399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69FF3" w14:textId="77777777" w:rsidR="00C33994" w:rsidRDefault="00C33994" w:rsidP="00C3399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09BE">
      <w:rPr>
        <w:rFonts w:ascii="FrankRuehl" w:hAnsi="FrankRuehl" w:cs="FrankRuehl"/>
        <w:noProof/>
        <w:rtl/>
      </w:rPr>
      <w:t>1</w:t>
    </w:r>
    <w:r>
      <w:rPr>
        <w:rFonts w:ascii="FrankRuehl" w:hAnsi="FrankRuehl" w:cs="FrankRuehl"/>
        <w:rtl/>
      </w:rPr>
      <w:fldChar w:fldCharType="end"/>
    </w:r>
  </w:p>
  <w:p w14:paraId="7082F2BC" w14:textId="77777777" w:rsidR="00825E77" w:rsidRPr="00C33994" w:rsidRDefault="00C33994" w:rsidP="00C33994">
    <w:pPr>
      <w:pStyle w:val="a4"/>
      <w:pBdr>
        <w:top w:val="single" w:sz="4" w:space="1" w:color="auto"/>
        <w:between w:val="single" w:sz="4" w:space="0" w:color="auto"/>
      </w:pBdr>
      <w:spacing w:after="60"/>
      <w:jc w:val="center"/>
      <w:rPr>
        <w:rFonts w:ascii="FrankRuehl" w:hAnsi="FrankRuehl" w:cs="FrankRuehl"/>
        <w:color w:val="000000"/>
      </w:rPr>
    </w:pPr>
    <w:r w:rsidRPr="00C33994">
      <w:rPr>
        <w:rFonts w:ascii="FrankRuehl" w:hAnsi="FrankRuehl" w:cs="FrankRuehl"/>
        <w:color w:val="000000"/>
      </w:rPr>
      <w:pict w14:anchorId="2AF65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E2D66" w14:textId="77777777" w:rsidR="00B956D6" w:rsidRPr="00437516" w:rsidRDefault="00B956D6">
      <w:pPr>
        <w:rPr>
          <w:rFonts w:cs="Arial"/>
          <w:szCs w:val="20"/>
        </w:rPr>
      </w:pPr>
      <w:r>
        <w:separator/>
      </w:r>
    </w:p>
  </w:footnote>
  <w:footnote w:type="continuationSeparator" w:id="0">
    <w:p w14:paraId="2FCBBF51" w14:textId="77777777" w:rsidR="00B956D6" w:rsidRPr="00437516" w:rsidRDefault="00B956D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EE724" w14:textId="77777777" w:rsidR="00C33994" w:rsidRPr="00C33994" w:rsidRDefault="00C33994" w:rsidP="00C339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22062-04-13</w:t>
    </w:r>
    <w:r>
      <w:rPr>
        <w:rFonts w:ascii="David" w:hAnsi="David"/>
        <w:color w:val="000000"/>
        <w:sz w:val="22"/>
        <w:szCs w:val="22"/>
        <w:rtl/>
      </w:rPr>
      <w:tab/>
      <w:t xml:space="preserve"> מדינת ישראל נ' איגור טורו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E05F3" w14:textId="77777777" w:rsidR="00C33994" w:rsidRPr="00C33994" w:rsidRDefault="00C33994" w:rsidP="00C339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22062-04-13</w:t>
    </w:r>
    <w:r>
      <w:rPr>
        <w:rFonts w:ascii="David" w:hAnsi="David"/>
        <w:color w:val="000000"/>
        <w:sz w:val="22"/>
        <w:szCs w:val="22"/>
        <w:rtl/>
      </w:rPr>
      <w:tab/>
      <w:t xml:space="preserve"> מדינת ישראל נ' איגור טורו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26745"/>
    <w:multiLevelType w:val="hybridMultilevel"/>
    <w:tmpl w:val="F11420FE"/>
    <w:lvl w:ilvl="0" w:tplc="FBE0557C">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16cid:durableId="11796632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5E77"/>
    <w:rsid w:val="006709BE"/>
    <w:rsid w:val="00732E72"/>
    <w:rsid w:val="007727DF"/>
    <w:rsid w:val="00825E77"/>
    <w:rsid w:val="0086121B"/>
    <w:rsid w:val="00B956D6"/>
    <w:rsid w:val="00C33994"/>
    <w:rsid w:val="00EE46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E391DA2"/>
  <w15:chartTrackingRefBased/>
  <w15:docId w15:val="{0688A0A3-4F3A-45D5-99D7-80F3BFF4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5E7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25E77"/>
    <w:pPr>
      <w:tabs>
        <w:tab w:val="center" w:pos="4153"/>
        <w:tab w:val="right" w:pos="8306"/>
      </w:tabs>
    </w:pPr>
  </w:style>
  <w:style w:type="paragraph" w:styleId="a4">
    <w:name w:val="footer"/>
    <w:basedOn w:val="a"/>
    <w:rsid w:val="00825E77"/>
    <w:pPr>
      <w:tabs>
        <w:tab w:val="center" w:pos="4153"/>
        <w:tab w:val="right" w:pos="8306"/>
      </w:tabs>
    </w:pPr>
  </w:style>
  <w:style w:type="character" w:styleId="a5">
    <w:name w:val="page number"/>
    <w:basedOn w:val="a0"/>
    <w:rsid w:val="00825E77"/>
  </w:style>
  <w:style w:type="character" w:styleId="Hyperlink">
    <w:name w:val="Hyperlink"/>
    <w:basedOn w:val="a0"/>
    <w:rsid w:val="00825E77"/>
    <w:rPr>
      <w:color w:val="0000FF"/>
      <w:u w:val="single"/>
    </w:rPr>
  </w:style>
  <w:style w:type="paragraph" w:customStyle="1" w:styleId="ListParagraph">
    <w:name w:val="List Paragraph"/>
    <w:basedOn w:val="a"/>
    <w:rsid w:val="00825E77"/>
    <w:pPr>
      <w:spacing w:after="200" w:line="276" w:lineRule="auto"/>
      <w:ind w:left="720"/>
      <w:contextualSpacing/>
    </w:pPr>
    <w:rPr>
      <w:rFonts w:ascii="Calibri" w:eastAsia="Calibri" w:hAnsi="Calibri" w:cs="Arial"/>
      <w:sz w:val="22"/>
      <w:szCs w:val="22"/>
    </w:rPr>
  </w:style>
  <w:style w:type="paragraph" w:customStyle="1" w:styleId="Quote">
    <w:name w:val="Quote"/>
    <w:basedOn w:val="a"/>
    <w:link w:val="a6"/>
    <w:rsid w:val="00825E77"/>
    <w:pPr>
      <w:overflowPunct w:val="0"/>
      <w:autoSpaceDE w:val="0"/>
      <w:autoSpaceDN w:val="0"/>
      <w:adjustRightInd w:val="0"/>
      <w:spacing w:after="240" w:line="284" w:lineRule="exact"/>
      <w:ind w:left="454" w:right="454"/>
      <w:jc w:val="both"/>
    </w:pPr>
    <w:rPr>
      <w:rFonts w:cs="FrankRuehl"/>
      <w:sz w:val="20"/>
      <w:lang w:eastAsia="he-IL"/>
    </w:rPr>
  </w:style>
  <w:style w:type="character" w:customStyle="1" w:styleId="a6">
    <w:name w:val="הצעת מחיר תו"/>
    <w:basedOn w:val="a0"/>
    <w:link w:val="Quote"/>
    <w:rsid w:val="00825E77"/>
    <w:rPr>
      <w:rFonts w:cs="FrankRuehl"/>
      <w:szCs w:val="24"/>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7.a" TargetMode="External"/><Relationship Id="rId26" Type="http://schemas.openxmlformats.org/officeDocument/2006/relationships/hyperlink" Target="http://www.nevo.co.il/links/psika/?link=&#1506;&#1508;%203759/03" TargetMode="External"/><Relationship Id="rId21" Type="http://schemas.openxmlformats.org/officeDocument/2006/relationships/hyperlink" Target="http://www.nevo.co.il/links/psika/?link=&#1506;&#1508;%20512/13"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4216/19a" TargetMode="External"/><Relationship Id="rId25" Type="http://schemas.openxmlformats.org/officeDocument/2006/relationships/hyperlink" Target="http://www.nevo.co.il/links/psika/?link=&#1506;&#1508;%203920/00&amp;Pvol=&#1504;&#149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 TargetMode="External"/><Relationship Id="rId29" Type="http://schemas.openxmlformats.org/officeDocument/2006/relationships/hyperlink" Target="http://www.nevo.co.il/links/psika/?NEWPROC=&#1514;&#1508;&amp;NEWPARTA=33745&amp;NEWPARTB=01&amp;NEWPARTC=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links/psika/?link=&#1506;&#1508;%2010254/0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inks/psika/?link=&#1506;&#1508;%202587/09" TargetMode="External"/><Relationship Id="rId28" Type="http://schemas.openxmlformats.org/officeDocument/2006/relationships/hyperlink" Target="http://www.nevo.co.il/links/psika/?link=&#1506;&#1508;%204998/95" TargetMode="External"/><Relationship Id="rId36"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inks/psika/?link=&#1506;&#1508;%207052/06" TargetMode="External"/><Relationship Id="rId27" Type="http://schemas.openxmlformats.org/officeDocument/2006/relationships/hyperlink" Target="http://www.nevo.co.il/law/70301" TargetMode="External"/><Relationship Id="rId30" Type="http://schemas.openxmlformats.org/officeDocument/2006/relationships/hyperlink" Target="http://www.nevo.co.il/links/psika/?link=&#1514;&#1514;%2031/12/13" TargetMode="External"/><Relationship Id="rId35" Type="http://schemas.openxmlformats.org/officeDocument/2006/relationships/footer" Target="footer1.xml"/><Relationship Id="rId8" Type="http://schemas.openxmlformats.org/officeDocument/2006/relationships/hyperlink" Target="http://www.nevo.co.il/law/70301/499.a.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2303</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13791</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98829738</vt:i4>
      </vt:variant>
      <vt:variant>
        <vt:i4>69</vt:i4>
      </vt:variant>
      <vt:variant>
        <vt:i4>0</vt:i4>
      </vt:variant>
      <vt:variant>
        <vt:i4>5</vt:i4>
      </vt:variant>
      <vt:variant>
        <vt:lpwstr>http://www.nevo.co.il/links/psika/?link=תת 31/12/13</vt:lpwstr>
      </vt:variant>
      <vt:variant>
        <vt:lpwstr/>
      </vt:variant>
      <vt:variant>
        <vt:i4>98502104</vt:i4>
      </vt:variant>
      <vt:variant>
        <vt:i4>66</vt:i4>
      </vt:variant>
      <vt:variant>
        <vt:i4>0</vt:i4>
      </vt:variant>
      <vt:variant>
        <vt:i4>5</vt:i4>
      </vt:variant>
      <vt:variant>
        <vt:lpwstr>http://www.nevo.co.il/links/psika/?NEWPROC=תפ&amp;NEWPARTA=33745&amp;NEWPARTB=01&amp;NEWPARTC=13</vt:lpwstr>
      </vt:variant>
      <vt:variant>
        <vt:lpwstr/>
      </vt:variant>
      <vt:variant>
        <vt:i4>98698677</vt:i4>
      </vt:variant>
      <vt:variant>
        <vt:i4>63</vt:i4>
      </vt:variant>
      <vt:variant>
        <vt:i4>0</vt:i4>
      </vt:variant>
      <vt:variant>
        <vt:i4>5</vt:i4>
      </vt:variant>
      <vt:variant>
        <vt:lpwstr>http://www.nevo.co.il/links/psika/?link=עפ 4998/95</vt:lpwstr>
      </vt:variant>
      <vt:variant>
        <vt:lpwstr/>
      </vt:variant>
      <vt:variant>
        <vt:i4>7995492</vt:i4>
      </vt:variant>
      <vt:variant>
        <vt:i4>60</vt:i4>
      </vt:variant>
      <vt:variant>
        <vt:i4>0</vt:i4>
      </vt:variant>
      <vt:variant>
        <vt:i4>5</vt:i4>
      </vt:variant>
      <vt:variant>
        <vt:lpwstr>http://www.nevo.co.il/law/70301</vt:lpwstr>
      </vt:variant>
      <vt:variant>
        <vt:lpwstr/>
      </vt:variant>
      <vt:variant>
        <vt:i4>98370950</vt:i4>
      </vt:variant>
      <vt:variant>
        <vt:i4>57</vt:i4>
      </vt:variant>
      <vt:variant>
        <vt:i4>0</vt:i4>
      </vt:variant>
      <vt:variant>
        <vt:i4>5</vt:i4>
      </vt:variant>
      <vt:variant>
        <vt:lpwstr>http://www.nevo.co.il/links/psika/?link=עפ%203759/03</vt:lpwstr>
      </vt:variant>
      <vt:variant>
        <vt:lpwstr/>
      </vt:variant>
      <vt:variant>
        <vt:i4>2949213</vt:i4>
      </vt:variant>
      <vt:variant>
        <vt:i4>54</vt:i4>
      </vt:variant>
      <vt:variant>
        <vt:i4>0</vt:i4>
      </vt:variant>
      <vt:variant>
        <vt:i4>5</vt:i4>
      </vt:variant>
      <vt:variant>
        <vt:lpwstr>http://www.nevo.co.il/links/psika/?link=עפ%203920/00&amp;Pvol=נז</vt:lpwstr>
      </vt:variant>
      <vt:variant>
        <vt:lpwstr/>
      </vt:variant>
      <vt:variant>
        <vt:i4>99747239</vt:i4>
      </vt:variant>
      <vt:variant>
        <vt:i4>51</vt:i4>
      </vt:variant>
      <vt:variant>
        <vt:i4>0</vt:i4>
      </vt:variant>
      <vt:variant>
        <vt:i4>5</vt:i4>
      </vt:variant>
      <vt:variant>
        <vt:lpwstr>http://www.nevo.co.il/links/psika/?link=עפ 10254/09</vt:lpwstr>
      </vt:variant>
      <vt:variant>
        <vt:lpwstr/>
      </vt:variant>
      <vt:variant>
        <vt:i4>98239882</vt:i4>
      </vt:variant>
      <vt:variant>
        <vt:i4>48</vt:i4>
      </vt:variant>
      <vt:variant>
        <vt:i4>0</vt:i4>
      </vt:variant>
      <vt:variant>
        <vt:i4>5</vt:i4>
      </vt:variant>
      <vt:variant>
        <vt:lpwstr>http://www.nevo.co.il/links/psika/?link=עפ%202587/09</vt:lpwstr>
      </vt:variant>
      <vt:variant>
        <vt:lpwstr/>
      </vt:variant>
      <vt:variant>
        <vt:i4>98305418</vt:i4>
      </vt:variant>
      <vt:variant>
        <vt:i4>45</vt:i4>
      </vt:variant>
      <vt:variant>
        <vt:i4>0</vt:i4>
      </vt:variant>
      <vt:variant>
        <vt:i4>5</vt:i4>
      </vt:variant>
      <vt:variant>
        <vt:lpwstr>http://www.nevo.co.il/links/psika/?link=עפ%207052/06</vt:lpwstr>
      </vt:variant>
      <vt:variant>
        <vt:lpwstr/>
      </vt:variant>
      <vt:variant>
        <vt:i4>96667027</vt:i4>
      </vt:variant>
      <vt:variant>
        <vt:i4>42</vt:i4>
      </vt:variant>
      <vt:variant>
        <vt:i4>0</vt:i4>
      </vt:variant>
      <vt:variant>
        <vt:i4>5</vt:i4>
      </vt:variant>
      <vt:variant>
        <vt:lpwstr>http://www.nevo.co.il/links/psika/?link=עפ 512/13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2025-04-22T20:28:00Z</dcterms:created>
  <dcterms:modified xsi:type="dcterms:W3CDTF">2025-04-22T20:28:00Z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22062</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איגור טורו</vt:lpwstr>
  </property>
  <property fmtid="{D5CDD505-2E9C-101B-9397-08002B2CF9AE}" pid="10" name="LAWYER">
    <vt:lpwstr>אסף שביט;ירון דויד</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20140130</vt:lpwstr>
  </property>
  <property fmtid="{D5CDD505-2E9C-101B-9397-08002B2CF9AE}" pid="14" name="TYPE_N_DATE">
    <vt:lpwstr>39020140130</vt:lpwstr>
  </property>
  <property fmtid="{D5CDD505-2E9C-101B-9397-08002B2CF9AE}" pid="15" name="WORDNUMPAGES">
    <vt:lpwstr>8</vt:lpwstr>
  </property>
  <property fmtid="{D5CDD505-2E9C-101B-9397-08002B2CF9AE}" pid="16" name="TYPE_ABS_DATE">
    <vt:lpwstr>390020140130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70301/499.a.1</vt:lpwstr>
  </property>
  <property fmtid="{D5CDD505-2E9C-101B-9397-08002B2CF9AE}" pid="35" name="LAWLISTTMP2">
    <vt:lpwstr>4216/013;019a;007.a;007.c</vt:lpwstr>
  </property>
</Properties>
</file>