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D34E5" w:rsidRPr="00BF2512" w14:paraId="19E20CF5" w14:textId="77777777">
        <w:trPr>
          <w:trHeight w:hRule="exact" w:val="418"/>
          <w:jc w:val="center"/>
        </w:trPr>
        <w:tc>
          <w:tcPr>
            <w:tcW w:w="8721" w:type="dxa"/>
            <w:gridSpan w:val="2"/>
          </w:tcPr>
          <w:p w14:paraId="08CC1F86" w14:textId="77777777" w:rsidR="006D34E5" w:rsidRPr="00BF2512" w:rsidRDefault="00BF2512">
            <w:pPr>
              <w:pStyle w:val="a3"/>
              <w:jc w:val="center"/>
              <w:rPr>
                <w:rFonts w:ascii="Tahoma" w:hAnsi="Tahoma" w:cs="Tahoma"/>
                <w:color w:val="000080"/>
                <w:rtl/>
              </w:rPr>
            </w:pPr>
            <w:bookmarkStart w:id="0" w:name="LastJudge"/>
            <w:r w:rsidRPr="00BF2512">
              <w:rPr>
                <w:rFonts w:ascii="Tahoma" w:hAnsi="Tahoma" w:cs="Tahoma"/>
                <w:b/>
                <w:bCs/>
                <w:color w:val="000080"/>
                <w:rtl/>
              </w:rPr>
              <w:t>בית המשפט המחוזי בחיפה</w:t>
            </w:r>
          </w:p>
        </w:tc>
      </w:tr>
      <w:tr w:rsidR="006D34E5" w:rsidRPr="00BF2512" w14:paraId="0C70B337" w14:textId="77777777">
        <w:trPr>
          <w:trHeight w:val="337"/>
          <w:jc w:val="center"/>
        </w:trPr>
        <w:tc>
          <w:tcPr>
            <w:tcW w:w="5054" w:type="dxa"/>
          </w:tcPr>
          <w:p w14:paraId="1017CC1A" w14:textId="77777777" w:rsidR="006D34E5" w:rsidRPr="00BF2512" w:rsidRDefault="00BF2512">
            <w:pPr>
              <w:rPr>
                <w:rFonts w:cs="FrankRuehl"/>
                <w:sz w:val="28"/>
                <w:szCs w:val="28"/>
                <w:rtl/>
              </w:rPr>
            </w:pPr>
            <w:r w:rsidRPr="00BF2512">
              <w:rPr>
                <w:rFonts w:cs="FrankRuehl"/>
                <w:sz w:val="28"/>
                <w:szCs w:val="28"/>
                <w:rtl/>
              </w:rPr>
              <w:t>ת"פ</w:t>
            </w:r>
            <w:r w:rsidRPr="00BF2512">
              <w:rPr>
                <w:rFonts w:cs="FrankRuehl" w:hint="cs"/>
                <w:sz w:val="28"/>
                <w:szCs w:val="28"/>
                <w:rtl/>
              </w:rPr>
              <w:t xml:space="preserve"> </w:t>
            </w:r>
            <w:r w:rsidRPr="00BF2512">
              <w:rPr>
                <w:rFonts w:cs="FrankRuehl"/>
                <w:sz w:val="28"/>
                <w:szCs w:val="28"/>
                <w:rtl/>
              </w:rPr>
              <w:t>29631-04-13</w:t>
            </w:r>
            <w:r w:rsidRPr="00BF2512">
              <w:rPr>
                <w:rFonts w:cs="FrankRuehl" w:hint="cs"/>
                <w:sz w:val="28"/>
                <w:szCs w:val="28"/>
                <w:rtl/>
              </w:rPr>
              <w:t xml:space="preserve"> </w:t>
            </w:r>
            <w:r w:rsidRPr="00BF2512">
              <w:rPr>
                <w:rFonts w:cs="FrankRuehl"/>
                <w:sz w:val="28"/>
                <w:szCs w:val="28"/>
                <w:rtl/>
              </w:rPr>
              <w:t>מדינת ישראל נ' אבו עמראת</w:t>
            </w:r>
          </w:p>
          <w:p w14:paraId="7BFDC4A7" w14:textId="77777777" w:rsidR="006D34E5" w:rsidRPr="00BF2512" w:rsidRDefault="006D34E5">
            <w:pPr>
              <w:pStyle w:val="a3"/>
              <w:rPr>
                <w:rFonts w:cs="FrankRuehl"/>
                <w:sz w:val="28"/>
                <w:szCs w:val="28"/>
                <w:rtl/>
              </w:rPr>
            </w:pPr>
          </w:p>
        </w:tc>
        <w:tc>
          <w:tcPr>
            <w:tcW w:w="3667" w:type="dxa"/>
          </w:tcPr>
          <w:p w14:paraId="516E383F" w14:textId="77777777" w:rsidR="006D34E5" w:rsidRPr="00BF2512" w:rsidRDefault="006D34E5">
            <w:pPr>
              <w:pStyle w:val="a3"/>
              <w:jc w:val="right"/>
              <w:rPr>
                <w:rFonts w:cs="FrankRuehl"/>
                <w:sz w:val="28"/>
                <w:szCs w:val="28"/>
                <w:rtl/>
              </w:rPr>
            </w:pPr>
          </w:p>
        </w:tc>
      </w:tr>
    </w:tbl>
    <w:p w14:paraId="5A97EECA" w14:textId="77777777" w:rsidR="006D34E5" w:rsidRPr="00BF2512" w:rsidRDefault="00BF2512" w:rsidP="006B4A5E">
      <w:pPr>
        <w:pStyle w:val="a3"/>
        <w:rPr>
          <w:sz w:val="28"/>
          <w:szCs w:val="28"/>
          <w:rtl/>
        </w:rPr>
      </w:pPr>
      <w:r w:rsidRPr="00BF251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024"/>
        <w:gridCol w:w="2851"/>
      </w:tblGrid>
      <w:tr w:rsidR="006D34E5" w:rsidRPr="00BF2512" w14:paraId="703B13BA" w14:textId="77777777">
        <w:trPr>
          <w:trHeight w:val="295"/>
          <w:jc w:val="center"/>
        </w:trPr>
        <w:tc>
          <w:tcPr>
            <w:tcW w:w="945" w:type="dxa"/>
            <w:tcBorders>
              <w:top w:val="nil"/>
              <w:left w:val="nil"/>
              <w:bottom w:val="nil"/>
              <w:right w:val="nil"/>
            </w:tcBorders>
          </w:tcPr>
          <w:p w14:paraId="11B0A2DD" w14:textId="77777777" w:rsidR="006D34E5" w:rsidRPr="00BF2512" w:rsidRDefault="00BF2512">
            <w:pPr>
              <w:spacing w:line="360" w:lineRule="auto"/>
              <w:jc w:val="both"/>
              <w:rPr>
                <w:rFonts w:ascii="Arial" w:hAnsi="Arial"/>
                <w:b/>
                <w:bCs/>
                <w:sz w:val="28"/>
                <w:szCs w:val="28"/>
              </w:rPr>
            </w:pPr>
            <w:r w:rsidRPr="00BF2512">
              <w:rPr>
                <w:rFonts w:ascii="Arial" w:hAnsi="Arial" w:hint="cs"/>
                <w:b/>
                <w:bCs/>
                <w:sz w:val="28"/>
                <w:szCs w:val="28"/>
                <w:rtl/>
              </w:rPr>
              <w:t>ב</w:t>
            </w:r>
            <w:r w:rsidRPr="00BF2512">
              <w:rPr>
                <w:rFonts w:ascii="Arial" w:hAnsi="Arial"/>
                <w:b/>
                <w:bCs/>
                <w:sz w:val="28"/>
                <w:szCs w:val="28"/>
                <w:rtl/>
              </w:rPr>
              <w:t xml:space="preserve">פני </w:t>
            </w:r>
          </w:p>
        </w:tc>
        <w:tc>
          <w:tcPr>
            <w:tcW w:w="7875" w:type="dxa"/>
            <w:gridSpan w:val="2"/>
            <w:tcBorders>
              <w:top w:val="nil"/>
              <w:left w:val="nil"/>
              <w:bottom w:val="nil"/>
              <w:right w:val="nil"/>
            </w:tcBorders>
          </w:tcPr>
          <w:p w14:paraId="4064A5D8" w14:textId="77777777" w:rsidR="006D34E5" w:rsidRPr="00BF2512" w:rsidRDefault="00BF2512">
            <w:pPr>
              <w:spacing w:line="360" w:lineRule="auto"/>
              <w:jc w:val="both"/>
              <w:rPr>
                <w:rFonts w:ascii="Arial" w:hAnsi="Arial"/>
                <w:b/>
                <w:bCs/>
                <w:sz w:val="28"/>
                <w:szCs w:val="28"/>
              </w:rPr>
            </w:pPr>
            <w:r w:rsidRPr="00BF2512">
              <w:rPr>
                <w:rFonts w:ascii="Arial" w:hAnsi="Arial" w:hint="cs"/>
                <w:b/>
                <w:bCs/>
                <w:sz w:val="28"/>
                <w:szCs w:val="28"/>
                <w:rtl/>
              </w:rPr>
              <w:t>כב' ה</w:t>
            </w:r>
            <w:r w:rsidRPr="00BF2512">
              <w:rPr>
                <w:rFonts w:hint="cs"/>
                <w:b/>
                <w:bCs/>
                <w:sz w:val="28"/>
                <w:szCs w:val="28"/>
                <w:rtl/>
              </w:rPr>
              <w:t>שופט</w:t>
            </w:r>
            <w:r w:rsidRPr="00BF2512">
              <w:rPr>
                <w:rFonts w:ascii="Arial" w:hAnsi="Arial" w:hint="cs"/>
                <w:b/>
                <w:bCs/>
                <w:sz w:val="28"/>
                <w:szCs w:val="28"/>
                <w:rtl/>
              </w:rPr>
              <w:t xml:space="preserve">  </w:t>
            </w:r>
            <w:r w:rsidRPr="00BF2512">
              <w:rPr>
                <w:rFonts w:hint="cs"/>
                <w:b/>
                <w:bCs/>
                <w:sz w:val="28"/>
                <w:szCs w:val="28"/>
                <w:rtl/>
              </w:rPr>
              <w:t>משה גלעד</w:t>
            </w:r>
            <w:bookmarkStart w:id="1" w:name="_GoBack"/>
            <w:bookmarkEnd w:id="1"/>
          </w:p>
        </w:tc>
      </w:tr>
      <w:tr w:rsidR="006D34E5" w:rsidRPr="00BF2512" w14:paraId="0FAB9700" w14:textId="77777777">
        <w:trPr>
          <w:trHeight w:val="355"/>
          <w:jc w:val="center"/>
        </w:trPr>
        <w:tc>
          <w:tcPr>
            <w:tcW w:w="945" w:type="dxa"/>
            <w:tcBorders>
              <w:top w:val="nil"/>
              <w:left w:val="nil"/>
              <w:bottom w:val="nil"/>
              <w:right w:val="nil"/>
            </w:tcBorders>
          </w:tcPr>
          <w:p w14:paraId="2570B29E" w14:textId="77777777" w:rsidR="006D34E5" w:rsidRPr="00BF2512" w:rsidRDefault="00BF2512">
            <w:pPr>
              <w:spacing w:line="360" w:lineRule="auto"/>
              <w:jc w:val="both"/>
              <w:rPr>
                <w:rFonts w:ascii="Arial" w:hAnsi="Arial"/>
                <w:b/>
                <w:bCs/>
                <w:sz w:val="28"/>
                <w:szCs w:val="28"/>
              </w:rPr>
            </w:pPr>
            <w:bookmarkStart w:id="2" w:name="FirstAppellant"/>
            <w:bookmarkStart w:id="3" w:name="FirstLawyer"/>
            <w:r w:rsidRPr="00BF2512">
              <w:rPr>
                <w:rFonts w:ascii="Arial" w:hAnsi="Arial" w:hint="cs"/>
                <w:b/>
                <w:bCs/>
                <w:sz w:val="28"/>
                <w:szCs w:val="28"/>
                <w:rtl/>
              </w:rPr>
              <w:t>בעניין:</w:t>
            </w:r>
          </w:p>
        </w:tc>
        <w:tc>
          <w:tcPr>
            <w:tcW w:w="5024" w:type="dxa"/>
            <w:tcBorders>
              <w:top w:val="nil"/>
              <w:left w:val="nil"/>
              <w:bottom w:val="nil"/>
              <w:right w:val="nil"/>
            </w:tcBorders>
          </w:tcPr>
          <w:p w14:paraId="6F812E8A" w14:textId="77777777" w:rsidR="006D34E5" w:rsidRPr="00BF2512" w:rsidRDefault="00BF2512">
            <w:pPr>
              <w:spacing w:line="360" w:lineRule="auto"/>
              <w:rPr>
                <w:b/>
                <w:bCs/>
                <w:sz w:val="28"/>
                <w:szCs w:val="28"/>
                <w:rtl/>
              </w:rPr>
            </w:pPr>
            <w:r w:rsidRPr="00BF2512">
              <w:rPr>
                <w:rFonts w:hint="cs"/>
                <w:b/>
                <w:bCs/>
                <w:sz w:val="28"/>
                <w:szCs w:val="28"/>
                <w:rtl/>
              </w:rPr>
              <w:t>מדינת ישראל</w:t>
            </w:r>
          </w:p>
          <w:p w14:paraId="49E3477D" w14:textId="77777777" w:rsidR="006D34E5" w:rsidRPr="00BF2512" w:rsidRDefault="00BF2512">
            <w:pPr>
              <w:spacing w:line="360" w:lineRule="auto"/>
              <w:rPr>
                <w:b/>
                <w:bCs/>
                <w:sz w:val="28"/>
                <w:szCs w:val="28"/>
                <w:rtl/>
              </w:rPr>
            </w:pPr>
            <w:r w:rsidRPr="00BF2512">
              <w:rPr>
                <w:rFonts w:hint="cs"/>
                <w:b/>
                <w:bCs/>
                <w:sz w:val="28"/>
                <w:szCs w:val="28"/>
                <w:rtl/>
              </w:rPr>
              <w:t>באמצעות פמ"ח</w:t>
            </w:r>
          </w:p>
          <w:p w14:paraId="2F3A5ADB" w14:textId="77777777" w:rsidR="006D34E5" w:rsidRPr="00BF2512" w:rsidRDefault="00BF2512">
            <w:pPr>
              <w:spacing w:line="360" w:lineRule="auto"/>
              <w:rPr>
                <w:b/>
                <w:bCs/>
                <w:sz w:val="28"/>
                <w:szCs w:val="28"/>
              </w:rPr>
            </w:pPr>
            <w:r w:rsidRPr="00BF2512">
              <w:rPr>
                <w:rFonts w:hint="cs"/>
                <w:b/>
                <w:bCs/>
                <w:sz w:val="28"/>
                <w:szCs w:val="28"/>
                <w:rtl/>
              </w:rPr>
              <w:t>ע"י ב"כ עו"ד אבי אור זך</w:t>
            </w:r>
          </w:p>
        </w:tc>
        <w:tc>
          <w:tcPr>
            <w:tcW w:w="2851" w:type="dxa"/>
            <w:tcBorders>
              <w:top w:val="nil"/>
              <w:left w:val="nil"/>
              <w:bottom w:val="nil"/>
              <w:right w:val="nil"/>
            </w:tcBorders>
          </w:tcPr>
          <w:p w14:paraId="6CBC523B" w14:textId="77777777" w:rsidR="006D34E5" w:rsidRPr="00BF2512" w:rsidRDefault="006D34E5">
            <w:pPr>
              <w:spacing w:line="360" w:lineRule="auto"/>
              <w:jc w:val="both"/>
              <w:rPr>
                <w:rFonts w:ascii="Arial" w:hAnsi="Arial"/>
                <w:b/>
                <w:bCs/>
                <w:sz w:val="28"/>
                <w:szCs w:val="28"/>
              </w:rPr>
            </w:pPr>
          </w:p>
        </w:tc>
      </w:tr>
      <w:bookmarkEnd w:id="2"/>
      <w:bookmarkEnd w:id="3"/>
      <w:tr w:rsidR="006D34E5" w:rsidRPr="00BF2512" w14:paraId="1D70B3A8" w14:textId="77777777">
        <w:trPr>
          <w:trHeight w:val="355"/>
          <w:jc w:val="center"/>
        </w:trPr>
        <w:tc>
          <w:tcPr>
            <w:tcW w:w="945" w:type="dxa"/>
            <w:tcBorders>
              <w:top w:val="nil"/>
              <w:left w:val="nil"/>
              <w:bottom w:val="nil"/>
              <w:right w:val="nil"/>
            </w:tcBorders>
          </w:tcPr>
          <w:p w14:paraId="44CC8E53" w14:textId="77777777" w:rsidR="006D34E5" w:rsidRPr="00BF2512" w:rsidRDefault="006D34E5">
            <w:pPr>
              <w:spacing w:line="360" w:lineRule="auto"/>
              <w:jc w:val="both"/>
              <w:rPr>
                <w:rFonts w:ascii="Arial" w:hAnsi="Arial"/>
                <w:b/>
                <w:bCs/>
                <w:sz w:val="28"/>
                <w:szCs w:val="28"/>
                <w:rtl/>
              </w:rPr>
            </w:pPr>
          </w:p>
        </w:tc>
        <w:tc>
          <w:tcPr>
            <w:tcW w:w="5024" w:type="dxa"/>
            <w:tcBorders>
              <w:top w:val="nil"/>
              <w:left w:val="nil"/>
              <w:bottom w:val="nil"/>
              <w:right w:val="nil"/>
            </w:tcBorders>
          </w:tcPr>
          <w:p w14:paraId="767CF03F" w14:textId="77777777" w:rsidR="006D34E5" w:rsidRPr="00BF2512" w:rsidRDefault="006D34E5">
            <w:pPr>
              <w:spacing w:line="360" w:lineRule="auto"/>
              <w:jc w:val="both"/>
              <w:rPr>
                <w:b/>
                <w:bCs/>
                <w:sz w:val="28"/>
                <w:szCs w:val="28"/>
                <w:rtl/>
              </w:rPr>
            </w:pPr>
          </w:p>
        </w:tc>
        <w:tc>
          <w:tcPr>
            <w:tcW w:w="2851" w:type="dxa"/>
            <w:tcBorders>
              <w:top w:val="nil"/>
              <w:left w:val="nil"/>
              <w:bottom w:val="nil"/>
              <w:right w:val="nil"/>
            </w:tcBorders>
          </w:tcPr>
          <w:p w14:paraId="3219A8E2" w14:textId="77777777" w:rsidR="006D34E5" w:rsidRPr="00BF2512" w:rsidRDefault="00BF2512">
            <w:pPr>
              <w:spacing w:line="360" w:lineRule="auto"/>
              <w:rPr>
                <w:rFonts w:ascii="Arial" w:hAnsi="Arial"/>
                <w:b/>
                <w:bCs/>
                <w:sz w:val="28"/>
                <w:szCs w:val="28"/>
                <w:rtl/>
              </w:rPr>
            </w:pPr>
            <w:r w:rsidRPr="00BF2512">
              <w:rPr>
                <w:rFonts w:ascii="Arial" w:hAnsi="Arial" w:hint="cs"/>
                <w:b/>
                <w:bCs/>
                <w:sz w:val="28"/>
                <w:szCs w:val="28"/>
                <w:rtl/>
              </w:rPr>
              <w:t>ה</w:t>
            </w:r>
            <w:r w:rsidRPr="00BF2512">
              <w:rPr>
                <w:rFonts w:hint="cs"/>
                <w:b/>
                <w:bCs/>
                <w:sz w:val="28"/>
                <w:szCs w:val="28"/>
                <w:rtl/>
              </w:rPr>
              <w:t>מאשימה</w:t>
            </w:r>
          </w:p>
        </w:tc>
      </w:tr>
      <w:tr w:rsidR="006D34E5" w:rsidRPr="00BF2512" w14:paraId="30FDC676" w14:textId="77777777">
        <w:trPr>
          <w:trHeight w:val="355"/>
          <w:jc w:val="center"/>
        </w:trPr>
        <w:tc>
          <w:tcPr>
            <w:tcW w:w="945" w:type="dxa"/>
            <w:tcBorders>
              <w:top w:val="nil"/>
              <w:left w:val="nil"/>
              <w:bottom w:val="nil"/>
              <w:right w:val="nil"/>
            </w:tcBorders>
          </w:tcPr>
          <w:p w14:paraId="07A8E770" w14:textId="77777777" w:rsidR="006D34E5" w:rsidRPr="00BF2512" w:rsidRDefault="006D34E5">
            <w:pPr>
              <w:spacing w:line="360" w:lineRule="auto"/>
              <w:jc w:val="both"/>
              <w:rPr>
                <w:rFonts w:ascii="Arial" w:hAnsi="Arial"/>
                <w:b/>
                <w:bCs/>
                <w:sz w:val="28"/>
                <w:szCs w:val="28"/>
                <w:rtl/>
              </w:rPr>
            </w:pPr>
          </w:p>
        </w:tc>
        <w:tc>
          <w:tcPr>
            <w:tcW w:w="7875" w:type="dxa"/>
            <w:gridSpan w:val="2"/>
            <w:tcBorders>
              <w:top w:val="nil"/>
              <w:left w:val="nil"/>
              <w:bottom w:val="nil"/>
              <w:right w:val="nil"/>
            </w:tcBorders>
          </w:tcPr>
          <w:p w14:paraId="75C35806" w14:textId="77777777" w:rsidR="006D34E5" w:rsidRPr="00BF2512" w:rsidRDefault="006D34E5">
            <w:pPr>
              <w:spacing w:line="360" w:lineRule="auto"/>
              <w:jc w:val="center"/>
              <w:rPr>
                <w:rFonts w:ascii="Arial" w:hAnsi="Arial"/>
                <w:b/>
                <w:bCs/>
                <w:sz w:val="28"/>
                <w:szCs w:val="28"/>
                <w:rtl/>
              </w:rPr>
            </w:pPr>
          </w:p>
          <w:p w14:paraId="6214E20D" w14:textId="77777777" w:rsidR="006D34E5" w:rsidRPr="00BF2512" w:rsidRDefault="00BF2512">
            <w:pPr>
              <w:spacing w:line="360" w:lineRule="auto"/>
              <w:rPr>
                <w:rFonts w:ascii="Arial" w:hAnsi="Arial"/>
                <w:b/>
                <w:bCs/>
                <w:sz w:val="28"/>
                <w:szCs w:val="28"/>
                <w:rtl/>
              </w:rPr>
            </w:pPr>
            <w:r w:rsidRPr="00BF2512">
              <w:rPr>
                <w:rFonts w:ascii="Arial" w:hAnsi="Arial"/>
                <w:b/>
                <w:bCs/>
                <w:sz w:val="28"/>
                <w:szCs w:val="28"/>
                <w:rtl/>
              </w:rPr>
              <w:t>נגד</w:t>
            </w:r>
          </w:p>
          <w:p w14:paraId="563100EF" w14:textId="77777777" w:rsidR="006D34E5" w:rsidRPr="00BF2512" w:rsidRDefault="006D34E5">
            <w:pPr>
              <w:spacing w:line="360" w:lineRule="auto"/>
              <w:jc w:val="both"/>
              <w:rPr>
                <w:rFonts w:ascii="Arial" w:hAnsi="Arial"/>
                <w:b/>
                <w:bCs/>
                <w:sz w:val="28"/>
                <w:szCs w:val="28"/>
              </w:rPr>
            </w:pPr>
          </w:p>
        </w:tc>
      </w:tr>
      <w:tr w:rsidR="006D34E5" w:rsidRPr="00BF2512" w14:paraId="646F2762" w14:textId="77777777">
        <w:trPr>
          <w:trHeight w:val="355"/>
          <w:jc w:val="center"/>
        </w:trPr>
        <w:tc>
          <w:tcPr>
            <w:tcW w:w="945" w:type="dxa"/>
            <w:tcBorders>
              <w:top w:val="nil"/>
              <w:left w:val="nil"/>
              <w:bottom w:val="nil"/>
              <w:right w:val="nil"/>
            </w:tcBorders>
          </w:tcPr>
          <w:p w14:paraId="12B37D74" w14:textId="77777777" w:rsidR="006D34E5" w:rsidRPr="00BF2512" w:rsidRDefault="006D34E5">
            <w:pPr>
              <w:spacing w:line="360" w:lineRule="auto"/>
              <w:rPr>
                <w:rFonts w:ascii="Arial" w:hAnsi="Arial"/>
                <w:b/>
                <w:bCs/>
                <w:sz w:val="28"/>
                <w:szCs w:val="28"/>
                <w:rtl/>
              </w:rPr>
            </w:pPr>
          </w:p>
        </w:tc>
        <w:tc>
          <w:tcPr>
            <w:tcW w:w="5024" w:type="dxa"/>
            <w:tcBorders>
              <w:top w:val="nil"/>
              <w:left w:val="nil"/>
              <w:bottom w:val="nil"/>
              <w:right w:val="nil"/>
            </w:tcBorders>
          </w:tcPr>
          <w:p w14:paraId="0AE083CA" w14:textId="77777777" w:rsidR="006D34E5" w:rsidRPr="00BF2512" w:rsidRDefault="00BF2512">
            <w:pPr>
              <w:spacing w:line="360" w:lineRule="auto"/>
              <w:rPr>
                <w:b/>
                <w:bCs/>
                <w:sz w:val="28"/>
                <w:szCs w:val="28"/>
                <w:rtl/>
              </w:rPr>
            </w:pPr>
            <w:r w:rsidRPr="00BF2512">
              <w:rPr>
                <w:rFonts w:hint="cs"/>
                <w:b/>
                <w:bCs/>
                <w:sz w:val="28"/>
                <w:szCs w:val="28"/>
                <w:rtl/>
              </w:rPr>
              <w:t xml:space="preserve">חאמד אבו עמראת, ת"ז </w:t>
            </w:r>
            <w:r w:rsidRPr="00BF2512">
              <w:rPr>
                <w:rFonts w:hint="cs"/>
                <w:b/>
                <w:bCs/>
                <w:sz w:val="28"/>
                <w:szCs w:val="28"/>
                <w:rtl/>
              </w:rPr>
              <w:br/>
              <w:t>ע"י ב"כ עו"ד אביב חוזה (סניגוריה ציבורית)</w:t>
            </w:r>
          </w:p>
        </w:tc>
        <w:tc>
          <w:tcPr>
            <w:tcW w:w="2851" w:type="dxa"/>
            <w:tcBorders>
              <w:top w:val="nil"/>
              <w:left w:val="nil"/>
              <w:bottom w:val="nil"/>
              <w:right w:val="nil"/>
            </w:tcBorders>
          </w:tcPr>
          <w:p w14:paraId="622C9C25" w14:textId="77777777" w:rsidR="006D34E5" w:rsidRPr="00BF2512" w:rsidRDefault="006D34E5">
            <w:pPr>
              <w:spacing w:line="360" w:lineRule="auto"/>
              <w:jc w:val="right"/>
              <w:rPr>
                <w:rFonts w:ascii="Arial" w:hAnsi="Arial"/>
                <w:b/>
                <w:bCs/>
                <w:sz w:val="28"/>
                <w:szCs w:val="28"/>
              </w:rPr>
            </w:pPr>
          </w:p>
        </w:tc>
      </w:tr>
      <w:tr w:rsidR="006D34E5" w:rsidRPr="00BF2512" w14:paraId="7F4D9054" w14:textId="77777777">
        <w:trPr>
          <w:trHeight w:val="355"/>
          <w:jc w:val="center"/>
        </w:trPr>
        <w:tc>
          <w:tcPr>
            <w:tcW w:w="945" w:type="dxa"/>
            <w:tcBorders>
              <w:top w:val="nil"/>
              <w:left w:val="nil"/>
              <w:bottom w:val="nil"/>
              <w:right w:val="nil"/>
            </w:tcBorders>
          </w:tcPr>
          <w:p w14:paraId="1746C2AE" w14:textId="77777777" w:rsidR="006D34E5" w:rsidRPr="00BF2512" w:rsidRDefault="006D34E5">
            <w:pPr>
              <w:spacing w:line="360" w:lineRule="auto"/>
              <w:jc w:val="both"/>
              <w:rPr>
                <w:rFonts w:ascii="Arial" w:hAnsi="Arial"/>
                <w:b/>
                <w:bCs/>
                <w:sz w:val="28"/>
                <w:szCs w:val="28"/>
                <w:rtl/>
              </w:rPr>
            </w:pPr>
          </w:p>
        </w:tc>
        <w:tc>
          <w:tcPr>
            <w:tcW w:w="5024" w:type="dxa"/>
            <w:tcBorders>
              <w:top w:val="nil"/>
              <w:left w:val="nil"/>
              <w:bottom w:val="nil"/>
              <w:right w:val="nil"/>
            </w:tcBorders>
          </w:tcPr>
          <w:p w14:paraId="10A74C27" w14:textId="77777777" w:rsidR="006D34E5" w:rsidRPr="00BF2512" w:rsidRDefault="006D34E5">
            <w:pPr>
              <w:spacing w:line="360" w:lineRule="auto"/>
              <w:jc w:val="both"/>
              <w:rPr>
                <w:b/>
                <w:bCs/>
                <w:sz w:val="28"/>
                <w:szCs w:val="28"/>
                <w:rtl/>
              </w:rPr>
            </w:pPr>
          </w:p>
        </w:tc>
        <w:tc>
          <w:tcPr>
            <w:tcW w:w="2851" w:type="dxa"/>
            <w:tcBorders>
              <w:top w:val="nil"/>
              <w:left w:val="nil"/>
              <w:bottom w:val="nil"/>
              <w:right w:val="nil"/>
            </w:tcBorders>
          </w:tcPr>
          <w:p w14:paraId="7D213DD2" w14:textId="77777777" w:rsidR="006D34E5" w:rsidRPr="00BF2512" w:rsidRDefault="00BF2512">
            <w:pPr>
              <w:spacing w:line="360" w:lineRule="auto"/>
              <w:rPr>
                <w:rFonts w:ascii="Arial" w:hAnsi="Arial"/>
                <w:b/>
                <w:bCs/>
                <w:sz w:val="28"/>
                <w:szCs w:val="28"/>
              </w:rPr>
            </w:pPr>
            <w:r w:rsidRPr="00BF2512">
              <w:rPr>
                <w:rFonts w:ascii="Arial" w:hAnsi="Arial" w:hint="cs"/>
                <w:b/>
                <w:bCs/>
                <w:sz w:val="28"/>
                <w:szCs w:val="28"/>
                <w:rtl/>
              </w:rPr>
              <w:t>ה</w:t>
            </w:r>
            <w:r w:rsidRPr="00BF2512">
              <w:rPr>
                <w:rFonts w:hint="cs"/>
                <w:b/>
                <w:bCs/>
                <w:sz w:val="28"/>
                <w:szCs w:val="28"/>
                <w:rtl/>
              </w:rPr>
              <w:t>נאשם</w:t>
            </w:r>
          </w:p>
        </w:tc>
      </w:tr>
    </w:tbl>
    <w:p w14:paraId="5DA6EE36" w14:textId="77777777" w:rsidR="00DB6223" w:rsidRPr="00DB6223" w:rsidRDefault="00DB6223" w:rsidP="00DB6223">
      <w:pPr>
        <w:spacing w:after="120" w:line="240" w:lineRule="exact"/>
        <w:ind w:left="283" w:hanging="283"/>
        <w:jc w:val="both"/>
        <w:rPr>
          <w:rFonts w:ascii="FrankRuehl" w:hAnsi="FrankRuehl" w:cs="FrankRuehl"/>
          <w:rtl/>
        </w:rPr>
      </w:pPr>
      <w:bookmarkStart w:id="4" w:name="LawTable"/>
      <w:bookmarkEnd w:id="4"/>
    </w:p>
    <w:p w14:paraId="680D65A8" w14:textId="77777777" w:rsidR="00DB6223" w:rsidRPr="00DB6223" w:rsidRDefault="00DB6223" w:rsidP="00DB6223">
      <w:pPr>
        <w:spacing w:after="120" w:line="240" w:lineRule="exact"/>
        <w:ind w:left="283" w:hanging="283"/>
        <w:jc w:val="both"/>
        <w:rPr>
          <w:rFonts w:ascii="FrankRuehl" w:hAnsi="FrankRuehl" w:cs="FrankRuehl"/>
          <w:rtl/>
        </w:rPr>
      </w:pPr>
      <w:r w:rsidRPr="00DB6223">
        <w:rPr>
          <w:rFonts w:ascii="FrankRuehl" w:hAnsi="FrankRuehl" w:cs="FrankRuehl"/>
          <w:rtl/>
        </w:rPr>
        <w:t xml:space="preserve">חקיקה שאוזכרה: </w:t>
      </w:r>
    </w:p>
    <w:p w14:paraId="6501C847" w14:textId="77777777" w:rsidR="00DB6223" w:rsidRPr="00DB6223" w:rsidRDefault="00DB6223" w:rsidP="00DB6223">
      <w:pPr>
        <w:spacing w:after="120" w:line="240" w:lineRule="exact"/>
        <w:ind w:left="283" w:hanging="283"/>
        <w:jc w:val="both"/>
        <w:rPr>
          <w:rFonts w:ascii="FrankRuehl" w:hAnsi="FrankRuehl" w:cs="FrankRuehl"/>
          <w:rtl/>
        </w:rPr>
      </w:pPr>
      <w:hyperlink r:id="rId7" w:history="1">
        <w:r w:rsidRPr="00DB6223">
          <w:rPr>
            <w:rFonts w:ascii="FrankRuehl" w:hAnsi="FrankRuehl" w:cs="FrankRuehl"/>
            <w:color w:val="0000FF"/>
            <w:u w:val="single"/>
            <w:rtl/>
          </w:rPr>
          <w:t>חוק העונשין, תשל"ז-1977</w:t>
        </w:r>
      </w:hyperlink>
      <w:r w:rsidRPr="00DB6223">
        <w:rPr>
          <w:rFonts w:ascii="FrankRuehl" w:hAnsi="FrankRuehl" w:cs="FrankRuehl"/>
          <w:rtl/>
        </w:rPr>
        <w:t xml:space="preserve">: סע'  </w:t>
      </w:r>
      <w:hyperlink r:id="rId8" w:history="1">
        <w:r w:rsidRPr="00DB6223">
          <w:rPr>
            <w:rFonts w:ascii="FrankRuehl" w:hAnsi="FrankRuehl" w:cs="FrankRuehl"/>
            <w:color w:val="0000FF"/>
            <w:u w:val="single"/>
            <w:rtl/>
          </w:rPr>
          <w:t>40ב.</w:t>
        </w:r>
      </w:hyperlink>
      <w:r w:rsidRPr="00DB6223">
        <w:rPr>
          <w:rFonts w:ascii="FrankRuehl" w:hAnsi="FrankRuehl" w:cs="FrankRuehl"/>
          <w:rtl/>
        </w:rPr>
        <w:t xml:space="preserve">, </w:t>
      </w:r>
      <w:hyperlink r:id="rId9" w:history="1">
        <w:r w:rsidRPr="00DB6223">
          <w:rPr>
            <w:rFonts w:ascii="FrankRuehl" w:hAnsi="FrankRuehl" w:cs="FrankRuehl"/>
            <w:color w:val="0000FF"/>
            <w:u w:val="single"/>
            <w:rtl/>
          </w:rPr>
          <w:t>40ג</w:t>
        </w:r>
      </w:hyperlink>
      <w:r w:rsidRPr="00DB6223">
        <w:rPr>
          <w:rFonts w:ascii="FrankRuehl" w:hAnsi="FrankRuehl" w:cs="FrankRuehl"/>
          <w:rtl/>
        </w:rPr>
        <w:t xml:space="preserve">, </w:t>
      </w:r>
      <w:hyperlink r:id="rId10" w:history="1">
        <w:r w:rsidRPr="00DB6223">
          <w:rPr>
            <w:rFonts w:ascii="FrankRuehl" w:hAnsi="FrankRuehl" w:cs="FrankRuehl"/>
            <w:color w:val="0000FF"/>
            <w:u w:val="single"/>
            <w:rtl/>
          </w:rPr>
          <w:t>40ט</w:t>
        </w:r>
      </w:hyperlink>
      <w:r w:rsidRPr="00DB6223">
        <w:rPr>
          <w:rFonts w:ascii="FrankRuehl" w:hAnsi="FrankRuehl" w:cs="FrankRuehl"/>
          <w:rtl/>
        </w:rPr>
        <w:t xml:space="preserve">, </w:t>
      </w:r>
      <w:hyperlink r:id="rId11" w:history="1">
        <w:r w:rsidRPr="00DB6223">
          <w:rPr>
            <w:rFonts w:ascii="FrankRuehl" w:hAnsi="FrankRuehl" w:cs="FrankRuehl"/>
            <w:color w:val="0000FF"/>
            <w:u w:val="single"/>
            <w:rtl/>
          </w:rPr>
          <w:t>58</w:t>
        </w:r>
      </w:hyperlink>
      <w:r w:rsidRPr="00DB6223">
        <w:rPr>
          <w:rFonts w:ascii="FrankRuehl" w:hAnsi="FrankRuehl" w:cs="FrankRuehl"/>
          <w:rtl/>
        </w:rPr>
        <w:t xml:space="preserve">, </w:t>
      </w:r>
      <w:hyperlink r:id="rId12" w:history="1">
        <w:r w:rsidRPr="00DB6223">
          <w:rPr>
            <w:rFonts w:ascii="FrankRuehl" w:hAnsi="FrankRuehl" w:cs="FrankRuehl"/>
            <w:color w:val="0000FF"/>
            <w:u w:val="single"/>
            <w:rtl/>
          </w:rPr>
          <w:t>402(א)</w:t>
        </w:r>
      </w:hyperlink>
      <w:r w:rsidRPr="00DB6223">
        <w:rPr>
          <w:rFonts w:ascii="FrankRuehl" w:hAnsi="FrankRuehl" w:cs="FrankRuehl"/>
          <w:rtl/>
        </w:rPr>
        <w:t xml:space="preserve">, </w:t>
      </w:r>
      <w:hyperlink r:id="rId13" w:history="1">
        <w:r w:rsidRPr="00DB6223">
          <w:rPr>
            <w:rFonts w:ascii="FrankRuehl" w:hAnsi="FrankRuehl" w:cs="FrankRuehl"/>
            <w:color w:val="0000FF"/>
            <w:u w:val="single"/>
            <w:rtl/>
          </w:rPr>
          <w:t>40יא</w:t>
        </w:r>
      </w:hyperlink>
    </w:p>
    <w:p w14:paraId="106D3B5D" w14:textId="77777777" w:rsidR="00DB6223" w:rsidRPr="00DB6223" w:rsidRDefault="00DB6223" w:rsidP="00DB6223">
      <w:pPr>
        <w:spacing w:after="120" w:line="240" w:lineRule="exact"/>
        <w:ind w:left="283" w:hanging="283"/>
        <w:jc w:val="both"/>
        <w:rPr>
          <w:rFonts w:ascii="FrankRuehl" w:hAnsi="FrankRuehl" w:cs="FrankRuehl"/>
          <w:rtl/>
        </w:rPr>
      </w:pPr>
      <w:hyperlink r:id="rId14" w:history="1">
        <w:r w:rsidRPr="00DB6223">
          <w:rPr>
            <w:rFonts w:ascii="FrankRuehl" w:hAnsi="FrankRuehl" w:cs="FrankRuehl"/>
            <w:color w:val="0000FF"/>
            <w:u w:val="single"/>
            <w:rtl/>
          </w:rPr>
          <w:t>חוק כרטיסי חיוב, תשמ"ו-1986</w:t>
        </w:r>
      </w:hyperlink>
      <w:r w:rsidRPr="00DB6223">
        <w:rPr>
          <w:rFonts w:ascii="FrankRuehl" w:hAnsi="FrankRuehl" w:cs="FrankRuehl"/>
          <w:rtl/>
        </w:rPr>
        <w:t xml:space="preserve">: סע'  </w:t>
      </w:r>
      <w:hyperlink r:id="rId15" w:history="1">
        <w:r w:rsidRPr="00DB6223">
          <w:rPr>
            <w:rFonts w:ascii="FrankRuehl" w:hAnsi="FrankRuehl" w:cs="FrankRuehl"/>
            <w:color w:val="0000FF"/>
            <w:u w:val="single"/>
            <w:rtl/>
          </w:rPr>
          <w:t>16</w:t>
        </w:r>
      </w:hyperlink>
      <w:r w:rsidRPr="00DB6223">
        <w:rPr>
          <w:rFonts w:ascii="FrankRuehl" w:hAnsi="FrankRuehl" w:cs="FrankRuehl"/>
          <w:rtl/>
        </w:rPr>
        <w:t xml:space="preserve">, </w:t>
      </w:r>
      <w:hyperlink r:id="rId16" w:history="1">
        <w:r w:rsidRPr="00DB6223">
          <w:rPr>
            <w:rFonts w:ascii="FrankRuehl" w:hAnsi="FrankRuehl" w:cs="FrankRuehl"/>
            <w:color w:val="0000FF"/>
            <w:u w:val="single"/>
            <w:rtl/>
          </w:rPr>
          <w:t>17</w:t>
        </w:r>
      </w:hyperlink>
    </w:p>
    <w:p w14:paraId="498B2405" w14:textId="77777777" w:rsidR="00DB6223" w:rsidRPr="00DB6223" w:rsidRDefault="00DB6223" w:rsidP="00DB6223">
      <w:pPr>
        <w:spacing w:after="120" w:line="240" w:lineRule="exact"/>
        <w:ind w:left="283" w:hanging="283"/>
        <w:jc w:val="both"/>
        <w:rPr>
          <w:rFonts w:ascii="FrankRuehl" w:hAnsi="FrankRuehl" w:cs="FrankRuehl"/>
          <w:rtl/>
        </w:rPr>
      </w:pPr>
      <w:hyperlink r:id="rId17" w:history="1">
        <w:r w:rsidRPr="00DB6223">
          <w:rPr>
            <w:rFonts w:ascii="FrankRuehl" w:hAnsi="FrankRuehl" w:cs="FrankRuehl"/>
            <w:color w:val="0000FF"/>
            <w:u w:val="single"/>
            <w:rtl/>
          </w:rPr>
          <w:t>פקודת הסמים המסוכנים [נוסח חדש], תשל"ג-1973</w:t>
        </w:r>
      </w:hyperlink>
      <w:r w:rsidRPr="00DB6223">
        <w:rPr>
          <w:rFonts w:ascii="FrankRuehl" w:hAnsi="FrankRuehl" w:cs="FrankRuehl"/>
          <w:rtl/>
        </w:rPr>
        <w:t xml:space="preserve">: סע'  </w:t>
      </w:r>
      <w:hyperlink r:id="rId18" w:history="1">
        <w:r w:rsidRPr="00DB6223">
          <w:rPr>
            <w:rFonts w:ascii="FrankRuehl" w:hAnsi="FrankRuehl" w:cs="FrankRuehl"/>
            <w:color w:val="0000FF"/>
            <w:u w:val="single"/>
            <w:rtl/>
          </w:rPr>
          <w:t>7(א)</w:t>
        </w:r>
      </w:hyperlink>
      <w:r w:rsidRPr="00DB6223">
        <w:rPr>
          <w:rFonts w:ascii="FrankRuehl" w:hAnsi="FrankRuehl" w:cs="FrankRuehl"/>
          <w:rtl/>
        </w:rPr>
        <w:t xml:space="preserve">, </w:t>
      </w:r>
      <w:hyperlink r:id="rId19" w:history="1">
        <w:r w:rsidRPr="00DB6223">
          <w:rPr>
            <w:rFonts w:ascii="FrankRuehl" w:hAnsi="FrankRuehl" w:cs="FrankRuehl"/>
            <w:color w:val="0000FF"/>
            <w:u w:val="single"/>
            <w:rtl/>
          </w:rPr>
          <w:t>(ג)</w:t>
        </w:r>
      </w:hyperlink>
    </w:p>
    <w:p w14:paraId="79F1A75C" w14:textId="77777777" w:rsidR="00DB6223" w:rsidRPr="00DB6223" w:rsidRDefault="00DB6223" w:rsidP="00DB622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34E5" w14:paraId="74044E96" w14:textId="77777777">
        <w:trPr>
          <w:trHeight w:val="355"/>
          <w:jc w:val="center"/>
        </w:trPr>
        <w:tc>
          <w:tcPr>
            <w:tcW w:w="8820" w:type="dxa"/>
            <w:tcBorders>
              <w:top w:val="nil"/>
              <w:left w:val="nil"/>
              <w:bottom w:val="nil"/>
              <w:right w:val="nil"/>
            </w:tcBorders>
          </w:tcPr>
          <w:p w14:paraId="46AE6291" w14:textId="77777777" w:rsidR="00BF2512" w:rsidRPr="00BF2512" w:rsidRDefault="00BF2512" w:rsidP="00BF2512">
            <w:pPr>
              <w:jc w:val="center"/>
              <w:rPr>
                <w:rFonts w:ascii="Arial" w:hAnsi="Arial"/>
                <w:b/>
                <w:bCs/>
                <w:sz w:val="32"/>
                <w:szCs w:val="32"/>
                <w:u w:val="single"/>
                <w:rtl/>
              </w:rPr>
            </w:pPr>
            <w:bookmarkStart w:id="5" w:name="LawTable_End"/>
            <w:bookmarkStart w:id="6" w:name="PsakDin" w:colFirst="0" w:colLast="0"/>
            <w:bookmarkEnd w:id="0"/>
            <w:bookmarkEnd w:id="5"/>
            <w:r w:rsidRPr="00BF2512">
              <w:rPr>
                <w:rFonts w:ascii="Arial" w:hAnsi="Arial"/>
                <w:b/>
                <w:bCs/>
                <w:sz w:val="32"/>
                <w:szCs w:val="32"/>
                <w:u w:val="single"/>
                <w:rtl/>
              </w:rPr>
              <w:t>גזר דין</w:t>
            </w:r>
          </w:p>
          <w:p w14:paraId="2B082F1E" w14:textId="77777777" w:rsidR="006D34E5" w:rsidRPr="00BF2512" w:rsidRDefault="006D34E5" w:rsidP="00BF2512">
            <w:pPr>
              <w:jc w:val="center"/>
              <w:rPr>
                <w:rFonts w:ascii="Arial" w:hAnsi="Arial"/>
                <w:bCs/>
                <w:sz w:val="32"/>
                <w:szCs w:val="32"/>
                <w:u w:val="single"/>
                <w:rtl/>
              </w:rPr>
            </w:pPr>
          </w:p>
        </w:tc>
      </w:tr>
      <w:bookmarkEnd w:id="6"/>
    </w:tbl>
    <w:p w14:paraId="6447D5A3" w14:textId="77777777" w:rsidR="006D34E5" w:rsidRDefault="006D34E5">
      <w:pPr>
        <w:rPr>
          <w:rFonts w:ascii="Arial" w:hAnsi="Arial"/>
          <w:rtl/>
        </w:rPr>
      </w:pPr>
    </w:p>
    <w:p w14:paraId="32DBC5E0" w14:textId="77777777" w:rsidR="006D34E5" w:rsidRDefault="006D34E5">
      <w:pPr>
        <w:rPr>
          <w:rFonts w:ascii="Arial" w:hAnsi="Arial"/>
          <w:rtl/>
        </w:rPr>
      </w:pPr>
    </w:p>
    <w:p w14:paraId="3442FF4A" w14:textId="77777777" w:rsidR="006D34E5" w:rsidRDefault="00BF2512">
      <w:pPr>
        <w:spacing w:line="360" w:lineRule="auto"/>
        <w:jc w:val="both"/>
        <w:rPr>
          <w:sz w:val="28"/>
          <w:szCs w:val="28"/>
          <w:rtl/>
        </w:rPr>
      </w:pPr>
      <w:r>
        <w:rPr>
          <w:rFonts w:hint="cs"/>
          <w:b/>
          <w:bCs/>
          <w:sz w:val="28"/>
          <w:szCs w:val="28"/>
          <w:u w:val="single"/>
          <w:rtl/>
        </w:rPr>
        <w:t>מבוא</w:t>
      </w:r>
    </w:p>
    <w:p w14:paraId="0948765B" w14:textId="77777777" w:rsidR="006D34E5" w:rsidRDefault="00BF2512">
      <w:pPr>
        <w:spacing w:line="360" w:lineRule="auto"/>
        <w:jc w:val="both"/>
        <w:rPr>
          <w:sz w:val="28"/>
          <w:szCs w:val="28"/>
          <w:rtl/>
        </w:rPr>
      </w:pPr>
      <w:bookmarkStart w:id="7" w:name="ABSTRACT_START"/>
      <w:bookmarkEnd w:id="7"/>
      <w:r>
        <w:rPr>
          <w:rFonts w:hint="cs"/>
          <w:sz w:val="28"/>
          <w:szCs w:val="28"/>
          <w:rtl/>
        </w:rPr>
        <w:t xml:space="preserve">ביום 19/6/13 הגיעו הצדדים להסדר טיעון במסגרתו הוגש כתב אישום מתוקן (ט/1 </w:t>
      </w:r>
      <w:r>
        <w:rPr>
          <w:sz w:val="28"/>
          <w:szCs w:val="28"/>
          <w:rtl/>
        </w:rPr>
        <w:t>–</w:t>
      </w:r>
      <w:r>
        <w:rPr>
          <w:rFonts w:hint="cs"/>
          <w:sz w:val="28"/>
          <w:szCs w:val="28"/>
          <w:rtl/>
        </w:rPr>
        <w:t xml:space="preserve"> להלן: "כתב האישום"), הנאשם הודה בעובדותיו והורשע בביצוע העבירות הבאות:</w:t>
      </w:r>
    </w:p>
    <w:p w14:paraId="3BF12493" w14:textId="77777777" w:rsidR="006D34E5" w:rsidRDefault="006D34E5">
      <w:pPr>
        <w:spacing w:line="360" w:lineRule="auto"/>
        <w:jc w:val="both"/>
        <w:rPr>
          <w:sz w:val="28"/>
          <w:szCs w:val="28"/>
          <w:rtl/>
        </w:rPr>
      </w:pPr>
    </w:p>
    <w:p w14:paraId="2D14F8FD" w14:textId="77777777" w:rsidR="006D34E5" w:rsidRDefault="00BF2512" w:rsidP="006B4A5E">
      <w:pPr>
        <w:numPr>
          <w:ilvl w:val="0"/>
          <w:numId w:val="2"/>
        </w:numPr>
        <w:spacing w:line="360" w:lineRule="auto"/>
        <w:jc w:val="both"/>
        <w:rPr>
          <w:sz w:val="28"/>
          <w:szCs w:val="28"/>
          <w:rtl/>
        </w:rPr>
      </w:pPr>
      <w:r>
        <w:rPr>
          <w:rFonts w:hint="cs"/>
          <w:b/>
          <w:bCs/>
          <w:sz w:val="28"/>
          <w:szCs w:val="28"/>
          <w:rtl/>
        </w:rPr>
        <w:t>שוד</w:t>
      </w:r>
      <w:r>
        <w:rPr>
          <w:rFonts w:hint="cs"/>
          <w:sz w:val="28"/>
          <w:szCs w:val="28"/>
          <w:rtl/>
        </w:rPr>
        <w:t xml:space="preserve"> </w:t>
      </w:r>
      <w:r>
        <w:rPr>
          <w:sz w:val="28"/>
          <w:szCs w:val="28"/>
          <w:rtl/>
        </w:rPr>
        <w:t>–</w:t>
      </w:r>
      <w:r>
        <w:rPr>
          <w:rFonts w:hint="cs"/>
          <w:sz w:val="28"/>
          <w:szCs w:val="28"/>
          <w:rtl/>
        </w:rPr>
        <w:t xml:space="preserve"> עבירה לפי </w:t>
      </w:r>
      <w:hyperlink r:id="rId20" w:history="1">
        <w:r w:rsidR="00DB6223" w:rsidRPr="00DB6223">
          <w:rPr>
            <w:color w:val="0000FF"/>
            <w:sz w:val="28"/>
            <w:szCs w:val="28"/>
            <w:u w:val="single"/>
            <w:rtl/>
          </w:rPr>
          <w:t>סעיף 402(א)</w:t>
        </w:r>
      </w:hyperlink>
      <w:r>
        <w:rPr>
          <w:rFonts w:hint="cs"/>
          <w:sz w:val="28"/>
          <w:szCs w:val="28"/>
          <w:rtl/>
        </w:rPr>
        <w:t xml:space="preserve"> ל</w:t>
      </w:r>
      <w:hyperlink r:id="rId21" w:history="1">
        <w:r w:rsidR="00AF0F10" w:rsidRPr="00AF0F10">
          <w:rPr>
            <w:rStyle w:val="Hyperlink"/>
            <w:sz w:val="28"/>
            <w:szCs w:val="28"/>
            <w:rtl/>
          </w:rPr>
          <w:t>חוק העונשין</w:t>
        </w:r>
      </w:hyperlink>
      <w:r>
        <w:rPr>
          <w:rFonts w:hint="cs"/>
          <w:sz w:val="28"/>
          <w:szCs w:val="28"/>
          <w:rtl/>
        </w:rPr>
        <w:t xml:space="preserve">, התשל"ז-1977 (להלן: "חוק העונשין"). </w:t>
      </w:r>
    </w:p>
    <w:p w14:paraId="18A0D6BB" w14:textId="77777777" w:rsidR="006D34E5" w:rsidRDefault="00BF2512" w:rsidP="006B4A5E">
      <w:pPr>
        <w:numPr>
          <w:ilvl w:val="0"/>
          <w:numId w:val="2"/>
        </w:numPr>
        <w:spacing w:line="360" w:lineRule="auto"/>
        <w:jc w:val="both"/>
        <w:rPr>
          <w:sz w:val="28"/>
          <w:szCs w:val="28"/>
          <w:rtl/>
        </w:rPr>
      </w:pPr>
      <w:r>
        <w:rPr>
          <w:rFonts w:hint="cs"/>
          <w:b/>
          <w:bCs/>
          <w:sz w:val="28"/>
          <w:szCs w:val="28"/>
          <w:rtl/>
        </w:rPr>
        <w:t>גניבת כרטיס חיוב</w:t>
      </w:r>
      <w:r>
        <w:rPr>
          <w:rFonts w:hint="cs"/>
          <w:sz w:val="28"/>
          <w:szCs w:val="28"/>
          <w:rtl/>
        </w:rPr>
        <w:t xml:space="preserve"> </w:t>
      </w:r>
      <w:r>
        <w:rPr>
          <w:sz w:val="28"/>
          <w:szCs w:val="28"/>
          <w:rtl/>
        </w:rPr>
        <w:t>–</w:t>
      </w:r>
      <w:r>
        <w:rPr>
          <w:rFonts w:hint="cs"/>
          <w:sz w:val="28"/>
          <w:szCs w:val="28"/>
          <w:rtl/>
        </w:rPr>
        <w:t xml:space="preserve"> עבירה לפי </w:t>
      </w:r>
      <w:hyperlink r:id="rId22" w:history="1">
        <w:r w:rsidR="00DB6223" w:rsidRPr="00DB6223">
          <w:rPr>
            <w:color w:val="0000FF"/>
            <w:sz w:val="28"/>
            <w:szCs w:val="28"/>
            <w:u w:val="single"/>
            <w:rtl/>
          </w:rPr>
          <w:t>סעיף 16</w:t>
        </w:r>
      </w:hyperlink>
      <w:r>
        <w:rPr>
          <w:rFonts w:hint="cs"/>
          <w:sz w:val="28"/>
          <w:szCs w:val="28"/>
          <w:rtl/>
        </w:rPr>
        <w:t xml:space="preserve"> ל</w:t>
      </w:r>
      <w:hyperlink r:id="rId23" w:history="1">
        <w:r w:rsidR="00AF0F10" w:rsidRPr="00AF0F10">
          <w:rPr>
            <w:rStyle w:val="Hyperlink"/>
            <w:sz w:val="28"/>
            <w:szCs w:val="28"/>
            <w:rtl/>
          </w:rPr>
          <w:t>חוק כרטיסי חיוב</w:t>
        </w:r>
      </w:hyperlink>
      <w:r>
        <w:rPr>
          <w:rFonts w:hint="cs"/>
          <w:sz w:val="28"/>
          <w:szCs w:val="28"/>
          <w:rtl/>
        </w:rPr>
        <w:t xml:space="preserve">, התשמ"ו-1986 (להלן: "חוק כרטיסי חיוב"). </w:t>
      </w:r>
    </w:p>
    <w:p w14:paraId="6D5A8F16" w14:textId="77777777" w:rsidR="006D34E5" w:rsidRDefault="00BF2512" w:rsidP="006B4A5E">
      <w:pPr>
        <w:numPr>
          <w:ilvl w:val="0"/>
          <w:numId w:val="2"/>
        </w:numPr>
        <w:spacing w:line="360" w:lineRule="auto"/>
        <w:jc w:val="both"/>
        <w:rPr>
          <w:sz w:val="28"/>
          <w:szCs w:val="28"/>
          <w:rtl/>
        </w:rPr>
      </w:pPr>
      <w:r>
        <w:rPr>
          <w:rFonts w:hint="cs"/>
          <w:b/>
          <w:bCs/>
          <w:sz w:val="28"/>
          <w:szCs w:val="28"/>
          <w:rtl/>
        </w:rPr>
        <w:lastRenderedPageBreak/>
        <w:t>הונאה בכרטיס חיוב</w:t>
      </w:r>
      <w:r>
        <w:rPr>
          <w:rFonts w:hint="cs"/>
          <w:sz w:val="28"/>
          <w:szCs w:val="28"/>
          <w:rtl/>
        </w:rPr>
        <w:t xml:space="preserve"> </w:t>
      </w:r>
      <w:r>
        <w:rPr>
          <w:sz w:val="28"/>
          <w:szCs w:val="28"/>
          <w:rtl/>
        </w:rPr>
        <w:t>–</w:t>
      </w:r>
      <w:r>
        <w:rPr>
          <w:rFonts w:hint="cs"/>
          <w:sz w:val="28"/>
          <w:szCs w:val="28"/>
          <w:rtl/>
        </w:rPr>
        <w:t xml:space="preserve"> עבירה לפי </w:t>
      </w:r>
      <w:hyperlink r:id="rId24" w:history="1">
        <w:r w:rsidR="00DB6223" w:rsidRPr="00DB6223">
          <w:rPr>
            <w:color w:val="0000FF"/>
            <w:sz w:val="28"/>
            <w:szCs w:val="28"/>
            <w:u w:val="single"/>
            <w:rtl/>
          </w:rPr>
          <w:t>סעיף 17</w:t>
        </w:r>
      </w:hyperlink>
      <w:r>
        <w:rPr>
          <w:rFonts w:hint="cs"/>
          <w:sz w:val="28"/>
          <w:szCs w:val="28"/>
          <w:rtl/>
        </w:rPr>
        <w:t xml:space="preserve"> ל</w:t>
      </w:r>
      <w:hyperlink r:id="rId25" w:history="1">
        <w:r w:rsidR="00AF0F10" w:rsidRPr="00AF0F10">
          <w:rPr>
            <w:rStyle w:val="Hyperlink"/>
            <w:sz w:val="28"/>
            <w:szCs w:val="28"/>
            <w:rtl/>
          </w:rPr>
          <w:t>חוק כרטיסי חיוב</w:t>
        </w:r>
      </w:hyperlink>
      <w:r>
        <w:rPr>
          <w:rFonts w:hint="cs"/>
          <w:sz w:val="28"/>
          <w:szCs w:val="28"/>
          <w:rtl/>
        </w:rPr>
        <w:t xml:space="preserve">. </w:t>
      </w:r>
    </w:p>
    <w:p w14:paraId="46301FF3" w14:textId="77777777" w:rsidR="006D34E5" w:rsidRDefault="00BF2512" w:rsidP="006B4A5E">
      <w:pPr>
        <w:numPr>
          <w:ilvl w:val="0"/>
          <w:numId w:val="2"/>
        </w:numPr>
        <w:spacing w:line="360" w:lineRule="auto"/>
        <w:jc w:val="both"/>
        <w:rPr>
          <w:sz w:val="28"/>
          <w:szCs w:val="28"/>
          <w:rtl/>
        </w:rPr>
      </w:pPr>
      <w:r>
        <w:rPr>
          <w:rFonts w:hint="cs"/>
          <w:b/>
          <w:bCs/>
          <w:sz w:val="28"/>
          <w:szCs w:val="28"/>
          <w:rtl/>
        </w:rPr>
        <w:t>החזקת סמים לצריכה עצמית</w:t>
      </w:r>
      <w:r>
        <w:rPr>
          <w:rFonts w:hint="cs"/>
          <w:sz w:val="28"/>
          <w:szCs w:val="28"/>
          <w:rtl/>
        </w:rPr>
        <w:t xml:space="preserve"> </w:t>
      </w:r>
      <w:r>
        <w:rPr>
          <w:sz w:val="28"/>
          <w:szCs w:val="28"/>
          <w:rtl/>
        </w:rPr>
        <w:t>–</w:t>
      </w:r>
      <w:r>
        <w:rPr>
          <w:rFonts w:hint="cs"/>
          <w:sz w:val="28"/>
          <w:szCs w:val="28"/>
          <w:rtl/>
        </w:rPr>
        <w:t xml:space="preserve"> עבירה לפי </w:t>
      </w:r>
      <w:hyperlink r:id="rId26" w:history="1">
        <w:r w:rsidR="00DB6223" w:rsidRPr="00DB6223">
          <w:rPr>
            <w:color w:val="0000FF"/>
            <w:sz w:val="28"/>
            <w:szCs w:val="28"/>
            <w:u w:val="single"/>
            <w:rtl/>
          </w:rPr>
          <w:t>סעיף 7(א)</w:t>
        </w:r>
      </w:hyperlink>
      <w:r>
        <w:rPr>
          <w:rFonts w:hint="cs"/>
          <w:sz w:val="28"/>
          <w:szCs w:val="28"/>
          <w:rtl/>
        </w:rPr>
        <w:t>+</w:t>
      </w:r>
      <w:hyperlink r:id="rId27" w:history="1">
        <w:r w:rsidR="00DB6223" w:rsidRPr="00DB6223">
          <w:rPr>
            <w:color w:val="0000FF"/>
            <w:sz w:val="28"/>
            <w:szCs w:val="28"/>
            <w:u w:val="single"/>
            <w:rtl/>
          </w:rPr>
          <w:t>(ג)</w:t>
        </w:r>
      </w:hyperlink>
      <w:r>
        <w:rPr>
          <w:rFonts w:hint="cs"/>
          <w:sz w:val="28"/>
          <w:szCs w:val="28"/>
          <w:rtl/>
        </w:rPr>
        <w:t xml:space="preserve"> סיפא ל</w:t>
      </w:r>
      <w:hyperlink r:id="rId28" w:history="1">
        <w:r w:rsidR="00AF0F10" w:rsidRPr="00AF0F10">
          <w:rPr>
            <w:rStyle w:val="Hyperlink"/>
            <w:sz w:val="28"/>
            <w:szCs w:val="28"/>
            <w:rtl/>
          </w:rPr>
          <w:t>פקודת הסמים המסוכנים</w:t>
        </w:r>
      </w:hyperlink>
      <w:r>
        <w:rPr>
          <w:rFonts w:hint="cs"/>
          <w:sz w:val="28"/>
          <w:szCs w:val="28"/>
          <w:rtl/>
        </w:rPr>
        <w:t xml:space="preserve"> [נוסח חדש], התשל"ג-1973 (להלן: "פקודת הסמים"). </w:t>
      </w:r>
    </w:p>
    <w:p w14:paraId="3F4688EA" w14:textId="77777777" w:rsidR="006D34E5" w:rsidRDefault="006D34E5">
      <w:pPr>
        <w:spacing w:line="360" w:lineRule="auto"/>
        <w:ind w:left="720" w:hanging="720"/>
        <w:jc w:val="both"/>
        <w:rPr>
          <w:sz w:val="28"/>
          <w:szCs w:val="28"/>
          <w:rtl/>
        </w:rPr>
      </w:pPr>
      <w:bookmarkStart w:id="8" w:name="ABSTRACT_END"/>
      <w:bookmarkEnd w:id="8"/>
    </w:p>
    <w:p w14:paraId="0FFF5878" w14:textId="77777777" w:rsidR="006D34E5" w:rsidRDefault="00BF2512">
      <w:pPr>
        <w:spacing w:line="360" w:lineRule="auto"/>
        <w:ind w:left="720" w:hanging="720"/>
        <w:jc w:val="both"/>
        <w:rPr>
          <w:sz w:val="28"/>
          <w:szCs w:val="28"/>
          <w:rtl/>
        </w:rPr>
      </w:pPr>
      <w:r>
        <w:rPr>
          <w:rFonts w:hint="cs"/>
          <w:sz w:val="28"/>
          <w:szCs w:val="28"/>
          <w:rtl/>
        </w:rPr>
        <w:t xml:space="preserve">הצדדים לא הגיעו להסדר בענין העונש. </w:t>
      </w:r>
    </w:p>
    <w:p w14:paraId="51F1B6CE" w14:textId="77777777" w:rsidR="006D34E5" w:rsidRDefault="006D34E5">
      <w:pPr>
        <w:spacing w:line="360" w:lineRule="auto"/>
        <w:ind w:left="720" w:hanging="720"/>
        <w:jc w:val="both"/>
        <w:rPr>
          <w:sz w:val="28"/>
          <w:szCs w:val="28"/>
          <w:rtl/>
        </w:rPr>
      </w:pPr>
    </w:p>
    <w:p w14:paraId="40FED40E" w14:textId="77777777" w:rsidR="006D34E5" w:rsidRDefault="00BF2512">
      <w:pPr>
        <w:spacing w:line="360" w:lineRule="auto"/>
        <w:ind w:left="720" w:hanging="720"/>
        <w:jc w:val="both"/>
        <w:rPr>
          <w:b/>
          <w:bCs/>
          <w:sz w:val="28"/>
          <w:szCs w:val="28"/>
          <w:u w:val="single"/>
          <w:rtl/>
        </w:rPr>
      </w:pPr>
      <w:r>
        <w:rPr>
          <w:rFonts w:hint="cs"/>
          <w:b/>
          <w:bCs/>
          <w:sz w:val="28"/>
          <w:szCs w:val="28"/>
          <w:u w:val="single"/>
          <w:rtl/>
        </w:rPr>
        <w:t>עובדות כתב האישום</w:t>
      </w:r>
    </w:p>
    <w:p w14:paraId="0B19E10D" w14:textId="77777777" w:rsidR="006D34E5" w:rsidRDefault="00BF2512">
      <w:pPr>
        <w:spacing w:line="360" w:lineRule="auto"/>
        <w:jc w:val="both"/>
        <w:rPr>
          <w:sz w:val="28"/>
          <w:szCs w:val="28"/>
          <w:rtl/>
        </w:rPr>
      </w:pPr>
      <w:r>
        <w:rPr>
          <w:rFonts w:hint="cs"/>
          <w:sz w:val="28"/>
          <w:szCs w:val="28"/>
          <w:rtl/>
        </w:rPr>
        <w:t xml:space="preserve">ביום 5/4/13 סמוך לשעה 11:00, הגיעה גב' מרינה קלצוב, ילידת 1940, לבנין מגוריה בחיפה (להלן: "הבניין"), כשבידיה שתי שקיות ניילון ובאחת מהן כרטיס האשראי שלה, 400 ₪ במזומן ומפתחות (להלן: "השקית"). </w:t>
      </w:r>
    </w:p>
    <w:p w14:paraId="7ADB5988" w14:textId="77777777" w:rsidR="006D34E5" w:rsidRDefault="00BF2512">
      <w:pPr>
        <w:spacing w:line="360" w:lineRule="auto"/>
        <w:jc w:val="both"/>
        <w:rPr>
          <w:sz w:val="28"/>
          <w:szCs w:val="28"/>
          <w:rtl/>
        </w:rPr>
      </w:pPr>
      <w:r>
        <w:rPr>
          <w:rFonts w:hint="cs"/>
          <w:sz w:val="28"/>
          <w:szCs w:val="28"/>
          <w:rtl/>
        </w:rPr>
        <w:t xml:space="preserve">הנאשם הגיע לכניסה לבנין, עמד מאחורי המתלוננת ותקף אותה בכך שהניח את ידו על פיה, הצמידה אל הקיר, הפילה לריצפה, דחף בידו את פניה, נטל את השקית מידה וברח מהמקום. </w:t>
      </w:r>
    </w:p>
    <w:p w14:paraId="4C069DE2" w14:textId="77777777" w:rsidR="006D34E5" w:rsidRDefault="00BF2512">
      <w:pPr>
        <w:spacing w:line="360" w:lineRule="auto"/>
        <w:jc w:val="both"/>
        <w:rPr>
          <w:sz w:val="28"/>
          <w:szCs w:val="28"/>
          <w:rtl/>
        </w:rPr>
      </w:pPr>
      <w:r>
        <w:rPr>
          <w:rFonts w:hint="cs"/>
          <w:sz w:val="28"/>
          <w:szCs w:val="28"/>
          <w:rtl/>
        </w:rPr>
        <w:t xml:space="preserve">הנאשם הוציא מן השקית את כרטיס האשראי והכסף המזומן בסך 400 ₪ והשליך את יתרת תכולתה במקום בלתי ידוע. לאחר מכן הלך לסניף בנק לאומי ברח' הרצל בחיפה, ובשעה 11:11 הכניס את כרטיס האשראי למכשיר "כספומט" על מנת למשוך כספים במִרמה מחשבונה של המתלוננת, אך הכרטיס "נבלע" במכשיר. </w:t>
      </w:r>
    </w:p>
    <w:p w14:paraId="34E3BB19" w14:textId="77777777" w:rsidR="006D34E5" w:rsidRDefault="00BF2512">
      <w:pPr>
        <w:spacing w:line="360" w:lineRule="auto"/>
        <w:jc w:val="both"/>
        <w:rPr>
          <w:sz w:val="28"/>
          <w:szCs w:val="28"/>
          <w:rtl/>
        </w:rPr>
      </w:pPr>
      <w:r>
        <w:rPr>
          <w:rFonts w:hint="cs"/>
          <w:sz w:val="28"/>
          <w:szCs w:val="28"/>
          <w:rtl/>
        </w:rPr>
        <w:t xml:space="preserve">סמוך לשעה 02:30 של יום 6/4/13, נעצר הנאשם על-ידי שוטרים בעודו מחזיק על גופו 6.01 גרם סם מסוכן מסוג חשיש לצריכתו העצמית, ללא היתר. </w:t>
      </w:r>
    </w:p>
    <w:p w14:paraId="1F8D7950" w14:textId="77777777" w:rsidR="006D34E5" w:rsidRDefault="006D34E5">
      <w:pPr>
        <w:spacing w:line="360" w:lineRule="auto"/>
        <w:jc w:val="both"/>
        <w:rPr>
          <w:sz w:val="28"/>
          <w:szCs w:val="28"/>
          <w:rtl/>
        </w:rPr>
      </w:pPr>
    </w:p>
    <w:p w14:paraId="1173B3A1" w14:textId="77777777" w:rsidR="006D34E5" w:rsidRDefault="00BF2512">
      <w:pPr>
        <w:spacing w:line="360" w:lineRule="auto"/>
        <w:jc w:val="both"/>
        <w:rPr>
          <w:sz w:val="28"/>
          <w:szCs w:val="28"/>
          <w:rtl/>
        </w:rPr>
      </w:pPr>
      <w:r>
        <w:rPr>
          <w:rFonts w:hint="cs"/>
          <w:sz w:val="28"/>
          <w:szCs w:val="28"/>
          <w:rtl/>
        </w:rPr>
        <w:t xml:space="preserve">לפיכך נטען בכתב האישום כי במעשיו המתוארים לעיל, גנב הנאשם מהמתלוננת את השקית, היכה אותה כדי להשיג את השקית, או כדי למנוע התנגדותה לגניבתה או כדי להתגבר עליה. כמו כן, נטל, החזיק והשתמש בכרטיס חיוב בכוונה להונות והחזיק סם מסוכן לצריכה עצמית. </w:t>
      </w:r>
    </w:p>
    <w:p w14:paraId="1EBED87E" w14:textId="77777777" w:rsidR="006D34E5" w:rsidRDefault="00BF2512">
      <w:pPr>
        <w:spacing w:line="360" w:lineRule="auto"/>
        <w:jc w:val="both"/>
        <w:rPr>
          <w:sz w:val="28"/>
          <w:szCs w:val="28"/>
          <w:rtl/>
        </w:rPr>
      </w:pPr>
      <w:r>
        <w:rPr>
          <w:rFonts w:hint="cs"/>
          <w:sz w:val="28"/>
          <w:szCs w:val="28"/>
          <w:rtl/>
        </w:rPr>
        <w:t xml:space="preserve">(בסיפא לכתב האישום צויין גם כי הנאשם ברח מאנשי המשטרה בכוונה להפריע או להכשיל שוטר הממלא תפקידו כחוק. אולם, הואיל וסעיף 5 לעובדות כתב האישום המקורי (בו צוינו העובדות הקשורות לעבירה של הפרעת שוטר), נמחק מכתב האישום המתוקן ועמו נמחק גם סעיף העבירה, הרי שציון עובדות אלה בסיפא לכתב האישום נובע מטעות). </w:t>
      </w:r>
    </w:p>
    <w:p w14:paraId="1A842BAC" w14:textId="77777777" w:rsidR="006D34E5" w:rsidRDefault="006D34E5">
      <w:pPr>
        <w:spacing w:line="360" w:lineRule="auto"/>
        <w:jc w:val="both"/>
        <w:rPr>
          <w:rtl/>
        </w:rPr>
      </w:pPr>
    </w:p>
    <w:p w14:paraId="5B8C2D6A" w14:textId="77777777" w:rsidR="006D34E5" w:rsidRDefault="00BF2512">
      <w:pPr>
        <w:spacing w:line="360" w:lineRule="auto"/>
        <w:jc w:val="both"/>
        <w:rPr>
          <w:sz w:val="28"/>
          <w:szCs w:val="28"/>
          <w:rtl/>
        </w:rPr>
      </w:pPr>
      <w:r>
        <w:rPr>
          <w:rFonts w:hint="cs"/>
          <w:b/>
          <w:bCs/>
          <w:sz w:val="28"/>
          <w:szCs w:val="28"/>
          <w:u w:val="single"/>
          <w:rtl/>
        </w:rPr>
        <w:lastRenderedPageBreak/>
        <w:t>תסקיר שרות המבחן</w:t>
      </w:r>
    </w:p>
    <w:p w14:paraId="2BB723BC" w14:textId="77777777" w:rsidR="006D34E5" w:rsidRDefault="00BF2512">
      <w:pPr>
        <w:spacing w:line="360" w:lineRule="auto"/>
        <w:jc w:val="both"/>
        <w:rPr>
          <w:sz w:val="28"/>
          <w:szCs w:val="28"/>
          <w:rtl/>
        </w:rPr>
      </w:pPr>
      <w:r>
        <w:rPr>
          <w:rFonts w:hint="cs"/>
          <w:sz w:val="28"/>
          <w:szCs w:val="28"/>
          <w:rtl/>
        </w:rPr>
        <w:t xml:space="preserve">תסקיר שרות המבחן מגולל מסכת חיים קשה מאוד של הנאשם (שלא אפרטה בשל צנעת הפרט), אשר לאחר שריצה 7 חודשי מאסר עזב את הבית בשל גילויים הקשורים ליחסיו עם אשתו והחל להשתמש בסמים, תוך שהוא מתגורר בבית נטוש. לדברי הנאשם בפני קצינת המבחן, העבירות מושא תיק זה בוצעו בהיותו תחת השפעת סמים וכדי לממן את השימוש בסמים (אף שבפני קצינת המבחן טען כי לא תקף את המתלוננת, בטרם נשמעו טיעונים לעונש חזר והודה בעובדה זו). </w:t>
      </w:r>
    </w:p>
    <w:p w14:paraId="2BE2B02D" w14:textId="77777777" w:rsidR="006D34E5" w:rsidRDefault="00BF2512">
      <w:pPr>
        <w:jc w:val="both"/>
        <w:rPr>
          <w:sz w:val="28"/>
          <w:szCs w:val="28"/>
          <w:rtl/>
        </w:rPr>
      </w:pPr>
      <w:r>
        <w:rPr>
          <w:rFonts w:hint="cs"/>
          <w:sz w:val="28"/>
          <w:szCs w:val="28"/>
          <w:rtl/>
        </w:rPr>
        <w:t>בתסקיר סיכמה ק. המבחן את עמדתה כדלקמן:</w:t>
      </w:r>
    </w:p>
    <w:p w14:paraId="328D6FC3" w14:textId="77777777" w:rsidR="006D34E5" w:rsidRDefault="006D34E5">
      <w:pPr>
        <w:jc w:val="both"/>
        <w:rPr>
          <w:sz w:val="28"/>
          <w:szCs w:val="28"/>
          <w:rtl/>
        </w:rPr>
      </w:pPr>
    </w:p>
    <w:p w14:paraId="77055544" w14:textId="77777777" w:rsidR="006D34E5" w:rsidRDefault="00BF2512">
      <w:pPr>
        <w:ind w:left="1134" w:right="1701"/>
        <w:jc w:val="both"/>
        <w:rPr>
          <w:rFonts w:cs="Miriam"/>
          <w:b/>
          <w:bCs/>
          <w:rtl/>
        </w:rPr>
      </w:pPr>
      <w:r>
        <w:rPr>
          <w:rFonts w:cs="Miriam" w:hint="cs"/>
          <w:b/>
          <w:bCs/>
          <w:sz w:val="28"/>
          <w:szCs w:val="28"/>
          <w:rtl/>
        </w:rPr>
        <w:t>"</w:t>
      </w:r>
      <w:r>
        <w:rPr>
          <w:rFonts w:cs="Miriam" w:hint="cs"/>
          <w:b/>
          <w:bCs/>
          <w:rtl/>
        </w:rPr>
        <w:t xml:space="preserve">התרשמנו כי מדובר בבחור צעיר אשר גדל במשפחה מרובת ילדים ורב בעייתית, בה חווה אלימות מצד אביו, חוסר יכולת של הוריו להיענות לצרכיו הרגשיים וחוסר יכולת להציב לו גבולות מיטיבים. נראה, כי על רקע חוויותיו כילד והעובדה שסובל מהפרעת קשב וריכוז, מתקשה לווסת דחפיו ונוטה להגיב באופן אימפולסיבי. </w:t>
      </w:r>
    </w:p>
    <w:p w14:paraId="22A51235" w14:textId="77777777" w:rsidR="006D34E5" w:rsidRDefault="00BF2512">
      <w:pPr>
        <w:ind w:left="1134" w:right="1701"/>
        <w:jc w:val="both"/>
        <w:rPr>
          <w:rFonts w:cs="Miriam"/>
          <w:b/>
          <w:bCs/>
          <w:rtl/>
        </w:rPr>
      </w:pPr>
      <w:r>
        <w:rPr>
          <w:rFonts w:cs="Miriam" w:hint="cs"/>
          <w:b/>
          <w:bCs/>
          <w:rtl/>
        </w:rPr>
        <w:t xml:space="preserve">עוד התרשמנו, כי לחאמד נטיה להשליך את אופן התנהלותו על אחרים, ומתקשה לקחת אחריות מלאה על מעשיו. להערכתנו, מעורבותו בעבירות הנדונות, קשורה להיותו נתון תחת השפעת סמים. </w:t>
      </w:r>
    </w:p>
    <w:p w14:paraId="31B84283" w14:textId="77777777" w:rsidR="006D34E5" w:rsidRDefault="00BF2512">
      <w:pPr>
        <w:ind w:left="1134" w:right="1701"/>
        <w:jc w:val="both"/>
        <w:rPr>
          <w:rFonts w:cs="Miriam"/>
          <w:b/>
          <w:bCs/>
          <w:rtl/>
        </w:rPr>
      </w:pPr>
      <w:r>
        <w:rPr>
          <w:rFonts w:cs="Miriam" w:hint="cs"/>
          <w:b/>
          <w:bCs/>
          <w:rtl/>
        </w:rPr>
        <w:t xml:space="preserve">לאור כל האמור, אנו ממליצים לכבוד בית המשפט לשקול להטיל על חאמד עונש המציב גבולות ברורים ובנוסף, אנו ממליצים לכבוד בית המשפט להמליץ בפני שב"ס כי במהלך ריצוי עונש המאסר ישולב בטיפול לגמילה מסמים". </w:t>
      </w:r>
    </w:p>
    <w:p w14:paraId="04DC6B78" w14:textId="77777777" w:rsidR="006D34E5" w:rsidRDefault="006D34E5">
      <w:pPr>
        <w:spacing w:line="480" w:lineRule="auto"/>
        <w:jc w:val="both"/>
        <w:rPr>
          <w:rtl/>
        </w:rPr>
      </w:pPr>
    </w:p>
    <w:p w14:paraId="17137FD6" w14:textId="77777777" w:rsidR="006D34E5" w:rsidRDefault="00BF2512">
      <w:pPr>
        <w:spacing w:line="360" w:lineRule="auto"/>
        <w:jc w:val="both"/>
        <w:rPr>
          <w:sz w:val="28"/>
          <w:szCs w:val="28"/>
          <w:rtl/>
        </w:rPr>
      </w:pPr>
      <w:r>
        <w:rPr>
          <w:rFonts w:hint="cs"/>
          <w:b/>
          <w:bCs/>
          <w:sz w:val="28"/>
          <w:szCs w:val="28"/>
          <w:u w:val="single"/>
          <w:rtl/>
        </w:rPr>
        <w:t>ראיות לעונש</w:t>
      </w:r>
    </w:p>
    <w:p w14:paraId="621BF2C8" w14:textId="77777777" w:rsidR="006D34E5" w:rsidRDefault="00BF2512">
      <w:pPr>
        <w:spacing w:line="360" w:lineRule="auto"/>
        <w:jc w:val="both"/>
        <w:rPr>
          <w:sz w:val="28"/>
          <w:szCs w:val="28"/>
          <w:rtl/>
        </w:rPr>
      </w:pPr>
      <w:r>
        <w:rPr>
          <w:rFonts w:hint="cs"/>
          <w:sz w:val="28"/>
          <w:szCs w:val="28"/>
          <w:rtl/>
        </w:rPr>
        <w:t xml:space="preserve">מטעם המאשימה הוגש גליון ההרשעות הקודמות של הנאשם (ט/2) ממנו מתברר כי ב- 3/7/12 נגזר דינו ל- 7 חודשי מאסר בפועל ו- 6 חודשי מאסר על תנאי (שהינם ברי הפעלה כעת), בגין הרשעתו בעבירות של איומים ותקיפה סתם של בן זוג. </w:t>
      </w:r>
    </w:p>
    <w:p w14:paraId="653DCBC7" w14:textId="77777777" w:rsidR="006D34E5" w:rsidRDefault="00BF2512">
      <w:pPr>
        <w:spacing w:line="360" w:lineRule="auto"/>
        <w:jc w:val="both"/>
        <w:rPr>
          <w:rtl/>
        </w:rPr>
      </w:pPr>
      <w:r>
        <w:rPr>
          <w:rFonts w:hint="cs"/>
          <w:sz w:val="28"/>
          <w:szCs w:val="28"/>
          <w:rtl/>
        </w:rPr>
        <w:t>גזר הדין המקורי הוגש אף הוא (ט/3), ממנו מסתבר כי הנאשם תקף ברחוב את אשתו ואיים על שוטרים שבאו לעוצרו.</w:t>
      </w:r>
      <w:r>
        <w:rPr>
          <w:rFonts w:hint="cs"/>
          <w:rtl/>
        </w:rPr>
        <w:t xml:space="preserve"> </w:t>
      </w:r>
    </w:p>
    <w:p w14:paraId="0EBF8B6E" w14:textId="77777777" w:rsidR="006D34E5" w:rsidRDefault="006D34E5">
      <w:pPr>
        <w:spacing w:line="360" w:lineRule="auto"/>
        <w:jc w:val="both"/>
        <w:rPr>
          <w:rtl/>
        </w:rPr>
      </w:pPr>
    </w:p>
    <w:p w14:paraId="6554B148" w14:textId="77777777" w:rsidR="006D34E5" w:rsidRDefault="00BF2512">
      <w:pPr>
        <w:spacing w:line="360" w:lineRule="auto"/>
        <w:jc w:val="both"/>
        <w:rPr>
          <w:sz w:val="28"/>
          <w:szCs w:val="28"/>
          <w:rtl/>
        </w:rPr>
      </w:pPr>
      <w:r>
        <w:rPr>
          <w:rFonts w:hint="cs"/>
          <w:sz w:val="28"/>
          <w:szCs w:val="28"/>
          <w:rtl/>
        </w:rPr>
        <w:t xml:space="preserve">מטעם ההגנה הוגש תקליטור אחת מחקירותיו של הנאשם במשטרה, במטרה להצביע על כך שהנאשם הודה כבר בחקירתו במשטרה, תוך הבעת חרטה ובכי. </w:t>
      </w:r>
    </w:p>
    <w:p w14:paraId="7D220B71" w14:textId="77777777" w:rsidR="006D34E5" w:rsidRDefault="006D34E5">
      <w:pPr>
        <w:spacing w:line="360" w:lineRule="auto"/>
        <w:jc w:val="both"/>
        <w:rPr>
          <w:sz w:val="28"/>
          <w:szCs w:val="28"/>
          <w:rtl/>
        </w:rPr>
      </w:pPr>
    </w:p>
    <w:p w14:paraId="1E1DEAA9" w14:textId="77777777" w:rsidR="006D34E5" w:rsidRDefault="00BF2512">
      <w:pPr>
        <w:spacing w:line="360" w:lineRule="auto"/>
        <w:jc w:val="both"/>
        <w:rPr>
          <w:sz w:val="28"/>
          <w:szCs w:val="28"/>
          <w:rtl/>
        </w:rPr>
      </w:pPr>
      <w:r>
        <w:rPr>
          <w:rFonts w:hint="cs"/>
          <w:b/>
          <w:bCs/>
          <w:sz w:val="28"/>
          <w:szCs w:val="28"/>
          <w:u w:val="single"/>
          <w:rtl/>
        </w:rPr>
        <w:t>טיעוני ב"כ המאשימה</w:t>
      </w:r>
    </w:p>
    <w:p w14:paraId="7CC00B90" w14:textId="77777777" w:rsidR="006D34E5" w:rsidRDefault="00BF2512">
      <w:pPr>
        <w:spacing w:line="360" w:lineRule="auto"/>
        <w:jc w:val="both"/>
        <w:rPr>
          <w:sz w:val="28"/>
          <w:szCs w:val="28"/>
          <w:rtl/>
        </w:rPr>
      </w:pPr>
      <w:r>
        <w:rPr>
          <w:rFonts w:hint="cs"/>
          <w:sz w:val="28"/>
          <w:szCs w:val="28"/>
          <w:rtl/>
        </w:rPr>
        <w:t xml:space="preserve">בטיעון בכתב (ט/4) ובתוספת בעל פה, הודגשה החומרה היתרה לדעת ב"כ המאשימה, הקיימת בעבירות שוד קשישים ובמקרה זה, צויינו מספר נסיבות מחמירות, כדלקמן: הקורבן היא אישה מבוגרת כבת 73, שהופעלה כלפיה אלימות פיזית כאשר הנאשם חסם את פיה והפילה לריצפה ויש להניח שנוסף על הפגיעה הפיזית נגרם לה נזק נפשי. לדעת ב"כ המאשימה, מדובר בשוד מתוכנן, בצהרי היום, במקום ציבורי, דבר המצביע על תעוזה, וכל זאת כשלנאשם יש הרשעה קודמת בגינה ריצה מאסר של 7 חודשים, ממנו שוחרר זמן קצר לפני השוד. </w:t>
      </w:r>
    </w:p>
    <w:p w14:paraId="6E88A006" w14:textId="77777777" w:rsidR="006D34E5" w:rsidRDefault="006D34E5">
      <w:pPr>
        <w:spacing w:line="360" w:lineRule="auto"/>
        <w:jc w:val="both"/>
        <w:rPr>
          <w:sz w:val="28"/>
          <w:szCs w:val="28"/>
          <w:rtl/>
        </w:rPr>
      </w:pPr>
    </w:p>
    <w:p w14:paraId="0A700B2E" w14:textId="77777777" w:rsidR="006D34E5" w:rsidRDefault="00BF2512">
      <w:pPr>
        <w:spacing w:line="360" w:lineRule="auto"/>
        <w:jc w:val="both"/>
        <w:rPr>
          <w:sz w:val="28"/>
          <w:szCs w:val="28"/>
          <w:rtl/>
        </w:rPr>
      </w:pPr>
      <w:r>
        <w:rPr>
          <w:rFonts w:hint="cs"/>
          <w:sz w:val="28"/>
          <w:szCs w:val="28"/>
          <w:rtl/>
        </w:rPr>
        <w:t xml:space="preserve">ב"כ המאשימה הפנתה לפסיקה (ט/5), ממנה ביקשה ללמוד על החומרה הרבה בה מתייחס בית המשפט העליון לשוד קשישים וחסרי ישע ובמיוחד כשמדובר בנאשם שכבר נדון בעברו למאסר קצר ולא ניצל את התחשבות בית המשפט בו, והוסיפה כי </w:t>
      </w:r>
      <w:r>
        <w:rPr>
          <w:rFonts w:cs="Miriam" w:hint="cs"/>
          <w:sz w:val="26"/>
          <w:szCs w:val="26"/>
          <w:rtl/>
        </w:rPr>
        <w:t>"... התופעה של חטיפת תיקים וארנקים הפכה למעין מכת מדינה, ועל בית המשפט מוטלת החובה להילחם בתופעה זו באמצעות ענישה מחמירה"</w:t>
      </w:r>
      <w:r>
        <w:rPr>
          <w:rFonts w:hint="cs"/>
          <w:sz w:val="28"/>
          <w:szCs w:val="28"/>
          <w:rtl/>
        </w:rPr>
        <w:t xml:space="preserve">. </w:t>
      </w:r>
    </w:p>
    <w:p w14:paraId="0769A713" w14:textId="77777777" w:rsidR="006D34E5" w:rsidRDefault="006D34E5">
      <w:pPr>
        <w:spacing w:line="360" w:lineRule="auto"/>
        <w:jc w:val="both"/>
        <w:rPr>
          <w:sz w:val="28"/>
          <w:szCs w:val="28"/>
          <w:rtl/>
        </w:rPr>
      </w:pPr>
    </w:p>
    <w:p w14:paraId="7B3B42B0" w14:textId="77777777" w:rsidR="006D34E5" w:rsidRDefault="00BF2512">
      <w:pPr>
        <w:spacing w:line="360" w:lineRule="auto"/>
        <w:jc w:val="both"/>
        <w:rPr>
          <w:sz w:val="28"/>
          <w:szCs w:val="28"/>
          <w:rtl/>
        </w:rPr>
      </w:pPr>
      <w:r>
        <w:rPr>
          <w:rFonts w:hint="cs"/>
          <w:sz w:val="28"/>
          <w:szCs w:val="28"/>
          <w:rtl/>
        </w:rPr>
        <w:t xml:space="preserve">עוד טענה ב"כ המאשימה כי התסקיר בעניינו של הנאשם שלילי, הנאשם לא לקח אחריות מלאה על מעשיו ומעורבותו בעבירות קשורה להיותו נתון להשפעת סמים ולדעתה מתחם העונש ההולם בנסיבות המקרה, נע בין 3 ל- 6 שנות מאסר בפועל. כללו של דבר, עתרה ב"כ המאשימה להשית על הנאשם עונש מתאים ברף הגבוה של מתחם זה, בנוסף למאסר על תנאי מרתיע ופיצוי כספי משמעותי למתלוננת, בעיקר בשל הנזקים הנפשיים שנגרמו לה. </w:t>
      </w:r>
    </w:p>
    <w:p w14:paraId="2B7A6262" w14:textId="77777777" w:rsidR="006D34E5" w:rsidRDefault="006D34E5">
      <w:pPr>
        <w:spacing w:line="360" w:lineRule="auto"/>
        <w:jc w:val="both"/>
        <w:rPr>
          <w:sz w:val="28"/>
          <w:szCs w:val="28"/>
          <w:rtl/>
        </w:rPr>
      </w:pPr>
    </w:p>
    <w:p w14:paraId="111D1A9A" w14:textId="77777777" w:rsidR="006D34E5" w:rsidRDefault="00BF2512">
      <w:pPr>
        <w:spacing w:line="360" w:lineRule="auto"/>
        <w:jc w:val="both"/>
        <w:rPr>
          <w:sz w:val="28"/>
          <w:szCs w:val="28"/>
          <w:rtl/>
        </w:rPr>
      </w:pPr>
      <w:r>
        <w:rPr>
          <w:rFonts w:hint="cs"/>
          <w:b/>
          <w:bCs/>
          <w:sz w:val="28"/>
          <w:szCs w:val="28"/>
          <w:u w:val="single"/>
          <w:rtl/>
        </w:rPr>
        <w:t>טיעוני ב"כ הנאשם</w:t>
      </w:r>
    </w:p>
    <w:p w14:paraId="249246FC" w14:textId="77777777" w:rsidR="006D34E5" w:rsidRDefault="00BF2512">
      <w:pPr>
        <w:spacing w:line="360" w:lineRule="auto"/>
        <w:jc w:val="both"/>
        <w:rPr>
          <w:sz w:val="28"/>
          <w:szCs w:val="28"/>
          <w:rtl/>
        </w:rPr>
      </w:pPr>
      <w:r>
        <w:rPr>
          <w:rFonts w:hint="cs"/>
          <w:sz w:val="28"/>
          <w:szCs w:val="28"/>
          <w:rtl/>
        </w:rPr>
        <w:t>ב"כ הנאשם הדגיש בטיעונו בכתב (ס/2) ובדבריו בעל פה, כי על פי תיקון 113 ל</w:t>
      </w:r>
      <w:hyperlink r:id="rId29" w:history="1">
        <w:r w:rsidR="00AF0F10" w:rsidRPr="00AF0F10">
          <w:rPr>
            <w:rStyle w:val="Hyperlink"/>
            <w:sz w:val="28"/>
            <w:szCs w:val="28"/>
            <w:rtl/>
          </w:rPr>
          <w:t>חוק העונשין</w:t>
        </w:r>
      </w:hyperlink>
      <w:r>
        <w:rPr>
          <w:rFonts w:hint="cs"/>
          <w:sz w:val="28"/>
          <w:szCs w:val="28"/>
          <w:rtl/>
        </w:rPr>
        <w:t xml:space="preserve">, השיקול המרכזי בענישה צריך להיות עקרון ההלימה, שאיננו מבטא עיקרון גמולי אלא עיקרון של אשמה, דהיינו שכל נאשם ייענש על-פי נסיבות העבירה שביצע. </w:t>
      </w:r>
    </w:p>
    <w:p w14:paraId="1AB9FE80" w14:textId="77777777" w:rsidR="006D34E5" w:rsidRDefault="00BF2512">
      <w:pPr>
        <w:spacing w:line="360" w:lineRule="auto"/>
        <w:jc w:val="both"/>
        <w:rPr>
          <w:sz w:val="28"/>
          <w:szCs w:val="28"/>
          <w:rtl/>
        </w:rPr>
      </w:pPr>
      <w:r>
        <w:rPr>
          <w:rFonts w:hint="cs"/>
          <w:sz w:val="28"/>
          <w:szCs w:val="28"/>
          <w:rtl/>
        </w:rPr>
        <w:t>לדבריו, מדובר בארוע בודד, קצר, הכולל מספר עבירות ועל כן לא ניתן לטעון למתחמי ענישה מצטברים (ואכן ב"כ המאשימה, לא טענה שיש לקבוע מתחמים נפרדים).</w:t>
      </w:r>
    </w:p>
    <w:p w14:paraId="6C653CE1" w14:textId="77777777" w:rsidR="006D34E5" w:rsidRDefault="00BF2512">
      <w:pPr>
        <w:spacing w:line="360" w:lineRule="auto"/>
        <w:jc w:val="both"/>
        <w:rPr>
          <w:sz w:val="28"/>
          <w:szCs w:val="28"/>
          <w:rtl/>
        </w:rPr>
      </w:pPr>
      <w:r>
        <w:rPr>
          <w:rFonts w:hint="cs"/>
          <w:sz w:val="28"/>
          <w:szCs w:val="28"/>
          <w:rtl/>
        </w:rPr>
        <w:t xml:space="preserve"> </w:t>
      </w:r>
    </w:p>
    <w:p w14:paraId="02DD6F6A" w14:textId="77777777" w:rsidR="006D34E5" w:rsidRDefault="00BF2512">
      <w:pPr>
        <w:spacing w:line="360" w:lineRule="auto"/>
        <w:jc w:val="both"/>
        <w:rPr>
          <w:sz w:val="28"/>
          <w:szCs w:val="28"/>
          <w:rtl/>
        </w:rPr>
      </w:pPr>
      <w:r>
        <w:rPr>
          <w:rFonts w:hint="cs"/>
          <w:sz w:val="28"/>
          <w:szCs w:val="28"/>
          <w:rtl/>
        </w:rPr>
        <w:t xml:space="preserve">לדברי הסניגור, </w:t>
      </w:r>
      <w:r>
        <w:rPr>
          <w:rFonts w:cs="Miriam" w:hint="cs"/>
          <w:sz w:val="26"/>
          <w:szCs w:val="26"/>
          <w:rtl/>
        </w:rPr>
        <w:t>"ההגנה מבקשת לקבוע את מתחם הענישה ההולם על בסיס הענישה הנוהגת בעבירות נשוא כתב האישום המתוקן, טרם כניסתו של תיקון 113 וכן על בסיס פסיקת בית המשפט העליון בערעורים שנדונו לאחר תחילת תוקפו של התיקון"</w:t>
      </w:r>
      <w:r>
        <w:rPr>
          <w:rFonts w:hint="cs"/>
          <w:sz w:val="28"/>
          <w:szCs w:val="28"/>
          <w:rtl/>
        </w:rPr>
        <w:t xml:space="preserve">. </w:t>
      </w:r>
    </w:p>
    <w:p w14:paraId="0407E9BD" w14:textId="77777777" w:rsidR="006D34E5" w:rsidRDefault="006D34E5">
      <w:pPr>
        <w:jc w:val="both"/>
        <w:rPr>
          <w:sz w:val="28"/>
          <w:szCs w:val="28"/>
          <w:rtl/>
        </w:rPr>
      </w:pPr>
    </w:p>
    <w:p w14:paraId="3E9E9BEE" w14:textId="77777777" w:rsidR="006D34E5" w:rsidRDefault="00BF2512">
      <w:pPr>
        <w:spacing w:line="360" w:lineRule="auto"/>
        <w:jc w:val="both"/>
        <w:rPr>
          <w:sz w:val="28"/>
          <w:szCs w:val="28"/>
          <w:rtl/>
        </w:rPr>
      </w:pPr>
      <w:r>
        <w:rPr>
          <w:rFonts w:hint="cs"/>
          <w:sz w:val="28"/>
          <w:szCs w:val="28"/>
          <w:rtl/>
        </w:rPr>
        <w:t xml:space="preserve">בין הנסיבות הקשורות בביצוע העבירה, טען ב"כ הנאשם כי מרשו היה, בשל השימוש בסמים, נעדר שליטה עצמית רגעית ונקודתית, פעל בצורה ספונטנית ללא תכנון, האלימות שהופעלה על ידו היא ברף הנמוך, למתלוננת לא נגרמו חבלות והנאשם לא הצליח למשוך כספים מהכספומט באמצעות הכרטיס, כך שהנזק הממוני שנגרם למתלוננת הוא 400 ₪ במזומן, אותם גנב. </w:t>
      </w:r>
    </w:p>
    <w:p w14:paraId="65D0C0A2" w14:textId="77777777" w:rsidR="006D34E5" w:rsidRDefault="006D34E5">
      <w:pPr>
        <w:spacing w:line="360" w:lineRule="auto"/>
        <w:jc w:val="both"/>
        <w:rPr>
          <w:sz w:val="28"/>
          <w:szCs w:val="28"/>
          <w:rtl/>
        </w:rPr>
      </w:pPr>
    </w:p>
    <w:p w14:paraId="147AE6D6" w14:textId="77777777" w:rsidR="006D34E5" w:rsidRDefault="00BF2512">
      <w:pPr>
        <w:spacing w:line="360" w:lineRule="auto"/>
        <w:jc w:val="both"/>
        <w:rPr>
          <w:sz w:val="28"/>
          <w:szCs w:val="28"/>
          <w:rtl/>
        </w:rPr>
      </w:pPr>
      <w:r>
        <w:rPr>
          <w:rFonts w:hint="cs"/>
          <w:sz w:val="28"/>
          <w:szCs w:val="28"/>
          <w:rtl/>
        </w:rPr>
        <w:t xml:space="preserve">במסגרת הנסיבות שאינן קשורות בביצוע העבירה, הדגיש ב"כ הנאשם את גילו הצעיר של הנאשם, כבן 24 בלבד, היותו פרוד ואב לילד בן שנה ושלושה חודשים ואשר גדל וחי בנסיבות קשות מאוד כמפורט בתסקיר. למרות נסיבות אלה סיים הנאשם 12 שנות לימוד והתנדב במסגרת שנת שרות לאומי. לדברי הסניגור, הנאשם הפסיק להשתמש בסמים, הביע רצון להיגמל מהסמים, הודה באופן מיידי ובהזדמנות הראשונה בעבירה, הודאה המצביעה על כנות וחרטה אמיתית (בנושא זה הפנה לבכיו בתקליטור ס/1 בעת החקירה). לדעת הסניגור, עברו הפלילי של הנאשם "אינו מן החמורים" למרות שריצה 7 חודשי מאסר. </w:t>
      </w:r>
    </w:p>
    <w:p w14:paraId="49F66D5E" w14:textId="77777777" w:rsidR="006D34E5" w:rsidRDefault="006D34E5">
      <w:pPr>
        <w:spacing w:line="360" w:lineRule="auto"/>
        <w:jc w:val="both"/>
        <w:rPr>
          <w:rtl/>
        </w:rPr>
      </w:pPr>
    </w:p>
    <w:p w14:paraId="0DCE8FE2" w14:textId="77777777" w:rsidR="006D34E5" w:rsidRDefault="00BF2512">
      <w:pPr>
        <w:spacing w:line="360" w:lineRule="auto"/>
        <w:jc w:val="both"/>
        <w:rPr>
          <w:sz w:val="28"/>
          <w:szCs w:val="28"/>
          <w:rtl/>
        </w:rPr>
      </w:pPr>
      <w:r>
        <w:rPr>
          <w:rFonts w:hint="cs"/>
          <w:sz w:val="28"/>
          <w:szCs w:val="28"/>
          <w:u w:val="single"/>
          <w:rtl/>
        </w:rPr>
        <w:t>הסניגור מסכים, כי המאסר המותנה בן 6 חודשים הוא בר הפעלה בתיק זה</w:t>
      </w:r>
      <w:r>
        <w:rPr>
          <w:rFonts w:hint="cs"/>
          <w:sz w:val="28"/>
          <w:szCs w:val="28"/>
          <w:rtl/>
        </w:rPr>
        <w:t xml:space="preserve">, אולם ביקש להפעילו באופן חופף לעונש שייגזר עליו בתיק זה, במסגרת מתחם ענישה שנע בין 6 חודשי מאסר לבין שנתיים מאסר בפועל. </w:t>
      </w:r>
    </w:p>
    <w:p w14:paraId="487297AF" w14:textId="77777777" w:rsidR="006D34E5" w:rsidRDefault="00BF2512">
      <w:pPr>
        <w:spacing w:line="360" w:lineRule="auto"/>
        <w:jc w:val="both"/>
        <w:rPr>
          <w:sz w:val="28"/>
          <w:szCs w:val="28"/>
          <w:rtl/>
        </w:rPr>
      </w:pPr>
      <w:r>
        <w:rPr>
          <w:rFonts w:hint="cs"/>
          <w:sz w:val="28"/>
          <w:szCs w:val="28"/>
          <w:rtl/>
        </w:rPr>
        <w:t>גם הסניגור הפנה לפסיקה עניפה (ס/3), שם נגזרו עונשים הנעים בין 7 חודשי מאסר בפועל ל- 32 חודשי מאסר בפועל, ובמיוחד הפנה ל</w:t>
      </w:r>
      <w:hyperlink r:id="rId30" w:history="1">
        <w:r w:rsidR="00AF0F10" w:rsidRPr="00AF0F10">
          <w:rPr>
            <w:rStyle w:val="Hyperlink"/>
            <w:sz w:val="28"/>
            <w:szCs w:val="28"/>
            <w:rtl/>
          </w:rPr>
          <w:t>ע"פ 7655/12</w:t>
        </w:r>
      </w:hyperlink>
      <w:r>
        <w:rPr>
          <w:rFonts w:hint="cs"/>
          <w:sz w:val="28"/>
          <w:szCs w:val="28"/>
          <w:rtl/>
        </w:rPr>
        <w:t xml:space="preserve"> </w:t>
      </w:r>
      <w:r>
        <w:rPr>
          <w:rFonts w:hint="cs"/>
          <w:b/>
          <w:bCs/>
          <w:sz w:val="28"/>
          <w:szCs w:val="28"/>
          <w:u w:val="single"/>
          <w:rtl/>
        </w:rPr>
        <w:t>אידריס פייסל נ' מדינת ישראל</w:t>
      </w:r>
      <w:r>
        <w:rPr>
          <w:rFonts w:hint="cs"/>
          <w:sz w:val="28"/>
          <w:szCs w:val="28"/>
          <w:rtl/>
        </w:rPr>
        <w:t xml:space="preserve"> (מיום 4.4.13) (להלן: </w:t>
      </w:r>
      <w:r>
        <w:rPr>
          <w:rFonts w:hint="cs"/>
          <w:b/>
          <w:bCs/>
          <w:sz w:val="28"/>
          <w:szCs w:val="28"/>
          <w:rtl/>
        </w:rPr>
        <w:t>"ענין אידריס"</w:t>
      </w:r>
      <w:r>
        <w:rPr>
          <w:rFonts w:hint="cs"/>
          <w:sz w:val="28"/>
          <w:szCs w:val="28"/>
          <w:rtl/>
        </w:rPr>
        <w:t xml:space="preserve">), ממנו הוא מבקש ללמוד כי בנסיבות הדומות לענייננו, מתחם העונש ההולם נע בין 6 חודשי מאסר לשנתיים מאסר בפועל. </w:t>
      </w:r>
    </w:p>
    <w:p w14:paraId="6F31F275" w14:textId="77777777" w:rsidR="006D34E5" w:rsidRDefault="006D34E5">
      <w:pPr>
        <w:spacing w:line="360" w:lineRule="auto"/>
        <w:jc w:val="both"/>
        <w:rPr>
          <w:sz w:val="28"/>
          <w:szCs w:val="28"/>
          <w:rtl/>
        </w:rPr>
      </w:pPr>
    </w:p>
    <w:p w14:paraId="6A2F6332" w14:textId="77777777" w:rsidR="006D34E5" w:rsidRDefault="00BF2512">
      <w:pPr>
        <w:spacing w:line="360" w:lineRule="auto"/>
        <w:jc w:val="both"/>
        <w:rPr>
          <w:sz w:val="28"/>
          <w:szCs w:val="28"/>
          <w:rtl/>
        </w:rPr>
      </w:pPr>
      <w:r>
        <w:rPr>
          <w:rFonts w:hint="cs"/>
          <w:sz w:val="28"/>
          <w:szCs w:val="28"/>
          <w:rtl/>
        </w:rPr>
        <w:t xml:space="preserve">בדבריו האחרונים ציין הנאשם: </w:t>
      </w:r>
    </w:p>
    <w:p w14:paraId="36FD5632" w14:textId="77777777" w:rsidR="006D34E5" w:rsidRDefault="00BF2512">
      <w:pPr>
        <w:ind w:left="1134" w:right="1701"/>
        <w:jc w:val="both"/>
        <w:rPr>
          <w:rFonts w:cs="Miriam"/>
          <w:b/>
          <w:bCs/>
          <w:rtl/>
        </w:rPr>
      </w:pPr>
      <w:r>
        <w:rPr>
          <w:rFonts w:cs="Miriam" w:hint="cs"/>
          <w:b/>
          <w:bCs/>
          <w:rtl/>
        </w:rPr>
        <w:t xml:space="preserve">"אני הבעתי צער על מעשי כבר בחקירות וגם עכשיו אני מצטער, זה מקרה שלא היה צריך לקרות. קרה לי מקרה במשפחה שעברתי, נסיבות מיוחדות שמפורטות בתסקיר. עשיתי שנה שרות לאומי, במקום צבא, וטיפלתי באנשים נכים. אני מוכן ומעוניין להשתלב בטיפול לגמילה מסמים בכלא, ובכל טיפול. אני מבקש להיות בטיפול, אני אקבל את העונש שלי אך אני מבקש לקבל טיפול. </w:t>
      </w:r>
    </w:p>
    <w:p w14:paraId="2FE09E9F" w14:textId="77777777" w:rsidR="006D34E5" w:rsidRDefault="00BF2512">
      <w:pPr>
        <w:ind w:left="1134" w:right="1701"/>
        <w:jc w:val="both"/>
        <w:rPr>
          <w:rtl/>
        </w:rPr>
      </w:pPr>
      <w:r>
        <w:rPr>
          <w:rFonts w:cs="Miriam" w:hint="cs"/>
          <w:b/>
          <w:bCs/>
          <w:rtl/>
        </w:rPr>
        <w:t>אני מעולם לא השתמשתי בסמים, רק בשנתיים האחרונות, עקב הבעיה שהיתה לי ומפורטת בתסקיר. עוד פעם, אני מצטער מאוד על מה שעשיתי, לא רציתי שזה יקרה"</w:t>
      </w:r>
      <w:r>
        <w:rPr>
          <w:rFonts w:hint="cs"/>
          <w:rtl/>
        </w:rPr>
        <w:t xml:space="preserve">. </w:t>
      </w:r>
    </w:p>
    <w:p w14:paraId="57320729" w14:textId="77777777" w:rsidR="006D34E5" w:rsidRDefault="006D34E5">
      <w:pPr>
        <w:spacing w:line="360" w:lineRule="auto"/>
        <w:jc w:val="both"/>
        <w:rPr>
          <w:rtl/>
        </w:rPr>
      </w:pPr>
    </w:p>
    <w:p w14:paraId="3549A216" w14:textId="77777777" w:rsidR="006D34E5" w:rsidRDefault="006D34E5">
      <w:pPr>
        <w:spacing w:line="360" w:lineRule="auto"/>
        <w:jc w:val="both"/>
        <w:rPr>
          <w:rtl/>
        </w:rPr>
      </w:pPr>
    </w:p>
    <w:p w14:paraId="64DBF8F0" w14:textId="77777777" w:rsidR="006D34E5" w:rsidRDefault="00BF2512">
      <w:pPr>
        <w:spacing w:line="360" w:lineRule="auto"/>
        <w:jc w:val="both"/>
        <w:rPr>
          <w:rtl/>
        </w:rPr>
      </w:pPr>
      <w:r>
        <w:rPr>
          <w:rFonts w:hint="cs"/>
          <w:rtl/>
        </w:rPr>
        <w:t xml:space="preserve">ועוד נפסק כי: </w:t>
      </w:r>
    </w:p>
    <w:p w14:paraId="65E9EBF2" w14:textId="77777777" w:rsidR="006D34E5" w:rsidRDefault="00BF2512">
      <w:pPr>
        <w:ind w:left="1134" w:right="1560"/>
        <w:jc w:val="both"/>
        <w:rPr>
          <w:rtl/>
        </w:rPr>
      </w:pPr>
      <w:r>
        <w:rPr>
          <w:rFonts w:cs="Miriam" w:hint="cs"/>
          <w:b/>
          <w:bCs/>
          <w:sz w:val="22"/>
          <w:szCs w:val="22"/>
          <w:rtl/>
        </w:rPr>
        <w:t xml:space="preserve">"עבירת השוד פוגעת בבטחונו האישי של הקורבן. תחושת האימה וחוסר האונים בה שרוי קורבן עבירת השוד, והחשש לחייו, מותירים בו לא פעם צלקות חמורות לאורך תקופה ארוכה. מטעם זה קבע בית המשפט לא אחת כי גם מקום בו לא בוצעה אלימות פיזית בפועל, וכן מקום בו כלל לא הוצג כלי הנשק, ראוי להטיל עונשים מרתיעים על המבצעים עבירות אלו (וראו לדוגמא: </w:t>
      </w:r>
      <w:hyperlink r:id="rId31" w:history="1">
        <w:r w:rsidR="00AF0F10" w:rsidRPr="00AF0F10">
          <w:rPr>
            <w:rStyle w:val="Hyperlink"/>
            <w:rFonts w:cs="Miriam"/>
            <w:b/>
            <w:bCs/>
            <w:sz w:val="22"/>
            <w:szCs w:val="22"/>
            <w:rtl/>
          </w:rPr>
          <w:t>ע"פ 2678/12</w:t>
        </w:r>
      </w:hyperlink>
      <w:r>
        <w:rPr>
          <w:rFonts w:cs="Miriam" w:hint="cs"/>
          <w:b/>
          <w:bCs/>
          <w:sz w:val="22"/>
          <w:szCs w:val="22"/>
          <w:rtl/>
        </w:rPr>
        <w:t xml:space="preserve"> </w:t>
      </w:r>
      <w:r>
        <w:rPr>
          <w:rFonts w:cs="Miriam" w:hint="cs"/>
          <w:b/>
          <w:bCs/>
          <w:sz w:val="22"/>
          <w:szCs w:val="22"/>
          <w:u w:val="single"/>
          <w:rtl/>
        </w:rPr>
        <w:t>אבו כף נ' מדינת ישראל</w:t>
      </w:r>
      <w:r>
        <w:rPr>
          <w:rFonts w:cs="Miriam" w:hint="cs"/>
          <w:b/>
          <w:bCs/>
          <w:sz w:val="22"/>
          <w:szCs w:val="22"/>
          <w:rtl/>
        </w:rPr>
        <w:t xml:space="preserve"> (15.1.13); </w:t>
      </w:r>
      <w:hyperlink r:id="rId32" w:history="1">
        <w:r w:rsidR="00AF0F10" w:rsidRPr="00AF0F10">
          <w:rPr>
            <w:rStyle w:val="Hyperlink"/>
            <w:rFonts w:cs="Miriam"/>
            <w:b/>
            <w:bCs/>
            <w:sz w:val="22"/>
            <w:szCs w:val="22"/>
            <w:rtl/>
          </w:rPr>
          <w:t>ע"פ 698/07</w:t>
        </w:r>
      </w:hyperlink>
      <w:r>
        <w:rPr>
          <w:rFonts w:cs="Miriam" w:hint="cs"/>
          <w:b/>
          <w:bCs/>
          <w:sz w:val="22"/>
          <w:szCs w:val="22"/>
          <w:rtl/>
        </w:rPr>
        <w:t xml:space="preserve"> </w:t>
      </w:r>
      <w:r>
        <w:rPr>
          <w:rFonts w:cs="Miriam" w:hint="cs"/>
          <w:b/>
          <w:bCs/>
          <w:sz w:val="22"/>
          <w:szCs w:val="22"/>
          <w:u w:val="single"/>
          <w:rtl/>
        </w:rPr>
        <w:t>אברמוב נ' מדינת ישראל</w:t>
      </w:r>
      <w:r>
        <w:rPr>
          <w:rFonts w:cs="Miriam" w:hint="cs"/>
          <w:b/>
          <w:bCs/>
          <w:sz w:val="22"/>
          <w:szCs w:val="22"/>
          <w:rtl/>
        </w:rPr>
        <w:t xml:space="preserve"> (17.6.07))</w:t>
      </w:r>
      <w:r>
        <w:rPr>
          <w:rFonts w:hint="cs"/>
          <w:b/>
          <w:bCs/>
          <w:rtl/>
        </w:rPr>
        <w:t>"</w:t>
      </w:r>
      <w:r>
        <w:rPr>
          <w:rFonts w:hint="cs"/>
          <w:rtl/>
        </w:rPr>
        <w:t>. (</w:t>
      </w:r>
      <w:hyperlink r:id="rId33" w:history="1">
        <w:r w:rsidR="00AF0F10" w:rsidRPr="00AF0F10">
          <w:rPr>
            <w:rStyle w:val="Hyperlink"/>
            <w:rtl/>
          </w:rPr>
          <w:t>ע"פ 9094/12</w:t>
        </w:r>
      </w:hyperlink>
      <w:r>
        <w:rPr>
          <w:rFonts w:hint="cs"/>
          <w:rtl/>
        </w:rPr>
        <w:t xml:space="preserve"> </w:t>
      </w:r>
      <w:r>
        <w:rPr>
          <w:rFonts w:hint="cs"/>
          <w:b/>
          <w:bCs/>
          <w:u w:val="single"/>
          <w:rtl/>
        </w:rPr>
        <w:t>איתן טספאי נ' מדינת ישראל</w:t>
      </w:r>
      <w:r>
        <w:rPr>
          <w:rFonts w:hint="cs"/>
          <w:rtl/>
        </w:rPr>
        <w:t xml:space="preserve"> (28.4.13)).</w:t>
      </w:r>
    </w:p>
    <w:p w14:paraId="5A0D9E2B" w14:textId="77777777" w:rsidR="006D34E5" w:rsidRDefault="006D34E5">
      <w:pPr>
        <w:spacing w:line="480" w:lineRule="auto"/>
        <w:jc w:val="both"/>
        <w:rPr>
          <w:b/>
          <w:bCs/>
          <w:u w:val="single"/>
          <w:rtl/>
        </w:rPr>
      </w:pPr>
    </w:p>
    <w:p w14:paraId="5779D01B" w14:textId="77777777" w:rsidR="006D34E5" w:rsidRDefault="00BF2512">
      <w:pPr>
        <w:spacing w:line="360" w:lineRule="auto"/>
        <w:jc w:val="both"/>
        <w:rPr>
          <w:sz w:val="28"/>
          <w:szCs w:val="28"/>
          <w:rtl/>
        </w:rPr>
      </w:pPr>
      <w:r>
        <w:rPr>
          <w:rFonts w:hint="cs"/>
          <w:b/>
          <w:bCs/>
          <w:sz w:val="28"/>
          <w:szCs w:val="28"/>
          <w:u w:val="single"/>
          <w:rtl/>
        </w:rPr>
        <w:t>דיון</w:t>
      </w:r>
    </w:p>
    <w:p w14:paraId="773178A4" w14:textId="77777777" w:rsidR="006D34E5" w:rsidRDefault="00BF2512">
      <w:pPr>
        <w:spacing w:line="360" w:lineRule="auto"/>
        <w:jc w:val="both"/>
        <w:rPr>
          <w:sz w:val="28"/>
          <w:szCs w:val="28"/>
          <w:rtl/>
        </w:rPr>
      </w:pPr>
      <w:r>
        <w:rPr>
          <w:rFonts w:hint="cs"/>
          <w:sz w:val="28"/>
          <w:szCs w:val="28"/>
          <w:rtl/>
        </w:rPr>
        <w:t>ב</w:t>
      </w:r>
      <w:hyperlink r:id="rId34" w:history="1">
        <w:r w:rsidR="00AF0F10" w:rsidRPr="00AF0F10">
          <w:rPr>
            <w:rStyle w:val="Hyperlink"/>
            <w:sz w:val="28"/>
            <w:szCs w:val="28"/>
            <w:rtl/>
          </w:rPr>
          <w:t>ע"פ 5213/06</w:t>
        </w:r>
      </w:hyperlink>
      <w:r>
        <w:rPr>
          <w:rFonts w:hint="cs"/>
          <w:sz w:val="28"/>
          <w:szCs w:val="28"/>
          <w:rtl/>
        </w:rPr>
        <w:t xml:space="preserve"> </w:t>
      </w:r>
      <w:r>
        <w:rPr>
          <w:rFonts w:hint="cs"/>
          <w:b/>
          <w:bCs/>
          <w:sz w:val="28"/>
          <w:szCs w:val="28"/>
          <w:u w:val="single"/>
          <w:rtl/>
        </w:rPr>
        <w:t>וונדמו נ' מדינת ישראל</w:t>
      </w:r>
      <w:r>
        <w:rPr>
          <w:rFonts w:hint="cs"/>
          <w:sz w:val="28"/>
          <w:szCs w:val="28"/>
          <w:rtl/>
        </w:rPr>
        <w:t xml:space="preserve"> (9.5.07), בדחותה ערעור על עונש של 6 שנות מאסר בגין עבירה של שוד קשישים, ציינה כב' השופטת ארבל, כדלקמן: </w:t>
      </w:r>
    </w:p>
    <w:p w14:paraId="3FEE2DCE" w14:textId="77777777" w:rsidR="006D34E5" w:rsidRDefault="006D34E5">
      <w:pPr>
        <w:jc w:val="both"/>
        <w:rPr>
          <w:rtl/>
        </w:rPr>
      </w:pPr>
    </w:p>
    <w:p w14:paraId="2F6005FD" w14:textId="77777777" w:rsidR="006D34E5" w:rsidRDefault="00BF2512">
      <w:pPr>
        <w:ind w:left="1134" w:right="1701"/>
        <w:jc w:val="both"/>
        <w:rPr>
          <w:rtl/>
        </w:rPr>
      </w:pPr>
      <w:r>
        <w:rPr>
          <w:rFonts w:cs="Miriam" w:hint="cs"/>
          <w:b/>
          <w:bCs/>
          <w:rtl/>
        </w:rPr>
        <w:t>"בית המשפט המחוזי הדגיש, בצדק, את חומרתה של העבירה שעניינה בתקיפת אדם קשיש ההולך לתומו לביתו ולקיחת כספו לאור היום במרכזה של עיר הומה אדם. עבירת השוד בפני עצמה חמורה היא וכשהיא מופנית אל החלש והקשיש בחברה, שהסיכוי להתנגדותו הוא קטן, היא חמורה שבעתיים. הפגיעה במתלונן חסר הישע אינה אך פגיעה פיזית, אלא יש בה פגיעה בבטחונו של המתלונן להסתובב כרצונו ברחובות העיר ולצאת מביתו כאשר הוא חפץ בכך. פגיעה זו קשה לרפא. לכך יש להוסיף את עברו הפלילי של המערער ואת העובדה כי העבירה בוצעה בעת שהיה תלוי ועומד כנגד המערער מאסר מותנה בר הפעלה"</w:t>
      </w:r>
      <w:r>
        <w:rPr>
          <w:rFonts w:hint="cs"/>
          <w:rtl/>
        </w:rPr>
        <w:t xml:space="preserve">. </w:t>
      </w:r>
    </w:p>
    <w:p w14:paraId="11D27FB3" w14:textId="77777777" w:rsidR="006D34E5" w:rsidRDefault="006D34E5">
      <w:pPr>
        <w:spacing w:line="360" w:lineRule="auto"/>
        <w:jc w:val="both"/>
        <w:rPr>
          <w:rtl/>
        </w:rPr>
      </w:pPr>
    </w:p>
    <w:p w14:paraId="53799FC3" w14:textId="77777777" w:rsidR="006D34E5" w:rsidRDefault="006D34E5">
      <w:pPr>
        <w:spacing w:line="360" w:lineRule="auto"/>
        <w:jc w:val="both"/>
        <w:rPr>
          <w:rtl/>
        </w:rPr>
      </w:pPr>
    </w:p>
    <w:p w14:paraId="7BF2DC58" w14:textId="77777777" w:rsidR="006D34E5" w:rsidRDefault="00BF2512">
      <w:pPr>
        <w:spacing w:line="360" w:lineRule="auto"/>
        <w:jc w:val="both"/>
        <w:rPr>
          <w:sz w:val="28"/>
          <w:szCs w:val="28"/>
          <w:rtl/>
        </w:rPr>
      </w:pPr>
      <w:r>
        <w:rPr>
          <w:rFonts w:hint="cs"/>
          <w:sz w:val="28"/>
          <w:szCs w:val="28"/>
          <w:rtl/>
        </w:rPr>
        <w:t xml:space="preserve">לעומת זאת, </w:t>
      </w:r>
      <w:r>
        <w:rPr>
          <w:rFonts w:hint="cs"/>
          <w:b/>
          <w:bCs/>
          <w:sz w:val="28"/>
          <w:szCs w:val="28"/>
          <w:rtl/>
        </w:rPr>
        <w:t>בענין אידריס</w:t>
      </w:r>
      <w:r>
        <w:rPr>
          <w:rFonts w:hint="cs"/>
          <w:sz w:val="28"/>
          <w:szCs w:val="28"/>
          <w:rtl/>
        </w:rPr>
        <w:t xml:space="preserve">, קבע בית המשפט העליון כעולה מחוות דעתו של כב' השופט ג'ובראן, כי: </w:t>
      </w:r>
    </w:p>
    <w:p w14:paraId="2EFC1A60" w14:textId="77777777" w:rsidR="006D34E5" w:rsidRDefault="006D34E5">
      <w:pPr>
        <w:jc w:val="both"/>
        <w:rPr>
          <w:rtl/>
        </w:rPr>
      </w:pPr>
    </w:p>
    <w:p w14:paraId="188C98D6" w14:textId="77777777" w:rsidR="006D34E5" w:rsidRDefault="00BF2512">
      <w:pPr>
        <w:ind w:left="1134" w:right="1701"/>
        <w:jc w:val="both"/>
        <w:rPr>
          <w:rtl/>
        </w:rPr>
      </w:pPr>
      <w:r>
        <w:rPr>
          <w:rFonts w:cs="Miriam" w:hint="cs"/>
          <w:b/>
          <w:bCs/>
          <w:rtl/>
        </w:rPr>
        <w:t xml:space="preserve">"העיון בפסיקה מעלה שמתחם הענישה הראוי לעבירות שוד שבוצעו בנסיבות דומות, קרי, בוצעו באופן "ספונטאני", ללא תכנון מוקדם וללא שימוש בנשק, תוך שלנפגע העבירה נגרמו נזקים שאינם חמורים, עומד על תקופה של 6 חודשי מאסר לבין 2 שנות מאסר (וראו לדוגמא </w:t>
      </w:r>
      <w:hyperlink r:id="rId35" w:history="1">
        <w:r w:rsidR="00AF0F10" w:rsidRPr="00AF0F10">
          <w:rPr>
            <w:rStyle w:val="Hyperlink"/>
            <w:rFonts w:cs="Miriam"/>
            <w:b/>
            <w:bCs/>
            <w:rtl/>
          </w:rPr>
          <w:t>ע"פ 3879/12</w:t>
        </w:r>
      </w:hyperlink>
      <w:r>
        <w:rPr>
          <w:rFonts w:cs="Miriam" w:hint="cs"/>
          <w:b/>
          <w:bCs/>
          <w:rtl/>
        </w:rPr>
        <w:t xml:space="preserve"> </w:t>
      </w:r>
      <w:r>
        <w:rPr>
          <w:rFonts w:cs="Miriam" w:hint="cs"/>
          <w:b/>
          <w:bCs/>
          <w:u w:val="single"/>
          <w:rtl/>
        </w:rPr>
        <w:t>פלוני נ' מדינת ישראל</w:t>
      </w:r>
      <w:r>
        <w:rPr>
          <w:rFonts w:cs="Miriam" w:hint="cs"/>
          <w:b/>
          <w:bCs/>
          <w:rtl/>
        </w:rPr>
        <w:t xml:space="preserve"> (30.1.2013) וההפניות שם)."</w:t>
      </w:r>
      <w:r>
        <w:rPr>
          <w:rFonts w:hint="cs"/>
          <w:rtl/>
        </w:rPr>
        <w:t xml:space="preserve">. </w:t>
      </w:r>
    </w:p>
    <w:p w14:paraId="64D019EA" w14:textId="77777777" w:rsidR="006D34E5" w:rsidRDefault="006D34E5">
      <w:pPr>
        <w:spacing w:line="360" w:lineRule="auto"/>
        <w:jc w:val="both"/>
        <w:rPr>
          <w:rtl/>
        </w:rPr>
      </w:pPr>
    </w:p>
    <w:p w14:paraId="1E7F0D7C" w14:textId="77777777" w:rsidR="006D34E5" w:rsidRDefault="00BF2512">
      <w:pPr>
        <w:spacing w:line="360" w:lineRule="auto"/>
        <w:jc w:val="both"/>
        <w:rPr>
          <w:sz w:val="28"/>
          <w:szCs w:val="28"/>
          <w:rtl/>
        </w:rPr>
      </w:pPr>
      <w:r>
        <w:rPr>
          <w:rFonts w:hint="cs"/>
          <w:sz w:val="28"/>
          <w:szCs w:val="28"/>
          <w:rtl/>
        </w:rPr>
        <w:t xml:space="preserve">הנאשם בתיק שלפני שדד אישה בת 73 תוך שימוש באלימות, לאור יום, במקום ציבורי, והרשעתו הקודמת ומאסר שנגזר עליו בגינה, לא הרתיעו אותו. </w:t>
      </w:r>
    </w:p>
    <w:p w14:paraId="0B3521F8" w14:textId="77777777" w:rsidR="006D34E5" w:rsidRDefault="00BF2512">
      <w:pPr>
        <w:spacing w:line="360" w:lineRule="auto"/>
        <w:jc w:val="both"/>
        <w:rPr>
          <w:sz w:val="28"/>
          <w:szCs w:val="28"/>
          <w:rtl/>
        </w:rPr>
      </w:pPr>
      <w:r>
        <w:rPr>
          <w:rFonts w:hint="cs"/>
          <w:sz w:val="28"/>
          <w:szCs w:val="28"/>
          <w:rtl/>
        </w:rPr>
        <w:t xml:space="preserve">מקובלת עלי עמדת ב"כ המאשימה לפיה, גם אם לא נגרמו חבלות פיזיות למתלוננת, הרי שנזק נפשי, בגין הפחד והאימה שאחזו בה בעת שהותקפה באלימות, נגרם לה ועלול ללוותה לכל שארית חייה. </w:t>
      </w:r>
    </w:p>
    <w:p w14:paraId="1064EB5B" w14:textId="77777777" w:rsidR="006D34E5" w:rsidRDefault="006D34E5">
      <w:pPr>
        <w:jc w:val="both"/>
        <w:rPr>
          <w:sz w:val="28"/>
          <w:szCs w:val="28"/>
          <w:rtl/>
        </w:rPr>
      </w:pPr>
    </w:p>
    <w:p w14:paraId="0AA5C7BF" w14:textId="77777777" w:rsidR="006D34E5" w:rsidRDefault="00BF2512">
      <w:pPr>
        <w:spacing w:line="360" w:lineRule="auto"/>
        <w:jc w:val="both"/>
        <w:rPr>
          <w:sz w:val="28"/>
          <w:szCs w:val="28"/>
          <w:rtl/>
        </w:rPr>
      </w:pPr>
      <w:r>
        <w:rPr>
          <w:rFonts w:hint="cs"/>
          <w:sz w:val="28"/>
          <w:szCs w:val="28"/>
          <w:rtl/>
        </w:rPr>
        <w:t xml:space="preserve">השיקול המרכזי בענישה מתמצה כיום בעקרון ההלימה דהיינו </w:t>
      </w:r>
      <w:r>
        <w:rPr>
          <w:rFonts w:cs="Miriam" w:hint="cs"/>
          <w:sz w:val="26"/>
          <w:szCs w:val="26"/>
          <w:rtl/>
        </w:rPr>
        <w:t xml:space="preserve">"... קיומו של יחס הולם בין חומרת מעשה העבירה בנסיבותיו ומידת אשמו של הנאשם ובין סוג ומידת העונש המוטל עליו..." </w:t>
      </w:r>
      <w:r>
        <w:rPr>
          <w:rFonts w:hint="cs"/>
          <w:sz w:val="28"/>
          <w:szCs w:val="28"/>
          <w:rtl/>
        </w:rPr>
        <w:t>(</w:t>
      </w:r>
      <w:hyperlink r:id="rId36" w:history="1">
        <w:r w:rsidR="00DB6223" w:rsidRPr="00DB6223">
          <w:rPr>
            <w:color w:val="0000FF"/>
            <w:sz w:val="28"/>
            <w:szCs w:val="28"/>
            <w:u w:val="single"/>
            <w:rtl/>
          </w:rPr>
          <w:t>סעיף 40ב.</w:t>
        </w:r>
      </w:hyperlink>
      <w:r>
        <w:rPr>
          <w:rFonts w:hint="cs"/>
          <w:sz w:val="28"/>
          <w:szCs w:val="28"/>
          <w:rtl/>
        </w:rPr>
        <w:t xml:space="preserve"> ל</w:t>
      </w:r>
      <w:hyperlink r:id="rId37" w:history="1">
        <w:r w:rsidR="00AF0F10" w:rsidRPr="00AF0F10">
          <w:rPr>
            <w:rStyle w:val="Hyperlink"/>
            <w:sz w:val="28"/>
            <w:szCs w:val="28"/>
            <w:rtl/>
          </w:rPr>
          <w:t>חוק העונשין</w:t>
        </w:r>
      </w:hyperlink>
      <w:r>
        <w:rPr>
          <w:rFonts w:hint="cs"/>
          <w:sz w:val="28"/>
          <w:szCs w:val="28"/>
          <w:rtl/>
        </w:rPr>
        <w:t xml:space="preserve">). </w:t>
      </w:r>
    </w:p>
    <w:p w14:paraId="14EC9B05" w14:textId="77777777" w:rsidR="006D34E5" w:rsidRDefault="006D34E5">
      <w:pPr>
        <w:jc w:val="both"/>
        <w:rPr>
          <w:sz w:val="28"/>
          <w:szCs w:val="28"/>
          <w:rtl/>
        </w:rPr>
      </w:pPr>
    </w:p>
    <w:p w14:paraId="5403BDDF" w14:textId="77777777" w:rsidR="006D34E5" w:rsidRDefault="00DB6223">
      <w:pPr>
        <w:spacing w:line="360" w:lineRule="auto"/>
        <w:jc w:val="both"/>
        <w:rPr>
          <w:sz w:val="28"/>
          <w:szCs w:val="28"/>
          <w:rtl/>
        </w:rPr>
      </w:pPr>
      <w:hyperlink r:id="rId38" w:history="1">
        <w:r w:rsidRPr="00DB6223">
          <w:rPr>
            <w:color w:val="0000FF"/>
            <w:sz w:val="28"/>
            <w:szCs w:val="28"/>
            <w:u w:val="single"/>
            <w:rtl/>
          </w:rPr>
          <w:t>סעיף 40ג</w:t>
        </w:r>
      </w:hyperlink>
      <w:r w:rsidR="00BF2512">
        <w:rPr>
          <w:rFonts w:hint="cs"/>
          <w:sz w:val="28"/>
          <w:szCs w:val="28"/>
          <w:rtl/>
        </w:rPr>
        <w:t>. ל</w:t>
      </w:r>
      <w:hyperlink r:id="rId39" w:history="1">
        <w:r w:rsidR="00AF0F10" w:rsidRPr="00AF0F10">
          <w:rPr>
            <w:rStyle w:val="Hyperlink"/>
            <w:sz w:val="28"/>
            <w:szCs w:val="28"/>
            <w:rtl/>
          </w:rPr>
          <w:t>חוק העונשין</w:t>
        </w:r>
      </w:hyperlink>
      <w:r w:rsidR="00BF2512">
        <w:rPr>
          <w:rFonts w:hint="cs"/>
          <w:sz w:val="28"/>
          <w:szCs w:val="28"/>
          <w:rtl/>
        </w:rPr>
        <w:t xml:space="preserve"> מורה לבית המשפט כי עליו לקבוע </w:t>
      </w:r>
      <w:r w:rsidR="00BF2512">
        <w:rPr>
          <w:rFonts w:cs="Miriam" w:hint="cs"/>
          <w:sz w:val="26"/>
          <w:szCs w:val="26"/>
          <w:rtl/>
        </w:rPr>
        <w:t>"... מתחם עונש הולם למעשה העבירה שביצע הנאשם בהתאם לעקרון ההלימה ולשם כך, רשאי הוא להתחשב בערך החברתי שנפגע מביצוע העבירה, במידת הפגיעה בו, במדיניות הענישה הנהוגה ובנסיבות הקשורות בביצוע העבירה, כאמור בסעיף 40ט."</w:t>
      </w:r>
    </w:p>
    <w:p w14:paraId="2E97F08D" w14:textId="77777777" w:rsidR="006D34E5" w:rsidRDefault="006D34E5">
      <w:pPr>
        <w:jc w:val="both"/>
        <w:rPr>
          <w:sz w:val="28"/>
          <w:szCs w:val="28"/>
          <w:rtl/>
        </w:rPr>
      </w:pPr>
    </w:p>
    <w:p w14:paraId="15F41137" w14:textId="77777777" w:rsidR="006D34E5" w:rsidRDefault="00BF2512">
      <w:pPr>
        <w:spacing w:line="360" w:lineRule="auto"/>
        <w:jc w:val="both"/>
        <w:rPr>
          <w:sz w:val="28"/>
          <w:szCs w:val="28"/>
          <w:rtl/>
        </w:rPr>
      </w:pPr>
      <w:r>
        <w:rPr>
          <w:rFonts w:hint="cs"/>
          <w:sz w:val="28"/>
          <w:szCs w:val="28"/>
          <w:rtl/>
        </w:rPr>
        <w:t xml:space="preserve">הערך החברתי אשר נפגע בגין העבירה במקרה זה, הוא זכותו של כל אדם לשלמות גופו ורכושו, לרבות זכותו להלך ברחובה של עיר בתחושת בטחון וללא מורא וחשש. פגיעה בערך זה היא פגיעה בתחושת הבטחון של כל אחד מפרטי הציבור, וראוי כי בית המשפט יתרום תרומתו, באמצעות השתת עונשים מרתיעים, להפחתת הפגיעה בו. </w:t>
      </w:r>
    </w:p>
    <w:p w14:paraId="4F45231A" w14:textId="77777777" w:rsidR="006D34E5" w:rsidRDefault="006D34E5">
      <w:pPr>
        <w:spacing w:line="360" w:lineRule="auto"/>
        <w:jc w:val="both"/>
        <w:rPr>
          <w:sz w:val="28"/>
          <w:szCs w:val="28"/>
          <w:rtl/>
        </w:rPr>
      </w:pPr>
    </w:p>
    <w:p w14:paraId="2A607829" w14:textId="77777777" w:rsidR="006D34E5" w:rsidRDefault="00BF2512">
      <w:pPr>
        <w:spacing w:line="360" w:lineRule="auto"/>
        <w:jc w:val="both"/>
        <w:rPr>
          <w:sz w:val="28"/>
          <w:szCs w:val="28"/>
          <w:rtl/>
        </w:rPr>
      </w:pPr>
      <w:r>
        <w:rPr>
          <w:rFonts w:hint="cs"/>
          <w:sz w:val="28"/>
          <w:szCs w:val="28"/>
          <w:rtl/>
        </w:rPr>
        <w:t>בהקשר זה נפסק כי :</w:t>
      </w:r>
    </w:p>
    <w:p w14:paraId="51EE7CF5" w14:textId="77777777" w:rsidR="006D34E5" w:rsidRDefault="00BF2512">
      <w:pPr>
        <w:ind w:left="1134" w:right="1701"/>
        <w:jc w:val="both"/>
        <w:rPr>
          <w:rFonts w:cs="Miriam"/>
          <w:b/>
          <w:bCs/>
          <w:rtl/>
        </w:rPr>
      </w:pPr>
      <w:r>
        <w:rPr>
          <w:rFonts w:cs="Miriam" w:hint="cs"/>
          <w:b/>
          <w:bCs/>
          <w:rtl/>
        </w:rPr>
        <w:t xml:space="preserve">"חברה שבה תחושת הבטחון האישי של בניה ובנותיה, ובמיוחד החלשים שבהם, כגון קשישים, מעורערת </w:t>
      </w:r>
      <w:r>
        <w:rPr>
          <w:rFonts w:cs="Miriam"/>
          <w:b/>
          <w:bCs/>
          <w:rtl/>
        </w:rPr>
        <w:t>–</w:t>
      </w:r>
      <w:r>
        <w:rPr>
          <w:rFonts w:cs="Miriam" w:hint="cs"/>
          <w:b/>
          <w:bCs/>
          <w:rtl/>
        </w:rPr>
        <w:t xml:space="preserve"> זקוקה לשיקום ולחיזוק כדי שתחושה ראויה תשוב על כנה. זו תפיסת החוק והסדר, </w:t>
      </w:r>
      <w:r>
        <w:rPr>
          <w:rFonts w:cs="Miriam"/>
          <w:b/>
          <w:bCs/>
          <w:sz w:val="22"/>
          <w:szCs w:val="22"/>
        </w:rPr>
        <w:t>low and order</w:t>
      </w:r>
      <w:r>
        <w:rPr>
          <w:rFonts w:cs="Miriam" w:hint="cs"/>
          <w:b/>
          <w:bCs/>
          <w:rtl/>
        </w:rPr>
        <w:t>, שתושבי המדינה מצפים לה ומייחלים כי רשויות הממשל יתנו לה מענה ופתרונות. בית המשפט הוא אחת הכתובות ההכרחיות לציפייה זו. אין בידו ארנק של תקציבים לחיזוק הבטחון האישי, אך יש בידו חרב שבמקרים המתאימים עליו להניפה, היא חרב הענישה."</w:t>
      </w:r>
    </w:p>
    <w:p w14:paraId="453CA875" w14:textId="77777777" w:rsidR="006D34E5" w:rsidRDefault="00BF2512">
      <w:pPr>
        <w:spacing w:line="360" w:lineRule="auto"/>
        <w:ind w:left="1134" w:right="1701"/>
        <w:jc w:val="both"/>
        <w:rPr>
          <w:sz w:val="32"/>
          <w:szCs w:val="32"/>
          <w:rtl/>
        </w:rPr>
      </w:pPr>
      <w:r>
        <w:rPr>
          <w:rFonts w:hint="cs"/>
          <w:sz w:val="28"/>
          <w:szCs w:val="28"/>
          <w:rtl/>
        </w:rPr>
        <w:t>(</w:t>
      </w:r>
      <w:hyperlink r:id="rId40" w:history="1">
        <w:r w:rsidR="00AF0F10" w:rsidRPr="00AF0F10">
          <w:rPr>
            <w:rStyle w:val="Hyperlink"/>
            <w:sz w:val="28"/>
            <w:szCs w:val="28"/>
            <w:rtl/>
          </w:rPr>
          <w:t>ע"פ 2163/05</w:t>
        </w:r>
      </w:hyperlink>
      <w:r>
        <w:rPr>
          <w:rFonts w:hint="cs"/>
          <w:b/>
          <w:bCs/>
          <w:sz w:val="28"/>
          <w:szCs w:val="28"/>
          <w:rtl/>
        </w:rPr>
        <w:t xml:space="preserve"> </w:t>
      </w:r>
      <w:r>
        <w:rPr>
          <w:rFonts w:hint="cs"/>
          <w:b/>
          <w:bCs/>
          <w:sz w:val="28"/>
          <w:szCs w:val="28"/>
          <w:u w:val="single"/>
          <w:rtl/>
        </w:rPr>
        <w:t>אלייב נ' מדינת ישראל</w:t>
      </w:r>
      <w:r>
        <w:rPr>
          <w:rFonts w:hint="cs"/>
          <w:sz w:val="28"/>
          <w:szCs w:val="28"/>
          <w:rtl/>
        </w:rPr>
        <w:t>, (12.12.05)).</w:t>
      </w:r>
    </w:p>
    <w:p w14:paraId="43176818" w14:textId="77777777" w:rsidR="006D34E5" w:rsidRDefault="006D34E5">
      <w:pPr>
        <w:spacing w:line="360" w:lineRule="auto"/>
        <w:jc w:val="both"/>
        <w:rPr>
          <w:sz w:val="28"/>
          <w:szCs w:val="28"/>
          <w:rtl/>
        </w:rPr>
      </w:pPr>
    </w:p>
    <w:p w14:paraId="74014784" w14:textId="77777777" w:rsidR="006D34E5" w:rsidRDefault="00BF2512">
      <w:pPr>
        <w:spacing w:line="360" w:lineRule="auto"/>
        <w:jc w:val="both"/>
        <w:rPr>
          <w:sz w:val="28"/>
          <w:szCs w:val="28"/>
          <w:rtl/>
        </w:rPr>
      </w:pPr>
      <w:r>
        <w:rPr>
          <w:rFonts w:hint="cs"/>
          <w:sz w:val="28"/>
          <w:szCs w:val="28"/>
          <w:rtl/>
        </w:rPr>
        <w:t xml:space="preserve">במקרה זה, במיוחד בשל היות הקורבן אישה מבוגרת מאוד, שנמנית על החלשים בחברה ועל אלה שיכולתם להתנגד מועטה, שגם רכושה נגזל (400 ₪), הרי שהפגיעה בערך החברתי מצויה ברף גבוה. </w:t>
      </w:r>
    </w:p>
    <w:p w14:paraId="70219B3F" w14:textId="77777777" w:rsidR="006D34E5" w:rsidRDefault="00BF2512">
      <w:pPr>
        <w:spacing w:line="360" w:lineRule="auto"/>
        <w:jc w:val="both"/>
        <w:rPr>
          <w:sz w:val="28"/>
          <w:szCs w:val="28"/>
          <w:rtl/>
        </w:rPr>
      </w:pPr>
      <w:r>
        <w:rPr>
          <w:rFonts w:hint="cs"/>
          <w:sz w:val="28"/>
          <w:szCs w:val="28"/>
          <w:rtl/>
        </w:rPr>
        <w:t>עלינו לשוות לנגד עינינו לא רק את הנזק הברור מאליו, אותו נזק פיזי שקל לראותו ולעיתים לא נראה חמור כל כך, אלא גם הנזק הפנימי והנפשי שאינו גלוי ולעיתים דווקא למבוגר החלש קשה לבטאו, אך ישפיע עליו בשארית חייו. זהו נזק משמעותי שבגיל מבוגר כבר קשה להשתקם ממנו.</w:t>
      </w:r>
    </w:p>
    <w:p w14:paraId="544DA94F" w14:textId="77777777" w:rsidR="006D34E5" w:rsidRDefault="006D34E5">
      <w:pPr>
        <w:jc w:val="both"/>
        <w:rPr>
          <w:sz w:val="28"/>
          <w:szCs w:val="28"/>
          <w:rtl/>
        </w:rPr>
      </w:pPr>
    </w:p>
    <w:p w14:paraId="42652B6B" w14:textId="77777777" w:rsidR="006D34E5" w:rsidRDefault="00BF2512">
      <w:pPr>
        <w:jc w:val="both"/>
        <w:rPr>
          <w:sz w:val="28"/>
          <w:szCs w:val="28"/>
          <w:rtl/>
        </w:rPr>
      </w:pPr>
      <w:r>
        <w:rPr>
          <w:rFonts w:hint="cs"/>
          <w:sz w:val="28"/>
          <w:szCs w:val="28"/>
          <w:rtl/>
        </w:rPr>
        <w:t xml:space="preserve">בענין זה נפסק כי: </w:t>
      </w:r>
    </w:p>
    <w:p w14:paraId="3E3F7B0B" w14:textId="77777777" w:rsidR="006D34E5" w:rsidRDefault="006D34E5">
      <w:pPr>
        <w:jc w:val="both"/>
        <w:rPr>
          <w:sz w:val="28"/>
          <w:szCs w:val="28"/>
          <w:rtl/>
        </w:rPr>
      </w:pPr>
    </w:p>
    <w:p w14:paraId="2460204D" w14:textId="77777777" w:rsidR="006D34E5" w:rsidRDefault="00BF2512">
      <w:pPr>
        <w:ind w:left="1134" w:right="1701"/>
        <w:jc w:val="both"/>
        <w:rPr>
          <w:rFonts w:cs="Miriam"/>
          <w:b/>
          <w:bCs/>
          <w:rtl/>
        </w:rPr>
      </w:pPr>
      <w:r>
        <w:rPr>
          <w:rFonts w:cs="Miriam" w:hint="cs"/>
          <w:b/>
          <w:bCs/>
          <w:rtl/>
        </w:rPr>
        <w:t>"שיקולי גמול והלימה נוכח אופי העבירה: שוד או גניבה מקשיש או מחסר ישע, נתפס כמעשה שיש בו כיעור מוסרי גדול יותר מעבירה "רגילה" של שוד או גניבה, בהיותו הפרה של הציווי "והדרת פני זקן" הנתפס כמעין חוק טבע בכל חברה אנושית. העבירה של שוד קשישים היא מעשה נקלה ובזוי במיוחד, גם בקוד העברייני, ולא בכדי היא נחשבת לעבירה הנמצאת בתחתית "שרשרת המזון</w:t>
      </w:r>
      <w:r>
        <w:rPr>
          <w:rFonts w:cs="Miriam" w:hint="eastAsia"/>
          <w:b/>
          <w:bCs/>
          <w:rtl/>
        </w:rPr>
        <w:t>”</w:t>
      </w:r>
      <w:r>
        <w:rPr>
          <w:rFonts w:cs="Miriam" w:hint="cs"/>
          <w:b/>
          <w:bCs/>
          <w:rtl/>
        </w:rPr>
        <w:t xml:space="preserve"> של העבירות ושל העבריינים.</w:t>
      </w:r>
    </w:p>
    <w:p w14:paraId="16C3F282" w14:textId="77777777" w:rsidR="006D34E5" w:rsidRDefault="00BF2512">
      <w:pPr>
        <w:ind w:left="1134" w:right="1701"/>
        <w:jc w:val="both"/>
        <w:rPr>
          <w:rFonts w:cs="Miriam"/>
          <w:b/>
          <w:bCs/>
          <w:rtl/>
        </w:rPr>
      </w:pPr>
      <w:r>
        <w:rPr>
          <w:rFonts w:cs="Miriam" w:hint="cs"/>
          <w:b/>
          <w:bCs/>
          <w:rtl/>
        </w:rPr>
        <w:t xml:space="preserve">מי  יאמוד את האימה, הפחד, הבושת והצער של קשיש </w:t>
      </w:r>
      <w:r>
        <w:rPr>
          <w:rFonts w:cs="Miriam"/>
          <w:b/>
          <w:bCs/>
          <w:rtl/>
        </w:rPr>
        <w:t>–</w:t>
      </w:r>
      <w:r>
        <w:rPr>
          <w:rFonts w:cs="Miriam" w:hint="cs"/>
          <w:b/>
          <w:bCs/>
          <w:rtl/>
        </w:rPr>
        <w:t xml:space="preserve"> פעמים רבות קשיש המתגורר בגפו </w:t>
      </w:r>
      <w:r>
        <w:rPr>
          <w:rFonts w:cs="Miriam"/>
          <w:b/>
          <w:bCs/>
          <w:rtl/>
        </w:rPr>
        <w:t>–</w:t>
      </w:r>
      <w:r>
        <w:rPr>
          <w:rFonts w:cs="Miriam" w:hint="cs"/>
          <w:b/>
          <w:bCs/>
          <w:rtl/>
        </w:rPr>
        <w:t xml:space="preserve"> שנפל קורבן לעבירה של שוד וגניבה. אכן, לא כל קשיש הוא חסר ישע, אבל אין כוחו של קשיש כשל אדם צעיר, שיכול לעיתים להתגונן או לרדוף אחר הגנב או השודד. נקל לשער את התחושה המתסכלת עד מאוד של השפלה וחוסר אונים של קשיש שנפל קורבן לעבירה כגון דא. נסיון החיים מלמד כי איכות החיים של קשישים אחרי מעשה שוד או גניבה אינו כתמול שלשום. </w:t>
      </w:r>
      <w:r>
        <w:rPr>
          <w:rFonts w:cs="Miriam" w:hint="cs"/>
          <w:b/>
          <w:bCs/>
          <w:u w:val="single"/>
          <w:rtl/>
        </w:rPr>
        <w:t>אף יש שאורחות חייהם השתנו והתהפכו בעקבות ארוע טראומתי של גניבה או שוד, לאחר שלהוותם נוכחו לדעת כי ביתם כבר אינו מבצרם</w:t>
      </w:r>
      <w:r>
        <w:rPr>
          <w:rFonts w:cs="Miriam" w:hint="cs"/>
          <w:b/>
          <w:bCs/>
          <w:rtl/>
        </w:rPr>
        <w:t xml:space="preserve">. </w:t>
      </w:r>
    </w:p>
    <w:p w14:paraId="763B121B" w14:textId="77777777" w:rsidR="006D34E5" w:rsidRDefault="00BF2512">
      <w:pPr>
        <w:ind w:left="1134" w:right="1701"/>
        <w:jc w:val="both"/>
        <w:rPr>
          <w:rFonts w:cs="Miriam"/>
          <w:b/>
          <w:bCs/>
          <w:rtl/>
        </w:rPr>
      </w:pPr>
      <w:r>
        <w:rPr>
          <w:rFonts w:cs="Miriam" w:hint="cs"/>
          <w:b/>
          <w:bCs/>
          <w:u w:val="single"/>
          <w:rtl/>
        </w:rPr>
        <w:t>תופעות של חוסר אמון בבני אדם, בידוד והסתגרות נפשית לצד התבצרות פיזית (סורגים ומנעולים), חשש, אובדן בטחון עצמי, נדודי שינה ועוד תופעות והשלכות המשפיעות על הקשיש ועל בני משפחו. מכאן מידת הסלידה של החברה ביחס לשוד וגניבה מקשישים, ומכאן החומרה היתרה שבתי המשפט מייחסים לעבירה זו בהיבט של שיקולי גמול והלימה</w:t>
      </w:r>
      <w:r>
        <w:rPr>
          <w:rFonts w:cs="Miriam" w:hint="cs"/>
          <w:b/>
          <w:bCs/>
          <w:rtl/>
        </w:rPr>
        <w:t>".</w:t>
      </w:r>
    </w:p>
    <w:p w14:paraId="53328E71" w14:textId="77777777" w:rsidR="006D34E5" w:rsidRDefault="00BF2512">
      <w:pPr>
        <w:spacing w:line="360" w:lineRule="auto"/>
        <w:ind w:left="1134" w:right="1701"/>
        <w:jc w:val="both"/>
        <w:rPr>
          <w:sz w:val="32"/>
          <w:szCs w:val="32"/>
          <w:rtl/>
        </w:rPr>
      </w:pPr>
      <w:r>
        <w:rPr>
          <w:rFonts w:hint="cs"/>
          <w:sz w:val="28"/>
          <w:szCs w:val="28"/>
          <w:rtl/>
        </w:rPr>
        <w:t>(</w:t>
      </w:r>
      <w:hyperlink r:id="rId41" w:history="1">
        <w:r w:rsidR="00AF0F10" w:rsidRPr="00AF0F10">
          <w:rPr>
            <w:rStyle w:val="Hyperlink"/>
            <w:sz w:val="28"/>
            <w:szCs w:val="28"/>
            <w:rtl/>
          </w:rPr>
          <w:t>ע"פ 1864/11</w:t>
        </w:r>
      </w:hyperlink>
      <w:r>
        <w:rPr>
          <w:rFonts w:hint="cs"/>
          <w:b/>
          <w:bCs/>
          <w:sz w:val="28"/>
          <w:szCs w:val="28"/>
          <w:rtl/>
        </w:rPr>
        <w:t xml:space="preserve"> </w:t>
      </w:r>
      <w:r>
        <w:rPr>
          <w:rFonts w:hint="cs"/>
          <w:b/>
          <w:bCs/>
          <w:sz w:val="28"/>
          <w:szCs w:val="28"/>
          <w:u w:val="single"/>
          <w:rtl/>
        </w:rPr>
        <w:t>עזיז דוידוב נ' מדינת ישראל</w:t>
      </w:r>
      <w:r>
        <w:rPr>
          <w:rFonts w:hint="cs"/>
          <w:sz w:val="28"/>
          <w:szCs w:val="28"/>
          <w:rtl/>
        </w:rPr>
        <w:t>, (7.12.12)).</w:t>
      </w:r>
    </w:p>
    <w:p w14:paraId="558F6FF9" w14:textId="77777777" w:rsidR="006D34E5" w:rsidRDefault="006D34E5">
      <w:pPr>
        <w:spacing w:line="360" w:lineRule="auto"/>
        <w:jc w:val="both"/>
        <w:rPr>
          <w:sz w:val="28"/>
          <w:szCs w:val="28"/>
          <w:rtl/>
        </w:rPr>
      </w:pPr>
    </w:p>
    <w:p w14:paraId="7AC78503" w14:textId="77777777" w:rsidR="006D34E5" w:rsidRDefault="00BF2512">
      <w:pPr>
        <w:spacing w:line="360" w:lineRule="auto"/>
        <w:jc w:val="both"/>
        <w:rPr>
          <w:sz w:val="28"/>
          <w:szCs w:val="28"/>
          <w:rtl/>
        </w:rPr>
      </w:pPr>
      <w:r>
        <w:rPr>
          <w:rFonts w:hint="cs"/>
          <w:sz w:val="28"/>
          <w:szCs w:val="28"/>
          <w:rtl/>
        </w:rPr>
        <w:t>בבואנו להתחשב, לצורך קביעת מתחם העונש ההולם, במדיניות הענישה הנהוגה, ראוי לזכור כי פסיקת בתי המשפט בטרם התיקון לחוק, שממנה עדיין שואבים אנו את מדיניות הענישה הנהוגה, אין בה די כדי לקבוע את מתחם העונש ההולם והדברים הוסברו על-ידי כב' השופטת ארבל ב</w:t>
      </w:r>
      <w:hyperlink r:id="rId42" w:history="1">
        <w:r w:rsidR="00AF0F10" w:rsidRPr="00AF0F10">
          <w:rPr>
            <w:rStyle w:val="Hyperlink"/>
            <w:sz w:val="28"/>
            <w:szCs w:val="28"/>
            <w:rtl/>
          </w:rPr>
          <w:t>ע"פ 1323/13</w:t>
        </w:r>
      </w:hyperlink>
      <w:r>
        <w:rPr>
          <w:rFonts w:hint="cs"/>
          <w:sz w:val="28"/>
          <w:szCs w:val="28"/>
          <w:rtl/>
        </w:rPr>
        <w:t xml:space="preserve"> </w:t>
      </w:r>
      <w:r>
        <w:rPr>
          <w:rFonts w:hint="cs"/>
          <w:b/>
          <w:bCs/>
          <w:sz w:val="28"/>
          <w:szCs w:val="28"/>
          <w:u w:val="single"/>
          <w:rtl/>
        </w:rPr>
        <w:t>רך חסן נ' מדינת ישראל</w:t>
      </w:r>
      <w:r>
        <w:rPr>
          <w:rFonts w:hint="cs"/>
          <w:sz w:val="28"/>
          <w:szCs w:val="28"/>
          <w:rtl/>
        </w:rPr>
        <w:t xml:space="preserve"> (5.6.13), בהאי לישנא:</w:t>
      </w:r>
    </w:p>
    <w:p w14:paraId="5346B0F6" w14:textId="77777777" w:rsidR="006D34E5" w:rsidRDefault="006D34E5">
      <w:pPr>
        <w:spacing w:line="360" w:lineRule="auto"/>
        <w:jc w:val="both"/>
        <w:rPr>
          <w:rtl/>
        </w:rPr>
      </w:pPr>
    </w:p>
    <w:p w14:paraId="59FFA45C" w14:textId="77777777" w:rsidR="006D34E5" w:rsidRDefault="00BF2512">
      <w:pPr>
        <w:ind w:left="1134" w:right="1701"/>
        <w:jc w:val="both"/>
        <w:rPr>
          <w:b/>
          <w:bCs/>
          <w:rtl/>
        </w:rPr>
      </w:pPr>
      <w:r>
        <w:rPr>
          <w:rFonts w:cs="Miriam" w:hint="cs"/>
          <w:b/>
          <w:bCs/>
          <w:rtl/>
        </w:rPr>
        <w:t xml:space="preserve">"... אין לטעות ולזהות בין מתחם העונש ההולם לבין טווח הענישה הנהוג. מדובר ב"יצורים" שונים. מתחם העונש ההולם מגלם, כאמור, </w:t>
      </w:r>
      <w:r>
        <w:rPr>
          <w:rFonts w:cs="Miriam" w:hint="cs"/>
          <w:rtl/>
        </w:rPr>
        <w:t>הכרעה ערכית</w:t>
      </w:r>
      <w:r>
        <w:rPr>
          <w:rFonts w:cs="Miriam" w:hint="cs"/>
          <w:b/>
          <w:bCs/>
          <w:rtl/>
        </w:rPr>
        <w:t xml:space="preserve">, המבוססת על שיקולים שונים, כאשר מדיניות הענישה הנהוגה בעבירה הנדונה היא רק אחד מהם. טווח הענישה הנהוג בפסיקה, לעומת זאת, הוא נתון </w:t>
      </w:r>
      <w:r>
        <w:rPr>
          <w:rFonts w:cs="Miriam" w:hint="cs"/>
          <w:rtl/>
        </w:rPr>
        <w:t>אמפירי-עובדתי</w:t>
      </w:r>
      <w:r>
        <w:rPr>
          <w:rFonts w:cs="Miriam" w:hint="cs"/>
          <w:b/>
          <w:bCs/>
          <w:rtl/>
        </w:rPr>
        <w:t>, המורכב מהעונשים המקובלים בגין עבירה מסוימת בדין הנוהג. העדר החפיפה בין השניים עולה במפורש גם מדברי ההסבר להצעת החוק, שהפכה לימים לתיקון 113... אוסיף כי זיהוי מתחם העונש ההולם עם טווח הענישה המקובל (כיום) הוא שגוי, גם מאחר שהוא יאפשר הכנסת שיקולים שאינם קשורים לביצוע העבירה לתוך השלב הראשון (של קביעת מתחם העונש), שאמור על פי תיקון 113 להיות "נקי" משיקולים אלה. שהרי, רף הענישה הקיים כיום בפסיקה משקף את משטר הענישה שלפני התיקון שלא הבחין או דירג בין נסיבות הקשורות בביצוע העבירה לבין אלה שאינן קשורות לביצועה, בעת גזירת העונש (ברוב המקרים). על כל פנים, פועל יוצא מהשוני בין מתחם העונש לבין טווח הענישה המקובל הוא, שמתחם העונש אינו משמש כ"תעריף ענישה קבוע" שאותו יש להחיל בצורה אוטומטית בכל המקרים העתידיים"</w:t>
      </w:r>
      <w:r>
        <w:rPr>
          <w:rFonts w:hint="cs"/>
          <w:b/>
          <w:bCs/>
          <w:rtl/>
        </w:rPr>
        <w:t xml:space="preserve"> </w:t>
      </w:r>
      <w:r>
        <w:rPr>
          <w:rFonts w:hint="cs"/>
          <w:rtl/>
        </w:rPr>
        <w:t xml:space="preserve">(וראו עוד בנושא זה </w:t>
      </w:r>
      <w:hyperlink r:id="rId43" w:history="1">
        <w:r w:rsidR="00AF0F10" w:rsidRPr="00AF0F10">
          <w:rPr>
            <w:rStyle w:val="Hyperlink"/>
            <w:rtl/>
          </w:rPr>
          <w:t>ע"פ 1903/13</w:t>
        </w:r>
      </w:hyperlink>
      <w:r>
        <w:rPr>
          <w:rFonts w:hint="cs"/>
          <w:rtl/>
        </w:rPr>
        <w:t xml:space="preserve"> </w:t>
      </w:r>
      <w:r>
        <w:rPr>
          <w:rFonts w:hint="cs"/>
          <w:b/>
          <w:bCs/>
          <w:u w:val="single"/>
          <w:rtl/>
        </w:rPr>
        <w:t>חמודה עיאשה נ' מדינת ישראל</w:t>
      </w:r>
      <w:r>
        <w:rPr>
          <w:rFonts w:hint="cs"/>
          <w:rtl/>
        </w:rPr>
        <w:t xml:space="preserve"> (14.7.13))</w:t>
      </w:r>
      <w:r>
        <w:rPr>
          <w:rFonts w:hint="cs"/>
          <w:b/>
          <w:bCs/>
          <w:rtl/>
        </w:rPr>
        <w:t>.</w:t>
      </w:r>
    </w:p>
    <w:p w14:paraId="3F5132D7" w14:textId="77777777" w:rsidR="006D34E5" w:rsidRDefault="00BF2512">
      <w:pPr>
        <w:ind w:left="1134" w:right="1701"/>
        <w:jc w:val="both"/>
        <w:rPr>
          <w:rtl/>
        </w:rPr>
      </w:pPr>
      <w:r>
        <w:rPr>
          <w:rFonts w:hint="cs"/>
          <w:rtl/>
        </w:rPr>
        <w:t xml:space="preserve"> </w:t>
      </w:r>
    </w:p>
    <w:p w14:paraId="29183EA5" w14:textId="77777777" w:rsidR="006D34E5" w:rsidRDefault="006D34E5">
      <w:pPr>
        <w:spacing w:line="360" w:lineRule="auto"/>
        <w:jc w:val="both"/>
        <w:rPr>
          <w:rtl/>
        </w:rPr>
      </w:pPr>
    </w:p>
    <w:p w14:paraId="2227FFEF" w14:textId="77777777" w:rsidR="006D34E5" w:rsidRDefault="00BF2512">
      <w:pPr>
        <w:spacing w:line="360" w:lineRule="auto"/>
        <w:jc w:val="both"/>
        <w:rPr>
          <w:sz w:val="28"/>
          <w:szCs w:val="28"/>
          <w:rtl/>
        </w:rPr>
      </w:pPr>
      <w:r>
        <w:rPr>
          <w:rFonts w:hint="cs"/>
          <w:sz w:val="28"/>
          <w:szCs w:val="28"/>
          <w:u w:val="single"/>
          <w:rtl/>
        </w:rPr>
        <w:t>בין הנסיבות הקשורות בביצוע העבירה</w:t>
      </w:r>
      <w:r>
        <w:rPr>
          <w:rFonts w:hint="cs"/>
          <w:sz w:val="28"/>
          <w:szCs w:val="28"/>
          <w:rtl/>
        </w:rPr>
        <w:t xml:space="preserve"> (</w:t>
      </w:r>
      <w:hyperlink r:id="rId44" w:history="1">
        <w:r w:rsidR="00DB6223" w:rsidRPr="00DB6223">
          <w:rPr>
            <w:color w:val="0000FF"/>
            <w:sz w:val="28"/>
            <w:szCs w:val="28"/>
            <w:u w:val="single"/>
            <w:rtl/>
          </w:rPr>
          <w:t>סעיף 40ט</w:t>
        </w:r>
      </w:hyperlink>
      <w:r>
        <w:rPr>
          <w:rFonts w:hint="cs"/>
          <w:sz w:val="28"/>
          <w:szCs w:val="28"/>
          <w:rtl/>
        </w:rPr>
        <w:t>. ל</w:t>
      </w:r>
      <w:hyperlink r:id="rId45" w:history="1">
        <w:r w:rsidR="00AF0F10" w:rsidRPr="00AF0F10">
          <w:rPr>
            <w:rStyle w:val="Hyperlink"/>
            <w:sz w:val="28"/>
            <w:szCs w:val="28"/>
            <w:rtl/>
          </w:rPr>
          <w:t>חוק העונשין</w:t>
        </w:r>
      </w:hyperlink>
      <w:r>
        <w:rPr>
          <w:rFonts w:hint="cs"/>
          <w:sz w:val="28"/>
          <w:szCs w:val="28"/>
          <w:rtl/>
        </w:rPr>
        <w:t>), ניתן למנות מספר נסיבות לחומרה (חלקן חמורות יותר מאלה שהיו</w:t>
      </w:r>
      <w:r>
        <w:rPr>
          <w:rFonts w:hint="cs"/>
          <w:b/>
          <w:bCs/>
          <w:sz w:val="28"/>
          <w:szCs w:val="28"/>
          <w:rtl/>
        </w:rPr>
        <w:t>בענין אידריס</w:t>
      </w:r>
      <w:r>
        <w:rPr>
          <w:rFonts w:hint="cs"/>
          <w:sz w:val="28"/>
          <w:szCs w:val="28"/>
          <w:rtl/>
        </w:rPr>
        <w:t xml:space="preserve">); </w:t>
      </w:r>
    </w:p>
    <w:p w14:paraId="73922BF1" w14:textId="77777777" w:rsidR="006D34E5" w:rsidRDefault="00BF2512">
      <w:pPr>
        <w:spacing w:line="360" w:lineRule="auto"/>
        <w:jc w:val="both"/>
        <w:rPr>
          <w:sz w:val="28"/>
          <w:szCs w:val="28"/>
          <w:rtl/>
        </w:rPr>
      </w:pPr>
      <w:r>
        <w:rPr>
          <w:rFonts w:hint="cs"/>
          <w:sz w:val="28"/>
          <w:szCs w:val="28"/>
          <w:rtl/>
        </w:rPr>
        <w:t xml:space="preserve">אני סבור כי הנאשם, אשר המתין בכניסה לבית המתלוננת, תכנן את ביצוע העבירה ובהקשר זה, גם אם היה תחת השפעת סמים, דבר שלא הוכח באופן וודאי, יש לראות בכך נסיבה לחומרה. דהיינו, מי שמחדיר לגופו סמים או אלכוהול, עליו לדעת כי ייתן את הדין ואף בחומרה, אם יבצע תחת השפעת אותם חומרים משככים, עבירה. </w:t>
      </w:r>
    </w:p>
    <w:p w14:paraId="49ACBEA0" w14:textId="77777777" w:rsidR="006D34E5" w:rsidRDefault="00BF2512">
      <w:pPr>
        <w:spacing w:line="360" w:lineRule="auto"/>
        <w:jc w:val="both"/>
        <w:rPr>
          <w:sz w:val="28"/>
          <w:szCs w:val="28"/>
          <w:rtl/>
        </w:rPr>
      </w:pPr>
      <w:r>
        <w:rPr>
          <w:rFonts w:hint="cs"/>
          <w:sz w:val="28"/>
          <w:szCs w:val="28"/>
          <w:rtl/>
        </w:rPr>
        <w:t xml:space="preserve">כאמור, אף שלמתלוננת לא נגרם נזק פיזי, מקובלת עלי טענת ב"כ המאשימה כי אישה בגילה של המתלוננת, העוברת אירוע טראומתי מעין זה, ישארו בנפשה אותותיו, אימתו וסימניו לתקופה ארוכה, ואין גם לשכוח עד כמה מטריד ו"מעצבן" אזרח מן השורה שביתו נפרץ או נשדד, לעסוק בהחזרה לרשותו של מסמכיו, מפתחותיו וכרטיסי האשראי שלו. </w:t>
      </w:r>
    </w:p>
    <w:p w14:paraId="0319E68E" w14:textId="77777777" w:rsidR="006D34E5" w:rsidRDefault="006D34E5">
      <w:pPr>
        <w:jc w:val="both"/>
        <w:rPr>
          <w:sz w:val="28"/>
          <w:szCs w:val="28"/>
          <w:rtl/>
        </w:rPr>
      </w:pPr>
    </w:p>
    <w:p w14:paraId="13AE94AE" w14:textId="77777777" w:rsidR="006D34E5" w:rsidRDefault="00BF2512">
      <w:pPr>
        <w:spacing w:line="360" w:lineRule="auto"/>
        <w:jc w:val="both"/>
        <w:rPr>
          <w:sz w:val="28"/>
          <w:szCs w:val="28"/>
          <w:rtl/>
        </w:rPr>
      </w:pPr>
      <w:r>
        <w:rPr>
          <w:rFonts w:hint="cs"/>
          <w:sz w:val="28"/>
          <w:szCs w:val="28"/>
          <w:rtl/>
        </w:rPr>
        <w:t xml:space="preserve">ראוי לזכור כי, במקרה זה היה צפוי להיגרם נזק גדול יותר מביצוע העבירה, כי ייתכן, כפי שקורה במקרים רבים, שהשוד "מסתבך", ואם הקורבן מתנגד קצת יותר, עלול  השודד להגביר את אלימותו, וסופה של העבירה לא תמיד ידוע מראש. </w:t>
      </w:r>
    </w:p>
    <w:p w14:paraId="2B8A8871" w14:textId="77777777" w:rsidR="006D34E5" w:rsidRDefault="00BF2512">
      <w:pPr>
        <w:spacing w:line="360" w:lineRule="auto"/>
        <w:jc w:val="both"/>
        <w:rPr>
          <w:sz w:val="28"/>
          <w:szCs w:val="28"/>
          <w:rtl/>
        </w:rPr>
      </w:pPr>
      <w:r>
        <w:rPr>
          <w:rFonts w:hint="cs"/>
          <w:sz w:val="28"/>
          <w:szCs w:val="28"/>
          <w:rtl/>
        </w:rPr>
        <w:t xml:space="preserve">המניע היחיד של הנאשם לביצוע העבירה, היה בצע כסף אולם, כאמור, הצורך לממן רכישת סמים, ככל שהוא קיים, מהווה בעיני נסיבה לחומרה. אני סבור כי הנאשם יכול היה להבין את מעשיו, את הפסול בהם ולהימנע מהם בכל עת, והוא אף הפעיל אלימות כלפי הקורבן. </w:t>
      </w:r>
    </w:p>
    <w:p w14:paraId="7CA12E7D" w14:textId="77777777" w:rsidR="006D34E5" w:rsidRDefault="006D34E5">
      <w:pPr>
        <w:jc w:val="both"/>
        <w:rPr>
          <w:sz w:val="28"/>
          <w:szCs w:val="28"/>
          <w:rtl/>
        </w:rPr>
      </w:pPr>
    </w:p>
    <w:p w14:paraId="4E8170A3" w14:textId="77777777" w:rsidR="006D34E5" w:rsidRDefault="00BF2512">
      <w:pPr>
        <w:spacing w:line="360" w:lineRule="auto"/>
        <w:jc w:val="both"/>
        <w:rPr>
          <w:sz w:val="28"/>
          <w:szCs w:val="28"/>
          <w:rtl/>
        </w:rPr>
      </w:pPr>
      <w:r>
        <w:rPr>
          <w:rFonts w:hint="cs"/>
          <w:sz w:val="28"/>
          <w:szCs w:val="28"/>
          <w:rtl/>
        </w:rPr>
        <w:t xml:space="preserve">לאור האמור לעיל, אני סבור כי מתחם העונש ההולם בנסיבותיה של העבירה מושא תיק זה ותוך התחשבות בפסיקת בית המשפט העליון </w:t>
      </w:r>
      <w:r>
        <w:rPr>
          <w:rFonts w:hint="cs"/>
          <w:b/>
          <w:bCs/>
          <w:sz w:val="28"/>
          <w:szCs w:val="28"/>
          <w:rtl/>
        </w:rPr>
        <w:t>בעניין אידריס</w:t>
      </w:r>
      <w:r>
        <w:rPr>
          <w:rFonts w:hint="cs"/>
          <w:sz w:val="28"/>
          <w:szCs w:val="28"/>
          <w:rtl/>
        </w:rPr>
        <w:t xml:space="preserve">, נע בין שנה ל- 3 שנות מאסר בפועל. אולם, אף שהנאשם הורשע במספר עבירות, מקובלת עלי טענת הסניגור כי מדובר בארוע אחד, קצר, לא מתוחכם, שכפי הנראה נבע ממצוקתו האישית של הנאשם, לרבות השימוש בסמים על ידו והחזקת הסם מסוג חשיש לצריכתו העצמית, ועל כן, יש לקבוע מתחם עונש הולם אחד לכל העבירות. למעשה כך טענה גם ב"כ המאשימה. </w:t>
      </w:r>
    </w:p>
    <w:p w14:paraId="56CB0789" w14:textId="77777777" w:rsidR="006D34E5" w:rsidRDefault="006D34E5">
      <w:pPr>
        <w:jc w:val="both"/>
        <w:rPr>
          <w:sz w:val="28"/>
          <w:szCs w:val="28"/>
          <w:rtl/>
        </w:rPr>
      </w:pPr>
    </w:p>
    <w:p w14:paraId="45ED094E" w14:textId="77777777" w:rsidR="006D34E5" w:rsidRDefault="00BF2512">
      <w:pPr>
        <w:spacing w:line="360" w:lineRule="auto"/>
        <w:jc w:val="both"/>
        <w:rPr>
          <w:sz w:val="28"/>
          <w:szCs w:val="28"/>
          <w:rtl/>
        </w:rPr>
      </w:pPr>
      <w:r>
        <w:rPr>
          <w:rFonts w:hint="cs"/>
          <w:sz w:val="28"/>
          <w:szCs w:val="28"/>
          <w:rtl/>
        </w:rPr>
        <w:t xml:space="preserve">בבואי לקבוע את "העונש המתאים לנאשם", בתוך מתחם העונש ההולם, ראוי להתחשב </w:t>
      </w:r>
      <w:r>
        <w:rPr>
          <w:rFonts w:hint="cs"/>
          <w:sz w:val="28"/>
          <w:szCs w:val="28"/>
          <w:u w:val="single"/>
          <w:rtl/>
        </w:rPr>
        <w:t>בנסיבות שאינן קשורות בביצוע העבירה</w:t>
      </w:r>
      <w:r>
        <w:rPr>
          <w:rFonts w:hint="cs"/>
          <w:sz w:val="28"/>
          <w:szCs w:val="28"/>
          <w:rtl/>
        </w:rPr>
        <w:t xml:space="preserve"> (</w:t>
      </w:r>
      <w:hyperlink r:id="rId46" w:history="1">
        <w:r w:rsidR="00DB6223" w:rsidRPr="00DB6223">
          <w:rPr>
            <w:color w:val="0000FF"/>
            <w:sz w:val="28"/>
            <w:szCs w:val="28"/>
            <w:u w:val="single"/>
            <w:rtl/>
          </w:rPr>
          <w:t>סעיף 40יא</w:t>
        </w:r>
      </w:hyperlink>
      <w:r>
        <w:rPr>
          <w:rFonts w:hint="cs"/>
          <w:sz w:val="28"/>
          <w:szCs w:val="28"/>
          <w:rtl/>
        </w:rPr>
        <w:t>. ל</w:t>
      </w:r>
      <w:hyperlink r:id="rId47" w:history="1">
        <w:r w:rsidR="00AF0F10" w:rsidRPr="00AF0F10">
          <w:rPr>
            <w:rStyle w:val="Hyperlink"/>
            <w:sz w:val="28"/>
            <w:szCs w:val="28"/>
            <w:rtl/>
          </w:rPr>
          <w:t>חוק העונשין</w:t>
        </w:r>
      </w:hyperlink>
      <w:r>
        <w:rPr>
          <w:rFonts w:hint="cs"/>
          <w:sz w:val="28"/>
          <w:szCs w:val="28"/>
          <w:rtl/>
        </w:rPr>
        <w:t xml:space="preserve">). במקרה זה פועלות הנסיבות הבאות, לקולא: </w:t>
      </w:r>
    </w:p>
    <w:p w14:paraId="318ADCD0" w14:textId="77777777" w:rsidR="006D34E5" w:rsidRDefault="00BF2512">
      <w:pPr>
        <w:spacing w:line="360" w:lineRule="auto"/>
        <w:jc w:val="both"/>
        <w:rPr>
          <w:sz w:val="28"/>
          <w:szCs w:val="28"/>
          <w:rtl/>
        </w:rPr>
      </w:pPr>
      <w:r>
        <w:rPr>
          <w:rFonts w:hint="cs"/>
          <w:sz w:val="28"/>
          <w:szCs w:val="28"/>
          <w:rtl/>
        </w:rPr>
        <w:t xml:space="preserve">הנאשם הוא אדם צעיר, שעל אף נסיבות משפחתיות מורכבות ונסיבות חיים קשות ביותר למד 12 שנים ותיפקד בצורה נורמטיבית, עד שמשבר הקשור לאשתו (ולא אפרטו מחמת צנעת הפרט) דירדר אותו לעזוב את הבית, לגור בבית נטוש ולהשתמש בסמים. נסיבות חייו של הנאשם קשות היו ואני סבור כי היתה להן השפעה על התדרדרותו לביצוע העבירה הקודמת ולביצוע העבירה מושא תיק זה. </w:t>
      </w:r>
    </w:p>
    <w:p w14:paraId="3745EB7C" w14:textId="77777777" w:rsidR="006D34E5" w:rsidRDefault="006D34E5">
      <w:pPr>
        <w:jc w:val="both"/>
        <w:rPr>
          <w:sz w:val="28"/>
          <w:szCs w:val="28"/>
          <w:rtl/>
        </w:rPr>
      </w:pPr>
    </w:p>
    <w:p w14:paraId="1067B84F" w14:textId="77777777" w:rsidR="006D34E5" w:rsidRDefault="00BF2512">
      <w:pPr>
        <w:spacing w:line="360" w:lineRule="auto"/>
        <w:jc w:val="both"/>
        <w:rPr>
          <w:sz w:val="28"/>
          <w:szCs w:val="28"/>
          <w:rtl/>
        </w:rPr>
      </w:pPr>
      <w:r>
        <w:rPr>
          <w:rFonts w:hint="cs"/>
          <w:sz w:val="28"/>
          <w:szCs w:val="28"/>
          <w:rtl/>
        </w:rPr>
        <w:t xml:space="preserve">על כן, ולמרות שהנאשם כבר הורשע בעבר וריצה תקופת מאסר קצרה, אני סבור כי טרם קבע סופית מקומו בתת-תרבות עבריינית, וקיימת עוד תקווה "להצילו", לאחר שירצה עונש מאוזן בגין העבירה שבתיק שבפני.  </w:t>
      </w:r>
    </w:p>
    <w:p w14:paraId="76167461" w14:textId="77777777" w:rsidR="006D34E5" w:rsidRDefault="006D34E5">
      <w:pPr>
        <w:jc w:val="both"/>
        <w:rPr>
          <w:sz w:val="28"/>
          <w:szCs w:val="28"/>
          <w:rtl/>
        </w:rPr>
      </w:pPr>
    </w:p>
    <w:p w14:paraId="567BAA98" w14:textId="77777777" w:rsidR="006D34E5" w:rsidRDefault="00BF2512">
      <w:pPr>
        <w:spacing w:line="360" w:lineRule="auto"/>
        <w:jc w:val="both"/>
        <w:rPr>
          <w:sz w:val="28"/>
          <w:szCs w:val="28"/>
          <w:rtl/>
        </w:rPr>
      </w:pPr>
      <w:r>
        <w:rPr>
          <w:rFonts w:hint="cs"/>
          <w:sz w:val="28"/>
          <w:szCs w:val="28"/>
          <w:rtl/>
        </w:rPr>
        <w:t xml:space="preserve">הנאשם הודה בחקירתו בביצוע העבירה, ובהמשך הודה בשלב מוקדם של המשפט, בטרם נשמעו ראיות. התרשמתי מכנות הודאתו וכנות חרטתו, הן בזמן חקירתו (ס/1) והן מדבריו בפני, וזאת למרות שבפני קצינת המבחן, כפי שקורה לא אחת, ניסה גם הוא "ליָפּות" את מעשיו וטען שלא תקף את המתלוננת, טענה ממנה חזר בפני. </w:t>
      </w:r>
    </w:p>
    <w:p w14:paraId="614C5EB6" w14:textId="77777777" w:rsidR="006D34E5" w:rsidRDefault="00BF2512">
      <w:pPr>
        <w:spacing w:line="360" w:lineRule="auto"/>
        <w:jc w:val="both"/>
        <w:rPr>
          <w:sz w:val="28"/>
          <w:szCs w:val="28"/>
          <w:rtl/>
        </w:rPr>
      </w:pPr>
      <w:r>
        <w:rPr>
          <w:rFonts w:hint="cs"/>
          <w:sz w:val="28"/>
          <w:szCs w:val="28"/>
          <w:rtl/>
        </w:rPr>
        <w:t xml:space="preserve">מבחינה זאת ניתן לומר כי הנאשם שיתף פעולה עם רשויות אכיפת החוק, חסך בזמן שיפוטי ואף חסך, וזהו עיקר, את העדת המתלוננת, דבר שבוודאי לא היה קל עבורה. </w:t>
      </w:r>
    </w:p>
    <w:p w14:paraId="49DA4F9F" w14:textId="77777777" w:rsidR="006D34E5" w:rsidRDefault="006D34E5">
      <w:pPr>
        <w:spacing w:line="360" w:lineRule="auto"/>
        <w:jc w:val="both"/>
        <w:rPr>
          <w:sz w:val="28"/>
          <w:szCs w:val="28"/>
          <w:rtl/>
        </w:rPr>
      </w:pPr>
    </w:p>
    <w:p w14:paraId="572D68FE" w14:textId="77777777" w:rsidR="006D34E5" w:rsidRDefault="00BF2512">
      <w:pPr>
        <w:spacing w:line="360" w:lineRule="auto"/>
        <w:jc w:val="both"/>
        <w:rPr>
          <w:sz w:val="28"/>
          <w:szCs w:val="28"/>
          <w:rtl/>
        </w:rPr>
      </w:pPr>
      <w:r>
        <w:rPr>
          <w:rFonts w:hint="cs"/>
          <w:sz w:val="28"/>
          <w:szCs w:val="28"/>
          <w:rtl/>
        </w:rPr>
        <w:t xml:space="preserve">בהקשר זה ראוי כי ההתחשבות בהודאתו המהירה של נאשם, בימים אלה של עומס שיפוטי כבד, תהא ההתחשבות מהותית ומשמעותית. </w:t>
      </w:r>
    </w:p>
    <w:p w14:paraId="0421B723" w14:textId="77777777" w:rsidR="006D34E5" w:rsidRDefault="006D34E5">
      <w:pPr>
        <w:spacing w:line="360" w:lineRule="auto"/>
        <w:jc w:val="both"/>
        <w:rPr>
          <w:sz w:val="28"/>
          <w:szCs w:val="28"/>
          <w:rtl/>
        </w:rPr>
      </w:pPr>
    </w:p>
    <w:p w14:paraId="1C7B6B8B" w14:textId="77777777" w:rsidR="006D34E5" w:rsidRDefault="00BF2512">
      <w:pPr>
        <w:spacing w:line="360" w:lineRule="auto"/>
        <w:jc w:val="both"/>
        <w:rPr>
          <w:sz w:val="28"/>
          <w:szCs w:val="28"/>
          <w:rtl/>
        </w:rPr>
      </w:pPr>
      <w:r>
        <w:rPr>
          <w:rFonts w:hint="cs"/>
          <w:sz w:val="28"/>
          <w:szCs w:val="28"/>
          <w:rtl/>
        </w:rPr>
        <w:t xml:space="preserve">על אף שהנאשם ריצה מאסר בפועל, הרי שהורשע פעם אחת, בשתי עבירות שבוצעו בארוע אחד, ולא ניתן לומר עליו שזהו עבר פלילי מכביד. </w:t>
      </w:r>
    </w:p>
    <w:p w14:paraId="45D98551" w14:textId="77777777" w:rsidR="006D34E5" w:rsidRDefault="006D34E5">
      <w:pPr>
        <w:spacing w:line="360" w:lineRule="auto"/>
        <w:jc w:val="both"/>
        <w:rPr>
          <w:sz w:val="28"/>
          <w:szCs w:val="28"/>
          <w:rtl/>
        </w:rPr>
      </w:pPr>
    </w:p>
    <w:p w14:paraId="44DC5BC0" w14:textId="77777777" w:rsidR="006D34E5" w:rsidRDefault="00BF2512">
      <w:pPr>
        <w:spacing w:line="360" w:lineRule="auto"/>
        <w:jc w:val="both"/>
        <w:rPr>
          <w:sz w:val="28"/>
          <w:szCs w:val="28"/>
          <w:rtl/>
        </w:rPr>
      </w:pPr>
      <w:r>
        <w:rPr>
          <w:rFonts w:hint="cs"/>
          <w:sz w:val="28"/>
          <w:szCs w:val="28"/>
          <w:rtl/>
        </w:rPr>
        <w:t xml:space="preserve">איני מקבל טענת הסניגור כי ראוי להפעיל את עונש המאסר המותנה באופן חופף. </w:t>
      </w:r>
      <w:hyperlink r:id="rId48" w:history="1">
        <w:r w:rsidR="00DB6223" w:rsidRPr="00DB6223">
          <w:rPr>
            <w:color w:val="0000FF"/>
            <w:sz w:val="28"/>
            <w:szCs w:val="28"/>
            <w:u w:val="single"/>
            <w:rtl/>
          </w:rPr>
          <w:t>סעיף 58</w:t>
        </w:r>
      </w:hyperlink>
      <w:r>
        <w:rPr>
          <w:rFonts w:hint="cs"/>
          <w:sz w:val="28"/>
          <w:szCs w:val="28"/>
          <w:rtl/>
        </w:rPr>
        <w:t xml:space="preserve"> ל</w:t>
      </w:r>
      <w:hyperlink r:id="rId49" w:history="1">
        <w:r w:rsidR="00AF0F10" w:rsidRPr="00AF0F10">
          <w:rPr>
            <w:rStyle w:val="Hyperlink"/>
            <w:sz w:val="28"/>
            <w:szCs w:val="28"/>
            <w:rtl/>
          </w:rPr>
          <w:t>חוק העונשין</w:t>
        </w:r>
      </w:hyperlink>
      <w:r>
        <w:rPr>
          <w:rFonts w:hint="cs"/>
          <w:sz w:val="28"/>
          <w:szCs w:val="28"/>
          <w:rtl/>
        </w:rPr>
        <w:t xml:space="preserve"> קובע כי: </w:t>
      </w:r>
      <w:r>
        <w:rPr>
          <w:rFonts w:cs="Miriam" w:hint="cs"/>
          <w:sz w:val="26"/>
          <w:szCs w:val="26"/>
          <w:rtl/>
        </w:rPr>
        <w:t>"מי שהוטל עליו עונש מאסר בשל עבירה נוספת והופעל נגדו עונש המאסר על תנאי, ישא, על אף האמור בסעיף 45, את שתי תקופות המאסר בזו אחר זו, זולת אם בית המשפט שהרשיעו בשל העבירה הנוספת ציווה, מטעמים שירשמו, ששתי התקופות כולן או מקצתן יהיו חופפות"</w:t>
      </w:r>
      <w:r>
        <w:rPr>
          <w:rFonts w:hint="cs"/>
          <w:sz w:val="28"/>
          <w:szCs w:val="28"/>
          <w:rtl/>
        </w:rPr>
        <w:t xml:space="preserve">. </w:t>
      </w:r>
    </w:p>
    <w:p w14:paraId="54B8C118" w14:textId="77777777" w:rsidR="006D34E5" w:rsidRDefault="00BF2512">
      <w:pPr>
        <w:spacing w:line="360" w:lineRule="auto"/>
        <w:jc w:val="both"/>
        <w:rPr>
          <w:sz w:val="28"/>
          <w:szCs w:val="28"/>
          <w:rtl/>
        </w:rPr>
      </w:pPr>
      <w:r>
        <w:rPr>
          <w:rFonts w:hint="cs"/>
          <w:sz w:val="28"/>
          <w:szCs w:val="28"/>
          <w:rtl/>
        </w:rPr>
        <w:t xml:space="preserve">הנאשם ביצע עבירות חמורות של שוד, גניבה והונאה בכרטיס חיוב ואף החזיק סם "קל" לצריכה עצמית, וזאת רק זמן קצר לאחר שחרורו ממאסר ובכך העיד על עצמו כי אינו ירא מדין ודיין, ואף תסקיר שרות המבחן בעניינו אינו "מרנין", והוא נעדר המלצה טיפולית. במצב זה לא ניתן לומר כי יש "טעם מיוחד" המצדיק סטייה מן הכלל שבחוק לפיו עונש מאסר על תנאי יופעל באופן מצטבר. </w:t>
      </w:r>
    </w:p>
    <w:p w14:paraId="4ED4A895" w14:textId="77777777" w:rsidR="006D34E5" w:rsidRDefault="00BF2512">
      <w:pPr>
        <w:spacing w:line="360" w:lineRule="auto"/>
        <w:jc w:val="both"/>
        <w:rPr>
          <w:sz w:val="28"/>
          <w:szCs w:val="28"/>
          <w:rtl/>
        </w:rPr>
      </w:pPr>
      <w:r>
        <w:rPr>
          <w:rFonts w:hint="cs"/>
          <w:sz w:val="28"/>
          <w:szCs w:val="28"/>
          <w:rtl/>
        </w:rPr>
        <w:t xml:space="preserve">למעשה "בהפעלת" המאסר המותנה מיישם בית המשפט "המפעיל" אותו, את רצונו של השופט בתיק </w:t>
      </w:r>
      <w:r>
        <w:rPr>
          <w:rFonts w:hint="cs"/>
          <w:sz w:val="28"/>
          <w:szCs w:val="28"/>
          <w:u w:val="single"/>
          <w:rtl/>
        </w:rPr>
        <w:t>הקודם</w:t>
      </w:r>
      <w:r>
        <w:rPr>
          <w:rFonts w:hint="cs"/>
          <w:sz w:val="28"/>
          <w:szCs w:val="28"/>
          <w:rtl/>
        </w:rPr>
        <w:t xml:space="preserve">, אשר החליט אמנם על מאסר, אולם בשל שיקולי שיקום קבע כי חלקו יהיה על תנאי. </w:t>
      </w:r>
    </w:p>
    <w:p w14:paraId="4F54476D" w14:textId="77777777" w:rsidR="006D34E5" w:rsidRDefault="006D34E5">
      <w:pPr>
        <w:spacing w:line="360" w:lineRule="auto"/>
        <w:jc w:val="both"/>
        <w:rPr>
          <w:sz w:val="28"/>
          <w:szCs w:val="28"/>
          <w:rtl/>
        </w:rPr>
      </w:pPr>
    </w:p>
    <w:p w14:paraId="6F44FEA1" w14:textId="77777777" w:rsidR="006D34E5" w:rsidRDefault="00BF2512">
      <w:pPr>
        <w:spacing w:line="360" w:lineRule="auto"/>
        <w:jc w:val="both"/>
        <w:rPr>
          <w:sz w:val="28"/>
          <w:szCs w:val="28"/>
          <w:rtl/>
        </w:rPr>
      </w:pPr>
      <w:r>
        <w:rPr>
          <w:rFonts w:hint="cs"/>
          <w:sz w:val="28"/>
          <w:szCs w:val="28"/>
          <w:rtl/>
        </w:rPr>
        <w:t xml:space="preserve">אני סבור כי השתת עונש </w:t>
      </w:r>
      <w:r>
        <w:rPr>
          <w:rFonts w:hint="cs"/>
          <w:b/>
          <w:bCs/>
          <w:sz w:val="28"/>
          <w:szCs w:val="28"/>
          <w:rtl/>
        </w:rPr>
        <w:t>"המציב גבולות ברורים"</w:t>
      </w:r>
      <w:r>
        <w:rPr>
          <w:rFonts w:hint="cs"/>
          <w:sz w:val="28"/>
          <w:szCs w:val="28"/>
          <w:rtl/>
        </w:rPr>
        <w:t xml:space="preserve"> על הנאשם, כהמלצת ק. המבחן, המתחשב בכל הנסיבות של ביצוע העבירה ונסיבותיו האישיות, יש בו סיכוי של ממש כי ירתיע אותו מלבצע עבירות נוספות. </w:t>
      </w:r>
    </w:p>
    <w:p w14:paraId="44E9651E" w14:textId="77777777" w:rsidR="006D34E5" w:rsidRDefault="00BF2512">
      <w:pPr>
        <w:spacing w:line="360" w:lineRule="auto"/>
        <w:jc w:val="both"/>
        <w:rPr>
          <w:sz w:val="28"/>
          <w:szCs w:val="28"/>
          <w:rtl/>
        </w:rPr>
      </w:pPr>
      <w:r>
        <w:rPr>
          <w:rFonts w:hint="cs"/>
          <w:sz w:val="28"/>
          <w:szCs w:val="28"/>
          <w:rtl/>
        </w:rPr>
        <w:t xml:space="preserve">מצד שני, מקובלים עלי דברי ב"כ המאשימה לפיהם שוד קשישים, חלשים וחסרי ישע, לאור יום, הגיע כמעט לרמה של "מכת מדינה" ואני סבור כי החמרה בעונשו של נאשם זה יש בה "סיכוי של ממש" שתביא להרתעת הרבים. </w:t>
      </w:r>
    </w:p>
    <w:p w14:paraId="48D908D7" w14:textId="77777777" w:rsidR="006D34E5" w:rsidRDefault="00BF2512">
      <w:pPr>
        <w:spacing w:line="360" w:lineRule="auto"/>
        <w:jc w:val="both"/>
        <w:rPr>
          <w:sz w:val="28"/>
          <w:szCs w:val="28"/>
          <w:rtl/>
        </w:rPr>
      </w:pPr>
      <w:r>
        <w:rPr>
          <w:rFonts w:hint="cs"/>
          <w:sz w:val="28"/>
          <w:szCs w:val="28"/>
          <w:rtl/>
        </w:rPr>
        <w:t xml:space="preserve">יחד עם זאת, מובן ששיקולי הרתעת היחיד והרבים יישקלו על ידי </w:t>
      </w:r>
      <w:r>
        <w:rPr>
          <w:rFonts w:hint="cs"/>
          <w:sz w:val="28"/>
          <w:szCs w:val="28"/>
          <w:u w:val="single"/>
          <w:rtl/>
        </w:rPr>
        <w:t>בתוך מתחם העונש ההולם</w:t>
      </w:r>
      <w:r>
        <w:rPr>
          <w:rFonts w:hint="cs"/>
          <w:sz w:val="28"/>
          <w:szCs w:val="28"/>
          <w:rtl/>
        </w:rPr>
        <w:t xml:space="preserve"> לצורך קביעת "העונש המתאים". </w:t>
      </w:r>
    </w:p>
    <w:p w14:paraId="4934EAE2" w14:textId="77777777" w:rsidR="006D34E5" w:rsidRDefault="006D34E5">
      <w:pPr>
        <w:jc w:val="both"/>
        <w:rPr>
          <w:sz w:val="28"/>
          <w:szCs w:val="28"/>
          <w:rtl/>
        </w:rPr>
      </w:pPr>
    </w:p>
    <w:p w14:paraId="0E23C495" w14:textId="77777777" w:rsidR="006D34E5" w:rsidRDefault="00BF2512">
      <w:pPr>
        <w:spacing w:line="360" w:lineRule="auto"/>
        <w:jc w:val="both"/>
        <w:rPr>
          <w:sz w:val="28"/>
          <w:szCs w:val="28"/>
          <w:rtl/>
        </w:rPr>
      </w:pPr>
      <w:r>
        <w:rPr>
          <w:rFonts w:hint="cs"/>
          <w:sz w:val="28"/>
          <w:szCs w:val="28"/>
          <w:rtl/>
        </w:rPr>
        <w:t>לאור האמור לעיל, ותוך התחשבות במתחם העונש ההולם שנקבע ב</w:t>
      </w:r>
      <w:r>
        <w:rPr>
          <w:rFonts w:hint="cs"/>
          <w:b/>
          <w:bCs/>
          <w:sz w:val="28"/>
          <w:szCs w:val="28"/>
          <w:rtl/>
        </w:rPr>
        <w:t>עניין אדריס</w:t>
      </w:r>
      <w:r>
        <w:rPr>
          <w:rFonts w:hint="cs"/>
          <w:sz w:val="28"/>
          <w:szCs w:val="28"/>
          <w:rtl/>
        </w:rPr>
        <w:t>, וגם בכך שנסיבות העבירה בענייננו חמורות יותר, אני גוזר על הנאשם את העונשים הבאים:</w:t>
      </w:r>
    </w:p>
    <w:p w14:paraId="0D3951DD" w14:textId="77777777" w:rsidR="006D34E5" w:rsidRDefault="006D34E5">
      <w:pPr>
        <w:jc w:val="both"/>
        <w:rPr>
          <w:sz w:val="28"/>
          <w:szCs w:val="28"/>
          <w:rtl/>
        </w:rPr>
      </w:pPr>
    </w:p>
    <w:p w14:paraId="6B063491" w14:textId="77777777" w:rsidR="006D34E5" w:rsidRDefault="00BF2512">
      <w:pPr>
        <w:spacing w:line="360" w:lineRule="auto"/>
        <w:ind w:left="720" w:hanging="720"/>
        <w:jc w:val="both"/>
        <w:rPr>
          <w:sz w:val="28"/>
          <w:szCs w:val="28"/>
          <w:rtl/>
        </w:rPr>
      </w:pPr>
      <w:r>
        <w:rPr>
          <w:rFonts w:hint="cs"/>
          <w:sz w:val="28"/>
          <w:szCs w:val="28"/>
          <w:rtl/>
        </w:rPr>
        <w:t>1.</w:t>
      </w:r>
      <w:r>
        <w:rPr>
          <w:rFonts w:hint="cs"/>
          <w:sz w:val="28"/>
          <w:szCs w:val="28"/>
          <w:rtl/>
        </w:rPr>
        <w:tab/>
        <w:t>א.</w:t>
      </w:r>
      <w:r>
        <w:rPr>
          <w:rFonts w:hint="cs"/>
          <w:sz w:val="28"/>
          <w:szCs w:val="28"/>
          <w:rtl/>
        </w:rPr>
        <w:tab/>
        <w:t xml:space="preserve">שנתיים מאסר בפועל. </w:t>
      </w:r>
    </w:p>
    <w:p w14:paraId="681BA219" w14:textId="77777777" w:rsidR="006D34E5" w:rsidRDefault="00BF2512">
      <w:pPr>
        <w:spacing w:line="360" w:lineRule="auto"/>
        <w:ind w:left="1440" w:hanging="720"/>
        <w:jc w:val="both"/>
        <w:rPr>
          <w:sz w:val="28"/>
          <w:szCs w:val="28"/>
          <w:rtl/>
        </w:rPr>
      </w:pPr>
      <w:r>
        <w:rPr>
          <w:rFonts w:hint="cs"/>
          <w:sz w:val="28"/>
          <w:szCs w:val="28"/>
          <w:rtl/>
        </w:rPr>
        <w:t>ב.</w:t>
      </w:r>
      <w:r>
        <w:rPr>
          <w:rFonts w:hint="cs"/>
          <w:sz w:val="28"/>
          <w:szCs w:val="28"/>
          <w:rtl/>
        </w:rPr>
        <w:tab/>
        <w:t>אני מפעיל את עונש המאסר המותנה בן 6 חודשים, שנגזר על הנאשם ב</w:t>
      </w:r>
      <w:hyperlink r:id="rId50" w:history="1">
        <w:r w:rsidR="00AF0F10" w:rsidRPr="00AF0F10">
          <w:rPr>
            <w:rStyle w:val="Hyperlink"/>
            <w:sz w:val="28"/>
            <w:szCs w:val="28"/>
            <w:rtl/>
          </w:rPr>
          <w:t>ת"פ 10077-07-12</w:t>
        </w:r>
      </w:hyperlink>
      <w:r>
        <w:rPr>
          <w:rFonts w:hint="cs"/>
          <w:sz w:val="28"/>
          <w:szCs w:val="28"/>
          <w:rtl/>
        </w:rPr>
        <w:t xml:space="preserve">, של בית משפט השלום בחיפה, באופן מצטבר לעונש המאסר שנגזר על הנאשם בתיק שבפני. </w:t>
      </w:r>
    </w:p>
    <w:p w14:paraId="07268A01" w14:textId="77777777" w:rsidR="006D34E5" w:rsidRDefault="00BF2512">
      <w:pPr>
        <w:spacing w:line="360" w:lineRule="auto"/>
        <w:ind w:left="720"/>
        <w:jc w:val="both"/>
        <w:rPr>
          <w:sz w:val="28"/>
          <w:szCs w:val="28"/>
          <w:rtl/>
        </w:rPr>
      </w:pPr>
      <w:r>
        <w:rPr>
          <w:rFonts w:hint="cs"/>
          <w:b/>
          <w:bCs/>
          <w:sz w:val="28"/>
          <w:szCs w:val="28"/>
          <w:rtl/>
        </w:rPr>
        <w:t xml:space="preserve">סך הכל על הנאשם לרצות </w:t>
      </w:r>
      <w:r>
        <w:rPr>
          <w:rFonts w:hint="cs"/>
          <w:b/>
          <w:bCs/>
          <w:sz w:val="28"/>
          <w:szCs w:val="28"/>
          <w:u w:val="single"/>
          <w:rtl/>
        </w:rPr>
        <w:t>שנתיים וחצי מאסר בפועל</w:t>
      </w:r>
      <w:r>
        <w:rPr>
          <w:rFonts w:hint="cs"/>
          <w:b/>
          <w:bCs/>
          <w:sz w:val="28"/>
          <w:szCs w:val="28"/>
          <w:rtl/>
        </w:rPr>
        <w:t>. מתקופה זו יש לנכות את תקופת מעצרו של הנאשם, מיום 6.4.13 ועד היום</w:t>
      </w:r>
      <w:r>
        <w:rPr>
          <w:rFonts w:hint="cs"/>
          <w:sz w:val="28"/>
          <w:szCs w:val="28"/>
          <w:rtl/>
        </w:rPr>
        <w:t xml:space="preserve">.  </w:t>
      </w:r>
    </w:p>
    <w:p w14:paraId="6C88F192" w14:textId="77777777" w:rsidR="006D34E5" w:rsidRDefault="006D34E5">
      <w:pPr>
        <w:ind w:left="1440" w:hanging="720"/>
        <w:jc w:val="both"/>
        <w:rPr>
          <w:sz w:val="28"/>
          <w:szCs w:val="28"/>
          <w:rtl/>
        </w:rPr>
      </w:pPr>
    </w:p>
    <w:p w14:paraId="5CA86A7E" w14:textId="77777777" w:rsidR="006D34E5" w:rsidRDefault="00BF2512">
      <w:pPr>
        <w:spacing w:line="360" w:lineRule="auto"/>
        <w:ind w:left="720" w:hanging="720"/>
        <w:jc w:val="both"/>
        <w:rPr>
          <w:sz w:val="28"/>
          <w:szCs w:val="28"/>
          <w:rtl/>
        </w:rPr>
      </w:pPr>
      <w:r>
        <w:rPr>
          <w:rFonts w:hint="cs"/>
          <w:sz w:val="28"/>
          <w:szCs w:val="28"/>
          <w:rtl/>
        </w:rPr>
        <w:t>2.</w:t>
      </w:r>
      <w:r>
        <w:rPr>
          <w:rFonts w:hint="cs"/>
          <w:sz w:val="28"/>
          <w:szCs w:val="28"/>
          <w:rtl/>
        </w:rPr>
        <w:tab/>
        <w:t xml:space="preserve">18 חודשי מאסר על תנאי, לבל יבצע הנאשם במשך שנתיים כל עבירת אלימות או רכוש מסוג פשע. </w:t>
      </w:r>
    </w:p>
    <w:p w14:paraId="440A58BD" w14:textId="77777777" w:rsidR="006D34E5" w:rsidRDefault="006D34E5">
      <w:pPr>
        <w:ind w:left="720" w:hanging="720"/>
        <w:jc w:val="both"/>
        <w:rPr>
          <w:sz w:val="28"/>
          <w:szCs w:val="28"/>
          <w:rtl/>
        </w:rPr>
      </w:pPr>
    </w:p>
    <w:p w14:paraId="5BFB12E4" w14:textId="77777777" w:rsidR="006D34E5" w:rsidRDefault="00BF2512">
      <w:pPr>
        <w:spacing w:line="360" w:lineRule="auto"/>
        <w:ind w:left="720" w:hanging="720"/>
        <w:jc w:val="both"/>
        <w:rPr>
          <w:sz w:val="28"/>
          <w:szCs w:val="28"/>
          <w:rtl/>
        </w:rPr>
      </w:pPr>
      <w:r>
        <w:rPr>
          <w:rFonts w:hint="cs"/>
          <w:sz w:val="28"/>
          <w:szCs w:val="28"/>
          <w:rtl/>
        </w:rPr>
        <w:t>3.</w:t>
      </w:r>
      <w:r>
        <w:rPr>
          <w:rFonts w:hint="cs"/>
          <w:sz w:val="28"/>
          <w:szCs w:val="28"/>
          <w:rtl/>
        </w:rPr>
        <w:tab/>
        <w:t xml:space="preserve">9 חודשי מאסר על תנאי, לבל יבצע הנאשם במשך שנתיים כל עבירת אלימות או רכוש מסוג עוון או עבירות של גניבה או הונאה בכרטיסי חיוב לפי </w:t>
      </w:r>
      <w:hyperlink r:id="rId51" w:history="1">
        <w:r w:rsidR="00DB6223" w:rsidRPr="00DB6223">
          <w:rPr>
            <w:color w:val="0000FF"/>
            <w:sz w:val="28"/>
            <w:szCs w:val="28"/>
            <w:u w:val="single"/>
            <w:rtl/>
          </w:rPr>
          <w:t>סעיפים 16</w:t>
        </w:r>
      </w:hyperlink>
      <w:r>
        <w:rPr>
          <w:rFonts w:hint="cs"/>
          <w:sz w:val="28"/>
          <w:szCs w:val="28"/>
          <w:rtl/>
        </w:rPr>
        <w:t xml:space="preserve"> ו- </w:t>
      </w:r>
      <w:hyperlink r:id="rId52" w:history="1">
        <w:r w:rsidR="00DB6223" w:rsidRPr="00DB6223">
          <w:rPr>
            <w:rStyle w:val="Hyperlink"/>
            <w:sz w:val="28"/>
            <w:szCs w:val="28"/>
            <w:rtl/>
          </w:rPr>
          <w:t>17</w:t>
        </w:r>
      </w:hyperlink>
      <w:r>
        <w:rPr>
          <w:rFonts w:hint="cs"/>
          <w:sz w:val="28"/>
          <w:szCs w:val="28"/>
          <w:rtl/>
        </w:rPr>
        <w:t xml:space="preserve"> ל</w:t>
      </w:r>
      <w:hyperlink r:id="rId53" w:history="1">
        <w:r w:rsidR="00AF0F10" w:rsidRPr="00AF0F10">
          <w:rPr>
            <w:rStyle w:val="Hyperlink"/>
            <w:sz w:val="28"/>
            <w:szCs w:val="28"/>
            <w:rtl/>
          </w:rPr>
          <w:t>חוק כרטיסי חיוב</w:t>
        </w:r>
      </w:hyperlink>
      <w:r>
        <w:rPr>
          <w:rFonts w:hint="cs"/>
          <w:sz w:val="28"/>
          <w:szCs w:val="28"/>
          <w:rtl/>
        </w:rPr>
        <w:t xml:space="preserve">.                            </w:t>
      </w:r>
    </w:p>
    <w:p w14:paraId="4A109290" w14:textId="77777777" w:rsidR="006D34E5" w:rsidRDefault="006D34E5">
      <w:pPr>
        <w:ind w:left="720" w:hanging="720"/>
        <w:jc w:val="both"/>
        <w:rPr>
          <w:sz w:val="28"/>
          <w:szCs w:val="28"/>
          <w:rtl/>
        </w:rPr>
      </w:pPr>
    </w:p>
    <w:p w14:paraId="78D38111" w14:textId="77777777" w:rsidR="006D34E5" w:rsidRDefault="00BF2512">
      <w:pPr>
        <w:spacing w:line="360" w:lineRule="auto"/>
        <w:jc w:val="both"/>
        <w:rPr>
          <w:sz w:val="28"/>
          <w:szCs w:val="28"/>
          <w:rtl/>
        </w:rPr>
      </w:pPr>
      <w:r>
        <w:rPr>
          <w:rFonts w:hint="cs"/>
          <w:sz w:val="28"/>
          <w:szCs w:val="28"/>
          <w:rtl/>
        </w:rPr>
        <w:t xml:space="preserve">הואיל והנאשם הורשע בעבירה של החזקת סם הנחשב סם "קל" באופן יחסי לסמים אחרים, בכמות מועטה, ולצריכה עצמית ועל מנת לחזק את רצונו בגמילה מסמים, החלטתי שלא לגזור עליו עונש מאסר על תנאי בגין עבירות סמים. </w:t>
      </w:r>
    </w:p>
    <w:p w14:paraId="650B5273" w14:textId="77777777" w:rsidR="006D34E5" w:rsidRDefault="006D34E5">
      <w:pPr>
        <w:spacing w:line="360" w:lineRule="auto"/>
        <w:jc w:val="both"/>
        <w:rPr>
          <w:sz w:val="28"/>
          <w:szCs w:val="28"/>
          <w:rtl/>
        </w:rPr>
      </w:pPr>
    </w:p>
    <w:p w14:paraId="7E66E78E" w14:textId="77777777" w:rsidR="006D34E5" w:rsidRDefault="00BF2512">
      <w:pPr>
        <w:spacing w:line="360" w:lineRule="auto"/>
        <w:jc w:val="both"/>
        <w:rPr>
          <w:sz w:val="28"/>
          <w:szCs w:val="28"/>
          <w:rtl/>
        </w:rPr>
      </w:pPr>
      <w:r>
        <w:rPr>
          <w:rFonts w:hint="cs"/>
          <w:sz w:val="28"/>
          <w:szCs w:val="28"/>
          <w:rtl/>
        </w:rPr>
        <w:t xml:space="preserve">תוך התחשבות במצבו הסוציו-אקונומי של הנאשם ותקופת המאסר שהושתה עליו, אני מחייב אותו לשלם למתלוננת פיצוי בסך של 5,000 ₪, וזאת על-ידי הפקדת סכום זה בקופת בית המשפט עד ליום 9.2.2014. ב"כ המאשימה יעביר למזכירות את פרטי החשבון של המתלוננת אליו ניתן להעביר את כספי הפיצויים. </w:t>
      </w:r>
    </w:p>
    <w:p w14:paraId="4CCE345C" w14:textId="77777777" w:rsidR="006D34E5" w:rsidRDefault="006D34E5">
      <w:pPr>
        <w:spacing w:line="360" w:lineRule="auto"/>
        <w:jc w:val="both"/>
        <w:rPr>
          <w:sz w:val="28"/>
          <w:szCs w:val="28"/>
          <w:rtl/>
        </w:rPr>
      </w:pPr>
    </w:p>
    <w:p w14:paraId="1DBB9E57" w14:textId="77777777" w:rsidR="006D34E5" w:rsidRDefault="00BF2512">
      <w:pPr>
        <w:spacing w:line="360" w:lineRule="auto"/>
        <w:jc w:val="both"/>
        <w:rPr>
          <w:b/>
          <w:bCs/>
          <w:sz w:val="28"/>
          <w:szCs w:val="28"/>
          <w:rtl/>
        </w:rPr>
      </w:pPr>
      <w:r>
        <w:rPr>
          <w:rFonts w:hint="cs"/>
          <w:b/>
          <w:bCs/>
          <w:sz w:val="28"/>
          <w:szCs w:val="28"/>
          <w:rtl/>
        </w:rPr>
        <w:t xml:space="preserve">בשל המלצת שרות המבחן ובקשת הנאשם, אני ממליץ בפני שלטונות שב"ס לשלב את הנאשם בטיפול גמילה מסמים, על-פי נוהלי שב"ס ובמידה והנאשם יחפוץ בכך. </w:t>
      </w:r>
    </w:p>
    <w:p w14:paraId="41B63F2E" w14:textId="77777777" w:rsidR="006D34E5" w:rsidRDefault="006D34E5">
      <w:pPr>
        <w:spacing w:line="360" w:lineRule="auto"/>
        <w:jc w:val="both"/>
        <w:rPr>
          <w:b/>
          <w:bCs/>
          <w:sz w:val="28"/>
          <w:szCs w:val="28"/>
          <w:rtl/>
        </w:rPr>
      </w:pPr>
    </w:p>
    <w:p w14:paraId="07A29DCF" w14:textId="77777777" w:rsidR="006D34E5" w:rsidRDefault="00BF2512">
      <w:pPr>
        <w:spacing w:line="360" w:lineRule="auto"/>
        <w:jc w:val="both"/>
        <w:rPr>
          <w:b/>
          <w:bCs/>
          <w:sz w:val="28"/>
          <w:szCs w:val="28"/>
          <w:rtl/>
        </w:rPr>
      </w:pPr>
      <w:r>
        <w:rPr>
          <w:rFonts w:hint="cs"/>
          <w:b/>
          <w:bCs/>
          <w:sz w:val="28"/>
          <w:szCs w:val="28"/>
          <w:u w:val="single"/>
          <w:rtl/>
        </w:rPr>
        <w:t>המזכירות</w:t>
      </w:r>
      <w:r>
        <w:rPr>
          <w:rFonts w:hint="cs"/>
          <w:b/>
          <w:bCs/>
          <w:sz w:val="28"/>
          <w:szCs w:val="28"/>
          <w:rtl/>
        </w:rPr>
        <w:t xml:space="preserve"> תשלח העתק מתסקיר שרות המבחן לשב"ס והעתק גזר הדין לשרות המבחן. </w:t>
      </w:r>
    </w:p>
    <w:p w14:paraId="048CB65D" w14:textId="77777777" w:rsidR="006D34E5" w:rsidRDefault="006D34E5">
      <w:pPr>
        <w:spacing w:line="360" w:lineRule="auto"/>
        <w:jc w:val="both"/>
        <w:rPr>
          <w:rtl/>
        </w:rPr>
      </w:pPr>
    </w:p>
    <w:p w14:paraId="253CCF0D" w14:textId="77777777" w:rsidR="006D34E5" w:rsidRDefault="006D34E5">
      <w:pPr>
        <w:rPr>
          <w:rtl/>
        </w:rPr>
      </w:pPr>
    </w:p>
    <w:p w14:paraId="28DFE138" w14:textId="77777777" w:rsidR="006D34E5" w:rsidRDefault="006D34E5">
      <w:pPr>
        <w:rPr>
          <w:rtl/>
        </w:rPr>
      </w:pPr>
    </w:p>
    <w:p w14:paraId="2FCFDD5D" w14:textId="77777777" w:rsidR="006D34E5" w:rsidRDefault="006D34E5">
      <w:pPr>
        <w:rPr>
          <w:rtl/>
        </w:rPr>
      </w:pPr>
    </w:p>
    <w:p w14:paraId="546BFF38" w14:textId="77777777" w:rsidR="006D34E5" w:rsidRDefault="00BF2512">
      <w:pPr>
        <w:jc w:val="center"/>
        <w:rPr>
          <w:rtl/>
        </w:rPr>
      </w:pPr>
      <w:r>
        <w:rPr>
          <w:rFonts w:ascii="Arial" w:hAnsi="Arial"/>
          <w:sz w:val="28"/>
          <w:szCs w:val="28"/>
          <w:rtl/>
        </w:rPr>
        <w:t xml:space="preserve">ניתן היום,  ג' חשון תשע"ד, 07 אוקטובר 2013, במעמד הנאשם וב"כ הצדדים.  </w:t>
      </w:r>
    </w:p>
    <w:p w14:paraId="4E2AD74B" w14:textId="77777777" w:rsidR="006D34E5" w:rsidRDefault="006D34E5">
      <w:pPr>
        <w:jc w:val="center"/>
        <w:rPr>
          <w:rtl/>
        </w:rPr>
      </w:pPr>
    </w:p>
    <w:p w14:paraId="5C922AD1" w14:textId="77777777" w:rsidR="006D34E5" w:rsidRDefault="00BF2512">
      <w:pPr>
        <w:jc w:val="center"/>
        <w:rPr>
          <w:rFonts w:ascii="Arial" w:hAnsi="Arial" w:cs="FrankRuehl"/>
          <w:sz w:val="28"/>
          <w:szCs w:val="28"/>
          <w:rtl/>
        </w:rPr>
      </w:pPr>
      <w:r>
        <w:rPr>
          <w:rFonts w:hint="cs"/>
          <w:rtl/>
        </w:rPr>
        <w:t xml:space="preserve">  </w:t>
      </w:r>
      <w:r>
        <w:rPr>
          <w:rFonts w:hint="cs"/>
          <w:rtl/>
        </w:rPr>
        <w:tab/>
      </w:r>
      <w:r>
        <w:rPr>
          <w:rFonts w:hint="cs"/>
          <w:rtl/>
        </w:rPr>
        <w:tab/>
      </w:r>
    </w:p>
    <w:p w14:paraId="6E817435" w14:textId="77777777" w:rsidR="006D34E5" w:rsidRDefault="006D34E5"/>
    <w:tbl>
      <w:tblPr>
        <w:bidiVisual/>
        <w:tblW w:w="0" w:type="auto"/>
        <w:tblLook w:val="01E0" w:firstRow="1" w:lastRow="1" w:firstColumn="1" w:lastColumn="1" w:noHBand="0" w:noVBand="0"/>
      </w:tblPr>
      <w:tblGrid>
        <w:gridCol w:w="2616"/>
        <w:gridCol w:w="343"/>
        <w:gridCol w:w="2466"/>
        <w:gridCol w:w="331"/>
        <w:gridCol w:w="2766"/>
      </w:tblGrid>
      <w:tr w:rsidR="006D34E5" w14:paraId="210547C4" w14:textId="77777777">
        <w:tc>
          <w:tcPr>
            <w:tcW w:w="2616" w:type="dxa"/>
            <w:tcBorders>
              <w:top w:val="nil"/>
              <w:left w:val="nil"/>
              <w:right w:val="nil"/>
            </w:tcBorders>
            <w:vAlign w:val="center"/>
          </w:tcPr>
          <w:p w14:paraId="7753FEC0" w14:textId="77777777" w:rsidR="006D34E5" w:rsidRDefault="006D34E5">
            <w:pPr>
              <w:jc w:val="center"/>
              <w:rPr>
                <w:rFonts w:ascii="Courier New" w:hAnsi="Courier New"/>
                <w:b/>
                <w:bCs/>
              </w:rPr>
            </w:pPr>
          </w:p>
        </w:tc>
        <w:tc>
          <w:tcPr>
            <w:tcW w:w="343" w:type="dxa"/>
            <w:vAlign w:val="center"/>
          </w:tcPr>
          <w:p w14:paraId="6C61025C" w14:textId="77777777" w:rsidR="006D34E5" w:rsidRDefault="006D34E5">
            <w:pPr>
              <w:jc w:val="center"/>
              <w:rPr>
                <w:rFonts w:ascii="Courier New" w:hAnsi="Courier New"/>
                <w:b/>
                <w:bCs/>
              </w:rPr>
            </w:pPr>
          </w:p>
        </w:tc>
        <w:tc>
          <w:tcPr>
            <w:tcW w:w="2466" w:type="dxa"/>
            <w:tcBorders>
              <w:top w:val="nil"/>
              <w:left w:val="nil"/>
              <w:right w:val="nil"/>
            </w:tcBorders>
            <w:vAlign w:val="center"/>
          </w:tcPr>
          <w:p w14:paraId="60A471F0" w14:textId="77777777" w:rsidR="006D34E5" w:rsidRDefault="006D34E5">
            <w:pPr>
              <w:jc w:val="center"/>
              <w:rPr>
                <w:rFonts w:ascii="Courier New" w:hAnsi="Courier New"/>
                <w:b/>
                <w:bCs/>
              </w:rPr>
            </w:pPr>
          </w:p>
        </w:tc>
        <w:tc>
          <w:tcPr>
            <w:tcW w:w="331" w:type="dxa"/>
            <w:vAlign w:val="center"/>
          </w:tcPr>
          <w:p w14:paraId="1FB40165" w14:textId="77777777" w:rsidR="006D34E5" w:rsidRDefault="006D34E5">
            <w:pPr>
              <w:jc w:val="center"/>
              <w:rPr>
                <w:rFonts w:ascii="Courier New" w:hAnsi="Courier New"/>
                <w:b/>
                <w:bCs/>
              </w:rPr>
            </w:pPr>
          </w:p>
        </w:tc>
        <w:tc>
          <w:tcPr>
            <w:tcW w:w="2766" w:type="dxa"/>
            <w:tcBorders>
              <w:top w:val="nil"/>
              <w:left w:val="nil"/>
              <w:bottom w:val="single" w:sz="4" w:space="0" w:color="auto"/>
              <w:right w:val="nil"/>
            </w:tcBorders>
            <w:vAlign w:val="center"/>
          </w:tcPr>
          <w:p w14:paraId="57A6472C" w14:textId="77777777" w:rsidR="006D34E5" w:rsidRDefault="006D34E5">
            <w:pPr>
              <w:jc w:val="center"/>
              <w:rPr>
                <w:rFonts w:ascii="Courier New" w:hAnsi="Courier New"/>
                <w:b/>
                <w:bCs/>
              </w:rPr>
            </w:pPr>
          </w:p>
        </w:tc>
      </w:tr>
      <w:tr w:rsidR="006D34E5" w14:paraId="1638DF46" w14:textId="77777777">
        <w:tc>
          <w:tcPr>
            <w:tcW w:w="2616" w:type="dxa"/>
            <w:tcBorders>
              <w:left w:val="nil"/>
              <w:bottom w:val="nil"/>
              <w:right w:val="nil"/>
            </w:tcBorders>
          </w:tcPr>
          <w:p w14:paraId="629EE971" w14:textId="77777777" w:rsidR="006D34E5" w:rsidRDefault="006D34E5">
            <w:pPr>
              <w:spacing w:line="360" w:lineRule="auto"/>
              <w:jc w:val="center"/>
              <w:rPr>
                <w:b/>
                <w:bCs/>
                <w:noProof/>
              </w:rPr>
            </w:pPr>
          </w:p>
        </w:tc>
        <w:tc>
          <w:tcPr>
            <w:tcW w:w="343" w:type="dxa"/>
          </w:tcPr>
          <w:p w14:paraId="056E7995" w14:textId="77777777" w:rsidR="006D34E5" w:rsidRDefault="006D34E5">
            <w:pPr>
              <w:spacing w:line="360" w:lineRule="auto"/>
              <w:jc w:val="both"/>
              <w:rPr>
                <w:b/>
                <w:bCs/>
                <w:noProof/>
              </w:rPr>
            </w:pPr>
          </w:p>
        </w:tc>
        <w:tc>
          <w:tcPr>
            <w:tcW w:w="2466" w:type="dxa"/>
            <w:tcBorders>
              <w:left w:val="nil"/>
              <w:bottom w:val="nil"/>
              <w:right w:val="nil"/>
            </w:tcBorders>
          </w:tcPr>
          <w:p w14:paraId="7A3B0152" w14:textId="77777777" w:rsidR="006D34E5" w:rsidRDefault="006D34E5">
            <w:pPr>
              <w:spacing w:line="360" w:lineRule="auto"/>
              <w:jc w:val="center"/>
              <w:rPr>
                <w:b/>
                <w:bCs/>
                <w:noProof/>
              </w:rPr>
            </w:pPr>
          </w:p>
        </w:tc>
        <w:tc>
          <w:tcPr>
            <w:tcW w:w="331" w:type="dxa"/>
          </w:tcPr>
          <w:p w14:paraId="44AEAFD5" w14:textId="77777777" w:rsidR="006D34E5" w:rsidRDefault="006D34E5">
            <w:pPr>
              <w:spacing w:line="360" w:lineRule="auto"/>
              <w:jc w:val="both"/>
              <w:rPr>
                <w:b/>
                <w:bCs/>
                <w:noProof/>
              </w:rPr>
            </w:pPr>
          </w:p>
        </w:tc>
        <w:tc>
          <w:tcPr>
            <w:tcW w:w="2766" w:type="dxa"/>
            <w:tcBorders>
              <w:top w:val="single" w:sz="4" w:space="0" w:color="auto"/>
              <w:left w:val="nil"/>
              <w:bottom w:val="nil"/>
              <w:right w:val="nil"/>
            </w:tcBorders>
          </w:tcPr>
          <w:p w14:paraId="7C9C60C2" w14:textId="77777777" w:rsidR="006D34E5" w:rsidRDefault="00BF2512">
            <w:pPr>
              <w:spacing w:line="360" w:lineRule="auto"/>
              <w:jc w:val="center"/>
              <w:rPr>
                <w:b/>
                <w:bCs/>
                <w:noProof/>
                <w:sz w:val="28"/>
                <w:szCs w:val="28"/>
              </w:rPr>
            </w:pPr>
            <w:r>
              <w:rPr>
                <w:rFonts w:hint="cs"/>
                <w:b/>
                <w:bCs/>
                <w:sz w:val="28"/>
                <w:szCs w:val="28"/>
                <w:rtl/>
              </w:rPr>
              <w:t xml:space="preserve">מ. גלעד, שופט </w:t>
            </w:r>
          </w:p>
        </w:tc>
      </w:tr>
    </w:tbl>
    <w:p w14:paraId="1EDA5061" w14:textId="77777777" w:rsidR="006D34E5" w:rsidRDefault="006D34E5">
      <w:pPr>
        <w:rPr>
          <w:rtl/>
        </w:rPr>
      </w:pPr>
    </w:p>
    <w:p w14:paraId="384A6BCF" w14:textId="77777777" w:rsidR="006D34E5" w:rsidRDefault="006D34E5">
      <w:pPr>
        <w:pStyle w:val="a3"/>
        <w:rPr>
          <w:sz w:val="16"/>
          <w:szCs w:val="16"/>
          <w:rtl/>
        </w:rPr>
      </w:pPr>
    </w:p>
    <w:p w14:paraId="1A16C47C" w14:textId="77777777" w:rsidR="006D34E5" w:rsidRPr="00BF2512" w:rsidRDefault="00BF2512">
      <w:pPr>
        <w:pStyle w:val="a3"/>
        <w:rPr>
          <w:color w:val="FFFFFF"/>
          <w:sz w:val="2"/>
          <w:szCs w:val="2"/>
          <w:rtl/>
        </w:rPr>
      </w:pPr>
      <w:r w:rsidRPr="00BF2512">
        <w:rPr>
          <w:color w:val="FFFFFF"/>
          <w:sz w:val="2"/>
          <w:szCs w:val="2"/>
          <w:rtl/>
        </w:rPr>
        <w:t>5129371</w:t>
      </w:r>
    </w:p>
    <w:p w14:paraId="767C8C2E" w14:textId="77777777" w:rsidR="006D34E5" w:rsidRPr="00BF2512" w:rsidRDefault="00BF2512">
      <w:pPr>
        <w:pStyle w:val="a3"/>
        <w:rPr>
          <w:color w:val="FFFFFF"/>
          <w:sz w:val="2"/>
          <w:szCs w:val="2"/>
          <w:rtl/>
        </w:rPr>
      </w:pPr>
      <w:r w:rsidRPr="00BF2512">
        <w:rPr>
          <w:color w:val="FFFFFF"/>
          <w:sz w:val="2"/>
          <w:szCs w:val="2"/>
          <w:rtl/>
        </w:rPr>
        <w:t>54678313</w:t>
      </w:r>
    </w:p>
    <w:p w14:paraId="231AB753" w14:textId="77777777" w:rsidR="006D34E5" w:rsidRDefault="006D34E5">
      <w:pPr>
        <w:pStyle w:val="a3"/>
        <w:rPr>
          <w:sz w:val="16"/>
          <w:szCs w:val="16"/>
          <w:rtl/>
        </w:rPr>
      </w:pPr>
    </w:p>
    <w:p w14:paraId="52F7B34F" w14:textId="77777777" w:rsidR="006D34E5" w:rsidRDefault="006D34E5">
      <w:pPr>
        <w:pStyle w:val="a3"/>
        <w:rPr>
          <w:sz w:val="16"/>
          <w:szCs w:val="16"/>
          <w:rtl/>
        </w:rPr>
      </w:pPr>
    </w:p>
    <w:p w14:paraId="03A6B478" w14:textId="77777777" w:rsidR="006D34E5" w:rsidRDefault="006D34E5">
      <w:pPr>
        <w:pStyle w:val="a3"/>
        <w:rPr>
          <w:sz w:val="16"/>
          <w:szCs w:val="16"/>
          <w:rtl/>
        </w:rPr>
      </w:pPr>
    </w:p>
    <w:p w14:paraId="2D66201C" w14:textId="77777777" w:rsidR="006D34E5" w:rsidRDefault="006B4A5E">
      <w:pPr>
        <w:pStyle w:val="a3"/>
        <w:rPr>
          <w:sz w:val="16"/>
          <w:szCs w:val="16"/>
          <w:rtl/>
        </w:rPr>
      </w:pPr>
      <w:r w:rsidRPr="006B4A5E">
        <w:rPr>
          <w:color w:val="FFFFFF"/>
          <w:sz w:val="2"/>
          <w:szCs w:val="2"/>
          <w:rtl/>
        </w:rPr>
        <w:t>5129371</w:t>
      </w:r>
      <w:r w:rsidR="00BF2512">
        <w:rPr>
          <w:rFonts w:hint="cs"/>
          <w:sz w:val="16"/>
          <w:szCs w:val="16"/>
          <w:rtl/>
        </w:rPr>
        <w:t xml:space="preserve">קלדנית: ליאת פ. </w:t>
      </w:r>
    </w:p>
    <w:p w14:paraId="41EA94B5" w14:textId="77777777" w:rsidR="00BF2512" w:rsidRPr="006B4A5E" w:rsidRDefault="006B4A5E" w:rsidP="00BF2512">
      <w:pPr>
        <w:keepNext/>
        <w:rPr>
          <w:rFonts w:ascii="David" w:hAnsi="David"/>
          <w:color w:val="FFFFFF"/>
          <w:sz w:val="2"/>
          <w:szCs w:val="2"/>
          <w:rtl/>
        </w:rPr>
      </w:pPr>
      <w:r w:rsidRPr="006B4A5E">
        <w:rPr>
          <w:rFonts w:ascii="David" w:hAnsi="David"/>
          <w:color w:val="FFFFFF"/>
          <w:sz w:val="2"/>
          <w:szCs w:val="2"/>
          <w:rtl/>
        </w:rPr>
        <w:t>54678313</w:t>
      </w:r>
    </w:p>
    <w:p w14:paraId="5F57C8FB" w14:textId="77777777" w:rsidR="00BF2512" w:rsidRDefault="00BF2512" w:rsidP="00BF2512">
      <w:pPr>
        <w:rPr>
          <w:rtl/>
        </w:rPr>
      </w:pPr>
    </w:p>
    <w:p w14:paraId="45C62E3C" w14:textId="77777777" w:rsidR="00BF2512" w:rsidRDefault="00BF2512" w:rsidP="00BF2512">
      <w:pPr>
        <w:jc w:val="center"/>
        <w:rPr>
          <w:color w:val="0000FF"/>
          <w:u w:val="single"/>
        </w:rPr>
      </w:pPr>
      <w:r w:rsidRPr="009963A5">
        <w:rPr>
          <w:color w:val="000000"/>
          <w:rtl/>
        </w:rPr>
        <w:t>בעניין עריכה ושינויים במסמכי פסיקה, חקיקה ועוד באתר נבו – הקש כאן</w:t>
      </w:r>
    </w:p>
    <w:p w14:paraId="5EE88099" w14:textId="77777777" w:rsidR="006B4A5E" w:rsidRPr="006B4A5E" w:rsidRDefault="006B4A5E" w:rsidP="006B4A5E">
      <w:pPr>
        <w:keepNext/>
        <w:rPr>
          <w:rFonts w:ascii="David" w:hAnsi="David"/>
          <w:color w:val="000000"/>
          <w:sz w:val="22"/>
          <w:szCs w:val="22"/>
          <w:rtl/>
        </w:rPr>
      </w:pPr>
    </w:p>
    <w:p w14:paraId="189A4E64" w14:textId="77777777" w:rsidR="006B4A5E" w:rsidRPr="006B4A5E" w:rsidRDefault="006B4A5E" w:rsidP="006B4A5E">
      <w:pPr>
        <w:keepNext/>
        <w:rPr>
          <w:rFonts w:ascii="David" w:hAnsi="David"/>
          <w:color w:val="000000"/>
          <w:sz w:val="22"/>
          <w:szCs w:val="22"/>
          <w:rtl/>
        </w:rPr>
      </w:pPr>
      <w:r w:rsidRPr="006B4A5E">
        <w:rPr>
          <w:rFonts w:ascii="David" w:hAnsi="David"/>
          <w:color w:val="000000"/>
          <w:sz w:val="22"/>
          <w:szCs w:val="22"/>
          <w:rtl/>
        </w:rPr>
        <w:t>משה גלעד 54678313-/</w:t>
      </w:r>
    </w:p>
    <w:p w14:paraId="72BE1FE0" w14:textId="77777777" w:rsidR="006D34E5" w:rsidRPr="00BF2512" w:rsidRDefault="006B4A5E" w:rsidP="006B4A5E">
      <w:pPr>
        <w:rPr>
          <w:color w:val="0000FF"/>
          <w:u w:val="single"/>
        </w:rPr>
      </w:pPr>
      <w:r w:rsidRPr="006B4A5E">
        <w:rPr>
          <w:color w:val="000000"/>
          <w:u w:val="single"/>
          <w:rtl/>
        </w:rPr>
        <w:t>נוסח מסמך זה כפוף לשינויי ניסוח ועריכה</w:t>
      </w:r>
    </w:p>
    <w:sectPr w:rsidR="006D34E5" w:rsidRPr="00BF2512" w:rsidSect="006B4A5E">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0240B" w14:textId="77777777" w:rsidR="00AC2A40" w:rsidRPr="004E0AF8" w:rsidRDefault="00AC2A40">
      <w:pPr>
        <w:rPr>
          <w:rFonts w:cs="Arial"/>
          <w:szCs w:val="20"/>
        </w:rPr>
      </w:pPr>
      <w:r>
        <w:separator/>
      </w:r>
    </w:p>
  </w:endnote>
  <w:endnote w:type="continuationSeparator" w:id="0">
    <w:p w14:paraId="74518ADC" w14:textId="77777777" w:rsidR="00AC2A40" w:rsidRPr="004E0AF8" w:rsidRDefault="00AC2A4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D6D39" w14:textId="77777777" w:rsidR="00A17963" w:rsidRDefault="00A17963" w:rsidP="006B4A5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5F3FCA6" w14:textId="77777777" w:rsidR="00A17963" w:rsidRPr="006B4A5E" w:rsidRDefault="00A17963" w:rsidP="006B4A5E">
    <w:pPr>
      <w:pStyle w:val="a4"/>
      <w:pBdr>
        <w:top w:val="single" w:sz="4" w:space="1" w:color="auto"/>
        <w:between w:val="single" w:sz="4" w:space="0" w:color="auto"/>
      </w:pBdr>
      <w:spacing w:after="60"/>
      <w:jc w:val="center"/>
      <w:rPr>
        <w:rFonts w:ascii="FrankRuehl" w:hAnsi="FrankRuehl" w:cs="FrankRuehl"/>
        <w:color w:val="000000"/>
      </w:rPr>
    </w:pPr>
    <w:r w:rsidRPr="006B4A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E051B" w14:textId="77777777" w:rsidR="00A17963" w:rsidRDefault="00A17963" w:rsidP="006B4A5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1D7F">
      <w:rPr>
        <w:rFonts w:ascii="FrankRuehl" w:hAnsi="FrankRuehl" w:cs="FrankRuehl"/>
        <w:noProof/>
        <w:rtl/>
      </w:rPr>
      <w:t>1</w:t>
    </w:r>
    <w:r>
      <w:rPr>
        <w:rFonts w:ascii="FrankRuehl" w:hAnsi="FrankRuehl" w:cs="FrankRuehl"/>
        <w:rtl/>
      </w:rPr>
      <w:fldChar w:fldCharType="end"/>
    </w:r>
  </w:p>
  <w:p w14:paraId="44D6CCE7" w14:textId="77777777" w:rsidR="00A17963" w:rsidRPr="006B4A5E" w:rsidRDefault="00A17963" w:rsidP="006B4A5E">
    <w:pPr>
      <w:pStyle w:val="a4"/>
      <w:pBdr>
        <w:top w:val="single" w:sz="4" w:space="1" w:color="auto"/>
        <w:between w:val="single" w:sz="4" w:space="0" w:color="auto"/>
      </w:pBdr>
      <w:spacing w:after="60"/>
      <w:jc w:val="center"/>
      <w:rPr>
        <w:rFonts w:ascii="FrankRuehl" w:hAnsi="FrankRuehl" w:cs="FrankRuehl"/>
        <w:color w:val="000000"/>
      </w:rPr>
    </w:pPr>
    <w:r w:rsidRPr="006B4A5E">
      <w:rPr>
        <w:rFonts w:ascii="FrankRuehl" w:hAnsi="FrankRuehl" w:cs="FrankRuehl"/>
        <w:color w:val="000000"/>
      </w:rPr>
      <w:pict w14:anchorId="136B8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A23B7" w14:textId="77777777" w:rsidR="00AC2A40" w:rsidRPr="004E0AF8" w:rsidRDefault="00AC2A40">
      <w:pPr>
        <w:rPr>
          <w:rFonts w:cs="Arial"/>
          <w:szCs w:val="20"/>
        </w:rPr>
      </w:pPr>
      <w:r>
        <w:separator/>
      </w:r>
    </w:p>
  </w:footnote>
  <w:footnote w:type="continuationSeparator" w:id="0">
    <w:p w14:paraId="11BE9D27" w14:textId="77777777" w:rsidR="00AC2A40" w:rsidRPr="004E0AF8" w:rsidRDefault="00AC2A4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0DC95" w14:textId="77777777" w:rsidR="00A17963" w:rsidRPr="006B4A5E" w:rsidRDefault="00A17963" w:rsidP="006B4A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29631-04-13</w:t>
    </w:r>
    <w:r>
      <w:rPr>
        <w:rFonts w:ascii="David" w:hAnsi="David"/>
        <w:color w:val="000000"/>
        <w:sz w:val="22"/>
        <w:szCs w:val="22"/>
        <w:rtl/>
      </w:rPr>
      <w:tab/>
      <w:t xml:space="preserve"> מדינת ישראל נ' חאמד אבו עמראת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A1B1D" w14:textId="77777777" w:rsidR="00A17963" w:rsidRPr="006B4A5E" w:rsidRDefault="00A17963" w:rsidP="006B4A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29631-04-13</w:t>
    </w:r>
    <w:r>
      <w:rPr>
        <w:rFonts w:ascii="David" w:hAnsi="David"/>
        <w:color w:val="000000"/>
        <w:sz w:val="22"/>
        <w:szCs w:val="22"/>
        <w:rtl/>
      </w:rPr>
      <w:tab/>
      <w:t xml:space="preserve"> מדינת ישראל נ' חאמד אבו עמראת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95783"/>
    <w:multiLevelType w:val="hybridMultilevel"/>
    <w:tmpl w:val="158A9B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C317412"/>
    <w:multiLevelType w:val="hybridMultilevel"/>
    <w:tmpl w:val="4796A8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19219945">
    <w:abstractNumId w:val="0"/>
  </w:num>
  <w:num w:numId="2" w16cid:durableId="325206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34E5"/>
    <w:rsid w:val="000A3660"/>
    <w:rsid w:val="00302B65"/>
    <w:rsid w:val="004B4758"/>
    <w:rsid w:val="006B4A5E"/>
    <w:rsid w:val="006D34E5"/>
    <w:rsid w:val="009963A5"/>
    <w:rsid w:val="009A0792"/>
    <w:rsid w:val="00A17963"/>
    <w:rsid w:val="00AC2A40"/>
    <w:rsid w:val="00AF0F10"/>
    <w:rsid w:val="00B71D7F"/>
    <w:rsid w:val="00BF2512"/>
    <w:rsid w:val="00DB6223"/>
    <w:rsid w:val="00E10C16"/>
    <w:rsid w:val="00FE4E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4967AD"/>
  <w15:chartTrackingRefBased/>
  <w15:docId w15:val="{2184B4EC-DBF0-4897-95E6-79822AA0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34E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D34E5"/>
    <w:pPr>
      <w:tabs>
        <w:tab w:val="center" w:pos="4153"/>
        <w:tab w:val="right" w:pos="8306"/>
      </w:tabs>
    </w:pPr>
  </w:style>
  <w:style w:type="paragraph" w:styleId="a4">
    <w:name w:val="footer"/>
    <w:basedOn w:val="a"/>
    <w:rsid w:val="006D34E5"/>
    <w:pPr>
      <w:tabs>
        <w:tab w:val="center" w:pos="4153"/>
        <w:tab w:val="right" w:pos="8306"/>
      </w:tabs>
    </w:pPr>
  </w:style>
  <w:style w:type="character" w:styleId="a5">
    <w:name w:val="page number"/>
    <w:basedOn w:val="a0"/>
    <w:rsid w:val="006D34E5"/>
  </w:style>
  <w:style w:type="character" w:styleId="Hyperlink">
    <w:name w:val="Hyperlink"/>
    <w:basedOn w:val="a0"/>
    <w:rsid w:val="00BF25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4216/7.a"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999999" TargetMode="External"/><Relationship Id="rId42" Type="http://schemas.openxmlformats.org/officeDocument/2006/relationships/hyperlink" Target="http://www.nevo.co.il/case/6473037"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3833313"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2265/17"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58" TargetMode="External"/><Relationship Id="rId24" Type="http://schemas.openxmlformats.org/officeDocument/2006/relationships/hyperlink" Target="http://www.nevo.co.il/law/72265/17" TargetMode="External"/><Relationship Id="rId32" Type="http://schemas.openxmlformats.org/officeDocument/2006/relationships/hyperlink" Target="http://www.nevo.co.il/case/5719707"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815848"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2265"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4216/7.c"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2265" TargetMode="External"/><Relationship Id="rId22" Type="http://schemas.openxmlformats.org/officeDocument/2006/relationships/hyperlink" Target="http://www.nevo.co.il/law/72265/16" TargetMode="External"/><Relationship Id="rId27" Type="http://schemas.openxmlformats.org/officeDocument/2006/relationships/hyperlink" Target="http://www.nevo.co.il/law/4216/7.c" TargetMode="External"/><Relationship Id="rId30" Type="http://schemas.openxmlformats.org/officeDocument/2006/relationships/hyperlink" Target="http://www.nevo.co.il/case/5603213" TargetMode="External"/><Relationship Id="rId35" Type="http://schemas.openxmlformats.org/officeDocument/2006/relationships/hyperlink" Target="http://www.nevo.co.il/case/6245272" TargetMode="External"/><Relationship Id="rId43" Type="http://schemas.openxmlformats.org/officeDocument/2006/relationships/hyperlink" Target="http://www.nevo.co.il/case/6824952" TargetMode="External"/><Relationship Id="rId48" Type="http://schemas.openxmlformats.org/officeDocument/2006/relationships/hyperlink" Target="http://www.nevo.co.il/law/70301/58" TargetMode="External"/><Relationship Id="rId56" Type="http://schemas.openxmlformats.org/officeDocument/2006/relationships/footer" Target="footer1.xml"/><Relationship Id="rId8" Type="http://schemas.openxmlformats.org/officeDocument/2006/relationships/hyperlink" Target="http://www.nevo.co.il/law/70301/40b" TargetMode="External"/><Relationship Id="rId51" Type="http://schemas.openxmlformats.org/officeDocument/2006/relationships/hyperlink" Target="http://www.nevo.co.il/law/72265/16" TargetMode="External"/><Relationship Id="rId3" Type="http://schemas.openxmlformats.org/officeDocument/2006/relationships/settings" Target="settings.xml"/><Relationship Id="rId12" Type="http://schemas.openxmlformats.org/officeDocument/2006/relationships/hyperlink" Target="http://www.nevo.co.il/law/70301/402.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2265" TargetMode="External"/><Relationship Id="rId33" Type="http://schemas.openxmlformats.org/officeDocument/2006/relationships/hyperlink" Target="http://www.nevo.co.il/case/5610818" TargetMode="External"/><Relationship Id="rId38" Type="http://schemas.openxmlformats.org/officeDocument/2006/relationships/hyperlink" Target="http://www.nevo.co.il/law/70301/40c" TargetMode="External"/><Relationship Id="rId46" Type="http://schemas.openxmlformats.org/officeDocument/2006/relationships/hyperlink" Target="http://www.nevo.co.il/law/70301/40ja" TargetMode="External"/><Relationship Id="rId59" Type="http://schemas.openxmlformats.org/officeDocument/2006/relationships/theme" Target="theme/theme1.xml"/><Relationship Id="rId20" Type="http://schemas.openxmlformats.org/officeDocument/2006/relationships/hyperlink" Target="http://www.nevo.co.il/law/70301/402.a" TargetMode="External"/><Relationship Id="rId41" Type="http://schemas.openxmlformats.org/officeDocument/2006/relationships/hyperlink" Target="http://www.nevo.co.il/case/5707464"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265/16" TargetMode="External"/><Relationship Id="rId23" Type="http://schemas.openxmlformats.org/officeDocument/2006/relationships/hyperlink" Target="http://www.nevo.co.il/law/72265" TargetMode="External"/><Relationship Id="rId28" Type="http://schemas.openxmlformats.org/officeDocument/2006/relationships/hyperlink" Target="http://www.nevo.co.il/law/4216" TargetMode="External"/><Relationship Id="rId36" Type="http://schemas.openxmlformats.org/officeDocument/2006/relationships/hyperlink" Target="http://www.nevo.co.il/law/70301/40b" TargetMode="External"/><Relationship Id="rId49" Type="http://schemas.openxmlformats.org/officeDocument/2006/relationships/hyperlink" Target="http://www.nevo.co.il/law/70301" TargetMode="External"/><Relationship Id="rId57" Type="http://schemas.openxmlformats.org/officeDocument/2006/relationships/footer" Target="footer2.xml"/><Relationship Id="rId10" Type="http://schemas.openxmlformats.org/officeDocument/2006/relationships/hyperlink" Target="http://www.nevo.co.il/law/70301/40i" TargetMode="External"/><Relationship Id="rId31" Type="http://schemas.openxmlformats.org/officeDocument/2006/relationships/hyperlink" Target="http://www.nevo.co.il/case/5581070" TargetMode="External"/><Relationship Id="rId44" Type="http://schemas.openxmlformats.org/officeDocument/2006/relationships/hyperlink" Target="http://www.nevo.co.il/law/70301/40i" TargetMode="External"/><Relationship Id="rId52" Type="http://schemas.openxmlformats.org/officeDocument/2006/relationships/hyperlink" Target="http://www.nevo.co.il/law/7226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3674</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22001</CharactersWithSpaces>
  <SharedDoc>false</SharedDoc>
  <HLinks>
    <vt:vector size="282" baseType="variant">
      <vt:variant>
        <vt:i4>8257637</vt:i4>
      </vt:variant>
      <vt:variant>
        <vt:i4>138</vt:i4>
      </vt:variant>
      <vt:variant>
        <vt:i4>0</vt:i4>
      </vt:variant>
      <vt:variant>
        <vt:i4>5</vt:i4>
      </vt:variant>
      <vt:variant>
        <vt:lpwstr>http://www.nevo.co.il/law/72265</vt:lpwstr>
      </vt:variant>
      <vt:variant>
        <vt:lpwstr/>
      </vt:variant>
      <vt:variant>
        <vt:i4>6684769</vt:i4>
      </vt:variant>
      <vt:variant>
        <vt:i4>135</vt:i4>
      </vt:variant>
      <vt:variant>
        <vt:i4>0</vt:i4>
      </vt:variant>
      <vt:variant>
        <vt:i4>5</vt:i4>
      </vt:variant>
      <vt:variant>
        <vt:lpwstr>http://www.nevo.co.il/law/72265/17</vt:lpwstr>
      </vt:variant>
      <vt:variant>
        <vt:lpwstr/>
      </vt:variant>
      <vt:variant>
        <vt:i4>6750305</vt:i4>
      </vt:variant>
      <vt:variant>
        <vt:i4>132</vt:i4>
      </vt:variant>
      <vt:variant>
        <vt:i4>0</vt:i4>
      </vt:variant>
      <vt:variant>
        <vt:i4>5</vt:i4>
      </vt:variant>
      <vt:variant>
        <vt:lpwstr>http://www.nevo.co.il/law/72265/16</vt:lpwstr>
      </vt:variant>
      <vt:variant>
        <vt:lpwstr/>
      </vt:variant>
      <vt:variant>
        <vt:i4>3145854</vt:i4>
      </vt:variant>
      <vt:variant>
        <vt:i4>129</vt:i4>
      </vt:variant>
      <vt:variant>
        <vt:i4>0</vt:i4>
      </vt:variant>
      <vt:variant>
        <vt:i4>5</vt:i4>
      </vt:variant>
      <vt:variant>
        <vt:lpwstr>http://www.nevo.co.il/case/3833313</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7143520</vt:i4>
      </vt:variant>
      <vt:variant>
        <vt:i4>123</vt:i4>
      </vt:variant>
      <vt:variant>
        <vt:i4>0</vt:i4>
      </vt:variant>
      <vt:variant>
        <vt:i4>5</vt:i4>
      </vt:variant>
      <vt:variant>
        <vt:lpwstr>http://www.nevo.co.il/law/70301/58</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4128893</vt:i4>
      </vt:variant>
      <vt:variant>
        <vt:i4>108</vt:i4>
      </vt:variant>
      <vt:variant>
        <vt:i4>0</vt:i4>
      </vt:variant>
      <vt:variant>
        <vt:i4>5</vt:i4>
      </vt:variant>
      <vt:variant>
        <vt:lpwstr>http://www.nevo.co.il/case/6824952</vt:lpwstr>
      </vt:variant>
      <vt:variant>
        <vt:lpwstr/>
      </vt:variant>
      <vt:variant>
        <vt:i4>3539056</vt:i4>
      </vt:variant>
      <vt:variant>
        <vt:i4>105</vt:i4>
      </vt:variant>
      <vt:variant>
        <vt:i4>0</vt:i4>
      </vt:variant>
      <vt:variant>
        <vt:i4>5</vt:i4>
      </vt:variant>
      <vt:variant>
        <vt:lpwstr>http://www.nevo.co.il/case/6473037</vt:lpwstr>
      </vt:variant>
      <vt:variant>
        <vt:lpwstr/>
      </vt:variant>
      <vt:variant>
        <vt:i4>3473522</vt:i4>
      </vt:variant>
      <vt:variant>
        <vt:i4>102</vt:i4>
      </vt:variant>
      <vt:variant>
        <vt:i4>0</vt:i4>
      </vt:variant>
      <vt:variant>
        <vt:i4>5</vt:i4>
      </vt:variant>
      <vt:variant>
        <vt:lpwstr>http://www.nevo.co.il/case/5707464</vt:lpwstr>
      </vt:variant>
      <vt:variant>
        <vt:lpwstr/>
      </vt:variant>
      <vt:variant>
        <vt:i4>3407997</vt:i4>
      </vt:variant>
      <vt:variant>
        <vt:i4>99</vt:i4>
      </vt:variant>
      <vt:variant>
        <vt:i4>0</vt:i4>
      </vt:variant>
      <vt:variant>
        <vt:i4>5</vt:i4>
      </vt:variant>
      <vt:variant>
        <vt:lpwstr>http://www.nevo.co.il/case/5815848</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http://www.nevo.co.il/law/70301/40b</vt:lpwstr>
      </vt:variant>
      <vt:variant>
        <vt:lpwstr/>
      </vt:variant>
      <vt:variant>
        <vt:i4>3276916</vt:i4>
      </vt:variant>
      <vt:variant>
        <vt:i4>84</vt:i4>
      </vt:variant>
      <vt:variant>
        <vt:i4>0</vt:i4>
      </vt:variant>
      <vt:variant>
        <vt:i4>5</vt:i4>
      </vt:variant>
      <vt:variant>
        <vt:lpwstr>http://www.nevo.co.il/case/6245272</vt:lpwstr>
      </vt:variant>
      <vt:variant>
        <vt:lpwstr/>
      </vt:variant>
      <vt:variant>
        <vt:i4>3932285</vt:i4>
      </vt:variant>
      <vt:variant>
        <vt:i4>81</vt:i4>
      </vt:variant>
      <vt:variant>
        <vt:i4>0</vt:i4>
      </vt:variant>
      <vt:variant>
        <vt:i4>5</vt:i4>
      </vt:variant>
      <vt:variant>
        <vt:lpwstr>http://www.nevo.co.il/case/5999999</vt:lpwstr>
      </vt:variant>
      <vt:variant>
        <vt:lpwstr/>
      </vt:variant>
      <vt:variant>
        <vt:i4>3407987</vt:i4>
      </vt:variant>
      <vt:variant>
        <vt:i4>78</vt:i4>
      </vt:variant>
      <vt:variant>
        <vt:i4>0</vt:i4>
      </vt:variant>
      <vt:variant>
        <vt:i4>5</vt:i4>
      </vt:variant>
      <vt:variant>
        <vt:lpwstr>http://www.nevo.co.il/case/5610818</vt:lpwstr>
      </vt:variant>
      <vt:variant>
        <vt:lpwstr/>
      </vt:variant>
      <vt:variant>
        <vt:i4>3407994</vt:i4>
      </vt:variant>
      <vt:variant>
        <vt:i4>75</vt:i4>
      </vt:variant>
      <vt:variant>
        <vt:i4>0</vt:i4>
      </vt:variant>
      <vt:variant>
        <vt:i4>5</vt:i4>
      </vt:variant>
      <vt:variant>
        <vt:lpwstr>http://www.nevo.co.il/case/5719707</vt:lpwstr>
      </vt:variant>
      <vt:variant>
        <vt:lpwstr/>
      </vt:variant>
      <vt:variant>
        <vt:i4>3997815</vt:i4>
      </vt:variant>
      <vt:variant>
        <vt:i4>72</vt:i4>
      </vt:variant>
      <vt:variant>
        <vt:i4>0</vt:i4>
      </vt:variant>
      <vt:variant>
        <vt:i4>5</vt:i4>
      </vt:variant>
      <vt:variant>
        <vt:lpwstr>http://www.nevo.co.il/case/5581070</vt:lpwstr>
      </vt:variant>
      <vt:variant>
        <vt:lpwstr/>
      </vt:variant>
      <vt:variant>
        <vt:i4>3407984</vt:i4>
      </vt:variant>
      <vt:variant>
        <vt:i4>69</vt:i4>
      </vt:variant>
      <vt:variant>
        <vt:i4>0</vt:i4>
      </vt:variant>
      <vt:variant>
        <vt:i4>5</vt:i4>
      </vt:variant>
      <vt:variant>
        <vt:lpwstr>http://www.nevo.co.il/case/5603213</vt:lpwstr>
      </vt:variant>
      <vt:variant>
        <vt:lpwstr/>
      </vt:variant>
      <vt:variant>
        <vt:i4>7995492</vt:i4>
      </vt:variant>
      <vt:variant>
        <vt:i4>66</vt:i4>
      </vt:variant>
      <vt:variant>
        <vt:i4>0</vt:i4>
      </vt:variant>
      <vt:variant>
        <vt:i4>5</vt:i4>
      </vt:variant>
      <vt:variant>
        <vt:lpwstr>http://www.nevo.co.il/law/70301</vt:lpwstr>
      </vt:variant>
      <vt:variant>
        <vt:lpwstr/>
      </vt:variant>
      <vt:variant>
        <vt:i4>8257637</vt:i4>
      </vt:variant>
      <vt:variant>
        <vt:i4>63</vt:i4>
      </vt:variant>
      <vt:variant>
        <vt:i4>0</vt:i4>
      </vt:variant>
      <vt:variant>
        <vt:i4>5</vt:i4>
      </vt:variant>
      <vt:variant>
        <vt:lpwstr>http://www.nevo.co.il/law/4216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8257637</vt:i4>
      </vt:variant>
      <vt:variant>
        <vt:i4>54</vt:i4>
      </vt:variant>
      <vt:variant>
        <vt:i4>0</vt:i4>
      </vt:variant>
      <vt:variant>
        <vt:i4>5</vt:i4>
      </vt:variant>
      <vt:variant>
        <vt:lpwstr>http://www.nevo.co.il/law/72265</vt:lpwstr>
      </vt:variant>
      <vt:variant>
        <vt:lpwstr/>
      </vt:variant>
      <vt:variant>
        <vt:i4>6684769</vt:i4>
      </vt:variant>
      <vt:variant>
        <vt:i4>51</vt:i4>
      </vt:variant>
      <vt:variant>
        <vt:i4>0</vt:i4>
      </vt:variant>
      <vt:variant>
        <vt:i4>5</vt:i4>
      </vt:variant>
      <vt:variant>
        <vt:lpwstr>http://www.nevo.co.il/law/72265/17</vt:lpwstr>
      </vt:variant>
      <vt:variant>
        <vt:lpwstr/>
      </vt:variant>
      <vt:variant>
        <vt:i4>8257637</vt:i4>
      </vt:variant>
      <vt:variant>
        <vt:i4>48</vt:i4>
      </vt:variant>
      <vt:variant>
        <vt:i4>0</vt:i4>
      </vt:variant>
      <vt:variant>
        <vt:i4>5</vt:i4>
      </vt:variant>
      <vt:variant>
        <vt:lpwstr>http://www.nevo.co.il/law/72265</vt:lpwstr>
      </vt:variant>
      <vt:variant>
        <vt:lpwstr/>
      </vt:variant>
      <vt:variant>
        <vt:i4>6750305</vt:i4>
      </vt:variant>
      <vt:variant>
        <vt:i4>45</vt:i4>
      </vt:variant>
      <vt:variant>
        <vt:i4>0</vt:i4>
      </vt:variant>
      <vt:variant>
        <vt:i4>5</vt:i4>
      </vt:variant>
      <vt:variant>
        <vt:lpwstr>http://www.nevo.co.il/law/72265/16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4915283</vt:i4>
      </vt:variant>
      <vt:variant>
        <vt:i4>39</vt:i4>
      </vt:variant>
      <vt:variant>
        <vt:i4>0</vt:i4>
      </vt:variant>
      <vt:variant>
        <vt:i4>5</vt:i4>
      </vt:variant>
      <vt:variant>
        <vt:lpwstr>http://www.nevo.co.il/law/70301/402.a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6684769</vt:i4>
      </vt:variant>
      <vt:variant>
        <vt:i4>27</vt:i4>
      </vt:variant>
      <vt:variant>
        <vt:i4>0</vt:i4>
      </vt:variant>
      <vt:variant>
        <vt:i4>5</vt:i4>
      </vt:variant>
      <vt:variant>
        <vt:lpwstr>http://www.nevo.co.il/law/72265/17</vt:lpwstr>
      </vt:variant>
      <vt:variant>
        <vt:lpwstr/>
      </vt:variant>
      <vt:variant>
        <vt:i4>6750305</vt:i4>
      </vt:variant>
      <vt:variant>
        <vt:i4>24</vt:i4>
      </vt:variant>
      <vt:variant>
        <vt:i4>0</vt:i4>
      </vt:variant>
      <vt:variant>
        <vt:i4>5</vt:i4>
      </vt:variant>
      <vt:variant>
        <vt:lpwstr>http://www.nevo.co.il/law/72265/16</vt:lpwstr>
      </vt:variant>
      <vt:variant>
        <vt:lpwstr/>
      </vt:variant>
      <vt:variant>
        <vt:i4>8257637</vt:i4>
      </vt:variant>
      <vt:variant>
        <vt:i4>21</vt:i4>
      </vt:variant>
      <vt:variant>
        <vt:i4>0</vt:i4>
      </vt:variant>
      <vt:variant>
        <vt:i4>5</vt:i4>
      </vt:variant>
      <vt:variant>
        <vt:lpwstr>http://www.nevo.co.il/law/72265</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4915283</vt:i4>
      </vt:variant>
      <vt:variant>
        <vt:i4>15</vt:i4>
      </vt:variant>
      <vt:variant>
        <vt:i4>0</vt:i4>
      </vt:variant>
      <vt:variant>
        <vt:i4>5</vt:i4>
      </vt:variant>
      <vt:variant>
        <vt:lpwstr>http://www.nevo.co.il/law/70301/402.a</vt:lpwstr>
      </vt:variant>
      <vt:variant>
        <vt:lpwstr/>
      </vt:variant>
      <vt:variant>
        <vt:i4>7143520</vt:i4>
      </vt:variant>
      <vt:variant>
        <vt:i4>12</vt:i4>
      </vt:variant>
      <vt:variant>
        <vt:i4>0</vt:i4>
      </vt:variant>
      <vt:variant>
        <vt:i4>5</vt:i4>
      </vt:variant>
      <vt:variant>
        <vt:lpwstr>http://www.nevo.co.il/law/70301/58</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2025-04-22T20:28:00Z</dcterms:created>
  <dcterms:modified xsi:type="dcterms:W3CDTF">2025-04-22T20:28:00Z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29631</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חאמד אבו עמראת</vt:lpwstr>
  </property>
  <property fmtid="{D5CDD505-2E9C-101B-9397-08002B2CF9AE}" pid="10" name="LAWYER">
    <vt:lpwstr>אבי אור זך;אביב חוזה</vt:lpwstr>
  </property>
  <property fmtid="{D5CDD505-2E9C-101B-9397-08002B2CF9AE}" pid="11" name="JUDGE">
    <vt:lpwstr>משה גלעד</vt:lpwstr>
  </property>
  <property fmtid="{D5CDD505-2E9C-101B-9397-08002B2CF9AE}" pid="12" name="CITY">
    <vt:lpwstr>חי'</vt:lpwstr>
  </property>
  <property fmtid="{D5CDD505-2E9C-101B-9397-08002B2CF9AE}" pid="13" name="DATE">
    <vt:lpwstr>20131007</vt:lpwstr>
  </property>
  <property fmtid="{D5CDD505-2E9C-101B-9397-08002B2CF9AE}" pid="14" name="TYPE_N_DATE">
    <vt:lpwstr>39020131007</vt:lpwstr>
  </property>
  <property fmtid="{D5CDD505-2E9C-101B-9397-08002B2CF9AE}" pid="15" name="WORDNUMPAGES">
    <vt:lpwstr>13</vt:lpwstr>
  </property>
  <property fmtid="{D5CDD505-2E9C-101B-9397-08002B2CF9AE}" pid="16" name="TYPE_ABS_DATE">
    <vt:lpwstr>390020131007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5603213;5581070;5719707;5610818;5999999;6245272;5815848;5707464;6473037;6824952;3833313</vt:lpwstr>
  </property>
  <property fmtid="{D5CDD505-2E9C-101B-9397-08002B2CF9AE}" pid="36" name="LAWLISTTMP1">
    <vt:lpwstr>70301/402.a;040b;040c;040i;40ja;058</vt:lpwstr>
  </property>
  <property fmtid="{D5CDD505-2E9C-101B-9397-08002B2CF9AE}" pid="37" name="LAWLISTTMP2">
    <vt:lpwstr>72265/016:2;017:2</vt:lpwstr>
  </property>
  <property fmtid="{D5CDD505-2E9C-101B-9397-08002B2CF9AE}" pid="38" name="LAWLISTTMP3">
    <vt:lpwstr>4216/007.a;007.c</vt:lpwstr>
  </property>
</Properties>
</file>