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677946" w:rsidRPr="000D6162" w14:paraId="1C03D24C" w14:textId="77777777">
        <w:trPr>
          <w:trHeight w:hRule="exact" w:val="418"/>
          <w:jc w:val="center"/>
        </w:trPr>
        <w:tc>
          <w:tcPr>
            <w:tcW w:w="8721" w:type="dxa"/>
            <w:gridSpan w:val="2"/>
          </w:tcPr>
          <w:p w14:paraId="5B56623E" w14:textId="77777777" w:rsidR="00677946" w:rsidRPr="000D6162" w:rsidRDefault="000D6162">
            <w:pPr>
              <w:pStyle w:val="a3"/>
              <w:jc w:val="center"/>
              <w:rPr>
                <w:rFonts w:ascii="Tahoma" w:hAnsi="Tahoma" w:cs="Tahoma"/>
                <w:color w:val="000080"/>
                <w:rtl/>
              </w:rPr>
            </w:pPr>
            <w:bookmarkStart w:id="0" w:name="FirstLawyer"/>
            <w:bookmarkStart w:id="1" w:name="LastJudge"/>
            <w:r w:rsidRPr="000D6162">
              <w:rPr>
                <w:rFonts w:ascii="Tahoma" w:hAnsi="Tahoma" w:cs="Tahoma"/>
                <w:b/>
                <w:bCs/>
                <w:color w:val="000080"/>
                <w:rtl/>
              </w:rPr>
              <w:t>בית המשפט המחוזי בתל אביב - יפו</w:t>
            </w:r>
          </w:p>
        </w:tc>
      </w:tr>
      <w:tr w:rsidR="00677946" w:rsidRPr="000D6162" w14:paraId="1639EBC8" w14:textId="77777777">
        <w:trPr>
          <w:trHeight w:val="337"/>
          <w:jc w:val="center"/>
        </w:trPr>
        <w:tc>
          <w:tcPr>
            <w:tcW w:w="5054" w:type="dxa"/>
          </w:tcPr>
          <w:p w14:paraId="59A7650E" w14:textId="77777777" w:rsidR="00677946" w:rsidRPr="000D6162" w:rsidRDefault="000D6162">
            <w:pPr>
              <w:rPr>
                <w:rFonts w:cs="FrankRuehl"/>
                <w:sz w:val="28"/>
                <w:szCs w:val="28"/>
                <w:rtl/>
              </w:rPr>
            </w:pPr>
            <w:r w:rsidRPr="000D6162">
              <w:rPr>
                <w:rFonts w:cs="FrankRuehl"/>
                <w:sz w:val="28"/>
                <w:szCs w:val="28"/>
                <w:rtl/>
              </w:rPr>
              <w:t>ת"פ</w:t>
            </w:r>
            <w:r w:rsidRPr="000D6162">
              <w:rPr>
                <w:rFonts w:cs="FrankRuehl" w:hint="cs"/>
                <w:sz w:val="28"/>
                <w:szCs w:val="28"/>
                <w:rtl/>
              </w:rPr>
              <w:t xml:space="preserve"> </w:t>
            </w:r>
            <w:r w:rsidRPr="000D6162">
              <w:rPr>
                <w:rFonts w:cs="FrankRuehl"/>
                <w:sz w:val="28"/>
                <w:szCs w:val="28"/>
                <w:rtl/>
              </w:rPr>
              <w:t>31971-05-13</w:t>
            </w:r>
            <w:r w:rsidRPr="000D6162">
              <w:rPr>
                <w:rFonts w:cs="FrankRuehl" w:hint="cs"/>
                <w:sz w:val="28"/>
                <w:szCs w:val="28"/>
                <w:rtl/>
              </w:rPr>
              <w:t xml:space="preserve"> </w:t>
            </w:r>
            <w:r w:rsidRPr="000D6162">
              <w:rPr>
                <w:rFonts w:cs="FrankRuehl"/>
                <w:sz w:val="28"/>
                <w:szCs w:val="28"/>
                <w:rtl/>
              </w:rPr>
              <w:t>מדינת ישראל נ' שויחט</w:t>
            </w:r>
          </w:p>
          <w:p w14:paraId="05DCB3D0" w14:textId="77777777" w:rsidR="00677946" w:rsidRPr="000D6162" w:rsidRDefault="00677946">
            <w:pPr>
              <w:pStyle w:val="a3"/>
              <w:rPr>
                <w:rFonts w:cs="FrankRuehl"/>
                <w:sz w:val="28"/>
                <w:szCs w:val="28"/>
                <w:rtl/>
              </w:rPr>
            </w:pPr>
          </w:p>
        </w:tc>
        <w:tc>
          <w:tcPr>
            <w:tcW w:w="3667" w:type="dxa"/>
          </w:tcPr>
          <w:p w14:paraId="7EEAF159" w14:textId="77777777" w:rsidR="00677946" w:rsidRPr="000D6162" w:rsidRDefault="00677946">
            <w:pPr>
              <w:pStyle w:val="a3"/>
              <w:jc w:val="right"/>
              <w:rPr>
                <w:rFonts w:cs="FrankRuehl"/>
                <w:sz w:val="28"/>
                <w:szCs w:val="28"/>
                <w:rtl/>
              </w:rPr>
            </w:pPr>
          </w:p>
        </w:tc>
      </w:tr>
    </w:tbl>
    <w:p w14:paraId="4717024A" w14:textId="77777777" w:rsidR="00677946" w:rsidRPr="000D6162" w:rsidRDefault="000D6162">
      <w:pPr>
        <w:pStyle w:val="a3"/>
        <w:rPr>
          <w:rtl/>
        </w:rPr>
      </w:pPr>
      <w:r w:rsidRPr="000D6162">
        <w:rPr>
          <w:rFonts w:hint="cs"/>
          <w:rtl/>
        </w:rPr>
        <w:t xml:space="preserve"> </w:t>
      </w:r>
    </w:p>
    <w:p w14:paraId="58BFB848" w14:textId="77777777" w:rsidR="00677946" w:rsidRPr="000D6162" w:rsidRDefault="0067794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77946" w:rsidRPr="000D6162" w14:paraId="7B3B0C35" w14:textId="77777777">
        <w:trPr>
          <w:trHeight w:val="295"/>
          <w:jc w:val="center"/>
        </w:trPr>
        <w:tc>
          <w:tcPr>
            <w:tcW w:w="923" w:type="dxa"/>
            <w:tcBorders>
              <w:top w:val="nil"/>
              <w:left w:val="nil"/>
              <w:bottom w:val="nil"/>
              <w:right w:val="nil"/>
            </w:tcBorders>
          </w:tcPr>
          <w:p w14:paraId="4E0D9578" w14:textId="77777777" w:rsidR="00677946" w:rsidRPr="000D6162" w:rsidRDefault="000D6162">
            <w:pPr>
              <w:jc w:val="both"/>
              <w:rPr>
                <w:rFonts w:ascii="Arial" w:hAnsi="Arial"/>
                <w:sz w:val="28"/>
                <w:szCs w:val="28"/>
              </w:rPr>
            </w:pPr>
            <w:r w:rsidRPr="000D6162">
              <w:rPr>
                <w:rFonts w:ascii="Arial" w:hAnsi="Arial" w:hint="cs"/>
                <w:sz w:val="28"/>
                <w:szCs w:val="28"/>
                <w:rtl/>
              </w:rPr>
              <w:t>ב</w:t>
            </w:r>
            <w:r w:rsidRPr="000D6162">
              <w:rPr>
                <w:rFonts w:ascii="Arial" w:hAnsi="Arial"/>
                <w:sz w:val="28"/>
                <w:szCs w:val="28"/>
                <w:rtl/>
              </w:rPr>
              <w:t xml:space="preserve">פני </w:t>
            </w:r>
          </w:p>
        </w:tc>
        <w:tc>
          <w:tcPr>
            <w:tcW w:w="7897" w:type="dxa"/>
            <w:gridSpan w:val="2"/>
            <w:tcBorders>
              <w:top w:val="nil"/>
              <w:left w:val="nil"/>
              <w:bottom w:val="nil"/>
              <w:right w:val="nil"/>
            </w:tcBorders>
          </w:tcPr>
          <w:p w14:paraId="7A2C0B56" w14:textId="77777777" w:rsidR="00677946" w:rsidRPr="000D6162" w:rsidRDefault="000D6162">
            <w:pPr>
              <w:rPr>
                <w:rFonts w:ascii="Arial" w:hAnsi="Arial"/>
                <w:b/>
                <w:bCs/>
                <w:rtl/>
              </w:rPr>
            </w:pPr>
            <w:r w:rsidRPr="000D6162">
              <w:rPr>
                <w:rFonts w:ascii="Arial" w:hAnsi="Arial" w:hint="cs"/>
                <w:b/>
                <w:bCs/>
                <w:rtl/>
              </w:rPr>
              <w:t>כב' ה</w:t>
            </w:r>
            <w:r w:rsidRPr="000D6162">
              <w:rPr>
                <w:rFonts w:hint="cs"/>
                <w:rtl/>
              </w:rPr>
              <w:t>סגן נשיא</w:t>
            </w:r>
            <w:r w:rsidRPr="000D6162">
              <w:rPr>
                <w:rFonts w:ascii="Arial" w:hAnsi="Arial" w:hint="cs"/>
                <w:b/>
                <w:bCs/>
                <w:rtl/>
              </w:rPr>
              <w:t xml:space="preserve">  </w:t>
            </w:r>
            <w:r w:rsidRPr="000D6162">
              <w:rPr>
                <w:rFonts w:hint="cs"/>
                <w:rtl/>
              </w:rPr>
              <w:t>דר' עודד מודריק</w:t>
            </w:r>
          </w:p>
          <w:p w14:paraId="06BBCDEB" w14:textId="77777777" w:rsidR="00677946" w:rsidRPr="000D6162" w:rsidRDefault="00677946">
            <w:pPr>
              <w:rPr>
                <w:rtl/>
              </w:rPr>
            </w:pPr>
          </w:p>
          <w:p w14:paraId="6DD76498" w14:textId="77777777" w:rsidR="00677946" w:rsidRPr="000D6162" w:rsidRDefault="00677946">
            <w:pPr>
              <w:jc w:val="both"/>
              <w:rPr>
                <w:rFonts w:ascii="Arial" w:hAnsi="Arial"/>
                <w:sz w:val="28"/>
                <w:szCs w:val="28"/>
              </w:rPr>
            </w:pPr>
          </w:p>
        </w:tc>
      </w:tr>
      <w:tr w:rsidR="00677946" w:rsidRPr="000D6162" w14:paraId="73D9C7DA" w14:textId="77777777">
        <w:trPr>
          <w:trHeight w:val="355"/>
          <w:jc w:val="center"/>
        </w:trPr>
        <w:tc>
          <w:tcPr>
            <w:tcW w:w="923" w:type="dxa"/>
            <w:tcBorders>
              <w:top w:val="nil"/>
              <w:left w:val="nil"/>
              <w:bottom w:val="nil"/>
              <w:right w:val="nil"/>
            </w:tcBorders>
          </w:tcPr>
          <w:p w14:paraId="23504A29" w14:textId="77777777" w:rsidR="00677946" w:rsidRPr="000D6162" w:rsidRDefault="000D6162">
            <w:pPr>
              <w:jc w:val="both"/>
              <w:rPr>
                <w:rFonts w:ascii="Arial" w:hAnsi="Arial"/>
                <w:sz w:val="26"/>
                <w:szCs w:val="26"/>
              </w:rPr>
            </w:pPr>
            <w:bookmarkStart w:id="2" w:name="FirstAppellant"/>
            <w:r w:rsidRPr="000D6162">
              <w:rPr>
                <w:rFonts w:ascii="Arial" w:hAnsi="Arial" w:hint="cs"/>
                <w:sz w:val="26"/>
                <w:szCs w:val="26"/>
                <w:rtl/>
              </w:rPr>
              <w:t>בעניין:</w:t>
            </w:r>
          </w:p>
        </w:tc>
        <w:tc>
          <w:tcPr>
            <w:tcW w:w="4126" w:type="dxa"/>
            <w:tcBorders>
              <w:top w:val="nil"/>
              <w:left w:val="nil"/>
              <w:bottom w:val="nil"/>
              <w:right w:val="nil"/>
            </w:tcBorders>
          </w:tcPr>
          <w:p w14:paraId="5A39D8F1" w14:textId="77777777" w:rsidR="00677946" w:rsidRPr="000D6162" w:rsidRDefault="000D6162">
            <w:pPr>
              <w:rPr>
                <w:b/>
                <w:bCs/>
                <w:sz w:val="26"/>
                <w:szCs w:val="26"/>
              </w:rPr>
            </w:pPr>
            <w:r w:rsidRPr="000D6162">
              <w:rPr>
                <w:rFonts w:hint="cs"/>
                <w:b/>
                <w:bCs/>
                <w:sz w:val="26"/>
                <w:szCs w:val="26"/>
                <w:rtl/>
              </w:rPr>
              <w:t>מדינת ישראל</w:t>
            </w:r>
            <w:r w:rsidRPr="000D6162">
              <w:rPr>
                <w:rFonts w:hint="cs"/>
                <w:b/>
                <w:bCs/>
                <w:sz w:val="26"/>
                <w:szCs w:val="26"/>
                <w:rtl/>
              </w:rPr>
              <w:br/>
              <w:t>על-ידי ב"כ עו"ד גלית אפרתי</w:t>
            </w:r>
          </w:p>
        </w:tc>
        <w:tc>
          <w:tcPr>
            <w:tcW w:w="3771" w:type="dxa"/>
            <w:tcBorders>
              <w:top w:val="nil"/>
              <w:left w:val="nil"/>
              <w:bottom w:val="nil"/>
              <w:right w:val="nil"/>
            </w:tcBorders>
          </w:tcPr>
          <w:p w14:paraId="78446B6A" w14:textId="77777777" w:rsidR="00677946" w:rsidRPr="000D6162" w:rsidRDefault="00677946">
            <w:pPr>
              <w:jc w:val="both"/>
              <w:rPr>
                <w:rFonts w:ascii="Arial" w:hAnsi="Arial"/>
                <w:b/>
                <w:bCs/>
                <w:sz w:val="26"/>
                <w:szCs w:val="26"/>
              </w:rPr>
            </w:pPr>
          </w:p>
        </w:tc>
      </w:tr>
      <w:bookmarkEnd w:id="2"/>
      <w:tr w:rsidR="00677946" w:rsidRPr="000D6162" w14:paraId="04E364A4" w14:textId="77777777">
        <w:trPr>
          <w:trHeight w:val="355"/>
          <w:jc w:val="center"/>
        </w:trPr>
        <w:tc>
          <w:tcPr>
            <w:tcW w:w="923" w:type="dxa"/>
            <w:tcBorders>
              <w:top w:val="nil"/>
              <w:left w:val="nil"/>
              <w:bottom w:val="nil"/>
              <w:right w:val="nil"/>
            </w:tcBorders>
          </w:tcPr>
          <w:p w14:paraId="04D4EA43" w14:textId="77777777" w:rsidR="00677946" w:rsidRPr="000D6162" w:rsidRDefault="00677946">
            <w:pPr>
              <w:jc w:val="both"/>
              <w:rPr>
                <w:rFonts w:ascii="Arial" w:hAnsi="Arial"/>
                <w:sz w:val="26"/>
                <w:szCs w:val="26"/>
                <w:rtl/>
              </w:rPr>
            </w:pPr>
          </w:p>
        </w:tc>
        <w:tc>
          <w:tcPr>
            <w:tcW w:w="4126" w:type="dxa"/>
            <w:tcBorders>
              <w:top w:val="nil"/>
              <w:left w:val="nil"/>
              <w:bottom w:val="nil"/>
              <w:right w:val="nil"/>
            </w:tcBorders>
          </w:tcPr>
          <w:p w14:paraId="772BCDC0" w14:textId="77777777" w:rsidR="00677946" w:rsidRPr="000D6162" w:rsidRDefault="00677946">
            <w:pPr>
              <w:jc w:val="both"/>
              <w:rPr>
                <w:b/>
                <w:bCs/>
                <w:sz w:val="26"/>
                <w:szCs w:val="26"/>
                <w:rtl/>
              </w:rPr>
            </w:pPr>
          </w:p>
        </w:tc>
        <w:tc>
          <w:tcPr>
            <w:tcW w:w="3771" w:type="dxa"/>
            <w:tcBorders>
              <w:top w:val="nil"/>
              <w:left w:val="nil"/>
              <w:bottom w:val="nil"/>
              <w:right w:val="nil"/>
            </w:tcBorders>
          </w:tcPr>
          <w:p w14:paraId="66812E8A" w14:textId="77777777" w:rsidR="00677946" w:rsidRPr="000D6162" w:rsidRDefault="000D6162">
            <w:pPr>
              <w:jc w:val="right"/>
              <w:rPr>
                <w:rFonts w:ascii="Arial" w:hAnsi="Arial"/>
                <w:b/>
                <w:bCs/>
                <w:sz w:val="26"/>
                <w:szCs w:val="26"/>
                <w:rtl/>
              </w:rPr>
            </w:pPr>
            <w:r w:rsidRPr="000D6162">
              <w:rPr>
                <w:rFonts w:ascii="Arial" w:hAnsi="Arial" w:hint="cs"/>
                <w:b/>
                <w:bCs/>
                <w:sz w:val="26"/>
                <w:szCs w:val="26"/>
                <w:rtl/>
              </w:rPr>
              <w:t>ה</w:t>
            </w:r>
            <w:r w:rsidRPr="000D6162">
              <w:rPr>
                <w:rFonts w:hint="cs"/>
                <w:b/>
                <w:bCs/>
                <w:sz w:val="26"/>
                <w:szCs w:val="26"/>
                <w:rtl/>
              </w:rPr>
              <w:t>מאשימה</w:t>
            </w:r>
          </w:p>
        </w:tc>
      </w:tr>
      <w:tr w:rsidR="00677946" w:rsidRPr="000D6162" w14:paraId="0B9C0C40" w14:textId="77777777">
        <w:trPr>
          <w:trHeight w:val="355"/>
          <w:jc w:val="center"/>
        </w:trPr>
        <w:tc>
          <w:tcPr>
            <w:tcW w:w="923" w:type="dxa"/>
            <w:tcBorders>
              <w:top w:val="nil"/>
              <w:left w:val="nil"/>
              <w:bottom w:val="nil"/>
              <w:right w:val="nil"/>
            </w:tcBorders>
          </w:tcPr>
          <w:p w14:paraId="22988866" w14:textId="77777777" w:rsidR="00677946" w:rsidRPr="000D6162" w:rsidRDefault="00677946">
            <w:pPr>
              <w:jc w:val="both"/>
              <w:rPr>
                <w:rFonts w:ascii="Arial" w:hAnsi="Arial"/>
                <w:sz w:val="26"/>
                <w:szCs w:val="26"/>
                <w:rtl/>
              </w:rPr>
            </w:pPr>
          </w:p>
        </w:tc>
        <w:tc>
          <w:tcPr>
            <w:tcW w:w="7897" w:type="dxa"/>
            <w:gridSpan w:val="2"/>
            <w:tcBorders>
              <w:top w:val="nil"/>
              <w:left w:val="nil"/>
              <w:bottom w:val="nil"/>
              <w:right w:val="nil"/>
            </w:tcBorders>
          </w:tcPr>
          <w:p w14:paraId="50B579F6" w14:textId="77777777" w:rsidR="00677946" w:rsidRPr="000D6162" w:rsidRDefault="00677946">
            <w:pPr>
              <w:jc w:val="center"/>
              <w:rPr>
                <w:rFonts w:ascii="Arial" w:hAnsi="Arial"/>
                <w:b/>
                <w:bCs/>
                <w:sz w:val="26"/>
                <w:szCs w:val="26"/>
                <w:rtl/>
              </w:rPr>
            </w:pPr>
          </w:p>
          <w:p w14:paraId="5D14A217" w14:textId="77777777" w:rsidR="00677946" w:rsidRPr="000D6162" w:rsidRDefault="000D6162">
            <w:pPr>
              <w:jc w:val="center"/>
              <w:rPr>
                <w:rFonts w:ascii="Arial" w:hAnsi="Arial"/>
                <w:b/>
                <w:bCs/>
                <w:sz w:val="26"/>
                <w:szCs w:val="26"/>
                <w:rtl/>
              </w:rPr>
            </w:pPr>
            <w:r w:rsidRPr="000D6162">
              <w:rPr>
                <w:rFonts w:ascii="Arial" w:hAnsi="Arial"/>
                <w:b/>
                <w:bCs/>
                <w:sz w:val="26"/>
                <w:szCs w:val="26"/>
                <w:rtl/>
              </w:rPr>
              <w:t>נגד</w:t>
            </w:r>
          </w:p>
          <w:p w14:paraId="7B9B3062" w14:textId="77777777" w:rsidR="00677946" w:rsidRPr="000D6162" w:rsidRDefault="00677946">
            <w:pPr>
              <w:jc w:val="both"/>
              <w:rPr>
                <w:rFonts w:ascii="Arial" w:hAnsi="Arial"/>
                <w:sz w:val="26"/>
                <w:szCs w:val="26"/>
              </w:rPr>
            </w:pPr>
          </w:p>
        </w:tc>
      </w:tr>
      <w:tr w:rsidR="00677946" w:rsidRPr="000D6162" w14:paraId="60F8F4B7" w14:textId="77777777">
        <w:trPr>
          <w:trHeight w:val="355"/>
          <w:jc w:val="center"/>
        </w:trPr>
        <w:tc>
          <w:tcPr>
            <w:tcW w:w="923" w:type="dxa"/>
            <w:tcBorders>
              <w:top w:val="nil"/>
              <w:left w:val="nil"/>
              <w:bottom w:val="nil"/>
              <w:right w:val="nil"/>
            </w:tcBorders>
          </w:tcPr>
          <w:p w14:paraId="7C8EB569" w14:textId="77777777" w:rsidR="00677946" w:rsidRPr="000D6162" w:rsidRDefault="00677946">
            <w:pPr>
              <w:rPr>
                <w:rFonts w:ascii="Arial" w:hAnsi="Arial"/>
                <w:sz w:val="26"/>
                <w:szCs w:val="26"/>
                <w:rtl/>
              </w:rPr>
            </w:pPr>
          </w:p>
        </w:tc>
        <w:tc>
          <w:tcPr>
            <w:tcW w:w="4126" w:type="dxa"/>
            <w:tcBorders>
              <w:top w:val="nil"/>
              <w:left w:val="nil"/>
              <w:bottom w:val="nil"/>
              <w:right w:val="nil"/>
            </w:tcBorders>
          </w:tcPr>
          <w:p w14:paraId="09D265E6" w14:textId="77777777" w:rsidR="00677946" w:rsidRPr="000D6162" w:rsidRDefault="000D6162">
            <w:pPr>
              <w:rPr>
                <w:b/>
                <w:bCs/>
                <w:sz w:val="26"/>
                <w:szCs w:val="26"/>
                <w:rtl/>
              </w:rPr>
            </w:pPr>
            <w:r w:rsidRPr="000D6162">
              <w:rPr>
                <w:rFonts w:hint="cs"/>
                <w:b/>
                <w:bCs/>
                <w:sz w:val="26"/>
                <w:szCs w:val="26"/>
                <w:rtl/>
              </w:rPr>
              <w:t>דניאל שויחט</w:t>
            </w:r>
            <w:r w:rsidRPr="000D6162">
              <w:rPr>
                <w:rFonts w:hint="cs"/>
                <w:b/>
                <w:bCs/>
                <w:sz w:val="26"/>
                <w:szCs w:val="26"/>
                <w:rtl/>
              </w:rPr>
              <w:br/>
              <w:t>על-ידי ב"כ עו"ד רפי ליטן</w:t>
            </w:r>
          </w:p>
        </w:tc>
        <w:tc>
          <w:tcPr>
            <w:tcW w:w="3771" w:type="dxa"/>
            <w:tcBorders>
              <w:top w:val="nil"/>
              <w:left w:val="nil"/>
              <w:bottom w:val="nil"/>
              <w:right w:val="nil"/>
            </w:tcBorders>
          </w:tcPr>
          <w:p w14:paraId="679BD9A1" w14:textId="77777777" w:rsidR="00677946" w:rsidRPr="000D6162" w:rsidRDefault="00677946">
            <w:pPr>
              <w:jc w:val="right"/>
              <w:rPr>
                <w:rFonts w:ascii="Arial" w:hAnsi="Arial"/>
                <w:b/>
                <w:bCs/>
                <w:sz w:val="26"/>
                <w:szCs w:val="26"/>
              </w:rPr>
            </w:pPr>
          </w:p>
        </w:tc>
      </w:tr>
      <w:tr w:rsidR="00677946" w:rsidRPr="000D6162" w14:paraId="46E42B7B" w14:textId="77777777">
        <w:trPr>
          <w:trHeight w:val="355"/>
          <w:jc w:val="center"/>
        </w:trPr>
        <w:tc>
          <w:tcPr>
            <w:tcW w:w="923" w:type="dxa"/>
            <w:tcBorders>
              <w:top w:val="nil"/>
              <w:left w:val="nil"/>
              <w:bottom w:val="nil"/>
              <w:right w:val="nil"/>
            </w:tcBorders>
          </w:tcPr>
          <w:p w14:paraId="49D0FAA7" w14:textId="77777777" w:rsidR="00677946" w:rsidRPr="000D6162" w:rsidRDefault="00677946">
            <w:pPr>
              <w:jc w:val="both"/>
              <w:rPr>
                <w:rFonts w:ascii="Arial" w:hAnsi="Arial"/>
                <w:sz w:val="26"/>
                <w:szCs w:val="26"/>
                <w:rtl/>
              </w:rPr>
            </w:pPr>
          </w:p>
        </w:tc>
        <w:tc>
          <w:tcPr>
            <w:tcW w:w="4126" w:type="dxa"/>
            <w:tcBorders>
              <w:top w:val="nil"/>
              <w:left w:val="nil"/>
              <w:bottom w:val="nil"/>
              <w:right w:val="nil"/>
            </w:tcBorders>
          </w:tcPr>
          <w:p w14:paraId="712CC144" w14:textId="77777777" w:rsidR="00677946" w:rsidRPr="000D6162" w:rsidRDefault="00677946">
            <w:pPr>
              <w:jc w:val="both"/>
              <w:rPr>
                <w:b/>
                <w:bCs/>
                <w:sz w:val="26"/>
                <w:szCs w:val="26"/>
                <w:rtl/>
              </w:rPr>
            </w:pPr>
          </w:p>
        </w:tc>
        <w:tc>
          <w:tcPr>
            <w:tcW w:w="3771" w:type="dxa"/>
            <w:tcBorders>
              <w:top w:val="nil"/>
              <w:left w:val="nil"/>
              <w:bottom w:val="nil"/>
              <w:right w:val="nil"/>
            </w:tcBorders>
          </w:tcPr>
          <w:p w14:paraId="5CFF3D6B" w14:textId="77777777" w:rsidR="00677946" w:rsidRPr="000D6162" w:rsidRDefault="000D6162">
            <w:pPr>
              <w:jc w:val="right"/>
              <w:rPr>
                <w:rFonts w:ascii="Arial" w:hAnsi="Arial"/>
                <w:b/>
                <w:bCs/>
                <w:sz w:val="26"/>
                <w:szCs w:val="26"/>
              </w:rPr>
            </w:pPr>
            <w:r w:rsidRPr="000D6162">
              <w:rPr>
                <w:rFonts w:ascii="Arial" w:hAnsi="Arial" w:hint="cs"/>
                <w:b/>
                <w:bCs/>
                <w:sz w:val="26"/>
                <w:szCs w:val="26"/>
                <w:rtl/>
              </w:rPr>
              <w:t>ה</w:t>
            </w:r>
            <w:r w:rsidRPr="000D6162">
              <w:rPr>
                <w:rFonts w:hint="cs"/>
                <w:b/>
                <w:bCs/>
                <w:sz w:val="26"/>
                <w:szCs w:val="26"/>
                <w:rtl/>
              </w:rPr>
              <w:t>נאשם</w:t>
            </w:r>
          </w:p>
        </w:tc>
      </w:tr>
    </w:tbl>
    <w:p w14:paraId="3A64DFF5" w14:textId="77777777" w:rsidR="00677946" w:rsidRPr="000D6162" w:rsidRDefault="00677946"/>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77946" w14:paraId="1D5CCCBE" w14:textId="77777777">
        <w:trPr>
          <w:trHeight w:val="355"/>
          <w:jc w:val="center"/>
        </w:trPr>
        <w:tc>
          <w:tcPr>
            <w:tcW w:w="8820" w:type="dxa"/>
            <w:tcBorders>
              <w:top w:val="nil"/>
              <w:left w:val="nil"/>
              <w:bottom w:val="nil"/>
              <w:right w:val="nil"/>
            </w:tcBorders>
          </w:tcPr>
          <w:p w14:paraId="4AF07E6A" w14:textId="77777777" w:rsidR="000D6162" w:rsidRPr="000D6162" w:rsidRDefault="000D6162" w:rsidP="000D6162">
            <w:pPr>
              <w:jc w:val="center"/>
              <w:rPr>
                <w:rFonts w:ascii="Arial" w:hAnsi="Arial"/>
                <w:b/>
                <w:bCs/>
                <w:sz w:val="32"/>
                <w:szCs w:val="32"/>
                <w:u w:val="single"/>
                <w:rtl/>
              </w:rPr>
            </w:pPr>
            <w:bookmarkStart w:id="3" w:name="PsakDin" w:colFirst="0" w:colLast="0"/>
            <w:bookmarkEnd w:id="0"/>
            <w:bookmarkEnd w:id="1"/>
            <w:r w:rsidRPr="000D6162">
              <w:rPr>
                <w:rFonts w:ascii="Arial" w:hAnsi="Arial"/>
                <w:b/>
                <w:bCs/>
                <w:sz w:val="32"/>
                <w:szCs w:val="32"/>
                <w:u w:val="single"/>
                <w:rtl/>
              </w:rPr>
              <w:t>גזר דין</w:t>
            </w:r>
          </w:p>
          <w:p w14:paraId="072E7C22" w14:textId="77777777" w:rsidR="00677946" w:rsidRPr="000D6162" w:rsidRDefault="00677946" w:rsidP="000D6162">
            <w:pPr>
              <w:jc w:val="center"/>
              <w:rPr>
                <w:rFonts w:ascii="Arial" w:hAnsi="Arial"/>
                <w:bCs/>
                <w:sz w:val="32"/>
                <w:szCs w:val="32"/>
                <w:u w:val="single"/>
                <w:rtl/>
              </w:rPr>
            </w:pPr>
          </w:p>
        </w:tc>
      </w:tr>
      <w:bookmarkEnd w:id="3"/>
    </w:tbl>
    <w:p w14:paraId="0C2744D5" w14:textId="77777777" w:rsidR="00677946" w:rsidRDefault="00677946">
      <w:pPr>
        <w:rPr>
          <w:rFonts w:ascii="Arial" w:hAnsi="Arial"/>
          <w:rtl/>
        </w:rPr>
      </w:pPr>
    </w:p>
    <w:p w14:paraId="59884E82" w14:textId="77777777" w:rsidR="00677946" w:rsidRDefault="00677946">
      <w:pPr>
        <w:rPr>
          <w:rFonts w:ascii="Arial" w:hAnsi="Arial"/>
          <w:rtl/>
        </w:rPr>
      </w:pPr>
    </w:p>
    <w:p w14:paraId="5D38B4BB" w14:textId="77777777" w:rsidR="00677946" w:rsidRDefault="000D6162">
      <w:pPr>
        <w:spacing w:line="360" w:lineRule="auto"/>
        <w:jc w:val="both"/>
        <w:rPr>
          <w:rtl/>
        </w:rPr>
      </w:pPr>
      <w:r>
        <w:rPr>
          <w:rFonts w:hint="cs"/>
          <w:rtl/>
        </w:rPr>
        <w:t xml:space="preserve">הנאשם, אדם כבן 33, נותן את הדין באשמה של ייבוא סם מסוכן והחזקתו. ביום 9/5/13 יצא הנאשם את הארץ והגיע להולנד. שם הצטייד בשני בקבוקים שהכילו סם מסוג </w:t>
      </w:r>
      <w:r>
        <w:t>MDMA</w:t>
      </w:r>
      <w:r>
        <w:rPr>
          <w:rFonts w:hint="cs"/>
          <w:rtl/>
        </w:rPr>
        <w:t>, בתכולה של 740 מ"ל בכל בקבוק. הוא טס עם הסם ביום 12/5/13 ונחת בנתב"ג.</w:t>
      </w:r>
    </w:p>
    <w:p w14:paraId="637A4C2A" w14:textId="77777777" w:rsidR="00677946" w:rsidRDefault="00677946">
      <w:pPr>
        <w:spacing w:line="360" w:lineRule="auto"/>
        <w:jc w:val="both"/>
        <w:rPr>
          <w:rtl/>
        </w:rPr>
      </w:pPr>
    </w:p>
    <w:p w14:paraId="65C8C61D" w14:textId="77777777" w:rsidR="00677946" w:rsidRDefault="000D6162">
      <w:pPr>
        <w:spacing w:line="360" w:lineRule="auto"/>
        <w:jc w:val="both"/>
        <w:rPr>
          <w:rtl/>
        </w:rPr>
      </w:pPr>
      <w:r>
        <w:rPr>
          <w:rFonts w:hint="cs"/>
          <w:rtl/>
        </w:rPr>
        <w:t>הנאשם הודה בעובדות הכלולות בכתב האישום והטיעון לעונש התבצע על פי הסדר טיעון שבין הצדדים.</w:t>
      </w:r>
    </w:p>
    <w:p w14:paraId="62654516" w14:textId="77777777" w:rsidR="00677946" w:rsidRDefault="00677946">
      <w:pPr>
        <w:spacing w:line="360" w:lineRule="auto"/>
        <w:jc w:val="both"/>
        <w:rPr>
          <w:rtl/>
        </w:rPr>
      </w:pPr>
    </w:p>
    <w:p w14:paraId="6218552D" w14:textId="77777777" w:rsidR="00677946" w:rsidRDefault="000D6162">
      <w:pPr>
        <w:spacing w:line="360" w:lineRule="auto"/>
        <w:jc w:val="both"/>
        <w:rPr>
          <w:rtl/>
        </w:rPr>
      </w:pPr>
      <w:r>
        <w:rPr>
          <w:rFonts w:hint="cs"/>
          <w:rtl/>
        </w:rPr>
        <w:t>באת כוח המאשימה הדגישה את החומרה היחסית של מעשה העבירה. לסברתהּ, כמות הסם שהנאשם הביא עמו מחו"ל, די בה כדי לשמש את צרכיהם של צרכני סמים רבים. על כן, ניתן לומר שבעבירה, בנסיבותיה, מגולמת פגיעה ממשית בערך החברתי המוגן.</w:t>
      </w:r>
    </w:p>
    <w:p w14:paraId="5A8886AC" w14:textId="77777777" w:rsidR="00677946" w:rsidRDefault="00677946">
      <w:pPr>
        <w:spacing w:line="360" w:lineRule="auto"/>
        <w:jc w:val="both"/>
        <w:rPr>
          <w:rtl/>
        </w:rPr>
      </w:pPr>
    </w:p>
    <w:p w14:paraId="42A360D5" w14:textId="77777777" w:rsidR="00677946" w:rsidRDefault="000D6162">
      <w:pPr>
        <w:spacing w:line="360" w:lineRule="auto"/>
        <w:jc w:val="both"/>
        <w:rPr>
          <w:rtl/>
        </w:rPr>
      </w:pPr>
      <w:r>
        <w:rPr>
          <w:rFonts w:hint="cs"/>
          <w:rtl/>
        </w:rPr>
        <w:t xml:space="preserve">נסיבות הפרשה </w:t>
      </w:r>
      <w:r>
        <w:rPr>
          <w:rtl/>
        </w:rPr>
        <w:t>–</w:t>
      </w:r>
      <w:r>
        <w:rPr>
          <w:rFonts w:hint="cs"/>
          <w:rtl/>
        </w:rPr>
        <w:t xml:space="preserve"> מעבר לעובדות הכלולות בכתב האישום </w:t>
      </w:r>
      <w:r>
        <w:rPr>
          <w:rtl/>
        </w:rPr>
        <w:t>–</w:t>
      </w:r>
      <w:r>
        <w:rPr>
          <w:rFonts w:hint="cs"/>
          <w:rtl/>
        </w:rPr>
        <w:t xml:space="preserve"> לוטות בערפל. הנאשם לא מסר מידע בעניין זה. על כן, יש לראותו כאחראי בלעדי לתכנון ייבוא הסם ולמימוש התוכנית.</w:t>
      </w:r>
    </w:p>
    <w:p w14:paraId="10C697E2" w14:textId="77777777" w:rsidR="00677946" w:rsidRDefault="00677946">
      <w:pPr>
        <w:spacing w:line="360" w:lineRule="auto"/>
        <w:jc w:val="both"/>
        <w:rPr>
          <w:rtl/>
        </w:rPr>
      </w:pPr>
    </w:p>
    <w:p w14:paraId="2DBD7E09" w14:textId="77777777" w:rsidR="00677946" w:rsidRDefault="000D6162">
      <w:pPr>
        <w:spacing w:line="360" w:lineRule="auto"/>
        <w:jc w:val="both"/>
        <w:rPr>
          <w:rtl/>
        </w:rPr>
      </w:pPr>
      <w:r>
        <w:rPr>
          <w:rFonts w:hint="cs"/>
          <w:rtl/>
        </w:rPr>
        <w:t xml:space="preserve">עיון בפסיקה מגלה, לדעת המאשימה, שמתחם העונש הראוי בעבירת ייבוא סמים, נע בין 24 ל-36 חודשי מאסר בפועל [ראו למשל </w:t>
      </w:r>
      <w:hyperlink r:id="rId6" w:history="1">
        <w:r w:rsidRPr="000D6162">
          <w:rPr>
            <w:color w:val="0000FF"/>
            <w:u w:val="single"/>
            <w:rtl/>
          </w:rPr>
          <w:t>ת"פ (באר שבע) 28025-05-11</w:t>
        </w:r>
      </w:hyperlink>
      <w:r>
        <w:rPr>
          <w:rFonts w:hint="cs"/>
          <w:rtl/>
        </w:rPr>
        <w:t xml:space="preserve"> </w:t>
      </w:r>
      <w:r>
        <w:rPr>
          <w:rFonts w:hint="cs"/>
          <w:b/>
          <w:bCs/>
          <w:rtl/>
        </w:rPr>
        <w:t>מדינת ישראל נ' לונג</w:t>
      </w:r>
      <w:r>
        <w:rPr>
          <w:rFonts w:hint="cs"/>
          <w:rtl/>
        </w:rPr>
        <w:t>].</w:t>
      </w:r>
    </w:p>
    <w:p w14:paraId="5998FD4E" w14:textId="77777777" w:rsidR="00677946" w:rsidRDefault="00677946">
      <w:pPr>
        <w:spacing w:line="360" w:lineRule="auto"/>
        <w:jc w:val="both"/>
        <w:rPr>
          <w:rtl/>
        </w:rPr>
      </w:pPr>
    </w:p>
    <w:p w14:paraId="5D3A719A" w14:textId="77777777" w:rsidR="00677946" w:rsidRDefault="000D6162">
      <w:pPr>
        <w:spacing w:line="360" w:lineRule="auto"/>
        <w:jc w:val="both"/>
        <w:rPr>
          <w:rtl/>
        </w:rPr>
      </w:pPr>
      <w:r>
        <w:rPr>
          <w:rFonts w:hint="cs"/>
          <w:rtl/>
        </w:rPr>
        <w:lastRenderedPageBreak/>
        <w:t>כיוון שהתביעה לא מצאה נסיבות מקלות זולת זה שהנאשם נעדר עבר פלילי וששירות המבחן, בתסקירו, המליץ על ענישה מקלה משום שהוא צופה אפשרויות השתקמות טובות, ביקשה התביעה שייגזרו לנאשם 30 חודשי מאסר לנשיאה בפועל, לצד קנס ומאסר מותנה.</w:t>
      </w:r>
    </w:p>
    <w:p w14:paraId="2624F9BD" w14:textId="77777777" w:rsidR="00677946" w:rsidRDefault="00677946">
      <w:pPr>
        <w:spacing w:line="360" w:lineRule="auto"/>
        <w:jc w:val="both"/>
        <w:rPr>
          <w:rtl/>
        </w:rPr>
      </w:pPr>
    </w:p>
    <w:p w14:paraId="738D8480" w14:textId="77777777" w:rsidR="00677946" w:rsidRDefault="000D6162">
      <w:pPr>
        <w:spacing w:line="360" w:lineRule="auto"/>
        <w:jc w:val="both"/>
        <w:rPr>
          <w:rtl/>
        </w:rPr>
      </w:pPr>
      <w:r>
        <w:rPr>
          <w:rFonts w:hint="cs"/>
          <w:rtl/>
        </w:rPr>
        <w:t>בא כוח הנאשם מיקד את דבריו בעיקר בתסקיר שירות המבחן והשלכותיו. הסנגור אינו חולק על התכלית ההרתעתית של הענישה, אך ערכו של הסיכוי שנאשם מסוים יחזור בו מדרכו הרעה, ישתקם ויימנע מלפשוע ומלהחטיא את הרבים, הוא שיקול לא פחות חשוב.</w:t>
      </w:r>
    </w:p>
    <w:p w14:paraId="17210F39" w14:textId="77777777" w:rsidR="00677946" w:rsidRDefault="00677946">
      <w:pPr>
        <w:spacing w:line="360" w:lineRule="auto"/>
        <w:jc w:val="both"/>
        <w:rPr>
          <w:rtl/>
        </w:rPr>
      </w:pPr>
    </w:p>
    <w:p w14:paraId="6A51C6C3" w14:textId="77777777" w:rsidR="00677946" w:rsidRDefault="000D6162">
      <w:pPr>
        <w:spacing w:line="360" w:lineRule="auto"/>
        <w:jc w:val="both"/>
        <w:rPr>
          <w:rtl/>
        </w:rPr>
      </w:pPr>
      <w:r>
        <w:rPr>
          <w:rFonts w:hint="cs"/>
          <w:rtl/>
        </w:rPr>
        <w:t>מתסקיר שירות המבחן עולה כי הנאשם, שנולד ברוסיה, עלה לארץ בהיותו כבן 18 והתברר לסבול מקשיי הסתגלות לשפה ולתרבות. הוא התגייס לצבא ושירת בחיל האוויר שירות צבאי מלא. אחרי שסיים את השירות, עבד בעבודות שונות, לרבות ניסיון להקים עסק עצמאי. הפעילות הזו שיקעה אותו בחובות. החובות גרמו למשבר בחייו. הוא התקשה לתפקד ושקע בשימוש בסמים (לדבריו, שימוש מזדמן בסמים קלים). הנאשם נתפס לביצוע העבירה בניסיון לצאת מן ההסתבכות הכלכלית.</w:t>
      </w:r>
    </w:p>
    <w:p w14:paraId="5E430480" w14:textId="77777777" w:rsidR="00677946" w:rsidRDefault="00677946">
      <w:pPr>
        <w:spacing w:line="360" w:lineRule="auto"/>
        <w:jc w:val="both"/>
        <w:rPr>
          <w:rtl/>
        </w:rPr>
      </w:pPr>
    </w:p>
    <w:p w14:paraId="4C107E49" w14:textId="77777777" w:rsidR="00677946" w:rsidRDefault="000D6162">
      <w:pPr>
        <w:spacing w:line="360" w:lineRule="auto"/>
        <w:jc w:val="both"/>
        <w:rPr>
          <w:rtl/>
        </w:rPr>
      </w:pPr>
      <w:r>
        <w:rPr>
          <w:rFonts w:hint="cs"/>
          <w:rtl/>
        </w:rPr>
        <w:t>הנאשם הביע לפני שירות המבחן חרטה ובושה והביע רצון נחרץ לשפר את דרכיו. שירות המבחן התרשם שקיימים גורמי סיכוי משמעותיים לשינוי המקוּוה באורח חייו של הנאשם. העובדה שנחשף למעצר תקופה לא מבוטלת, ועצם ההעמדה לדין, היווּ גורם חשוב בתובנה שגיבש הנאשם שעליו להתנהל מכאן ואילך כהלכה. השירות גם שקל את נכונותו של הנאשם להשתלב בתהליך טיפולי בפיקוח שירות המבחן.</w:t>
      </w:r>
    </w:p>
    <w:p w14:paraId="2FC9A3EB" w14:textId="77777777" w:rsidR="00677946" w:rsidRDefault="00677946">
      <w:pPr>
        <w:spacing w:line="360" w:lineRule="auto"/>
        <w:jc w:val="both"/>
        <w:rPr>
          <w:rtl/>
        </w:rPr>
      </w:pPr>
    </w:p>
    <w:p w14:paraId="65A22956" w14:textId="77777777" w:rsidR="00677946" w:rsidRDefault="000D6162">
      <w:pPr>
        <w:spacing w:line="360" w:lineRule="auto"/>
        <w:jc w:val="both"/>
        <w:rPr>
          <w:rtl/>
        </w:rPr>
      </w:pPr>
      <w:r>
        <w:rPr>
          <w:rFonts w:hint="cs"/>
          <w:rtl/>
        </w:rPr>
        <w:t>המלצת השירות היא שייגזר על נאשם עונש לביצוע בעבודת שירות, בצירוף מאסר מותנה והתחייבות להימנע מביצוע עבירות. כל אלה, בצירוף תהליך טיפולי-שיקומי שיעבור, עשויים להוות בסיס ראוי לשינוי דרך אצל הנאשם.</w:t>
      </w:r>
    </w:p>
    <w:p w14:paraId="1918C693" w14:textId="77777777" w:rsidR="00677946" w:rsidRDefault="00677946">
      <w:pPr>
        <w:spacing w:line="360" w:lineRule="auto"/>
        <w:jc w:val="both"/>
        <w:rPr>
          <w:rtl/>
        </w:rPr>
      </w:pPr>
    </w:p>
    <w:p w14:paraId="6686B251" w14:textId="77777777" w:rsidR="00677946" w:rsidRDefault="000D6162">
      <w:pPr>
        <w:spacing w:line="360" w:lineRule="auto"/>
        <w:jc w:val="both"/>
        <w:rPr>
          <w:rtl/>
        </w:rPr>
      </w:pPr>
      <w:r>
        <w:rPr>
          <w:rFonts w:hint="cs"/>
          <w:rtl/>
        </w:rPr>
        <w:t>הסנגור הציע שלצד אימוץ ההצעה העונשית של שירות המבחן, יחויב הנאשם בתשלום סכום כסף נכבד שישולם מדי חודש בחודשו וייתרם למטרות חינוכיות או למטרות לחימה בעבירות סמים.</w:t>
      </w:r>
    </w:p>
    <w:p w14:paraId="5873C11D" w14:textId="77777777" w:rsidR="00677946" w:rsidRDefault="00677946">
      <w:pPr>
        <w:spacing w:line="360" w:lineRule="auto"/>
        <w:jc w:val="both"/>
        <w:rPr>
          <w:rtl/>
        </w:rPr>
      </w:pPr>
    </w:p>
    <w:p w14:paraId="6BC460C1" w14:textId="77777777" w:rsidR="00677946" w:rsidRDefault="000D6162">
      <w:pPr>
        <w:spacing w:line="360" w:lineRule="auto"/>
        <w:jc w:val="both"/>
        <w:rPr>
          <w:rtl/>
        </w:rPr>
      </w:pPr>
      <w:r>
        <w:rPr>
          <w:rFonts w:hint="cs"/>
          <w:rtl/>
        </w:rPr>
        <w:t>שקלתי את היבטי הענישה השונים כפי שהוצגו מפי הצדדים. אינני מקל ראש בהערכות שירות המבחן ובסיכוי הנשקף מהן לשינוי מיטיב בדרך ההתנהלות של הנאשם. ברור שהצלחת הפעילות הזו, היא בת תועלת לחברה. עם זה, אי אפשר להתעלם מן ההשלכות הקשות החברתיות של מעשה העבירה, ואי אפשר שלא לקחת בחשבון את מצוות הדין להעמיד במרכז את עיקרון ההלימה; היינו, קביעת כל עונש ההולם את העבירה, נסיבותיה ואת מדיניות הענישה המקובלת.</w:t>
      </w:r>
    </w:p>
    <w:p w14:paraId="67C0C98B" w14:textId="77777777" w:rsidR="00677946" w:rsidRDefault="00677946">
      <w:pPr>
        <w:spacing w:line="360" w:lineRule="auto"/>
        <w:jc w:val="both"/>
        <w:rPr>
          <w:rtl/>
        </w:rPr>
      </w:pPr>
    </w:p>
    <w:p w14:paraId="6A00B608" w14:textId="77777777" w:rsidR="00677946" w:rsidRDefault="000D6162">
      <w:pPr>
        <w:spacing w:line="360" w:lineRule="auto"/>
        <w:jc w:val="both"/>
        <w:rPr>
          <w:rtl/>
        </w:rPr>
      </w:pPr>
      <w:r>
        <w:rPr>
          <w:rFonts w:hint="cs"/>
          <w:rtl/>
        </w:rPr>
        <w:t xml:space="preserve">ההליכה לאור "עיקרון ההלימה" מוליכה למסקנה חד משמעית, שדינו של הנאשם למאסר. היעדר העבר הפלילי והתצפית החיובית ששירות המבחן הצביע עליה, עשויים רק להטות את העונש אלי </w:t>
      </w:r>
      <w:r>
        <w:rPr>
          <w:rFonts w:hint="cs"/>
          <w:rtl/>
        </w:rPr>
        <w:lastRenderedPageBreak/>
        <w:t>הסף התחתון של מתחם העונש הראוי; הא ותו לא. אין מדובר במקרה שבו סיכויי השיקום וצורכי השיקום מסיגים לאחור כל שיקול אחר משיקולי הענישה.</w:t>
      </w:r>
    </w:p>
    <w:p w14:paraId="38543742" w14:textId="77777777" w:rsidR="00677946" w:rsidRDefault="00677946">
      <w:pPr>
        <w:spacing w:line="360" w:lineRule="auto"/>
        <w:jc w:val="both"/>
        <w:rPr>
          <w:rtl/>
        </w:rPr>
      </w:pPr>
    </w:p>
    <w:p w14:paraId="11D8BD77" w14:textId="77777777" w:rsidR="00677946" w:rsidRDefault="000D6162">
      <w:pPr>
        <w:spacing w:line="360" w:lineRule="auto"/>
        <w:jc w:val="both"/>
        <w:rPr>
          <w:rtl/>
        </w:rPr>
      </w:pPr>
      <w:r>
        <w:rPr>
          <w:rFonts w:hint="cs"/>
          <w:rtl/>
        </w:rPr>
        <w:t>לפיכך, אני דן את הנאשם לעונש מאסר של 43 חודשים, שמהם 25 חודשים לנשיאה בפועל ובמניינם תקופת המעצר מיום 12/5/13 ועד 30/6/13. יתר המאסר על תנאי לשלוש שנים מתום המאסר בתיק זה. התנאי הוא שלא יעבור עבירה לפי פקודת הסמים שהיא פשע.</w:t>
      </w:r>
    </w:p>
    <w:p w14:paraId="42E93394" w14:textId="77777777" w:rsidR="00677946" w:rsidRDefault="00677946">
      <w:pPr>
        <w:spacing w:line="360" w:lineRule="auto"/>
        <w:jc w:val="both"/>
        <w:rPr>
          <w:rtl/>
        </w:rPr>
      </w:pPr>
    </w:p>
    <w:p w14:paraId="076C9B32" w14:textId="77777777" w:rsidR="00677946" w:rsidRDefault="000D6162">
      <w:pPr>
        <w:spacing w:line="360" w:lineRule="auto"/>
        <w:jc w:val="both"/>
        <w:rPr>
          <w:rtl/>
        </w:rPr>
      </w:pPr>
      <w:r>
        <w:rPr>
          <w:rFonts w:hint="cs"/>
          <w:rtl/>
        </w:rPr>
        <w:t>לכך אני מוסיף גם קנס בסך 2,000 ש"ח או חודשיים מאסר תמורתו. הקנס ישולם ב-10 שיעורים חודשיים שווים, החל מיום 1/3/14.</w:t>
      </w:r>
    </w:p>
    <w:p w14:paraId="6C8A8C40" w14:textId="77777777" w:rsidR="00677946" w:rsidRDefault="00677946">
      <w:pPr>
        <w:rPr>
          <w:rtl/>
        </w:rPr>
      </w:pPr>
    </w:p>
    <w:p w14:paraId="1A337135" w14:textId="77777777" w:rsidR="00677946" w:rsidRDefault="000D6162">
      <w:pPr>
        <w:rPr>
          <w:b/>
          <w:bCs/>
          <w:rtl/>
        </w:rPr>
      </w:pPr>
      <w:r w:rsidRPr="000D6162">
        <w:rPr>
          <w:b/>
          <w:bCs/>
          <w:color w:val="FFFFFF"/>
          <w:sz w:val="2"/>
          <w:szCs w:val="2"/>
          <w:rtl/>
        </w:rPr>
        <w:t>5129371</w:t>
      </w:r>
      <w:r>
        <w:rPr>
          <w:rFonts w:hint="cs"/>
          <w:b/>
          <w:bCs/>
          <w:rtl/>
        </w:rPr>
        <w:t>זכות ערעור כדין.</w:t>
      </w:r>
    </w:p>
    <w:p w14:paraId="428ABEC4" w14:textId="77777777" w:rsidR="00677946" w:rsidRDefault="000D6162">
      <w:pPr>
        <w:rPr>
          <w:rFonts w:cs="FrankRuehl"/>
          <w:sz w:val="28"/>
          <w:szCs w:val="28"/>
          <w:rtl/>
        </w:rPr>
      </w:pPr>
      <w:r w:rsidRPr="000D6162">
        <w:rPr>
          <w:rFonts w:ascii="Arial" w:hAnsi="Arial"/>
          <w:b/>
          <w:bCs/>
          <w:color w:val="FFFFFF"/>
          <w:sz w:val="2"/>
          <w:szCs w:val="2"/>
          <w:rtl/>
        </w:rPr>
        <w:t>54678313</w:t>
      </w:r>
      <w:r>
        <w:rPr>
          <w:rFonts w:ascii="Arial" w:hAnsi="Arial"/>
          <w:b/>
          <w:bCs/>
          <w:rtl/>
        </w:rPr>
        <w:t xml:space="preserve">ניתן היום,  ז' שבט תשע"ד, 08 ינואר 2014, במעמד הצדדים. </w:t>
      </w:r>
    </w:p>
    <w:p w14:paraId="5FC54E1A" w14:textId="77777777" w:rsidR="00677946" w:rsidRDefault="000D6162">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F5220AD" w14:textId="77777777" w:rsidR="00677946" w:rsidRDefault="00677946">
      <w:pPr>
        <w:jc w:val="center"/>
        <w:rPr>
          <w:rFonts w:ascii="Arial" w:hAnsi="Arial" w:cs="FrankRuehl"/>
          <w:sz w:val="28"/>
          <w:szCs w:val="28"/>
          <w:rtl/>
        </w:rPr>
      </w:pPr>
    </w:p>
    <w:p w14:paraId="7CBC4F88" w14:textId="77777777" w:rsidR="00677946" w:rsidRDefault="00677946">
      <w:pPr>
        <w:rPr>
          <w:rFonts w:cs="FrankRuehl"/>
          <w:sz w:val="28"/>
          <w:szCs w:val="28"/>
          <w:rtl/>
        </w:rPr>
      </w:pPr>
    </w:p>
    <w:p w14:paraId="5F440792" w14:textId="77777777" w:rsidR="00677946" w:rsidRPr="00E2208F" w:rsidRDefault="00E2208F">
      <w:pPr>
        <w:pStyle w:val="a3"/>
        <w:jc w:val="center"/>
        <w:rPr>
          <w:color w:val="FFFFFF"/>
          <w:sz w:val="2"/>
          <w:szCs w:val="2"/>
          <w:rtl/>
        </w:rPr>
      </w:pPr>
      <w:bookmarkStart w:id="4" w:name="_GoBack"/>
      <w:bookmarkEnd w:id="4"/>
      <w:r w:rsidRPr="00E2208F">
        <w:rPr>
          <w:color w:val="FFFFFF"/>
          <w:sz w:val="2"/>
          <w:szCs w:val="2"/>
          <w:rtl/>
        </w:rPr>
        <w:t>5129371</w:t>
      </w:r>
    </w:p>
    <w:p w14:paraId="4FE34CEC" w14:textId="77777777" w:rsidR="000D6162" w:rsidRPr="00E2208F" w:rsidRDefault="00E2208F" w:rsidP="000D6162">
      <w:pPr>
        <w:keepNext/>
        <w:rPr>
          <w:rFonts w:ascii="David" w:hAnsi="David"/>
          <w:color w:val="FFFFFF"/>
          <w:sz w:val="2"/>
          <w:szCs w:val="2"/>
          <w:rtl/>
        </w:rPr>
      </w:pPr>
      <w:r w:rsidRPr="00E2208F">
        <w:rPr>
          <w:rFonts w:ascii="David" w:hAnsi="David"/>
          <w:color w:val="FFFFFF"/>
          <w:sz w:val="2"/>
          <w:szCs w:val="2"/>
          <w:rtl/>
        </w:rPr>
        <w:t>54678313</w:t>
      </w:r>
    </w:p>
    <w:p w14:paraId="5E0ACE41" w14:textId="77777777" w:rsidR="000D6162" w:rsidRPr="000D6162" w:rsidRDefault="000D6162" w:rsidP="000D6162">
      <w:pPr>
        <w:keepNext/>
        <w:rPr>
          <w:rFonts w:ascii="David" w:hAnsi="David"/>
          <w:color w:val="000000"/>
          <w:sz w:val="22"/>
          <w:szCs w:val="22"/>
          <w:rtl/>
        </w:rPr>
      </w:pPr>
      <w:r w:rsidRPr="000D6162">
        <w:rPr>
          <w:rFonts w:ascii="David" w:hAnsi="David"/>
          <w:color w:val="000000"/>
          <w:sz w:val="22"/>
          <w:szCs w:val="22"/>
          <w:rtl/>
        </w:rPr>
        <w:t>ה דר' עודד מודריק 54678313</w:t>
      </w:r>
    </w:p>
    <w:p w14:paraId="5F976941" w14:textId="77777777" w:rsidR="000D6162" w:rsidRDefault="000D6162" w:rsidP="000D6162">
      <w:r w:rsidRPr="000D6162">
        <w:rPr>
          <w:color w:val="000000"/>
          <w:rtl/>
        </w:rPr>
        <w:t>נוסח מסמך זה כפוף לשינויי ניסוח ועריכה</w:t>
      </w:r>
    </w:p>
    <w:p w14:paraId="4EADD40E" w14:textId="77777777" w:rsidR="000D6162" w:rsidRDefault="000D6162" w:rsidP="000D6162">
      <w:pPr>
        <w:rPr>
          <w:rtl/>
        </w:rPr>
      </w:pPr>
    </w:p>
    <w:p w14:paraId="7DACF712" w14:textId="77777777" w:rsidR="000D6162" w:rsidRDefault="000D6162" w:rsidP="000D6162">
      <w:pPr>
        <w:jc w:val="center"/>
        <w:rPr>
          <w:color w:val="0000FF"/>
          <w:u w:val="single"/>
        </w:rPr>
      </w:pPr>
      <w:hyperlink r:id="rId7" w:history="1">
        <w:r>
          <w:rPr>
            <w:color w:val="0000FF"/>
            <w:u w:val="single"/>
            <w:rtl/>
          </w:rPr>
          <w:t>בעניין עריכה ושינויים במסמכי פסיקה, חקיקה ועוד באתר נבו – הקש כאן</w:t>
        </w:r>
      </w:hyperlink>
    </w:p>
    <w:p w14:paraId="6F8F7382" w14:textId="77777777" w:rsidR="00E2208F" w:rsidRPr="00E2208F" w:rsidRDefault="00E2208F" w:rsidP="00E2208F">
      <w:pPr>
        <w:keepNext/>
        <w:rPr>
          <w:rFonts w:ascii="David" w:hAnsi="David"/>
          <w:color w:val="000000"/>
          <w:sz w:val="22"/>
          <w:szCs w:val="22"/>
          <w:rtl/>
        </w:rPr>
      </w:pPr>
    </w:p>
    <w:p w14:paraId="6D4F39BC" w14:textId="77777777" w:rsidR="00677946" w:rsidRPr="00E2208F" w:rsidRDefault="00677946" w:rsidP="00E2208F">
      <w:pPr>
        <w:keepNext/>
        <w:rPr>
          <w:rFonts w:ascii="David" w:hAnsi="David" w:hint="cs"/>
          <w:color w:val="000000"/>
          <w:sz w:val="22"/>
          <w:szCs w:val="22"/>
        </w:rPr>
      </w:pPr>
    </w:p>
    <w:sectPr w:rsidR="00677946" w:rsidRPr="00E2208F" w:rsidSect="00E2208F">
      <w:headerReference w:type="even" r:id="rId8"/>
      <w:headerReference w:type="default" r:id="rId9"/>
      <w:footerReference w:type="even" r:id="rId10"/>
      <w:footerReference w:type="default" r:id="rId1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DCC120" w14:textId="77777777" w:rsidR="00026145" w:rsidRPr="00553696" w:rsidRDefault="00026145">
      <w:pPr>
        <w:rPr>
          <w:rFonts w:cs="Arial"/>
          <w:szCs w:val="20"/>
        </w:rPr>
      </w:pPr>
      <w:r>
        <w:separator/>
      </w:r>
    </w:p>
  </w:endnote>
  <w:endnote w:type="continuationSeparator" w:id="0">
    <w:p w14:paraId="407C56DF" w14:textId="77777777" w:rsidR="00026145" w:rsidRPr="00553696" w:rsidRDefault="00026145">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191C46" w14:textId="77777777" w:rsidR="00E2208F" w:rsidRDefault="00E2208F" w:rsidP="00E2208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B5E5D21" w14:textId="77777777" w:rsidR="00677946" w:rsidRPr="00E2208F" w:rsidRDefault="00E2208F" w:rsidP="00E2208F">
    <w:pPr>
      <w:pStyle w:val="a4"/>
      <w:pBdr>
        <w:top w:val="single" w:sz="4" w:space="1" w:color="auto"/>
        <w:between w:val="single" w:sz="4" w:space="0" w:color="auto"/>
      </w:pBdr>
      <w:spacing w:after="60"/>
      <w:jc w:val="center"/>
      <w:rPr>
        <w:rFonts w:ascii="FrankRuehl" w:hAnsi="FrankRuehl" w:cs="FrankRuehl"/>
        <w:color w:val="000000"/>
      </w:rPr>
    </w:pPr>
    <w:r w:rsidRPr="00E2208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E04B3" w14:textId="77777777" w:rsidR="00E2208F" w:rsidRDefault="00E2208F" w:rsidP="00E2208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C2310">
      <w:rPr>
        <w:rFonts w:ascii="FrankRuehl" w:hAnsi="FrankRuehl" w:cs="FrankRuehl"/>
        <w:noProof/>
        <w:rtl/>
      </w:rPr>
      <w:t>1</w:t>
    </w:r>
    <w:r>
      <w:rPr>
        <w:rFonts w:ascii="FrankRuehl" w:hAnsi="FrankRuehl" w:cs="FrankRuehl"/>
        <w:rtl/>
      </w:rPr>
      <w:fldChar w:fldCharType="end"/>
    </w:r>
  </w:p>
  <w:p w14:paraId="54B73CBD" w14:textId="77777777" w:rsidR="00677946" w:rsidRPr="00E2208F" w:rsidRDefault="00E2208F" w:rsidP="00E2208F">
    <w:pPr>
      <w:pStyle w:val="a4"/>
      <w:pBdr>
        <w:top w:val="single" w:sz="4" w:space="1" w:color="auto"/>
        <w:between w:val="single" w:sz="4" w:space="0" w:color="auto"/>
      </w:pBdr>
      <w:spacing w:after="60"/>
      <w:jc w:val="center"/>
      <w:rPr>
        <w:rFonts w:ascii="FrankRuehl" w:hAnsi="FrankRuehl" w:cs="FrankRuehl"/>
        <w:color w:val="000000"/>
      </w:rPr>
    </w:pPr>
    <w:r w:rsidRPr="00E2208F">
      <w:rPr>
        <w:rFonts w:ascii="FrankRuehl" w:hAnsi="FrankRuehl" w:cs="FrankRuehl"/>
        <w:color w:val="000000"/>
      </w:rPr>
      <w:pict w14:anchorId="594CDB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47CFDE" w14:textId="77777777" w:rsidR="00026145" w:rsidRPr="00553696" w:rsidRDefault="00026145">
      <w:pPr>
        <w:rPr>
          <w:rFonts w:cs="Arial"/>
          <w:szCs w:val="20"/>
        </w:rPr>
      </w:pPr>
      <w:r>
        <w:separator/>
      </w:r>
    </w:p>
  </w:footnote>
  <w:footnote w:type="continuationSeparator" w:id="0">
    <w:p w14:paraId="0734EFF2" w14:textId="77777777" w:rsidR="00026145" w:rsidRPr="00553696" w:rsidRDefault="00026145">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A1D1D2" w14:textId="77777777" w:rsidR="000D6162" w:rsidRPr="00E2208F" w:rsidRDefault="00E2208F" w:rsidP="00E2208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31971-05-13</w:t>
    </w:r>
    <w:r>
      <w:rPr>
        <w:rFonts w:ascii="David" w:hAnsi="David"/>
        <w:color w:val="000000"/>
        <w:sz w:val="22"/>
        <w:szCs w:val="22"/>
        <w:rtl/>
      </w:rPr>
      <w:tab/>
      <w:t xml:space="preserve"> מדינת ישראל נ' דניאל שויחט</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4C31B6" w14:textId="77777777" w:rsidR="000D6162" w:rsidRPr="00E2208F" w:rsidRDefault="00E2208F" w:rsidP="00E2208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31971-05-13</w:t>
    </w:r>
    <w:r>
      <w:rPr>
        <w:rFonts w:ascii="David" w:hAnsi="David"/>
        <w:color w:val="000000"/>
        <w:sz w:val="22"/>
        <w:szCs w:val="22"/>
        <w:rtl/>
      </w:rPr>
      <w:tab/>
      <w:t xml:space="preserve"> מדינת ישראל נ' דניאל שויחט</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77946"/>
    <w:rsid w:val="00026145"/>
    <w:rsid w:val="000D6162"/>
    <w:rsid w:val="001C2310"/>
    <w:rsid w:val="00272453"/>
    <w:rsid w:val="00677946"/>
    <w:rsid w:val="00E2208F"/>
    <w:rsid w:val="00F15E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085A3BA"/>
  <w15:chartTrackingRefBased/>
  <w15:docId w15:val="{FE24C205-289C-4875-B5D4-DA4FB2359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77946"/>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677946"/>
    <w:pPr>
      <w:tabs>
        <w:tab w:val="center" w:pos="4153"/>
        <w:tab w:val="right" w:pos="8306"/>
      </w:tabs>
    </w:pPr>
  </w:style>
  <w:style w:type="paragraph" w:styleId="a4">
    <w:name w:val="footer"/>
    <w:basedOn w:val="a"/>
    <w:rsid w:val="00677946"/>
    <w:pPr>
      <w:tabs>
        <w:tab w:val="center" w:pos="4153"/>
        <w:tab w:val="right" w:pos="8306"/>
      </w:tabs>
    </w:pPr>
  </w:style>
  <w:style w:type="character" w:styleId="a5">
    <w:name w:val="page number"/>
    <w:basedOn w:val="a0"/>
    <w:rsid w:val="00677946"/>
  </w:style>
  <w:style w:type="character" w:styleId="a6">
    <w:name w:val="line number"/>
    <w:basedOn w:val="a0"/>
    <w:rsid w:val="00677946"/>
  </w:style>
  <w:style w:type="character" w:styleId="Hyperlink">
    <w:name w:val="Hyperlink"/>
    <w:basedOn w:val="a0"/>
    <w:rsid w:val="000D61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inks/psika/?NEWPROC=&#1514;&#1508;&amp;NEWPARTA=28025&amp;NEWPARTB=05&amp;NEWPARTC=11"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687</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4117</CharactersWithSpaces>
  <SharedDoc>false</SharedDoc>
  <HLinks>
    <vt:vector size="12" baseType="variant">
      <vt:variant>
        <vt:i4>393283</vt:i4>
      </vt:variant>
      <vt:variant>
        <vt:i4>3</vt:i4>
      </vt:variant>
      <vt:variant>
        <vt:i4>0</vt:i4>
      </vt:variant>
      <vt:variant>
        <vt:i4>5</vt:i4>
      </vt:variant>
      <vt:variant>
        <vt:lpwstr>http://www.nevo.co.il/advertisements/nevo-100.doc</vt:lpwstr>
      </vt:variant>
      <vt:variant>
        <vt:lpwstr/>
      </vt:variant>
      <vt:variant>
        <vt:i4>98502101</vt:i4>
      </vt:variant>
      <vt:variant>
        <vt:i4>0</vt:i4>
      </vt:variant>
      <vt:variant>
        <vt:i4>0</vt:i4>
      </vt:variant>
      <vt:variant>
        <vt:i4>5</vt:i4>
      </vt:variant>
      <vt:variant>
        <vt:lpwstr>http://www.nevo.co.il/links/psika/?NEWPROC=תפ&amp;NEWPARTA=28025&amp;NEWPARTB=05&amp;NEWPARTC=11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2025-04-22T20:29:00Z</dcterms:created>
  <dcterms:modified xsi:type="dcterms:W3CDTF">2025-04-22T20:29:00Z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31971</vt:lpwstr>
  </property>
  <property fmtid="{D5CDD505-2E9C-101B-9397-08002B2CF9AE}" pid="6" name="NEWPARTB">
    <vt:lpwstr>05</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דניאל שויחט</vt:lpwstr>
  </property>
  <property fmtid="{D5CDD505-2E9C-101B-9397-08002B2CF9AE}" pid="10" name="LAWYER">
    <vt:lpwstr>גלית אפרתי;רפי ליטן</vt:lpwstr>
  </property>
  <property fmtid="{D5CDD505-2E9C-101B-9397-08002B2CF9AE}" pid="11" name="JUDGE">
    <vt:lpwstr>דר' עודד מודריק</vt:lpwstr>
  </property>
  <property fmtid="{D5CDD505-2E9C-101B-9397-08002B2CF9AE}" pid="12" name="CITY">
    <vt:lpwstr>ת"א</vt:lpwstr>
  </property>
  <property fmtid="{D5CDD505-2E9C-101B-9397-08002B2CF9AE}" pid="13" name="DATE">
    <vt:lpwstr>20140108</vt:lpwstr>
  </property>
  <property fmtid="{D5CDD505-2E9C-101B-9397-08002B2CF9AE}" pid="14" name="TYPE_N_DATE">
    <vt:lpwstr>39020140108</vt:lpwstr>
  </property>
  <property fmtid="{D5CDD505-2E9C-101B-9397-08002B2CF9AE}" pid="15" name="WORDNUMPAGES">
    <vt:lpwstr>3</vt:lpwstr>
  </property>
  <property fmtid="{D5CDD505-2E9C-101B-9397-08002B2CF9AE}" pid="16" name="TYPE_ABS_DATE">
    <vt:lpwstr>390020140108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ies>
</file>