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43" w:type="dxa"/>
        <w:jc w:val="center"/>
        <w:tblLook w:val="0000" w:firstRow="0" w:lastRow="0" w:firstColumn="0" w:lastColumn="0" w:noHBand="0" w:noVBand="0"/>
      </w:tblPr>
      <w:tblGrid>
        <w:gridCol w:w="5782"/>
        <w:gridCol w:w="2939"/>
        <w:gridCol w:w="722"/>
      </w:tblGrid>
      <w:tr w:rsidR="00C74D61" w:rsidRPr="004975C6" w14:paraId="17CB0484" w14:textId="77777777">
        <w:trPr>
          <w:gridAfter w:val="1"/>
          <w:wAfter w:w="722" w:type="dxa"/>
          <w:trHeight w:hRule="exact" w:val="418"/>
          <w:jc w:val="center"/>
        </w:trPr>
        <w:tc>
          <w:tcPr>
            <w:tcW w:w="8721" w:type="dxa"/>
            <w:gridSpan w:val="2"/>
          </w:tcPr>
          <w:p w14:paraId="373F707C" w14:textId="77777777" w:rsidR="00C74D61" w:rsidRPr="004975C6" w:rsidRDefault="004975C6">
            <w:pPr>
              <w:pStyle w:val="a3"/>
              <w:jc w:val="center"/>
              <w:rPr>
                <w:rFonts w:ascii="Tahoma" w:hAnsi="Tahoma" w:cs="Tahoma"/>
                <w:color w:val="000080"/>
                <w:rtl/>
              </w:rPr>
            </w:pPr>
            <w:r w:rsidRPr="004975C6">
              <w:rPr>
                <w:rFonts w:ascii="Tahoma" w:hAnsi="Tahoma" w:cs="Tahoma"/>
                <w:b/>
                <w:bCs/>
                <w:color w:val="000080"/>
                <w:rtl/>
              </w:rPr>
              <w:t>בית המשפט המחוזי מרכז-לוד</w:t>
            </w:r>
          </w:p>
        </w:tc>
      </w:tr>
      <w:tr w:rsidR="00C74D61" w:rsidRPr="004975C6" w14:paraId="3F4DB923" w14:textId="77777777">
        <w:trPr>
          <w:trHeight w:val="337"/>
          <w:jc w:val="center"/>
        </w:trPr>
        <w:tc>
          <w:tcPr>
            <w:tcW w:w="5782" w:type="dxa"/>
          </w:tcPr>
          <w:p w14:paraId="6278E9A8" w14:textId="77777777" w:rsidR="00C74D61" w:rsidRPr="004975C6" w:rsidRDefault="004975C6">
            <w:pPr>
              <w:rPr>
                <w:rFonts w:ascii="Arial" w:hAnsi="Arial" w:cs="Arial"/>
                <w:b/>
                <w:bCs/>
                <w:rtl/>
              </w:rPr>
            </w:pPr>
            <w:r w:rsidRPr="004975C6">
              <w:rPr>
                <w:rFonts w:ascii="Arial" w:hAnsi="Arial" w:cs="Arial"/>
                <w:b/>
                <w:bCs/>
                <w:rtl/>
              </w:rPr>
              <w:t>ת"פ 56235-0</w:t>
            </w:r>
            <w:r w:rsidR="00C64EE8">
              <w:rPr>
                <w:rFonts w:ascii="Arial" w:hAnsi="Arial" w:cs="Arial"/>
                <w:b/>
                <w:bCs/>
                <w:rtl/>
              </w:rPr>
              <w:t>6-13 מדינת ישראל נ' גבריאל</w:t>
            </w:r>
            <w:r w:rsidRPr="004975C6">
              <w:rPr>
                <w:rFonts w:ascii="Arial" w:hAnsi="Arial" w:cs="Arial"/>
                <w:b/>
                <w:bCs/>
                <w:rtl/>
              </w:rPr>
              <w:t xml:space="preserve"> ואח'</w:t>
            </w:r>
          </w:p>
          <w:p w14:paraId="53A8CA97" w14:textId="77777777" w:rsidR="00C74D61" w:rsidRPr="004975C6" w:rsidRDefault="00C74D61">
            <w:pPr>
              <w:pStyle w:val="a3"/>
              <w:rPr>
                <w:rFonts w:ascii="Arial" w:hAnsi="Arial" w:cs="Arial"/>
                <w:b/>
                <w:bCs/>
                <w:rtl/>
              </w:rPr>
            </w:pPr>
          </w:p>
        </w:tc>
        <w:tc>
          <w:tcPr>
            <w:tcW w:w="3661" w:type="dxa"/>
            <w:gridSpan w:val="2"/>
          </w:tcPr>
          <w:p w14:paraId="0D70E6AA" w14:textId="77777777" w:rsidR="00C74D61" w:rsidRPr="004975C6" w:rsidRDefault="00C74D61">
            <w:pPr>
              <w:pStyle w:val="a3"/>
              <w:jc w:val="right"/>
              <w:rPr>
                <w:rFonts w:cs="FrankRuehl"/>
                <w:sz w:val="28"/>
                <w:szCs w:val="28"/>
                <w:rtl/>
              </w:rPr>
            </w:pPr>
          </w:p>
        </w:tc>
      </w:tr>
    </w:tbl>
    <w:p w14:paraId="23C44218" w14:textId="77777777" w:rsidR="00C74D61" w:rsidRPr="004975C6" w:rsidRDefault="004975C6">
      <w:pPr>
        <w:pStyle w:val="a3"/>
        <w:rPr>
          <w:rtl/>
        </w:rPr>
      </w:pPr>
      <w:r w:rsidRPr="004975C6">
        <w:rPr>
          <w:rFonts w:hint="cs"/>
          <w:rtl/>
        </w:rPr>
        <w:t xml:space="preserve"> </w:t>
      </w:r>
    </w:p>
    <w:p w14:paraId="3B28460C" w14:textId="77777777" w:rsidR="00C74D61" w:rsidRPr="004975C6" w:rsidRDefault="00C74D61">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4D61" w:rsidRPr="004975C6" w14:paraId="0C612EFC" w14:textId="77777777">
        <w:trPr>
          <w:trHeight w:val="295"/>
          <w:jc w:val="center"/>
        </w:trPr>
        <w:tc>
          <w:tcPr>
            <w:tcW w:w="923" w:type="dxa"/>
            <w:tcBorders>
              <w:top w:val="nil"/>
              <w:left w:val="nil"/>
              <w:bottom w:val="nil"/>
              <w:right w:val="nil"/>
            </w:tcBorders>
          </w:tcPr>
          <w:p w14:paraId="1313FE19" w14:textId="77777777" w:rsidR="00C74D61" w:rsidRPr="004975C6" w:rsidRDefault="004975C6">
            <w:pPr>
              <w:jc w:val="both"/>
              <w:rPr>
                <w:rFonts w:ascii="Arial" w:hAnsi="Arial" w:cs="Arial"/>
              </w:rPr>
            </w:pPr>
            <w:r w:rsidRPr="004975C6">
              <w:rPr>
                <w:rFonts w:ascii="Arial" w:hAnsi="Arial" w:cs="Arial" w:hint="cs"/>
                <w:rtl/>
              </w:rPr>
              <w:t>ל</w:t>
            </w:r>
            <w:r w:rsidRPr="004975C6">
              <w:rPr>
                <w:rFonts w:ascii="Arial" w:hAnsi="Arial" w:cs="Arial"/>
                <w:rtl/>
              </w:rPr>
              <w:t xml:space="preserve">פני </w:t>
            </w:r>
          </w:p>
        </w:tc>
        <w:tc>
          <w:tcPr>
            <w:tcW w:w="7897" w:type="dxa"/>
            <w:gridSpan w:val="2"/>
            <w:tcBorders>
              <w:top w:val="nil"/>
              <w:left w:val="nil"/>
              <w:bottom w:val="nil"/>
              <w:right w:val="nil"/>
            </w:tcBorders>
          </w:tcPr>
          <w:p w14:paraId="0107C05B" w14:textId="77777777" w:rsidR="00C74D61" w:rsidRPr="004975C6" w:rsidRDefault="004975C6">
            <w:pPr>
              <w:rPr>
                <w:rFonts w:ascii="Arial" w:hAnsi="Arial" w:cs="Arial"/>
                <w:b/>
                <w:bCs/>
                <w:rtl/>
              </w:rPr>
            </w:pPr>
            <w:r w:rsidRPr="004975C6">
              <w:rPr>
                <w:rFonts w:ascii="Arial" w:hAnsi="Arial" w:cs="Arial"/>
                <w:b/>
                <w:bCs/>
                <w:rtl/>
              </w:rPr>
              <w:t>כב' השופטת  ורדה מרוז – סג"</w:t>
            </w:r>
            <w:r w:rsidRPr="004975C6">
              <w:rPr>
                <w:rFonts w:ascii="Arial" w:hAnsi="Arial" w:cs="Arial" w:hint="cs"/>
                <w:b/>
                <w:bCs/>
                <w:rtl/>
              </w:rPr>
              <w:t xml:space="preserve">נ </w:t>
            </w:r>
          </w:p>
          <w:p w14:paraId="216B0A2C" w14:textId="77777777" w:rsidR="00C74D61" w:rsidRPr="004975C6" w:rsidRDefault="00C74D61">
            <w:pPr>
              <w:rPr>
                <w:rFonts w:ascii="Arial" w:hAnsi="Arial" w:cs="Arial"/>
                <w:rtl/>
              </w:rPr>
            </w:pPr>
          </w:p>
          <w:p w14:paraId="22720CC9" w14:textId="77777777" w:rsidR="00C74D61" w:rsidRPr="004975C6" w:rsidRDefault="00C74D61">
            <w:pPr>
              <w:jc w:val="both"/>
              <w:rPr>
                <w:rFonts w:ascii="Arial" w:hAnsi="Arial" w:cs="Arial"/>
                <w:sz w:val="28"/>
                <w:szCs w:val="28"/>
              </w:rPr>
            </w:pPr>
          </w:p>
        </w:tc>
      </w:tr>
      <w:tr w:rsidR="00C74D61" w:rsidRPr="004975C6" w14:paraId="61656768" w14:textId="77777777">
        <w:trPr>
          <w:trHeight w:val="355"/>
          <w:jc w:val="center"/>
        </w:trPr>
        <w:tc>
          <w:tcPr>
            <w:tcW w:w="923" w:type="dxa"/>
            <w:tcBorders>
              <w:top w:val="nil"/>
              <w:left w:val="nil"/>
              <w:bottom w:val="nil"/>
              <w:right w:val="nil"/>
            </w:tcBorders>
          </w:tcPr>
          <w:p w14:paraId="07543EF9" w14:textId="77777777" w:rsidR="00C74D61" w:rsidRPr="004975C6" w:rsidRDefault="004975C6">
            <w:pPr>
              <w:jc w:val="both"/>
              <w:rPr>
                <w:rFonts w:ascii="Arial" w:hAnsi="Arial" w:cs="Arial"/>
              </w:rPr>
            </w:pPr>
            <w:bookmarkStart w:id="0" w:name="FirstAppellant"/>
            <w:bookmarkStart w:id="1" w:name="FirstLawyer"/>
            <w:bookmarkStart w:id="2" w:name="LastJudge"/>
            <w:bookmarkEnd w:id="2"/>
            <w:r w:rsidRPr="004975C6">
              <w:rPr>
                <w:rFonts w:ascii="Arial" w:hAnsi="Arial" w:cs="Arial"/>
                <w:rtl/>
              </w:rPr>
              <w:t>בעניין:</w:t>
            </w:r>
          </w:p>
        </w:tc>
        <w:tc>
          <w:tcPr>
            <w:tcW w:w="4126" w:type="dxa"/>
            <w:tcBorders>
              <w:top w:val="nil"/>
              <w:left w:val="nil"/>
              <w:bottom w:val="nil"/>
              <w:right w:val="nil"/>
            </w:tcBorders>
          </w:tcPr>
          <w:p w14:paraId="460081E1" w14:textId="77777777" w:rsidR="00C74D61" w:rsidRPr="004975C6" w:rsidRDefault="004975C6">
            <w:pPr>
              <w:rPr>
                <w:rFonts w:ascii="Arial" w:hAnsi="Arial" w:cs="Arial"/>
                <w:b/>
                <w:bCs/>
                <w:rtl/>
              </w:rPr>
            </w:pPr>
            <w:r w:rsidRPr="004975C6">
              <w:rPr>
                <w:rFonts w:ascii="Arial" w:hAnsi="Arial" w:cs="Arial"/>
                <w:b/>
                <w:bCs/>
                <w:rtl/>
              </w:rPr>
              <w:t>מדינת ישראל</w:t>
            </w:r>
          </w:p>
          <w:p w14:paraId="1C836567" w14:textId="77777777" w:rsidR="00C74D61" w:rsidRPr="004975C6" w:rsidRDefault="004975C6">
            <w:pPr>
              <w:rPr>
                <w:rFonts w:ascii="Arial" w:hAnsi="Arial" w:cs="Arial"/>
              </w:rPr>
            </w:pPr>
            <w:r w:rsidRPr="004975C6">
              <w:rPr>
                <w:rFonts w:ascii="Arial" w:hAnsi="Arial" w:cs="Arial" w:hint="cs"/>
                <w:rtl/>
              </w:rPr>
              <w:t xml:space="preserve">ע"י ב"כ עו"ד גלעד ארליך </w:t>
            </w:r>
            <w:r w:rsidRPr="004975C6">
              <w:rPr>
                <w:rFonts w:ascii="Arial" w:hAnsi="Arial" w:cs="Arial"/>
                <w:rtl/>
              </w:rPr>
              <w:t>–</w:t>
            </w:r>
            <w:r w:rsidRPr="004975C6">
              <w:rPr>
                <w:rFonts w:ascii="Arial" w:hAnsi="Arial" w:cs="Arial" w:hint="cs"/>
                <w:rtl/>
              </w:rPr>
              <w:t xml:space="preserve"> פמ"מ </w:t>
            </w:r>
          </w:p>
        </w:tc>
        <w:tc>
          <w:tcPr>
            <w:tcW w:w="3771" w:type="dxa"/>
            <w:tcBorders>
              <w:top w:val="nil"/>
              <w:left w:val="nil"/>
              <w:bottom w:val="nil"/>
              <w:right w:val="nil"/>
            </w:tcBorders>
          </w:tcPr>
          <w:p w14:paraId="77D5D550" w14:textId="77777777" w:rsidR="00C74D61" w:rsidRPr="004975C6" w:rsidRDefault="00C74D61">
            <w:pPr>
              <w:jc w:val="both"/>
              <w:rPr>
                <w:rFonts w:ascii="Arial" w:hAnsi="Arial" w:cs="Arial"/>
              </w:rPr>
            </w:pPr>
          </w:p>
        </w:tc>
      </w:tr>
      <w:bookmarkEnd w:id="0"/>
      <w:bookmarkEnd w:id="1"/>
      <w:tr w:rsidR="00C74D61" w:rsidRPr="004975C6" w14:paraId="6376936F" w14:textId="77777777">
        <w:trPr>
          <w:trHeight w:val="355"/>
          <w:jc w:val="center"/>
        </w:trPr>
        <w:tc>
          <w:tcPr>
            <w:tcW w:w="923" w:type="dxa"/>
            <w:tcBorders>
              <w:top w:val="nil"/>
              <w:left w:val="nil"/>
              <w:bottom w:val="nil"/>
              <w:right w:val="nil"/>
            </w:tcBorders>
          </w:tcPr>
          <w:p w14:paraId="0A3CD8AD" w14:textId="77777777" w:rsidR="00C74D61" w:rsidRPr="004975C6" w:rsidRDefault="00C74D61">
            <w:pPr>
              <w:jc w:val="both"/>
              <w:rPr>
                <w:rFonts w:ascii="Arial" w:hAnsi="Arial" w:cs="Arial"/>
                <w:rtl/>
              </w:rPr>
            </w:pPr>
          </w:p>
        </w:tc>
        <w:tc>
          <w:tcPr>
            <w:tcW w:w="4126" w:type="dxa"/>
            <w:tcBorders>
              <w:top w:val="nil"/>
              <w:left w:val="nil"/>
              <w:bottom w:val="nil"/>
              <w:right w:val="nil"/>
            </w:tcBorders>
          </w:tcPr>
          <w:p w14:paraId="5B511ACB" w14:textId="77777777" w:rsidR="00C74D61" w:rsidRPr="004975C6" w:rsidRDefault="00C74D61">
            <w:pPr>
              <w:jc w:val="both"/>
              <w:rPr>
                <w:rFonts w:ascii="Arial" w:hAnsi="Arial" w:cs="Arial"/>
                <w:rtl/>
              </w:rPr>
            </w:pPr>
          </w:p>
        </w:tc>
        <w:tc>
          <w:tcPr>
            <w:tcW w:w="3771" w:type="dxa"/>
            <w:tcBorders>
              <w:top w:val="nil"/>
              <w:left w:val="nil"/>
              <w:bottom w:val="nil"/>
              <w:right w:val="nil"/>
            </w:tcBorders>
          </w:tcPr>
          <w:p w14:paraId="517DD58E" w14:textId="77777777" w:rsidR="00C74D61" w:rsidRPr="004975C6" w:rsidRDefault="004975C6">
            <w:pPr>
              <w:jc w:val="right"/>
              <w:rPr>
                <w:rFonts w:ascii="Arial" w:hAnsi="Arial" w:cs="Arial"/>
                <w:b/>
                <w:bCs/>
                <w:rtl/>
              </w:rPr>
            </w:pPr>
            <w:r w:rsidRPr="004975C6">
              <w:rPr>
                <w:rFonts w:ascii="Arial" w:hAnsi="Arial" w:cs="Arial"/>
                <w:b/>
                <w:bCs/>
                <w:rtl/>
              </w:rPr>
              <w:t>המאשימה</w:t>
            </w:r>
          </w:p>
        </w:tc>
      </w:tr>
      <w:tr w:rsidR="00C74D61" w:rsidRPr="004975C6" w14:paraId="7F9E13AC" w14:textId="77777777">
        <w:trPr>
          <w:trHeight w:val="355"/>
          <w:jc w:val="center"/>
        </w:trPr>
        <w:tc>
          <w:tcPr>
            <w:tcW w:w="923" w:type="dxa"/>
            <w:tcBorders>
              <w:top w:val="nil"/>
              <w:left w:val="nil"/>
              <w:bottom w:val="nil"/>
              <w:right w:val="nil"/>
            </w:tcBorders>
          </w:tcPr>
          <w:p w14:paraId="5702E3E9" w14:textId="77777777" w:rsidR="00C74D61" w:rsidRPr="004975C6" w:rsidRDefault="00C74D61">
            <w:pPr>
              <w:jc w:val="both"/>
              <w:rPr>
                <w:rFonts w:ascii="Arial" w:hAnsi="Arial" w:cs="Arial"/>
                <w:rtl/>
              </w:rPr>
            </w:pPr>
          </w:p>
        </w:tc>
        <w:tc>
          <w:tcPr>
            <w:tcW w:w="7897" w:type="dxa"/>
            <w:gridSpan w:val="2"/>
            <w:tcBorders>
              <w:top w:val="nil"/>
              <w:left w:val="nil"/>
              <w:bottom w:val="nil"/>
              <w:right w:val="nil"/>
            </w:tcBorders>
          </w:tcPr>
          <w:p w14:paraId="24EE52A3" w14:textId="77777777" w:rsidR="00C74D61" w:rsidRPr="004975C6" w:rsidRDefault="00C74D61">
            <w:pPr>
              <w:jc w:val="center"/>
              <w:rPr>
                <w:rFonts w:ascii="Arial" w:hAnsi="Arial" w:cs="Arial"/>
                <w:b/>
                <w:bCs/>
                <w:rtl/>
              </w:rPr>
            </w:pPr>
          </w:p>
          <w:p w14:paraId="65E50DC1" w14:textId="77777777" w:rsidR="00C74D61" w:rsidRPr="004975C6" w:rsidRDefault="004975C6">
            <w:pPr>
              <w:jc w:val="center"/>
              <w:rPr>
                <w:rFonts w:ascii="Arial" w:hAnsi="Arial" w:cs="Arial"/>
                <w:b/>
                <w:bCs/>
                <w:rtl/>
              </w:rPr>
            </w:pPr>
            <w:r w:rsidRPr="004975C6">
              <w:rPr>
                <w:rFonts w:ascii="Arial" w:hAnsi="Arial" w:cs="Arial"/>
                <w:b/>
                <w:bCs/>
                <w:rtl/>
              </w:rPr>
              <w:t>נגד</w:t>
            </w:r>
          </w:p>
          <w:p w14:paraId="1F4D9D73" w14:textId="77777777" w:rsidR="00C74D61" w:rsidRPr="004975C6" w:rsidRDefault="00C74D61">
            <w:pPr>
              <w:jc w:val="both"/>
              <w:rPr>
                <w:rFonts w:ascii="Arial" w:hAnsi="Arial" w:cs="Arial"/>
              </w:rPr>
            </w:pPr>
          </w:p>
        </w:tc>
      </w:tr>
      <w:tr w:rsidR="00C74D61" w:rsidRPr="004975C6" w14:paraId="44AA8A37" w14:textId="77777777">
        <w:trPr>
          <w:trHeight w:val="355"/>
          <w:jc w:val="center"/>
        </w:trPr>
        <w:tc>
          <w:tcPr>
            <w:tcW w:w="923" w:type="dxa"/>
            <w:tcBorders>
              <w:top w:val="nil"/>
              <w:left w:val="nil"/>
              <w:bottom w:val="nil"/>
              <w:right w:val="nil"/>
            </w:tcBorders>
          </w:tcPr>
          <w:p w14:paraId="6E65B7F3" w14:textId="77777777" w:rsidR="00C74D61" w:rsidRPr="004975C6" w:rsidRDefault="00C74D61">
            <w:pPr>
              <w:rPr>
                <w:rFonts w:ascii="Arial" w:hAnsi="Arial" w:cs="Arial"/>
                <w:rtl/>
              </w:rPr>
            </w:pPr>
          </w:p>
        </w:tc>
        <w:tc>
          <w:tcPr>
            <w:tcW w:w="4126" w:type="dxa"/>
            <w:tcBorders>
              <w:top w:val="nil"/>
              <w:left w:val="nil"/>
              <w:bottom w:val="nil"/>
              <w:right w:val="nil"/>
            </w:tcBorders>
          </w:tcPr>
          <w:p w14:paraId="4F4ED8E4" w14:textId="77777777" w:rsidR="00C74D61" w:rsidRPr="004975C6" w:rsidRDefault="004975C6">
            <w:pPr>
              <w:spacing w:line="360" w:lineRule="auto"/>
              <w:rPr>
                <w:rFonts w:ascii="Arial" w:hAnsi="Arial" w:cs="Arial"/>
                <w:b/>
                <w:bCs/>
                <w:rtl/>
              </w:rPr>
            </w:pPr>
            <w:r w:rsidRPr="004975C6">
              <w:rPr>
                <w:rFonts w:ascii="Arial" w:hAnsi="Arial" w:cs="Arial"/>
                <w:b/>
                <w:bCs/>
                <w:rtl/>
              </w:rPr>
              <w:t>1.</w:t>
            </w:r>
            <w:r w:rsidRPr="004975C6">
              <w:rPr>
                <w:rFonts w:ascii="Arial" w:hAnsi="Arial" w:cs="Arial" w:hint="cs"/>
                <w:b/>
                <w:bCs/>
                <w:rtl/>
              </w:rPr>
              <w:t xml:space="preserve"> </w:t>
            </w:r>
            <w:r w:rsidRPr="004975C6">
              <w:rPr>
                <w:rFonts w:ascii="Arial" w:hAnsi="Arial" w:cs="Arial"/>
                <w:b/>
                <w:bCs/>
                <w:rtl/>
              </w:rPr>
              <w:t xml:space="preserve">יחזקאל גבריאל </w:t>
            </w:r>
          </w:p>
          <w:p w14:paraId="1EE38729" w14:textId="77777777" w:rsidR="00C74D61" w:rsidRPr="004975C6" w:rsidRDefault="004975C6">
            <w:pPr>
              <w:rPr>
                <w:rFonts w:ascii="Arial" w:hAnsi="Arial" w:cs="Arial"/>
                <w:b/>
                <w:bCs/>
                <w:rtl/>
              </w:rPr>
            </w:pPr>
            <w:r w:rsidRPr="004975C6">
              <w:rPr>
                <w:rFonts w:ascii="Arial" w:hAnsi="Arial" w:cs="Arial"/>
                <w:b/>
                <w:bCs/>
                <w:rtl/>
              </w:rPr>
              <w:t>2.</w:t>
            </w:r>
            <w:r w:rsidRPr="004975C6">
              <w:rPr>
                <w:rFonts w:ascii="Arial" w:hAnsi="Arial" w:cs="Arial" w:hint="cs"/>
                <w:b/>
                <w:bCs/>
                <w:rtl/>
              </w:rPr>
              <w:t xml:space="preserve"> </w:t>
            </w:r>
            <w:r w:rsidRPr="004975C6">
              <w:rPr>
                <w:rFonts w:ascii="Arial" w:hAnsi="Arial" w:cs="Arial"/>
                <w:b/>
                <w:bCs/>
                <w:rtl/>
              </w:rPr>
              <w:t>שבתאי בן משה</w:t>
            </w:r>
          </w:p>
          <w:p w14:paraId="19C4EBB1" w14:textId="77777777" w:rsidR="00C74D61" w:rsidRPr="004975C6" w:rsidRDefault="004975C6">
            <w:pPr>
              <w:spacing w:line="360" w:lineRule="auto"/>
              <w:rPr>
                <w:rFonts w:ascii="Arial" w:hAnsi="Arial" w:cs="Arial"/>
                <w:rtl/>
              </w:rPr>
            </w:pPr>
            <w:r w:rsidRPr="004975C6">
              <w:rPr>
                <w:rFonts w:ascii="Arial" w:hAnsi="Arial" w:cs="Arial" w:hint="cs"/>
                <w:rtl/>
              </w:rPr>
              <w:t>ע"י ב"כ עו"ד ארז מלמד</w:t>
            </w:r>
          </w:p>
          <w:p w14:paraId="329296D4" w14:textId="77777777" w:rsidR="00C74D61" w:rsidRPr="004975C6" w:rsidRDefault="004975C6">
            <w:pPr>
              <w:spacing w:line="360" w:lineRule="auto"/>
              <w:rPr>
                <w:rFonts w:ascii="Arial" w:hAnsi="Arial" w:cs="Arial"/>
                <w:b/>
                <w:bCs/>
                <w:rtl/>
              </w:rPr>
            </w:pPr>
            <w:r w:rsidRPr="004975C6">
              <w:rPr>
                <w:rFonts w:ascii="Arial" w:hAnsi="Arial" w:cs="Arial"/>
                <w:b/>
                <w:bCs/>
                <w:rtl/>
              </w:rPr>
              <w:t>3.</w:t>
            </w:r>
            <w:r w:rsidRPr="004975C6">
              <w:rPr>
                <w:rFonts w:ascii="Arial" w:hAnsi="Arial" w:cs="Arial" w:hint="cs"/>
                <w:b/>
                <w:bCs/>
                <w:rtl/>
              </w:rPr>
              <w:t xml:space="preserve"> </w:t>
            </w:r>
            <w:r w:rsidRPr="004975C6">
              <w:rPr>
                <w:rFonts w:ascii="Arial" w:hAnsi="Arial" w:cs="Arial"/>
                <w:b/>
                <w:bCs/>
                <w:rtl/>
              </w:rPr>
              <w:t xml:space="preserve">אלי ששואשווילי </w:t>
            </w:r>
          </w:p>
          <w:p w14:paraId="3CB11F54" w14:textId="77777777" w:rsidR="00C74D61" w:rsidRPr="004975C6" w:rsidRDefault="004975C6">
            <w:pPr>
              <w:spacing w:line="360" w:lineRule="auto"/>
              <w:rPr>
                <w:rFonts w:ascii="Arial" w:hAnsi="Arial" w:cs="Arial"/>
                <w:rtl/>
              </w:rPr>
            </w:pPr>
            <w:r w:rsidRPr="004975C6">
              <w:rPr>
                <w:rFonts w:ascii="Arial" w:hAnsi="Arial" w:cs="Arial"/>
                <w:b/>
                <w:bCs/>
                <w:rtl/>
              </w:rPr>
              <w:t>4.</w:t>
            </w:r>
            <w:r w:rsidRPr="004975C6">
              <w:rPr>
                <w:rFonts w:ascii="Arial" w:hAnsi="Arial" w:cs="Arial" w:hint="cs"/>
                <w:b/>
                <w:bCs/>
                <w:rtl/>
              </w:rPr>
              <w:t xml:space="preserve"> </w:t>
            </w:r>
            <w:r w:rsidRPr="004975C6">
              <w:rPr>
                <w:rFonts w:ascii="Arial" w:hAnsi="Arial" w:cs="Arial"/>
                <w:b/>
                <w:bCs/>
                <w:rtl/>
              </w:rPr>
              <w:t>נאווה גבריאל</w:t>
            </w:r>
          </w:p>
        </w:tc>
        <w:tc>
          <w:tcPr>
            <w:tcW w:w="3771" w:type="dxa"/>
            <w:tcBorders>
              <w:top w:val="nil"/>
              <w:left w:val="nil"/>
              <w:bottom w:val="nil"/>
              <w:right w:val="nil"/>
            </w:tcBorders>
          </w:tcPr>
          <w:p w14:paraId="720BAAF6" w14:textId="77777777" w:rsidR="00C74D61" w:rsidRPr="004975C6" w:rsidRDefault="00C74D61">
            <w:pPr>
              <w:jc w:val="right"/>
              <w:rPr>
                <w:rFonts w:ascii="Arial" w:hAnsi="Arial" w:cs="Arial"/>
              </w:rPr>
            </w:pPr>
          </w:p>
        </w:tc>
      </w:tr>
      <w:tr w:rsidR="00C74D61" w:rsidRPr="004975C6" w14:paraId="669D2F22" w14:textId="77777777">
        <w:trPr>
          <w:trHeight w:val="355"/>
          <w:jc w:val="center"/>
        </w:trPr>
        <w:tc>
          <w:tcPr>
            <w:tcW w:w="923" w:type="dxa"/>
            <w:tcBorders>
              <w:top w:val="nil"/>
              <w:left w:val="nil"/>
              <w:bottom w:val="nil"/>
              <w:right w:val="nil"/>
            </w:tcBorders>
          </w:tcPr>
          <w:p w14:paraId="5D853AB8" w14:textId="77777777" w:rsidR="00C74D61" w:rsidRPr="004975C6" w:rsidRDefault="00C74D61">
            <w:pPr>
              <w:jc w:val="both"/>
              <w:rPr>
                <w:rFonts w:ascii="Arial" w:hAnsi="Arial" w:cs="Arial"/>
                <w:rtl/>
              </w:rPr>
            </w:pPr>
          </w:p>
        </w:tc>
        <w:tc>
          <w:tcPr>
            <w:tcW w:w="4126" w:type="dxa"/>
            <w:tcBorders>
              <w:top w:val="nil"/>
              <w:left w:val="nil"/>
              <w:bottom w:val="nil"/>
              <w:right w:val="nil"/>
            </w:tcBorders>
          </w:tcPr>
          <w:p w14:paraId="5B2A7D68" w14:textId="77777777" w:rsidR="00C74D61" w:rsidRPr="004975C6" w:rsidRDefault="00C74D61">
            <w:pPr>
              <w:jc w:val="both"/>
              <w:rPr>
                <w:rFonts w:ascii="Arial" w:hAnsi="Arial" w:cs="Arial"/>
                <w:rtl/>
              </w:rPr>
            </w:pPr>
          </w:p>
        </w:tc>
        <w:tc>
          <w:tcPr>
            <w:tcW w:w="3771" w:type="dxa"/>
            <w:tcBorders>
              <w:top w:val="nil"/>
              <w:left w:val="nil"/>
              <w:bottom w:val="nil"/>
              <w:right w:val="nil"/>
            </w:tcBorders>
          </w:tcPr>
          <w:p w14:paraId="0819F373" w14:textId="77777777" w:rsidR="00C74D61" w:rsidRPr="004975C6" w:rsidRDefault="004975C6">
            <w:pPr>
              <w:jc w:val="right"/>
              <w:rPr>
                <w:rFonts w:ascii="Arial" w:hAnsi="Arial" w:cs="Arial"/>
                <w:b/>
                <w:bCs/>
              </w:rPr>
            </w:pPr>
            <w:r w:rsidRPr="004975C6">
              <w:rPr>
                <w:rFonts w:ascii="Arial" w:hAnsi="Arial" w:cs="Arial"/>
                <w:b/>
                <w:bCs/>
                <w:rtl/>
              </w:rPr>
              <w:t>הנאשמים</w:t>
            </w:r>
          </w:p>
        </w:tc>
      </w:tr>
    </w:tbl>
    <w:p w14:paraId="37261992" w14:textId="77777777" w:rsidR="00C74D61" w:rsidRDefault="00C74D61">
      <w:pPr>
        <w:rPr>
          <w:rFonts w:ascii="Arial" w:hAnsi="Arial" w:cs="Arial" w:hint="cs"/>
          <w:rtl/>
        </w:rPr>
      </w:pPr>
    </w:p>
    <w:p w14:paraId="4BAFD74C" w14:textId="77777777" w:rsidR="00C64EE8" w:rsidRPr="004975C6" w:rsidRDefault="00C64EE8">
      <w:pPr>
        <w:rPr>
          <w:rFonts w:ascii="Arial" w:hAnsi="Arial" w:cs="Arial" w:hint="cs"/>
        </w:rPr>
      </w:pPr>
    </w:p>
    <w:p w14:paraId="33E34F9C" w14:textId="77777777" w:rsidR="00C64EE8" w:rsidRPr="00C64EE8" w:rsidRDefault="00C64EE8" w:rsidP="00C64EE8">
      <w:pPr>
        <w:pStyle w:val="a3"/>
        <w:spacing w:after="120" w:line="240" w:lineRule="exact"/>
        <w:ind w:left="283" w:hanging="283"/>
        <w:jc w:val="both"/>
        <w:rPr>
          <w:rFonts w:ascii="FrankRuehl" w:hAnsi="FrankRuehl" w:cs="FrankRuehl"/>
          <w:rtl/>
        </w:rPr>
      </w:pPr>
      <w:r w:rsidRPr="00C64EE8">
        <w:rPr>
          <w:rFonts w:ascii="FrankRuehl" w:hAnsi="FrankRuehl" w:cs="FrankRuehl"/>
          <w:rtl/>
        </w:rPr>
        <w:t xml:space="preserve">חקיקה שאוזכרה: </w:t>
      </w:r>
    </w:p>
    <w:p w14:paraId="3271D4B6" w14:textId="77777777" w:rsidR="00C64EE8" w:rsidRPr="00C64EE8" w:rsidRDefault="00C64EE8" w:rsidP="00C64EE8">
      <w:pPr>
        <w:pStyle w:val="a3"/>
        <w:spacing w:after="120" w:line="240" w:lineRule="exact"/>
        <w:ind w:left="283" w:hanging="283"/>
        <w:jc w:val="both"/>
        <w:rPr>
          <w:rFonts w:ascii="FrankRuehl" w:hAnsi="FrankRuehl" w:cs="FrankRuehl"/>
          <w:color w:val="0000FF"/>
          <w:u w:val="single"/>
          <w:rtl/>
        </w:rPr>
      </w:pPr>
      <w:hyperlink r:id="rId7" w:history="1">
        <w:r w:rsidRPr="00C64EE8">
          <w:rPr>
            <w:rStyle w:val="Hyperlink"/>
            <w:rFonts w:ascii="FrankRuehl" w:hAnsi="FrankRuehl" w:cs="FrankRuehl"/>
            <w:rtl/>
          </w:rPr>
          <w:t>פקודת הסמים המסוכנים [נוסח חדש], תשל"ג-1973</w:t>
        </w:r>
      </w:hyperlink>
      <w:r w:rsidRPr="00C64EE8">
        <w:rPr>
          <w:rFonts w:ascii="FrankRuehl" w:hAnsi="FrankRuehl" w:cs="FrankRuehl"/>
          <w:color w:val="0000FF"/>
          <w:u w:val="single"/>
          <w:rtl/>
        </w:rPr>
        <w:t xml:space="preserve">: סע'  </w:t>
      </w:r>
      <w:hyperlink r:id="rId8" w:history="1">
        <w:r w:rsidRPr="00C64EE8">
          <w:rPr>
            <w:rStyle w:val="Hyperlink"/>
            <w:rFonts w:ascii="FrankRuehl" w:hAnsi="FrankRuehl" w:cs="FrankRuehl"/>
          </w:rPr>
          <w:t>10</w:t>
        </w:r>
      </w:hyperlink>
    </w:p>
    <w:p w14:paraId="53FA1711" w14:textId="77777777" w:rsidR="00C74D61" w:rsidRDefault="00C74D61">
      <w:pPr>
        <w:rPr>
          <w:rFonts w:ascii="Arial" w:hAnsi="Arial" w:cs="Arial" w:hint="cs"/>
          <w:rtl/>
        </w:rPr>
      </w:pPr>
    </w:p>
    <w:p w14:paraId="3C53D5EC" w14:textId="77777777" w:rsidR="00C64EE8" w:rsidRPr="004975C6" w:rsidRDefault="00C64EE8">
      <w:pPr>
        <w:rPr>
          <w:rFonts w:ascii="Arial" w:hAnsi="Arial" w:cs="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4D61" w:rsidRPr="004975C6" w14:paraId="4DD07482" w14:textId="77777777">
        <w:trPr>
          <w:trHeight w:val="355"/>
          <w:jc w:val="center"/>
        </w:trPr>
        <w:tc>
          <w:tcPr>
            <w:tcW w:w="8820" w:type="dxa"/>
            <w:tcBorders>
              <w:top w:val="nil"/>
              <w:left w:val="nil"/>
              <w:bottom w:val="nil"/>
              <w:right w:val="nil"/>
            </w:tcBorders>
          </w:tcPr>
          <w:p w14:paraId="7742840A" w14:textId="77777777" w:rsidR="00C74D61" w:rsidRPr="004975C6" w:rsidRDefault="004975C6">
            <w:pPr>
              <w:jc w:val="center"/>
              <w:rPr>
                <w:rFonts w:ascii="Arial" w:hAnsi="Arial" w:cs="Arial"/>
                <w:b/>
                <w:bCs/>
                <w:sz w:val="32"/>
                <w:szCs w:val="32"/>
                <w:rtl/>
              </w:rPr>
            </w:pPr>
            <w:bookmarkStart w:id="3" w:name="PsakDin"/>
            <w:r w:rsidRPr="004975C6">
              <w:rPr>
                <w:rFonts w:ascii="Arial" w:hAnsi="Arial" w:cs="Arial"/>
                <w:b/>
                <w:bCs/>
                <w:sz w:val="32"/>
                <w:szCs w:val="32"/>
                <w:rtl/>
              </w:rPr>
              <w:t>גזר דין</w:t>
            </w:r>
            <w:r w:rsidRPr="004975C6">
              <w:rPr>
                <w:rFonts w:ascii="Arial" w:hAnsi="Arial" w:cs="Arial" w:hint="cs"/>
                <w:b/>
                <w:bCs/>
                <w:sz w:val="32"/>
                <w:szCs w:val="32"/>
                <w:rtl/>
              </w:rPr>
              <w:t xml:space="preserve"> </w:t>
            </w:r>
            <w:bookmarkEnd w:id="3"/>
            <w:r w:rsidRPr="004975C6">
              <w:rPr>
                <w:rFonts w:ascii="Arial" w:hAnsi="Arial" w:cs="Arial" w:hint="cs"/>
                <w:b/>
                <w:bCs/>
                <w:sz w:val="32"/>
                <w:szCs w:val="32"/>
                <w:rtl/>
              </w:rPr>
              <w:t>בעניינו של נאשם 2</w:t>
            </w:r>
          </w:p>
        </w:tc>
      </w:tr>
    </w:tbl>
    <w:p w14:paraId="51128940" w14:textId="77777777" w:rsidR="00C74D61" w:rsidRPr="004975C6" w:rsidRDefault="00C74D61">
      <w:pPr>
        <w:rPr>
          <w:rFonts w:ascii="Arial" w:hAnsi="Arial" w:cs="Arial"/>
          <w:rtl/>
        </w:rPr>
      </w:pPr>
    </w:p>
    <w:p w14:paraId="4F2836EA" w14:textId="77777777" w:rsidR="00C74D61" w:rsidRPr="004975C6" w:rsidRDefault="00C74D61">
      <w:pPr>
        <w:rPr>
          <w:rFonts w:ascii="Arial" w:hAnsi="Arial" w:cs="Arial"/>
          <w:rtl/>
        </w:rPr>
      </w:pPr>
    </w:p>
    <w:p w14:paraId="54CF809B" w14:textId="77777777" w:rsidR="00C74D61" w:rsidRPr="004975C6" w:rsidRDefault="004975C6">
      <w:pPr>
        <w:pStyle w:val="ListParagraph"/>
        <w:spacing w:after="200" w:line="360" w:lineRule="auto"/>
        <w:ind w:left="560"/>
        <w:contextualSpacing w:val="0"/>
        <w:jc w:val="both"/>
        <w:rPr>
          <w:rFonts w:ascii="Arial" w:hAnsi="Arial" w:cs="Arial"/>
          <w:b/>
          <w:bCs/>
        </w:rPr>
      </w:pPr>
      <w:r w:rsidRPr="004975C6">
        <w:rPr>
          <w:rFonts w:ascii="Arial" w:hAnsi="Arial" w:cs="Arial"/>
          <w:b/>
          <w:bCs/>
          <w:rtl/>
        </w:rPr>
        <w:t>כללי</w:t>
      </w:r>
    </w:p>
    <w:p w14:paraId="37858CBB" w14:textId="77777777" w:rsidR="00C74D61" w:rsidRPr="004975C6" w:rsidRDefault="004975C6">
      <w:pPr>
        <w:pStyle w:val="ListParagraph"/>
        <w:numPr>
          <w:ilvl w:val="0"/>
          <w:numId w:val="1"/>
        </w:numPr>
        <w:spacing w:after="200" w:line="360" w:lineRule="auto"/>
        <w:ind w:left="560" w:hanging="567"/>
        <w:contextualSpacing w:val="0"/>
        <w:jc w:val="both"/>
        <w:rPr>
          <w:rFonts w:ascii="Arial" w:hAnsi="Arial" w:cs="Arial"/>
        </w:rPr>
      </w:pPr>
      <w:r w:rsidRPr="004975C6">
        <w:rPr>
          <w:rFonts w:ascii="Arial" w:hAnsi="Arial" w:cs="Arial"/>
          <w:rtl/>
        </w:rPr>
        <w:t>במסגרת הסדר טיעון, שהושג לאחר שמיעת חלק מהראיות, הודה הנאשם 2 (להלן: "</w:t>
      </w:r>
      <w:r w:rsidRPr="004975C6">
        <w:rPr>
          <w:rFonts w:ascii="Arial" w:hAnsi="Arial" w:cs="Arial"/>
          <w:b/>
          <w:bCs/>
          <w:sz w:val="22"/>
          <w:szCs w:val="22"/>
          <w:rtl/>
        </w:rPr>
        <w:t>הנאשם</w:t>
      </w:r>
      <w:r w:rsidRPr="004975C6">
        <w:rPr>
          <w:rFonts w:ascii="Arial" w:hAnsi="Arial" w:cs="Arial"/>
          <w:rtl/>
        </w:rPr>
        <w:t xml:space="preserve">") בעובדות כתב האישום והורשע בעבירה שעניינה החזקת כלים להכנת סם מסוכן שלא לצריכה עצמית לפי </w:t>
      </w:r>
      <w:hyperlink r:id="rId9" w:history="1">
        <w:r w:rsidR="00C64EE8" w:rsidRPr="00C64EE8">
          <w:rPr>
            <w:rStyle w:val="Hyperlink"/>
            <w:rFonts w:ascii="Arial" w:hAnsi="Arial" w:cs="Arial"/>
            <w:rtl/>
          </w:rPr>
          <w:t>סעיף 10</w:t>
        </w:r>
      </w:hyperlink>
      <w:r w:rsidRPr="004975C6">
        <w:rPr>
          <w:rFonts w:ascii="Arial" w:hAnsi="Arial" w:cs="Arial"/>
          <w:rtl/>
        </w:rPr>
        <w:t xml:space="preserve"> ל</w:t>
      </w:r>
      <w:hyperlink r:id="rId10" w:history="1">
        <w:r w:rsidRPr="004975C6">
          <w:rPr>
            <w:rStyle w:val="Hyperlink"/>
            <w:rFonts w:ascii="Arial" w:hAnsi="Arial" w:cs="Arial"/>
            <w:rtl/>
          </w:rPr>
          <w:t>פקודת הסמים המסוכנים</w:t>
        </w:r>
      </w:hyperlink>
      <w:r w:rsidRPr="004975C6">
        <w:rPr>
          <w:rFonts w:ascii="Arial" w:hAnsi="Arial" w:cs="Arial"/>
          <w:rtl/>
        </w:rPr>
        <w:t>, התשל"ג – 1973 (להלן: "</w:t>
      </w:r>
      <w:r w:rsidRPr="004975C6">
        <w:rPr>
          <w:rFonts w:ascii="Arial" w:hAnsi="Arial" w:cs="Arial"/>
          <w:b/>
          <w:bCs/>
          <w:sz w:val="22"/>
          <w:szCs w:val="22"/>
          <w:rtl/>
        </w:rPr>
        <w:t>פקודת הסמים</w:t>
      </w:r>
      <w:r w:rsidRPr="004975C6">
        <w:rPr>
          <w:rFonts w:ascii="Arial" w:hAnsi="Arial" w:cs="Arial"/>
          <w:rtl/>
        </w:rPr>
        <w:t>").</w:t>
      </w:r>
    </w:p>
    <w:p w14:paraId="1974B448" w14:textId="77777777" w:rsidR="00C74D61" w:rsidRPr="004975C6" w:rsidRDefault="004975C6">
      <w:pPr>
        <w:pStyle w:val="ListParagraph"/>
        <w:numPr>
          <w:ilvl w:val="0"/>
          <w:numId w:val="1"/>
        </w:numPr>
        <w:spacing w:after="200" w:line="360" w:lineRule="auto"/>
        <w:ind w:left="560" w:hanging="567"/>
        <w:contextualSpacing w:val="0"/>
        <w:jc w:val="both"/>
        <w:rPr>
          <w:rFonts w:ascii="Arial" w:hAnsi="Arial" w:cs="Arial"/>
        </w:rPr>
      </w:pPr>
      <w:r w:rsidRPr="004975C6">
        <w:rPr>
          <w:rFonts w:ascii="Arial" w:hAnsi="Arial" w:cs="Arial"/>
          <w:rtl/>
        </w:rPr>
        <w:t xml:space="preserve">על פי עובדות כתב האישום המתוקן, במועדים הרלבנטיים שימש נ"פ 695527/11 כסוכן משטרתי סמוי שפעל במטרה לרכוש אמל"ח וסמים מסוכנים מעבריינים ברחבי הארץ (להלן: </w:t>
      </w:r>
      <w:r w:rsidRPr="004975C6">
        <w:rPr>
          <w:rFonts w:ascii="Arial" w:hAnsi="Arial" w:cs="Arial"/>
          <w:sz w:val="22"/>
          <w:szCs w:val="22"/>
          <w:rtl/>
        </w:rPr>
        <w:t>"</w:t>
      </w:r>
      <w:r w:rsidRPr="004975C6">
        <w:rPr>
          <w:rFonts w:ascii="Arial" w:hAnsi="Arial" w:cs="Arial"/>
          <w:b/>
          <w:bCs/>
          <w:sz w:val="22"/>
          <w:szCs w:val="22"/>
          <w:rtl/>
        </w:rPr>
        <w:t>הסוכן</w:t>
      </w:r>
      <w:r w:rsidRPr="004975C6">
        <w:rPr>
          <w:rFonts w:ascii="Arial" w:hAnsi="Arial" w:cs="Arial"/>
          <w:sz w:val="22"/>
          <w:szCs w:val="22"/>
          <w:rtl/>
        </w:rPr>
        <w:t>"</w:t>
      </w:r>
      <w:r w:rsidRPr="004975C6">
        <w:rPr>
          <w:rFonts w:ascii="Arial" w:hAnsi="Arial" w:cs="Arial"/>
          <w:rtl/>
        </w:rPr>
        <w:t>). בנוסף, הופעל שוטר כסוכן סמוי שכונה "יוסי". השניים פעלו בשיתוף ובתיאום (להלן יכונו ביחד: "</w:t>
      </w:r>
      <w:r w:rsidRPr="004975C6">
        <w:rPr>
          <w:rFonts w:ascii="Arial" w:hAnsi="Arial" w:cs="Arial"/>
          <w:b/>
          <w:bCs/>
          <w:sz w:val="22"/>
          <w:szCs w:val="22"/>
          <w:rtl/>
        </w:rPr>
        <w:t>הסוכנים</w:t>
      </w:r>
      <w:r w:rsidRPr="004975C6">
        <w:rPr>
          <w:rFonts w:ascii="Arial" w:hAnsi="Arial" w:cs="Arial"/>
          <w:rtl/>
        </w:rPr>
        <w:t>").</w:t>
      </w:r>
    </w:p>
    <w:p w14:paraId="2D34F989"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lastRenderedPageBreak/>
        <w:t>בכתב האישום ארבעה נאשמים, כנגדם תלויים ועומדים שישה אישומים אשר עיקרם עבירות סחר בסמים וניסיונות ייבוא סמים לישראל. האישום היחיד המיוחס לנאשם בכתב האישום המתוקן הוא האישום השני אשר עפ"י עובדותיו החזיק הנאשם (ביחד עם הנאשם 1 בכתב האישום (להלן: "</w:t>
      </w:r>
      <w:r>
        <w:rPr>
          <w:rFonts w:ascii="Arial" w:hAnsi="Arial" w:cs="Arial"/>
          <w:b/>
          <w:bCs/>
          <w:sz w:val="22"/>
          <w:szCs w:val="22"/>
          <w:rtl/>
        </w:rPr>
        <w:t>הנאשם 1</w:t>
      </w:r>
      <w:r>
        <w:rPr>
          <w:rFonts w:ascii="Arial" w:hAnsi="Arial" w:cs="Arial"/>
          <w:rtl/>
        </w:rPr>
        <w:t>") במחסן ביתה של חברתו מכונה לייצור כדורי "אקסטזי". ביום 3.2.13 נפגשו הנאשם 1 והסוכנים ותכננו להפיק כדורים באמצעות המכונה. השלושה המתינו לנאשם על מנת שיובילם למכונה ואכן סמוך לשעה 22:00 נסעו ארבעתם למחסן, הנאשם פתח את הדלת וביחד עם הנאשם 1 מסר לסוכנים את המכונה בצירוף חלקיה. יתר פרטי האישום אינם רלוונטיים לנאשם שלפניי ועל כן לא פורטו.</w:t>
      </w:r>
    </w:p>
    <w:p w14:paraId="6455CC44" w14:textId="77777777" w:rsidR="00C74D61" w:rsidRDefault="004975C6">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הסדר הטיעון</w:t>
      </w:r>
    </w:p>
    <w:p w14:paraId="4A8A4231"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hint="cs"/>
          <w:rtl/>
        </w:rPr>
        <w:t xml:space="preserve">על פי </w:t>
      </w:r>
      <w:r>
        <w:rPr>
          <w:rFonts w:ascii="Arial" w:hAnsi="Arial" w:cs="Arial"/>
          <w:rtl/>
        </w:rPr>
        <w:t xml:space="preserve">הסדר הטיעון </w:t>
      </w:r>
      <w:r>
        <w:rPr>
          <w:rFonts w:ascii="Arial" w:hAnsi="Arial" w:cs="Arial" w:hint="cs"/>
          <w:rtl/>
        </w:rPr>
        <w:t xml:space="preserve">עתרו הצדדים במשותף להשית על הנאשם </w:t>
      </w:r>
      <w:r>
        <w:rPr>
          <w:rFonts w:ascii="Arial" w:hAnsi="Arial" w:cs="Arial"/>
          <w:rtl/>
        </w:rPr>
        <w:t xml:space="preserve">5 חודשי </w:t>
      </w:r>
      <w:r>
        <w:rPr>
          <w:rFonts w:ascii="Arial" w:hAnsi="Arial" w:cs="Arial" w:hint="cs"/>
          <w:rtl/>
        </w:rPr>
        <w:t>מאסר שירוצו ב</w:t>
      </w:r>
      <w:r>
        <w:rPr>
          <w:rFonts w:ascii="Arial" w:hAnsi="Arial" w:cs="Arial"/>
          <w:rtl/>
        </w:rPr>
        <w:t xml:space="preserve">עבודות שירות </w:t>
      </w:r>
      <w:r>
        <w:rPr>
          <w:rFonts w:ascii="Arial" w:hAnsi="Arial" w:cs="Arial" w:hint="cs"/>
          <w:rtl/>
        </w:rPr>
        <w:t>ו</w:t>
      </w:r>
      <w:r>
        <w:rPr>
          <w:rFonts w:ascii="Arial" w:hAnsi="Arial" w:cs="Arial"/>
          <w:rtl/>
        </w:rPr>
        <w:t xml:space="preserve">מהם ינוכו </w:t>
      </w:r>
      <w:r>
        <w:rPr>
          <w:rFonts w:ascii="Arial" w:hAnsi="Arial" w:cs="Arial" w:hint="cs"/>
          <w:rtl/>
        </w:rPr>
        <w:t>ימי מעצרו (</w:t>
      </w:r>
      <w:r>
        <w:rPr>
          <w:rFonts w:ascii="Arial" w:hAnsi="Arial" w:cs="Arial"/>
          <w:rtl/>
        </w:rPr>
        <w:t>החל מיום 4.6.13 ועד יום 18.6.13</w:t>
      </w:r>
      <w:r>
        <w:rPr>
          <w:rFonts w:ascii="Arial" w:hAnsi="Arial" w:cs="Arial" w:hint="cs"/>
          <w:rtl/>
        </w:rPr>
        <w:t>), כפוף לקבלת אישור הממונה על עבודות שרות</w:t>
      </w:r>
      <w:r>
        <w:rPr>
          <w:rFonts w:ascii="Arial" w:hAnsi="Arial" w:cs="Arial"/>
          <w:rtl/>
        </w:rPr>
        <w:t xml:space="preserve">. לעניין רכיבי ענישה אחרים – מאסר מותנה וקנס – אלו הושארו לשיקול דעת בית משפט. </w:t>
      </w:r>
    </w:p>
    <w:p w14:paraId="351A2473" w14:textId="77777777" w:rsidR="00C74D61" w:rsidRDefault="004975C6">
      <w:pPr>
        <w:pStyle w:val="ListParagraph"/>
        <w:spacing w:after="200" w:line="360" w:lineRule="auto"/>
        <w:ind w:left="561"/>
        <w:contextualSpacing w:val="0"/>
        <w:jc w:val="both"/>
        <w:rPr>
          <w:rFonts w:ascii="Arial" w:hAnsi="Arial" w:cs="Arial"/>
          <w:b/>
          <w:bCs/>
          <w:u w:val="single"/>
          <w:rtl/>
        </w:rPr>
      </w:pPr>
      <w:r>
        <w:rPr>
          <w:rFonts w:ascii="Arial" w:hAnsi="Arial" w:cs="Arial"/>
          <w:b/>
          <w:bCs/>
          <w:u w:val="single"/>
          <w:rtl/>
        </w:rPr>
        <w:t>טיעוני הצדדים לעונש</w:t>
      </w:r>
    </w:p>
    <w:p w14:paraId="46F510AA" w14:textId="77777777" w:rsidR="00C74D61" w:rsidRDefault="004975C6">
      <w:pPr>
        <w:pStyle w:val="ListParagraph"/>
        <w:numPr>
          <w:ilvl w:val="0"/>
          <w:numId w:val="1"/>
        </w:numPr>
        <w:spacing w:after="200" w:line="360" w:lineRule="auto"/>
        <w:ind w:left="560" w:hanging="567"/>
        <w:contextualSpacing w:val="0"/>
        <w:jc w:val="both"/>
        <w:rPr>
          <w:rFonts w:ascii="Arial" w:hAnsi="Arial" w:cs="Arial"/>
          <w:b/>
          <w:bCs/>
          <w:u w:val="single"/>
        </w:rPr>
      </w:pPr>
      <w:r>
        <w:rPr>
          <w:rFonts w:ascii="Arial" w:hAnsi="Arial" w:cs="Arial"/>
          <w:rtl/>
        </w:rPr>
        <w:t xml:space="preserve">ב"כ המאשימה, עוה"ד גלעד ארליך, עמד על הטעמים שביסוד הסדר הטיעון ועתר לכבדו. לדבריו, הסדר הטיעון משקף נאמנה את חלקו של הנאשם במדרג העברייני, </w:t>
      </w:r>
      <w:r>
        <w:rPr>
          <w:rFonts w:ascii="Arial" w:hAnsi="Arial" w:cs="Arial" w:hint="cs"/>
          <w:rtl/>
        </w:rPr>
        <w:t>בהינתן העובדה ש</w:t>
      </w:r>
      <w:r>
        <w:rPr>
          <w:rFonts w:ascii="Arial" w:hAnsi="Arial" w:cs="Arial"/>
          <w:rtl/>
        </w:rPr>
        <w:t>בעלי המכונה</w:t>
      </w:r>
      <w:r>
        <w:rPr>
          <w:rFonts w:ascii="Arial" w:hAnsi="Arial" w:cs="Arial" w:hint="cs"/>
          <w:rtl/>
        </w:rPr>
        <w:t>, לשיטתו</w:t>
      </w:r>
      <w:r>
        <w:rPr>
          <w:rFonts w:ascii="Arial" w:hAnsi="Arial" w:cs="Arial"/>
          <w:rtl/>
        </w:rPr>
        <w:t xml:space="preserve"> ומי שהבטיח את השימוש בה לסוכנים הוא הנאשם 1. </w:t>
      </w:r>
      <w:r>
        <w:rPr>
          <w:rFonts w:ascii="Arial" w:hAnsi="Arial" w:cs="Arial" w:hint="cs"/>
          <w:rtl/>
        </w:rPr>
        <w:t xml:space="preserve">כן ציין את הקרבה המשפחתית בין </w:t>
      </w:r>
      <w:r>
        <w:rPr>
          <w:rFonts w:ascii="Arial" w:hAnsi="Arial" w:cs="Arial"/>
          <w:rtl/>
        </w:rPr>
        <w:t xml:space="preserve">הנאשם  </w:t>
      </w:r>
      <w:r>
        <w:rPr>
          <w:rFonts w:ascii="Arial" w:hAnsi="Arial" w:cs="Arial" w:hint="cs"/>
          <w:rtl/>
        </w:rPr>
        <w:t>ל</w:t>
      </w:r>
      <w:r>
        <w:rPr>
          <w:rFonts w:ascii="Arial" w:hAnsi="Arial" w:cs="Arial"/>
          <w:rtl/>
        </w:rPr>
        <w:t xml:space="preserve">נאשם 1 </w:t>
      </w:r>
      <w:r>
        <w:rPr>
          <w:rFonts w:ascii="Arial" w:hAnsi="Arial" w:cs="Arial" w:hint="cs"/>
          <w:rtl/>
        </w:rPr>
        <w:t>ש</w:t>
      </w:r>
      <w:r>
        <w:rPr>
          <w:rFonts w:ascii="Arial" w:hAnsi="Arial" w:cs="Arial"/>
          <w:rtl/>
        </w:rPr>
        <w:t xml:space="preserve">הינם בני דודים </w:t>
      </w:r>
      <w:r>
        <w:rPr>
          <w:rFonts w:ascii="Arial" w:hAnsi="Arial" w:cs="Arial" w:hint="cs"/>
          <w:rtl/>
        </w:rPr>
        <w:t xml:space="preserve">ומקורבים זה לזה. בנוסף, הטעים את עברו הנקי של הנאשם. בנסיבות אלו, </w:t>
      </w:r>
      <w:r>
        <w:rPr>
          <w:rFonts w:ascii="Arial" w:hAnsi="Arial" w:cs="Arial"/>
          <w:rtl/>
        </w:rPr>
        <w:t xml:space="preserve">גרס כי עונש של 5 חודשי </w:t>
      </w:r>
      <w:r>
        <w:rPr>
          <w:rFonts w:ascii="Arial" w:hAnsi="Arial" w:cs="Arial" w:hint="cs"/>
          <w:rtl/>
        </w:rPr>
        <w:t>מאסר שירוצו ב</w:t>
      </w:r>
      <w:r>
        <w:rPr>
          <w:rFonts w:ascii="Arial" w:hAnsi="Arial" w:cs="Arial"/>
          <w:rtl/>
        </w:rPr>
        <w:t>עבודות שירות מאזן נכונה בין כלל האינטרסים, לרבות האינטרס הציבורי, ולפיכך ראוי לכבדו.</w:t>
      </w:r>
    </w:p>
    <w:p w14:paraId="428D2F23"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ב"כ הנאשם, עוה"ד ארז מלמד, הצטרף לדברי חברו והדגיש כי הודיית הנאשם לא ניתנה בהזדמנות הראשונה בשל המורכבות הנובעת מקרבתם המשפחתית של הנאשם 1 והנאשם. הוא הוסיף כי הנאשם שהה בתנאים מגבילים ובכלל זה מעצר בית מוחלט חודשים ארוכים בבית אמו. אך בחודש נובמבר 2013 הותר לו לצאת לעבודה ורק לאחר שהודה בעובדות כתב האישום, קרי בחודש נובמבר 2014, בוטלו התנאים המגבילים כליל. </w:t>
      </w:r>
    </w:p>
    <w:p w14:paraId="3D562257"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lastRenderedPageBreak/>
        <w:t>הסנגור הטעים כי הנאשם סובל ממצוקה כלכלית קשה מאוד עד כי נאלץ לפנות למרכז לסיוע משפטי על מנת שיסייעו בידו ויכירו בו כפושט רגל. נכון למועד הטיעונים לעונש התהליך עדיין נמשך, כאשר בינתיים משלם הנאשם מדי חודש סך של כ-500 ₪ ללשכת ההוצל"פ. הנאשם עובד בחברה של עבודות חשמל בתפקיד פקידותי ומשתכר סך של 2,200 ₪ מדי חודש. לכך מתווספת קצבה של 1,400 ₪ של המוסד לביטוח לאומי, בשל היותו מוכר כנכה בעל בעיות לבביות. בעברו הלא רחוק של הנאשם ניתוח מעקפים וצנתורים. בנסיבות אלו, ביקש הסנגור להימנע מלהשית על הנאשם קנס. לבסוף גרס כי ההליך הארוך והתקופה הארוכה בה שהה הנאשם בתנאים מגבילים, הבהירו לו הבהר היטב היכן שגה ולכן ביקש להתחשב בו.</w:t>
      </w:r>
    </w:p>
    <w:p w14:paraId="2C70282B"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הנאשם ניצל את זכות המילה האחרונה ועמד על רצונו העז לשקם עצמו. כמו כן ביקש התחשבות בנושא הקנס הכספי.</w:t>
      </w:r>
    </w:p>
    <w:p w14:paraId="65C1B4D0" w14:textId="77777777" w:rsidR="00C74D61" w:rsidRDefault="004975C6">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דיון והכרעה</w:t>
      </w:r>
    </w:p>
    <w:p w14:paraId="53427C6F"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העבירה שביצע הנאשם חמורה. לא בכדי נקבע בצדה עונש מאסר בן 20 שנים. במעשיו פגע הנאשם בערך המוגן שעניינו שלום הציבור ובריאותו. בהחזיקו את המכונה לייצור סמים, נתן הנאשם ידו לאפשרות של ייצור סמים מסוכנים מסוג "אקסטזי", על השפעותיו ההרסניות.</w:t>
      </w:r>
    </w:p>
    <w:p w14:paraId="38AC853E"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לצד האמור, שקלתי את טיעוני הצדדים, לרבות העובדה כי מדובר בעבירה יחידה, </w:t>
      </w:r>
      <w:r>
        <w:rPr>
          <w:rFonts w:ascii="Arial" w:hAnsi="Arial" w:cs="Arial" w:hint="cs"/>
          <w:rtl/>
        </w:rPr>
        <w:t xml:space="preserve">בנאשם שעברו </w:t>
      </w:r>
      <w:r>
        <w:rPr>
          <w:rFonts w:ascii="Arial" w:hAnsi="Arial" w:cs="Arial"/>
          <w:rtl/>
        </w:rPr>
        <w:t xml:space="preserve">נקי, </w:t>
      </w:r>
      <w:r>
        <w:rPr>
          <w:rFonts w:ascii="Arial" w:hAnsi="Arial" w:cs="Arial" w:hint="cs"/>
          <w:rtl/>
        </w:rPr>
        <w:t>אשר בחר ל</w:t>
      </w:r>
      <w:r>
        <w:rPr>
          <w:rFonts w:ascii="Arial" w:hAnsi="Arial" w:cs="Arial"/>
          <w:rtl/>
        </w:rPr>
        <w:t>הוד</w:t>
      </w:r>
      <w:r>
        <w:rPr>
          <w:rFonts w:ascii="Arial" w:hAnsi="Arial" w:cs="Arial" w:hint="cs"/>
          <w:rtl/>
        </w:rPr>
        <w:t>ו</w:t>
      </w:r>
      <w:r>
        <w:rPr>
          <w:rFonts w:ascii="Arial" w:hAnsi="Arial" w:cs="Arial"/>
          <w:rtl/>
        </w:rPr>
        <w:t>ת</w:t>
      </w:r>
      <w:r>
        <w:rPr>
          <w:rFonts w:ascii="Arial" w:hAnsi="Arial" w:cs="Arial" w:hint="cs"/>
          <w:rtl/>
        </w:rPr>
        <w:t xml:space="preserve"> בביצוע העבירה והביע</w:t>
      </w:r>
      <w:r>
        <w:rPr>
          <w:rFonts w:ascii="Arial" w:hAnsi="Arial" w:cs="Arial"/>
          <w:rtl/>
        </w:rPr>
        <w:t xml:space="preserve"> חרט</w:t>
      </w:r>
      <w:r>
        <w:rPr>
          <w:rFonts w:ascii="Arial" w:hAnsi="Arial" w:cs="Arial" w:hint="cs"/>
          <w:rtl/>
        </w:rPr>
        <w:t>ה</w:t>
      </w:r>
      <w:r>
        <w:rPr>
          <w:rFonts w:ascii="Arial" w:hAnsi="Arial" w:cs="Arial"/>
          <w:rtl/>
        </w:rPr>
        <w:t xml:space="preserve">, </w:t>
      </w:r>
      <w:r>
        <w:rPr>
          <w:rFonts w:ascii="Arial" w:hAnsi="Arial" w:cs="Arial" w:hint="cs"/>
          <w:rtl/>
        </w:rPr>
        <w:t>וכן בהתחשב ב</w:t>
      </w:r>
      <w:r>
        <w:rPr>
          <w:rFonts w:ascii="Arial" w:hAnsi="Arial" w:cs="Arial"/>
          <w:rtl/>
        </w:rPr>
        <w:t>חלוף הזמן ו</w:t>
      </w:r>
      <w:r>
        <w:rPr>
          <w:rFonts w:ascii="Arial" w:hAnsi="Arial" w:cs="Arial" w:hint="cs"/>
          <w:rtl/>
        </w:rPr>
        <w:t>התקופה הממושכת בה שהה ב</w:t>
      </w:r>
      <w:r>
        <w:rPr>
          <w:rFonts w:ascii="Arial" w:hAnsi="Arial" w:cs="Arial"/>
          <w:rtl/>
        </w:rPr>
        <w:t>תנאים מגבילים. כן נתתי דעתי לכך כי הנאשם</w:t>
      </w:r>
      <w:r>
        <w:rPr>
          <w:rFonts w:ascii="Arial" w:hAnsi="Arial" w:cs="Arial" w:hint="cs"/>
          <w:rtl/>
        </w:rPr>
        <w:t>, לגרסתו,</w:t>
      </w:r>
      <w:r>
        <w:rPr>
          <w:rFonts w:ascii="Arial" w:hAnsi="Arial" w:cs="Arial"/>
          <w:rtl/>
        </w:rPr>
        <w:t xml:space="preserve"> לא היה הבעלים של המכונה אלא החזיק בה בעבור נאשם 1.</w:t>
      </w:r>
    </w:p>
    <w:p w14:paraId="4D8069F9" w14:textId="77777777" w:rsidR="00C74D61" w:rsidRDefault="004975C6">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בנסיבות אלו, העונש המוצע ע"י הצדדים ראוי </w:t>
      </w:r>
      <w:r>
        <w:rPr>
          <w:rFonts w:ascii="Arial" w:hAnsi="Arial" w:cs="Arial" w:hint="cs"/>
          <w:rtl/>
        </w:rPr>
        <w:t>ו</w:t>
      </w:r>
      <w:r>
        <w:rPr>
          <w:rFonts w:ascii="Arial" w:hAnsi="Arial" w:cs="Arial"/>
          <w:rtl/>
        </w:rPr>
        <w:t>מאזן נכונה בין כלל השיקולים ולפיכך יש לכבדו.</w:t>
      </w:r>
    </w:p>
    <w:p w14:paraId="526E561D" w14:textId="77777777" w:rsidR="00C74D61" w:rsidRDefault="004975C6">
      <w:pPr>
        <w:pStyle w:val="ListParagraph"/>
        <w:numPr>
          <w:ilvl w:val="0"/>
          <w:numId w:val="1"/>
        </w:numPr>
        <w:spacing w:line="360" w:lineRule="auto"/>
        <w:ind w:left="560" w:hanging="567"/>
        <w:contextualSpacing w:val="0"/>
        <w:jc w:val="both"/>
        <w:rPr>
          <w:rFonts w:ascii="Arial" w:hAnsi="Arial" w:cs="Arial"/>
        </w:rPr>
      </w:pPr>
      <w:r>
        <w:rPr>
          <w:rFonts w:ascii="Arial" w:hAnsi="Arial" w:cs="Arial"/>
          <w:rtl/>
        </w:rPr>
        <w:t>לאור כל האמור לעיל, אני גוזרת על הנאשם את העונשים הבאים:</w:t>
      </w:r>
    </w:p>
    <w:p w14:paraId="6DEA7C83" w14:textId="77777777" w:rsidR="00C74D61" w:rsidRDefault="00C74D61">
      <w:pPr>
        <w:pStyle w:val="ListParagraph"/>
        <w:spacing w:line="360" w:lineRule="auto"/>
        <w:ind w:left="560"/>
        <w:contextualSpacing w:val="0"/>
        <w:jc w:val="both"/>
        <w:rPr>
          <w:rFonts w:ascii="Arial" w:hAnsi="Arial" w:cs="Arial"/>
        </w:rPr>
      </w:pPr>
    </w:p>
    <w:p w14:paraId="57B78F98" w14:textId="77777777" w:rsidR="00C74D61" w:rsidRDefault="004975C6">
      <w:pPr>
        <w:pStyle w:val="ListParagraph"/>
        <w:numPr>
          <w:ilvl w:val="0"/>
          <w:numId w:val="2"/>
        </w:numPr>
        <w:spacing w:line="360" w:lineRule="auto"/>
        <w:contextualSpacing w:val="0"/>
        <w:jc w:val="both"/>
        <w:rPr>
          <w:rFonts w:ascii="Arial" w:hAnsi="Arial" w:cs="Arial"/>
        </w:rPr>
      </w:pPr>
      <w:r>
        <w:rPr>
          <w:rFonts w:ascii="Arial" w:hAnsi="Arial" w:cs="Arial"/>
          <w:rtl/>
        </w:rPr>
        <w:t xml:space="preserve">5 חודשי מאסר </w:t>
      </w:r>
      <w:r>
        <w:rPr>
          <w:rFonts w:ascii="Arial" w:hAnsi="Arial" w:cs="Arial" w:hint="cs"/>
          <w:rtl/>
        </w:rPr>
        <w:t xml:space="preserve">אשר מהם ינוכו ימי המעצר מיום 5.6.13 ועד יום 18.6.13 </w:t>
      </w:r>
      <w:r>
        <w:rPr>
          <w:rFonts w:ascii="Arial" w:hAnsi="Arial" w:cs="Arial"/>
          <w:rtl/>
        </w:rPr>
        <w:t xml:space="preserve">שירוצו בעבודות שירות </w:t>
      </w:r>
      <w:r>
        <w:rPr>
          <w:rFonts w:ascii="Arial" w:hAnsi="Arial" w:cs="Arial" w:hint="cs"/>
          <w:rtl/>
        </w:rPr>
        <w:t xml:space="preserve">על פי חוות דעת מיום 29.3.15 בבית אבות מלון "פלאס" בנהריה, ובהתאם למפורט בחוות הדעת. </w:t>
      </w:r>
    </w:p>
    <w:p w14:paraId="380CAA89" w14:textId="77777777" w:rsidR="00C74D61" w:rsidRDefault="00C74D61">
      <w:pPr>
        <w:pStyle w:val="ListParagraph"/>
        <w:spacing w:line="360" w:lineRule="auto"/>
        <w:ind w:left="920"/>
        <w:contextualSpacing w:val="0"/>
        <w:jc w:val="both"/>
        <w:rPr>
          <w:rFonts w:ascii="Arial" w:hAnsi="Arial" w:cs="Arial"/>
        </w:rPr>
      </w:pPr>
    </w:p>
    <w:p w14:paraId="58F72E52" w14:textId="77777777" w:rsidR="00C74D61" w:rsidRDefault="004975C6">
      <w:pPr>
        <w:pStyle w:val="ListParagraph"/>
        <w:numPr>
          <w:ilvl w:val="0"/>
          <w:numId w:val="2"/>
        </w:numPr>
        <w:spacing w:line="360" w:lineRule="auto"/>
        <w:contextualSpacing w:val="0"/>
        <w:jc w:val="both"/>
        <w:rPr>
          <w:rFonts w:ascii="Arial" w:hAnsi="Arial" w:cs="Arial"/>
        </w:rPr>
      </w:pPr>
      <w:r>
        <w:rPr>
          <w:rFonts w:ascii="Arial" w:hAnsi="Arial" w:cs="Arial" w:hint="cs"/>
          <w:rtl/>
        </w:rPr>
        <w:t>8</w:t>
      </w:r>
      <w:r>
        <w:rPr>
          <w:rFonts w:ascii="Arial" w:hAnsi="Arial" w:cs="Arial"/>
          <w:rtl/>
        </w:rPr>
        <w:t xml:space="preserve"> חודשי מאסר מותנה למשך 3 שנים, שלא יעבור עבירה מסוג פשע עפ"י </w:t>
      </w:r>
      <w:hyperlink r:id="rId11" w:history="1">
        <w:r w:rsidRPr="004975C6">
          <w:rPr>
            <w:rStyle w:val="Hyperlink"/>
            <w:rFonts w:ascii="Arial" w:hAnsi="Arial" w:cs="Arial"/>
            <w:rtl/>
          </w:rPr>
          <w:t>פקודת הסמים המסוכנים</w:t>
        </w:r>
      </w:hyperlink>
      <w:r>
        <w:rPr>
          <w:rFonts w:ascii="Arial" w:hAnsi="Arial" w:cs="Arial"/>
          <w:rtl/>
        </w:rPr>
        <w:t>.</w:t>
      </w:r>
    </w:p>
    <w:p w14:paraId="1DB8F6DA" w14:textId="77777777" w:rsidR="00C74D61" w:rsidRDefault="00C74D61">
      <w:pPr>
        <w:pStyle w:val="ListParagraph"/>
        <w:spacing w:line="360" w:lineRule="auto"/>
        <w:ind w:left="920"/>
        <w:contextualSpacing w:val="0"/>
        <w:jc w:val="both"/>
        <w:rPr>
          <w:rFonts w:ascii="Arial" w:hAnsi="Arial" w:cs="Arial"/>
          <w:rtl/>
        </w:rPr>
      </w:pPr>
    </w:p>
    <w:p w14:paraId="5BE2D4B9" w14:textId="77777777" w:rsidR="00C74D61" w:rsidRDefault="00C74D61">
      <w:pPr>
        <w:pStyle w:val="ListParagraph"/>
        <w:spacing w:line="360" w:lineRule="auto"/>
        <w:ind w:left="920"/>
        <w:contextualSpacing w:val="0"/>
        <w:jc w:val="both"/>
        <w:rPr>
          <w:rFonts w:ascii="Arial" w:hAnsi="Arial" w:cs="Arial"/>
        </w:rPr>
      </w:pPr>
    </w:p>
    <w:p w14:paraId="28079AA5" w14:textId="77777777" w:rsidR="00C74D61" w:rsidRDefault="004975C6">
      <w:pPr>
        <w:pStyle w:val="ListParagraph"/>
        <w:numPr>
          <w:ilvl w:val="0"/>
          <w:numId w:val="2"/>
        </w:numPr>
        <w:spacing w:after="200" w:line="360" w:lineRule="auto"/>
        <w:contextualSpacing w:val="0"/>
        <w:jc w:val="both"/>
        <w:rPr>
          <w:rFonts w:ascii="Arial" w:hAnsi="Arial" w:cs="Arial"/>
          <w:rtl/>
        </w:rPr>
      </w:pPr>
      <w:r>
        <w:rPr>
          <w:rFonts w:ascii="Arial" w:hAnsi="Arial" w:cs="Arial" w:hint="cs"/>
          <w:rtl/>
        </w:rPr>
        <w:t xml:space="preserve">קנס בסך 5,000 ₪ או 30 ימי מאסר תמורתו. הקנס ישולם ב </w:t>
      </w:r>
      <w:r>
        <w:rPr>
          <w:rFonts w:ascii="Arial" w:hAnsi="Arial" w:cs="Arial"/>
          <w:rtl/>
        </w:rPr>
        <w:t>–</w:t>
      </w:r>
      <w:r>
        <w:rPr>
          <w:rFonts w:ascii="Arial" w:hAnsi="Arial" w:cs="Arial" w:hint="cs"/>
          <w:rtl/>
        </w:rPr>
        <w:t xml:space="preserve"> 10 תשלומים שווים ורצופים החל מיום 1.4.15 ובכל ה </w:t>
      </w:r>
      <w:r>
        <w:rPr>
          <w:rFonts w:ascii="Arial" w:hAnsi="Arial" w:cs="Arial"/>
          <w:rtl/>
        </w:rPr>
        <w:t>–</w:t>
      </w:r>
      <w:r>
        <w:rPr>
          <w:rFonts w:ascii="Arial" w:hAnsi="Arial" w:cs="Arial" w:hint="cs"/>
          <w:rtl/>
        </w:rPr>
        <w:t xml:space="preserve"> 1 לחודש שלאחריו. לא ישולם אחד התשלומים </w:t>
      </w:r>
      <w:r>
        <w:rPr>
          <w:rFonts w:ascii="Arial" w:hAnsi="Arial" w:cs="Arial"/>
          <w:rtl/>
        </w:rPr>
        <w:t>–</w:t>
      </w:r>
      <w:r>
        <w:rPr>
          <w:rFonts w:ascii="Arial" w:hAnsi="Arial" w:cs="Arial" w:hint="cs"/>
          <w:rtl/>
        </w:rPr>
        <w:t xml:space="preserve"> תעמוד לפירעון היתרה במלואה.</w:t>
      </w:r>
    </w:p>
    <w:p w14:paraId="46C472D3" w14:textId="77777777" w:rsidR="00C74D61" w:rsidRDefault="00C74D61">
      <w:pPr>
        <w:rPr>
          <w:rFonts w:ascii="Arial" w:hAnsi="Arial" w:cs="Arial"/>
          <w:b/>
          <w:bCs/>
          <w:rtl/>
        </w:rPr>
      </w:pPr>
    </w:p>
    <w:p w14:paraId="7975DC0B" w14:textId="77777777" w:rsidR="00C74D61" w:rsidRDefault="004975C6">
      <w:pPr>
        <w:rPr>
          <w:rFonts w:ascii="Arial" w:hAnsi="Arial" w:cs="Arial"/>
          <w:b/>
          <w:bCs/>
          <w:rtl/>
        </w:rPr>
      </w:pPr>
      <w:r>
        <w:rPr>
          <w:rFonts w:ascii="Arial" w:hAnsi="Arial" w:cs="Arial"/>
          <w:b/>
          <w:bCs/>
          <w:rtl/>
        </w:rPr>
        <w:br/>
      </w:r>
      <w:r>
        <w:rPr>
          <w:rFonts w:ascii="Arial" w:hAnsi="Arial" w:cs="Arial" w:hint="cs"/>
          <w:b/>
          <w:bCs/>
          <w:rtl/>
        </w:rPr>
        <w:t>זכות ערעור לבית המשפט העליון בתוך 45 יום.</w:t>
      </w:r>
    </w:p>
    <w:p w14:paraId="39879891" w14:textId="77777777" w:rsidR="00C74D61" w:rsidRDefault="00C74D61">
      <w:pPr>
        <w:rPr>
          <w:rFonts w:ascii="Arial" w:hAnsi="Arial" w:cs="Arial"/>
          <w:rtl/>
        </w:rPr>
      </w:pPr>
    </w:p>
    <w:p w14:paraId="21F4D535" w14:textId="77777777" w:rsidR="00C74D61" w:rsidRDefault="004975C6">
      <w:pPr>
        <w:jc w:val="center"/>
        <w:rPr>
          <w:rFonts w:ascii="Arial" w:hAnsi="Arial" w:cs="Arial"/>
          <w:sz w:val="20"/>
          <w:szCs w:val="20"/>
          <w:rtl/>
        </w:rPr>
      </w:pPr>
      <w:r w:rsidRPr="004975C6">
        <w:rPr>
          <w:rFonts w:ascii="Arial" w:hAnsi="Arial" w:cs="Arial"/>
          <w:color w:val="FFFFFF"/>
          <w:sz w:val="2"/>
          <w:szCs w:val="2"/>
          <w:rtl/>
        </w:rPr>
        <w:t>5129371</w:t>
      </w:r>
      <w:r>
        <w:rPr>
          <w:rFonts w:ascii="Arial" w:hAnsi="Arial" w:cs="Arial"/>
          <w:rtl/>
        </w:rPr>
        <w:t xml:space="preserve">ניתן היום, ט' ניסן תשע"ה, 29 מרץ 2015, במעמד הנאשם וב"כ הצדדים.    </w:t>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tbl>
      <w:tblPr>
        <w:bidiVisual/>
        <w:tblW w:w="0" w:type="auto"/>
        <w:jc w:val="right"/>
        <w:tblLook w:val="01E0" w:firstRow="1" w:lastRow="1" w:firstColumn="1" w:lastColumn="1" w:noHBand="0" w:noVBand="0"/>
      </w:tblPr>
      <w:tblGrid>
        <w:gridCol w:w="3322"/>
      </w:tblGrid>
      <w:tr w:rsidR="00C74D61" w14:paraId="5C6A8FD4" w14:textId="77777777">
        <w:trPr>
          <w:trHeight w:val="681"/>
          <w:jc w:val="right"/>
        </w:trPr>
        <w:tc>
          <w:tcPr>
            <w:tcW w:w="3322" w:type="dxa"/>
            <w:tcBorders>
              <w:top w:val="nil"/>
              <w:left w:val="nil"/>
              <w:bottom w:val="single" w:sz="4" w:space="0" w:color="auto"/>
              <w:right w:val="nil"/>
            </w:tcBorders>
            <w:vAlign w:val="bottom"/>
          </w:tcPr>
          <w:p w14:paraId="48A4269F" w14:textId="77777777" w:rsidR="00C74D61" w:rsidRPr="004975C6" w:rsidRDefault="004975C6">
            <w:pPr>
              <w:jc w:val="center"/>
              <w:rPr>
                <w:rFonts w:ascii="Courier New" w:hAnsi="Courier New"/>
                <w:b/>
                <w:bCs/>
                <w:color w:val="FFFFFF"/>
                <w:sz w:val="2"/>
                <w:szCs w:val="2"/>
                <w:rtl/>
              </w:rPr>
            </w:pPr>
            <w:r w:rsidRPr="004975C6">
              <w:rPr>
                <w:rFonts w:ascii="Courier New" w:hAnsi="Courier New"/>
                <w:b/>
                <w:bCs/>
                <w:color w:val="FFFFFF"/>
                <w:sz w:val="2"/>
                <w:szCs w:val="2"/>
                <w:rtl/>
              </w:rPr>
              <w:t>54678313</w:t>
            </w:r>
          </w:p>
        </w:tc>
      </w:tr>
      <w:tr w:rsidR="00C74D61" w14:paraId="673C8C6E" w14:textId="77777777">
        <w:trPr>
          <w:trHeight w:val="420"/>
          <w:jc w:val="right"/>
        </w:trPr>
        <w:tc>
          <w:tcPr>
            <w:tcW w:w="3322" w:type="dxa"/>
            <w:tcBorders>
              <w:top w:val="single" w:sz="4" w:space="0" w:color="auto"/>
              <w:left w:val="nil"/>
              <w:bottom w:val="nil"/>
              <w:right w:val="nil"/>
            </w:tcBorders>
            <w:vAlign w:val="bottom"/>
          </w:tcPr>
          <w:p w14:paraId="7F1CB1B2" w14:textId="77777777" w:rsidR="00C74D61" w:rsidRDefault="004975C6">
            <w:pPr>
              <w:jc w:val="center"/>
              <w:rPr>
                <w:rFonts w:ascii="Arial" w:hAnsi="Arial" w:cs="Arial"/>
                <w:b/>
                <w:bCs/>
              </w:rPr>
            </w:pPr>
            <w:r>
              <w:rPr>
                <w:rFonts w:ascii="Arial" w:hAnsi="Arial" w:cs="Arial"/>
                <w:b/>
                <w:bCs/>
                <w:rtl/>
              </w:rPr>
              <w:t>ורדה מרוז, שופטת</w:t>
            </w:r>
          </w:p>
          <w:p w14:paraId="0AD9F945" w14:textId="77777777" w:rsidR="00C74D61" w:rsidRDefault="004975C6">
            <w:pPr>
              <w:jc w:val="center"/>
              <w:rPr>
                <w:rFonts w:ascii="Courier New" w:hAnsi="Courier New"/>
                <w:b/>
                <w:bCs/>
              </w:rPr>
            </w:pPr>
            <w:r>
              <w:rPr>
                <w:rFonts w:ascii="Arial" w:hAnsi="Arial" w:cs="Arial"/>
                <w:b/>
                <w:bCs/>
                <w:rtl/>
              </w:rPr>
              <w:t>סג"נ</w:t>
            </w:r>
          </w:p>
        </w:tc>
      </w:tr>
    </w:tbl>
    <w:p w14:paraId="18E432ED" w14:textId="77777777" w:rsidR="00C74D61" w:rsidRDefault="00C74D61">
      <w:pPr>
        <w:pStyle w:val="a3"/>
        <w:rPr>
          <w:rFonts w:ascii="Arial" w:hAnsi="Arial" w:cs="Arial"/>
          <w:rtl/>
        </w:rPr>
      </w:pPr>
      <w:bookmarkStart w:id="4" w:name="_GoBack"/>
      <w:bookmarkEnd w:id="4"/>
    </w:p>
    <w:p w14:paraId="05827535" w14:textId="77777777" w:rsidR="004975C6" w:rsidRPr="004975C6" w:rsidRDefault="004975C6" w:rsidP="004975C6">
      <w:pPr>
        <w:keepNext/>
        <w:rPr>
          <w:rFonts w:ascii="David" w:hAnsi="David"/>
          <w:color w:val="000000"/>
          <w:sz w:val="22"/>
          <w:szCs w:val="22"/>
          <w:rtl/>
        </w:rPr>
      </w:pPr>
    </w:p>
    <w:p w14:paraId="78D73430" w14:textId="77777777" w:rsidR="004975C6" w:rsidRPr="004975C6" w:rsidRDefault="004975C6" w:rsidP="004975C6">
      <w:pPr>
        <w:keepNext/>
        <w:rPr>
          <w:rFonts w:ascii="David" w:hAnsi="David"/>
          <w:color w:val="000000"/>
          <w:sz w:val="22"/>
          <w:szCs w:val="22"/>
          <w:rtl/>
        </w:rPr>
      </w:pPr>
      <w:r w:rsidRPr="004975C6">
        <w:rPr>
          <w:rFonts w:ascii="David" w:hAnsi="David"/>
          <w:color w:val="000000"/>
          <w:sz w:val="22"/>
          <w:szCs w:val="22"/>
          <w:rtl/>
        </w:rPr>
        <w:t>ורדה מרוז 54678313</w:t>
      </w:r>
    </w:p>
    <w:p w14:paraId="72FA0FA5" w14:textId="77777777" w:rsidR="004975C6" w:rsidRDefault="004975C6" w:rsidP="004975C6">
      <w:r w:rsidRPr="004975C6">
        <w:rPr>
          <w:color w:val="000000"/>
          <w:rtl/>
        </w:rPr>
        <w:t>נוסח מסמך זה כפוף לשינויי ניסוח ועריכה</w:t>
      </w:r>
    </w:p>
    <w:p w14:paraId="7E3710AB" w14:textId="77777777" w:rsidR="004975C6" w:rsidRDefault="004975C6" w:rsidP="004975C6">
      <w:pPr>
        <w:rPr>
          <w:rtl/>
        </w:rPr>
      </w:pPr>
    </w:p>
    <w:p w14:paraId="21876756" w14:textId="77777777" w:rsidR="004975C6" w:rsidRDefault="004975C6" w:rsidP="004975C6">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037AD4">
        <w:rPr>
          <w:rFonts w:hint="cs"/>
          <w:color w:val="0000FF"/>
          <w:u w:val="single"/>
          <w:rtl/>
        </w:rPr>
        <w:t xml:space="preserve"> </w:t>
      </w:r>
    </w:p>
    <w:p w14:paraId="6294016B" w14:textId="77777777" w:rsidR="00C74D61" w:rsidRPr="004975C6" w:rsidRDefault="00C74D61" w:rsidP="004975C6">
      <w:pPr>
        <w:jc w:val="center"/>
        <w:rPr>
          <w:color w:val="0000FF"/>
          <w:u w:val="single"/>
        </w:rPr>
      </w:pPr>
    </w:p>
    <w:sectPr w:rsidR="00C74D61" w:rsidRPr="004975C6" w:rsidSect="004975C6">
      <w:headerReference w:type="even" r:id="rId13"/>
      <w:headerReference w:type="default" r:id="rId14"/>
      <w:footerReference w:type="even" r:id="rId15"/>
      <w:footerReference w:type="default" r:id="rId16"/>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1B299" w14:textId="77777777" w:rsidR="009400F3" w:rsidRPr="008C1258" w:rsidRDefault="009400F3">
      <w:pPr>
        <w:rPr>
          <w:rFonts w:cs="Arial"/>
          <w:szCs w:val="20"/>
        </w:rPr>
      </w:pPr>
      <w:r>
        <w:separator/>
      </w:r>
    </w:p>
  </w:endnote>
  <w:endnote w:type="continuationSeparator" w:id="0">
    <w:p w14:paraId="4E1781F4" w14:textId="77777777" w:rsidR="009400F3" w:rsidRPr="008C1258" w:rsidRDefault="009400F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96C76" w14:textId="77777777" w:rsidR="00792630" w:rsidRDefault="00792630" w:rsidP="004975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D72CDED" w14:textId="77777777" w:rsidR="00792630" w:rsidRPr="004975C6" w:rsidRDefault="00792630" w:rsidP="004975C6">
    <w:pPr>
      <w:pStyle w:val="a4"/>
      <w:pBdr>
        <w:top w:val="single" w:sz="4" w:space="1" w:color="auto"/>
        <w:between w:val="single" w:sz="4" w:space="0" w:color="auto"/>
      </w:pBdr>
      <w:spacing w:after="60"/>
      <w:jc w:val="center"/>
      <w:rPr>
        <w:rFonts w:ascii="FrankRuehl" w:hAnsi="FrankRuehl" w:cs="FrankRuehl"/>
        <w:color w:val="000000"/>
      </w:rPr>
    </w:pPr>
    <w:r w:rsidRPr="004975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8089" w14:textId="77777777" w:rsidR="00792630" w:rsidRDefault="00792630" w:rsidP="004975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1FD8">
      <w:rPr>
        <w:rFonts w:ascii="FrankRuehl" w:hAnsi="FrankRuehl" w:cs="FrankRuehl"/>
        <w:noProof/>
        <w:rtl/>
      </w:rPr>
      <w:t>2</w:t>
    </w:r>
    <w:r>
      <w:rPr>
        <w:rFonts w:ascii="FrankRuehl" w:hAnsi="FrankRuehl" w:cs="FrankRuehl"/>
        <w:rtl/>
      </w:rPr>
      <w:fldChar w:fldCharType="end"/>
    </w:r>
  </w:p>
  <w:p w14:paraId="75F20413" w14:textId="77777777" w:rsidR="00792630" w:rsidRPr="004975C6" w:rsidRDefault="00792630" w:rsidP="004975C6">
    <w:pPr>
      <w:pStyle w:val="a4"/>
      <w:pBdr>
        <w:top w:val="single" w:sz="4" w:space="1" w:color="auto"/>
        <w:between w:val="single" w:sz="4" w:space="0" w:color="auto"/>
      </w:pBdr>
      <w:spacing w:after="60"/>
      <w:jc w:val="center"/>
      <w:rPr>
        <w:rFonts w:ascii="FrankRuehl" w:hAnsi="FrankRuehl" w:cs="FrankRuehl"/>
        <w:color w:val="000000"/>
      </w:rPr>
    </w:pPr>
    <w:r w:rsidRPr="004975C6">
      <w:rPr>
        <w:rFonts w:ascii="FrankRuehl" w:hAnsi="FrankRuehl" w:cs="FrankRuehl"/>
        <w:color w:val="000000"/>
      </w:rPr>
      <w:pict w14:anchorId="4CE26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D16C8" w14:textId="77777777" w:rsidR="009400F3" w:rsidRPr="008C1258" w:rsidRDefault="009400F3">
      <w:pPr>
        <w:rPr>
          <w:rFonts w:cs="Arial"/>
          <w:szCs w:val="20"/>
        </w:rPr>
      </w:pPr>
      <w:r>
        <w:separator/>
      </w:r>
    </w:p>
  </w:footnote>
  <w:footnote w:type="continuationSeparator" w:id="0">
    <w:p w14:paraId="60576070" w14:textId="77777777" w:rsidR="009400F3" w:rsidRPr="008C1258" w:rsidRDefault="009400F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C4348" w14:textId="77777777" w:rsidR="00792630" w:rsidRPr="004975C6" w:rsidRDefault="00792630" w:rsidP="004975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56235-06-13</w:t>
    </w:r>
    <w:r>
      <w:rPr>
        <w:rFonts w:ascii="David" w:hAnsi="David"/>
        <w:color w:val="000000"/>
        <w:sz w:val="22"/>
        <w:szCs w:val="22"/>
        <w:rtl/>
      </w:rPr>
      <w:tab/>
      <w:t xml:space="preserve"> מדינת ישראל נ' יחזקאל גבריאל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9A35C" w14:textId="77777777" w:rsidR="00792630" w:rsidRPr="004975C6" w:rsidRDefault="00792630" w:rsidP="004975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56235-06-13</w:t>
    </w:r>
    <w:r>
      <w:rPr>
        <w:rFonts w:ascii="David" w:hAnsi="David"/>
        <w:color w:val="000000"/>
        <w:sz w:val="22"/>
        <w:szCs w:val="22"/>
        <w:rtl/>
      </w:rPr>
      <w:tab/>
      <w:t xml:space="preserve"> מדינת ישראל נ' יחזקאל גבריאל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B49"/>
    <w:multiLevelType w:val="hybridMultilevel"/>
    <w:tmpl w:val="50C63292"/>
    <w:lvl w:ilvl="0" w:tplc="80942FB2">
      <w:start w:val="1"/>
      <w:numFmt w:val="hebrew1"/>
      <w:lvlText w:val="%1."/>
      <w:lvlJc w:val="left"/>
      <w:pPr>
        <w:ind w:left="920" w:hanging="360"/>
      </w:pPr>
      <w:rPr>
        <w:rFonts w:ascii="Arial" w:hAnsi="Arial" w:cs="Arial" w:hint="default"/>
      </w:rPr>
    </w:lvl>
    <w:lvl w:ilvl="1" w:tplc="04090019" w:tentative="1">
      <w:start w:val="1"/>
      <w:numFmt w:val="lowerLetter"/>
      <w:lvlText w:val="%2."/>
      <w:lvlJc w:val="left"/>
      <w:pPr>
        <w:ind w:left="1640" w:hanging="360"/>
      </w:pPr>
      <w:rPr>
        <w:rFonts w:cs="Times New Roman"/>
      </w:rPr>
    </w:lvl>
    <w:lvl w:ilvl="2" w:tplc="0409001B" w:tentative="1">
      <w:start w:val="1"/>
      <w:numFmt w:val="lowerRoman"/>
      <w:lvlText w:val="%3."/>
      <w:lvlJc w:val="right"/>
      <w:pPr>
        <w:ind w:left="2360" w:hanging="180"/>
      </w:pPr>
      <w:rPr>
        <w:rFonts w:cs="Times New Roman"/>
      </w:rPr>
    </w:lvl>
    <w:lvl w:ilvl="3" w:tplc="0409000F" w:tentative="1">
      <w:start w:val="1"/>
      <w:numFmt w:val="decimal"/>
      <w:lvlText w:val="%4."/>
      <w:lvlJc w:val="left"/>
      <w:pPr>
        <w:ind w:left="3080" w:hanging="360"/>
      </w:pPr>
      <w:rPr>
        <w:rFonts w:cs="Times New Roman"/>
      </w:rPr>
    </w:lvl>
    <w:lvl w:ilvl="4" w:tplc="04090019" w:tentative="1">
      <w:start w:val="1"/>
      <w:numFmt w:val="lowerLetter"/>
      <w:lvlText w:val="%5."/>
      <w:lvlJc w:val="left"/>
      <w:pPr>
        <w:ind w:left="3800" w:hanging="360"/>
      </w:pPr>
      <w:rPr>
        <w:rFonts w:cs="Times New Roman"/>
      </w:rPr>
    </w:lvl>
    <w:lvl w:ilvl="5" w:tplc="0409001B" w:tentative="1">
      <w:start w:val="1"/>
      <w:numFmt w:val="lowerRoman"/>
      <w:lvlText w:val="%6."/>
      <w:lvlJc w:val="right"/>
      <w:pPr>
        <w:ind w:left="4520" w:hanging="180"/>
      </w:pPr>
      <w:rPr>
        <w:rFonts w:cs="Times New Roman"/>
      </w:rPr>
    </w:lvl>
    <w:lvl w:ilvl="6" w:tplc="0409000F" w:tentative="1">
      <w:start w:val="1"/>
      <w:numFmt w:val="decimal"/>
      <w:lvlText w:val="%7."/>
      <w:lvlJc w:val="left"/>
      <w:pPr>
        <w:ind w:left="5240" w:hanging="360"/>
      </w:pPr>
      <w:rPr>
        <w:rFonts w:cs="Times New Roman"/>
      </w:rPr>
    </w:lvl>
    <w:lvl w:ilvl="7" w:tplc="04090019" w:tentative="1">
      <w:start w:val="1"/>
      <w:numFmt w:val="lowerLetter"/>
      <w:lvlText w:val="%8."/>
      <w:lvlJc w:val="left"/>
      <w:pPr>
        <w:ind w:left="5960" w:hanging="360"/>
      </w:pPr>
      <w:rPr>
        <w:rFonts w:cs="Times New Roman"/>
      </w:rPr>
    </w:lvl>
    <w:lvl w:ilvl="8" w:tplc="0409001B" w:tentative="1">
      <w:start w:val="1"/>
      <w:numFmt w:val="lowerRoman"/>
      <w:lvlText w:val="%9."/>
      <w:lvlJc w:val="right"/>
      <w:pPr>
        <w:ind w:left="6680" w:hanging="180"/>
      </w:pPr>
      <w:rPr>
        <w:rFonts w:cs="Times New Roman"/>
      </w:rPr>
    </w:lvl>
  </w:abstractNum>
  <w:abstractNum w:abstractNumId="1" w15:restartNumberingAfterBreak="0">
    <w:nsid w:val="146642B5"/>
    <w:multiLevelType w:val="hybridMultilevel"/>
    <w:tmpl w:val="1DC43D8A"/>
    <w:lvl w:ilvl="0" w:tplc="65FC1138">
      <w:start w:val="1"/>
      <w:numFmt w:val="decimal"/>
      <w:lvlText w:val="%1."/>
      <w:lvlJc w:val="left"/>
      <w:pPr>
        <w:ind w:left="720" w:hanging="360"/>
      </w:pPr>
      <w:rPr>
        <w:rFonts w:ascii="Arial" w:hAnsi="Arial" w:cs="Arial" w:hint="default"/>
        <w:b w:val="0"/>
        <w:bCs w:val="0"/>
        <w:i w:val="0"/>
        <w:i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27358742">
    <w:abstractNumId w:val="1"/>
  </w:num>
  <w:num w:numId="2" w16cid:durableId="113437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4D61"/>
    <w:rsid w:val="00037AD4"/>
    <w:rsid w:val="00111021"/>
    <w:rsid w:val="002024BD"/>
    <w:rsid w:val="00231FD8"/>
    <w:rsid w:val="004975C6"/>
    <w:rsid w:val="00792630"/>
    <w:rsid w:val="009400F3"/>
    <w:rsid w:val="009E4860"/>
    <w:rsid w:val="00C64EE8"/>
    <w:rsid w:val="00C74D61"/>
    <w:rsid w:val="00E63295"/>
    <w:rsid w:val="00EF11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593BCC"/>
  <w15:chartTrackingRefBased/>
  <w15:docId w15:val="{36409AE6-1467-4A99-A80B-397BFCB4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4D6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74D61"/>
    <w:pPr>
      <w:tabs>
        <w:tab w:val="center" w:pos="4153"/>
        <w:tab w:val="right" w:pos="8306"/>
      </w:tabs>
    </w:pPr>
  </w:style>
  <w:style w:type="paragraph" w:styleId="a4">
    <w:name w:val="footer"/>
    <w:basedOn w:val="a"/>
    <w:rsid w:val="00C74D61"/>
    <w:pPr>
      <w:tabs>
        <w:tab w:val="center" w:pos="4153"/>
        <w:tab w:val="right" w:pos="8306"/>
      </w:tabs>
    </w:pPr>
  </w:style>
  <w:style w:type="character" w:styleId="a5">
    <w:name w:val="page number"/>
    <w:basedOn w:val="a0"/>
    <w:rsid w:val="00C74D61"/>
  </w:style>
  <w:style w:type="paragraph" w:customStyle="1" w:styleId="ListParagraph">
    <w:name w:val="List Paragraph"/>
    <w:basedOn w:val="a"/>
    <w:rsid w:val="00C74D61"/>
    <w:pPr>
      <w:ind w:left="720"/>
      <w:contextualSpacing/>
    </w:pPr>
    <w:rPr>
      <w:rFonts w:ascii="David" w:hAnsi="David"/>
    </w:rPr>
  </w:style>
  <w:style w:type="character" w:styleId="Hyperlink">
    <w:name w:val="Hyperlink"/>
    <w:rsid w:val="00497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0"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4188</Characters>
  <Application>Microsoft Office Word</Application>
  <DocSecurity>0</DocSecurity>
  <Lines>34</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5015</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http://www.nevo.co.il/law/4216/10</vt:lpwstr>
      </vt:variant>
      <vt:variant>
        <vt:lpwstr/>
      </vt:variant>
      <vt:variant>
        <vt:i4>5177418</vt:i4>
      </vt:variant>
      <vt:variant>
        <vt:i4>3</vt:i4>
      </vt:variant>
      <vt:variant>
        <vt:i4>0</vt:i4>
      </vt:variant>
      <vt:variant>
        <vt:i4>5</vt:i4>
      </vt:variant>
      <vt:variant>
        <vt:lpwstr>http://www.nevo.co.il/law/4216/10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2025-04-22T20:30:00Z</dcterms:created>
  <dcterms:modified xsi:type="dcterms:W3CDTF">2025-04-22T20:30:00Z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56235</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יחזקאל גבריאל;שבתאי בן משה;אלי ששואשווילי;נאווה גבריאל</vt:lpwstr>
  </property>
  <property fmtid="{D5CDD505-2E9C-101B-9397-08002B2CF9AE}" pid="10" name="LAWYER">
    <vt:lpwstr>גלעד ארליך;ארז מלמד</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20150329</vt:lpwstr>
  </property>
  <property fmtid="{D5CDD505-2E9C-101B-9397-08002B2CF9AE}" pid="14" name="TYPE_N_DATE">
    <vt:lpwstr>39020150329</vt:lpwstr>
  </property>
  <property fmtid="{D5CDD505-2E9C-101B-9397-08002B2CF9AE}" pid="15" name="CASENOTES1">
    <vt:lpwstr>ProcID=209&amp;PartA=695527&amp;PartC=11</vt:lpwstr>
  </property>
  <property fmtid="{D5CDD505-2E9C-101B-9397-08002B2CF9AE}" pid="16" name="WORDNUMPAGES">
    <vt:lpwstr>4</vt:lpwstr>
  </property>
  <property fmtid="{D5CDD505-2E9C-101B-9397-08002B2CF9AE}" pid="17" name="TYPE_ABS_DATE">
    <vt:lpwstr>390020150329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4216/010</vt:lpwstr>
  </property>
</Properties>
</file>