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B02C90" w:rsidRPr="00104373" w14:paraId="77853F5B" w14:textId="77777777">
        <w:trPr>
          <w:trHeight w:hRule="exact" w:val="418"/>
          <w:jc w:val="center"/>
        </w:trPr>
        <w:tc>
          <w:tcPr>
            <w:tcW w:w="8721" w:type="dxa"/>
            <w:gridSpan w:val="2"/>
          </w:tcPr>
          <w:p w14:paraId="0A1C3761" w14:textId="77777777" w:rsidR="00B02C90" w:rsidRPr="00104373" w:rsidRDefault="00104373">
            <w:pPr>
              <w:pStyle w:val="a3"/>
              <w:jc w:val="center"/>
              <w:rPr>
                <w:rFonts w:ascii="Tahoma" w:hAnsi="Tahoma" w:cs="Tahoma"/>
                <w:color w:val="000080"/>
                <w:rtl/>
              </w:rPr>
            </w:pPr>
            <w:bookmarkStart w:id="0" w:name="FirstLawyer"/>
            <w:bookmarkStart w:id="1" w:name="LastJudge"/>
            <w:r w:rsidRPr="00104373">
              <w:rPr>
                <w:rFonts w:ascii="Tahoma" w:hAnsi="Tahoma" w:cs="Tahoma"/>
                <w:b/>
                <w:bCs/>
                <w:color w:val="000080"/>
                <w:rtl/>
              </w:rPr>
              <w:t>המחלקה הכלכלית בבית המשפט המחוזי בתל אביב - יפו</w:t>
            </w:r>
          </w:p>
        </w:tc>
      </w:tr>
      <w:tr w:rsidR="00B02C90" w:rsidRPr="00104373" w14:paraId="6BF73BBC" w14:textId="77777777">
        <w:trPr>
          <w:trHeight w:val="337"/>
          <w:jc w:val="center"/>
        </w:trPr>
        <w:tc>
          <w:tcPr>
            <w:tcW w:w="5056" w:type="dxa"/>
          </w:tcPr>
          <w:p w14:paraId="4DDC6BF6" w14:textId="77777777" w:rsidR="00B02C90" w:rsidRPr="00104373" w:rsidRDefault="00104373">
            <w:pPr>
              <w:rPr>
                <w:rFonts w:cs="FrankRuehl"/>
                <w:sz w:val="28"/>
                <w:szCs w:val="28"/>
                <w:rtl/>
              </w:rPr>
            </w:pPr>
            <w:r w:rsidRPr="00104373">
              <w:rPr>
                <w:rFonts w:cs="FrankRuehl"/>
                <w:sz w:val="28"/>
                <w:szCs w:val="28"/>
                <w:rtl/>
              </w:rPr>
              <w:t>ת"פ</w:t>
            </w:r>
            <w:r w:rsidRPr="00104373">
              <w:rPr>
                <w:rFonts w:cs="FrankRuehl" w:hint="cs"/>
                <w:sz w:val="28"/>
                <w:szCs w:val="28"/>
                <w:rtl/>
              </w:rPr>
              <w:t xml:space="preserve"> </w:t>
            </w:r>
            <w:r w:rsidRPr="00104373">
              <w:rPr>
                <w:rFonts w:cs="FrankRuehl"/>
                <w:sz w:val="28"/>
                <w:szCs w:val="28"/>
                <w:rtl/>
              </w:rPr>
              <w:t>21315-07-13</w:t>
            </w:r>
            <w:r w:rsidRPr="00104373">
              <w:rPr>
                <w:rFonts w:cs="FrankRuehl" w:hint="cs"/>
                <w:sz w:val="28"/>
                <w:szCs w:val="28"/>
                <w:rtl/>
              </w:rPr>
              <w:t xml:space="preserve"> </w:t>
            </w:r>
            <w:r w:rsidRPr="00104373">
              <w:rPr>
                <w:rFonts w:cs="FrankRuehl"/>
                <w:sz w:val="28"/>
                <w:szCs w:val="28"/>
                <w:rtl/>
              </w:rPr>
              <w:t>רשות המיסים,</w:t>
            </w:r>
            <w:r w:rsidRPr="00104373">
              <w:rPr>
                <w:rFonts w:cs="FrankRuehl" w:hint="cs"/>
                <w:sz w:val="28"/>
                <w:szCs w:val="28"/>
                <w:rtl/>
              </w:rPr>
              <w:t xml:space="preserve"> </w:t>
            </w:r>
            <w:r w:rsidRPr="00104373">
              <w:rPr>
                <w:rFonts w:cs="FrankRuehl"/>
                <w:sz w:val="28"/>
                <w:szCs w:val="28"/>
                <w:rtl/>
              </w:rPr>
              <w:t>היחידה המשפטית אזור מרכז ותיקים מיוחדים נ' כוכב</w:t>
            </w:r>
            <w:r w:rsidRPr="00104373">
              <w:rPr>
                <w:rFonts w:cs="FrankRuehl" w:hint="cs"/>
                <w:sz w:val="28"/>
                <w:szCs w:val="28"/>
                <w:rtl/>
              </w:rPr>
              <w:t xml:space="preserve"> </w:t>
            </w:r>
            <w:r w:rsidRPr="00104373">
              <w:rPr>
                <w:rFonts w:cs="FrankRuehl"/>
                <w:sz w:val="28"/>
                <w:szCs w:val="28"/>
                <w:rtl/>
              </w:rPr>
              <w:t>(עציר)</w:t>
            </w:r>
          </w:p>
          <w:p w14:paraId="1C269768" w14:textId="77777777" w:rsidR="00B02C90" w:rsidRPr="00104373" w:rsidRDefault="00B02C90">
            <w:pPr>
              <w:pStyle w:val="a3"/>
              <w:rPr>
                <w:rFonts w:cs="FrankRuehl"/>
                <w:sz w:val="28"/>
                <w:szCs w:val="28"/>
                <w:rtl/>
              </w:rPr>
            </w:pPr>
          </w:p>
        </w:tc>
        <w:tc>
          <w:tcPr>
            <w:tcW w:w="3665" w:type="dxa"/>
          </w:tcPr>
          <w:p w14:paraId="0F8B3EDC" w14:textId="77777777" w:rsidR="00B02C90" w:rsidRPr="00104373" w:rsidRDefault="00B02C90">
            <w:pPr>
              <w:pStyle w:val="a3"/>
              <w:jc w:val="right"/>
              <w:rPr>
                <w:rFonts w:cs="FrankRuehl"/>
                <w:sz w:val="28"/>
                <w:szCs w:val="28"/>
                <w:rtl/>
              </w:rPr>
            </w:pPr>
          </w:p>
        </w:tc>
      </w:tr>
    </w:tbl>
    <w:p w14:paraId="06BB95E2" w14:textId="77777777" w:rsidR="00B02C90" w:rsidRPr="00104373" w:rsidRDefault="00104373" w:rsidP="0065728C">
      <w:pPr>
        <w:pStyle w:val="a3"/>
        <w:rPr>
          <w:sz w:val="28"/>
          <w:szCs w:val="28"/>
          <w:rtl/>
        </w:rPr>
      </w:pPr>
      <w:r w:rsidRPr="00104373">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02C90" w:rsidRPr="00104373" w14:paraId="3C77C5E5" w14:textId="77777777">
        <w:trPr>
          <w:trHeight w:val="295"/>
          <w:jc w:val="center"/>
        </w:trPr>
        <w:tc>
          <w:tcPr>
            <w:tcW w:w="923" w:type="dxa"/>
            <w:tcBorders>
              <w:top w:val="nil"/>
              <w:left w:val="nil"/>
              <w:bottom w:val="nil"/>
              <w:right w:val="nil"/>
            </w:tcBorders>
          </w:tcPr>
          <w:p w14:paraId="6571B8DF" w14:textId="77777777" w:rsidR="00B02C90" w:rsidRPr="00104373" w:rsidRDefault="00104373">
            <w:pPr>
              <w:spacing w:line="360" w:lineRule="auto"/>
              <w:jc w:val="both"/>
              <w:rPr>
                <w:rFonts w:ascii="Arial" w:hAnsi="Arial"/>
                <w:sz w:val="28"/>
                <w:szCs w:val="28"/>
              </w:rPr>
            </w:pPr>
            <w:r w:rsidRPr="00104373">
              <w:rPr>
                <w:rFonts w:ascii="Arial" w:hAnsi="Arial" w:hint="cs"/>
                <w:sz w:val="28"/>
                <w:szCs w:val="28"/>
                <w:rtl/>
              </w:rPr>
              <w:t>ב</w:t>
            </w:r>
            <w:r w:rsidRPr="00104373">
              <w:rPr>
                <w:rFonts w:ascii="Arial" w:hAnsi="Arial"/>
                <w:sz w:val="28"/>
                <w:szCs w:val="28"/>
                <w:rtl/>
              </w:rPr>
              <w:t xml:space="preserve">פני </w:t>
            </w:r>
          </w:p>
        </w:tc>
        <w:tc>
          <w:tcPr>
            <w:tcW w:w="7897" w:type="dxa"/>
            <w:gridSpan w:val="2"/>
            <w:tcBorders>
              <w:top w:val="nil"/>
              <w:left w:val="nil"/>
              <w:bottom w:val="nil"/>
              <w:right w:val="nil"/>
            </w:tcBorders>
          </w:tcPr>
          <w:p w14:paraId="56CE1E93" w14:textId="77777777" w:rsidR="00B02C90" w:rsidRPr="00104373" w:rsidRDefault="00104373">
            <w:pPr>
              <w:spacing w:line="360" w:lineRule="auto"/>
              <w:jc w:val="both"/>
              <w:rPr>
                <w:rFonts w:ascii="Arial" w:hAnsi="Arial"/>
                <w:sz w:val="28"/>
                <w:szCs w:val="28"/>
              </w:rPr>
            </w:pPr>
            <w:r w:rsidRPr="00104373">
              <w:rPr>
                <w:rFonts w:ascii="Arial" w:hAnsi="Arial" w:hint="cs"/>
                <w:b/>
                <w:bCs/>
                <w:sz w:val="28"/>
                <w:szCs w:val="28"/>
                <w:rtl/>
              </w:rPr>
              <w:t>כב' ה</w:t>
            </w:r>
            <w:r w:rsidRPr="00104373">
              <w:rPr>
                <w:rFonts w:hint="cs"/>
                <w:sz w:val="28"/>
                <w:szCs w:val="28"/>
                <w:rtl/>
              </w:rPr>
              <w:t>שופט</w:t>
            </w:r>
            <w:r w:rsidRPr="00104373">
              <w:rPr>
                <w:rFonts w:ascii="Arial" w:hAnsi="Arial" w:hint="cs"/>
                <w:b/>
                <w:bCs/>
                <w:sz w:val="28"/>
                <w:szCs w:val="28"/>
                <w:rtl/>
              </w:rPr>
              <w:t xml:space="preserve">  </w:t>
            </w:r>
            <w:r w:rsidRPr="00104373">
              <w:rPr>
                <w:rFonts w:hint="cs"/>
                <w:sz w:val="28"/>
                <w:szCs w:val="28"/>
                <w:rtl/>
              </w:rPr>
              <w:t>חאלד כבוב</w:t>
            </w:r>
          </w:p>
        </w:tc>
      </w:tr>
      <w:tr w:rsidR="00B02C90" w:rsidRPr="00104373" w14:paraId="0EB8C5AD" w14:textId="77777777">
        <w:trPr>
          <w:trHeight w:val="355"/>
          <w:jc w:val="center"/>
        </w:trPr>
        <w:tc>
          <w:tcPr>
            <w:tcW w:w="923" w:type="dxa"/>
            <w:tcBorders>
              <w:top w:val="nil"/>
              <w:left w:val="nil"/>
              <w:bottom w:val="nil"/>
              <w:right w:val="nil"/>
            </w:tcBorders>
          </w:tcPr>
          <w:p w14:paraId="59EFA986" w14:textId="77777777" w:rsidR="00B02C90" w:rsidRPr="00104373" w:rsidRDefault="00104373">
            <w:pPr>
              <w:spacing w:line="360" w:lineRule="auto"/>
              <w:jc w:val="both"/>
              <w:rPr>
                <w:rFonts w:ascii="Arial" w:hAnsi="Arial"/>
                <w:sz w:val="28"/>
                <w:szCs w:val="28"/>
              </w:rPr>
            </w:pPr>
            <w:bookmarkStart w:id="2" w:name="FirstAppellant"/>
            <w:r w:rsidRPr="00104373">
              <w:rPr>
                <w:rFonts w:ascii="Arial" w:hAnsi="Arial" w:hint="cs"/>
                <w:sz w:val="28"/>
                <w:szCs w:val="28"/>
                <w:rtl/>
              </w:rPr>
              <w:t>בעניין:</w:t>
            </w:r>
          </w:p>
        </w:tc>
        <w:tc>
          <w:tcPr>
            <w:tcW w:w="4126" w:type="dxa"/>
            <w:tcBorders>
              <w:top w:val="nil"/>
              <w:left w:val="nil"/>
              <w:bottom w:val="nil"/>
              <w:right w:val="nil"/>
            </w:tcBorders>
          </w:tcPr>
          <w:p w14:paraId="5A475085" w14:textId="77777777" w:rsidR="00B02C90" w:rsidRPr="00104373" w:rsidRDefault="00104373">
            <w:pPr>
              <w:spacing w:line="360" w:lineRule="auto"/>
              <w:rPr>
                <w:b/>
                <w:bCs/>
                <w:sz w:val="28"/>
                <w:szCs w:val="28"/>
              </w:rPr>
            </w:pPr>
            <w:r w:rsidRPr="00104373">
              <w:rPr>
                <w:rFonts w:hint="cs"/>
                <w:b/>
                <w:bCs/>
                <w:sz w:val="28"/>
                <w:szCs w:val="28"/>
                <w:rtl/>
              </w:rPr>
              <w:t xml:space="preserve">מדינת ישראל </w:t>
            </w:r>
            <w:r w:rsidRPr="00104373">
              <w:rPr>
                <w:b/>
                <w:bCs/>
                <w:sz w:val="28"/>
                <w:szCs w:val="28"/>
                <w:rtl/>
              </w:rPr>
              <w:t>–</w:t>
            </w:r>
            <w:r w:rsidRPr="00104373">
              <w:rPr>
                <w:rFonts w:hint="cs"/>
                <w:b/>
                <w:bCs/>
                <w:sz w:val="28"/>
                <w:szCs w:val="28"/>
                <w:rtl/>
              </w:rPr>
              <w:t xml:space="preserve"> רשות המיסים</w:t>
            </w:r>
          </w:p>
        </w:tc>
        <w:tc>
          <w:tcPr>
            <w:tcW w:w="3771" w:type="dxa"/>
            <w:tcBorders>
              <w:top w:val="nil"/>
              <w:left w:val="nil"/>
              <w:bottom w:val="nil"/>
              <w:right w:val="nil"/>
            </w:tcBorders>
          </w:tcPr>
          <w:p w14:paraId="7CE8EC28" w14:textId="77777777" w:rsidR="00B02C90" w:rsidRPr="00104373" w:rsidRDefault="00B02C90">
            <w:pPr>
              <w:spacing w:line="360" w:lineRule="auto"/>
              <w:jc w:val="both"/>
              <w:rPr>
                <w:rFonts w:ascii="Arial" w:hAnsi="Arial"/>
                <w:sz w:val="28"/>
                <w:szCs w:val="28"/>
              </w:rPr>
            </w:pPr>
          </w:p>
        </w:tc>
      </w:tr>
      <w:bookmarkEnd w:id="2"/>
      <w:tr w:rsidR="00B02C90" w:rsidRPr="00104373" w14:paraId="18CD8A43" w14:textId="77777777">
        <w:trPr>
          <w:trHeight w:val="355"/>
          <w:jc w:val="center"/>
        </w:trPr>
        <w:tc>
          <w:tcPr>
            <w:tcW w:w="923" w:type="dxa"/>
            <w:tcBorders>
              <w:top w:val="nil"/>
              <w:left w:val="nil"/>
              <w:bottom w:val="nil"/>
              <w:right w:val="nil"/>
            </w:tcBorders>
          </w:tcPr>
          <w:p w14:paraId="61843D29" w14:textId="77777777" w:rsidR="00B02C90" w:rsidRPr="00104373" w:rsidRDefault="00B02C90">
            <w:pPr>
              <w:spacing w:line="360" w:lineRule="auto"/>
              <w:jc w:val="both"/>
              <w:rPr>
                <w:rFonts w:ascii="Arial" w:hAnsi="Arial"/>
                <w:sz w:val="28"/>
                <w:szCs w:val="28"/>
                <w:rtl/>
              </w:rPr>
            </w:pPr>
          </w:p>
        </w:tc>
        <w:tc>
          <w:tcPr>
            <w:tcW w:w="4126" w:type="dxa"/>
            <w:tcBorders>
              <w:top w:val="nil"/>
              <w:left w:val="nil"/>
              <w:bottom w:val="nil"/>
              <w:right w:val="nil"/>
            </w:tcBorders>
          </w:tcPr>
          <w:p w14:paraId="292B3A64" w14:textId="77777777" w:rsidR="00B02C90" w:rsidRPr="00104373" w:rsidRDefault="00B02C90">
            <w:pPr>
              <w:spacing w:line="360" w:lineRule="auto"/>
              <w:jc w:val="both"/>
              <w:rPr>
                <w:sz w:val="28"/>
                <w:szCs w:val="28"/>
                <w:rtl/>
              </w:rPr>
            </w:pPr>
          </w:p>
        </w:tc>
        <w:tc>
          <w:tcPr>
            <w:tcW w:w="3771" w:type="dxa"/>
            <w:tcBorders>
              <w:top w:val="nil"/>
              <w:left w:val="nil"/>
              <w:bottom w:val="nil"/>
              <w:right w:val="nil"/>
            </w:tcBorders>
          </w:tcPr>
          <w:p w14:paraId="7A6BE8C3" w14:textId="77777777" w:rsidR="00B02C90" w:rsidRPr="00104373" w:rsidRDefault="00104373">
            <w:pPr>
              <w:spacing w:line="360" w:lineRule="auto"/>
              <w:jc w:val="right"/>
              <w:rPr>
                <w:rFonts w:ascii="Arial" w:hAnsi="Arial"/>
                <w:b/>
                <w:bCs/>
                <w:sz w:val="28"/>
                <w:szCs w:val="28"/>
                <w:rtl/>
              </w:rPr>
            </w:pPr>
            <w:r w:rsidRPr="00104373">
              <w:rPr>
                <w:rFonts w:ascii="Arial" w:hAnsi="Arial" w:hint="cs"/>
                <w:b/>
                <w:bCs/>
                <w:sz w:val="28"/>
                <w:szCs w:val="28"/>
                <w:rtl/>
              </w:rPr>
              <w:t>המאשימה</w:t>
            </w:r>
          </w:p>
        </w:tc>
      </w:tr>
      <w:tr w:rsidR="00B02C90" w:rsidRPr="00104373" w14:paraId="153E5FEC" w14:textId="77777777">
        <w:trPr>
          <w:trHeight w:val="355"/>
          <w:jc w:val="center"/>
        </w:trPr>
        <w:tc>
          <w:tcPr>
            <w:tcW w:w="923" w:type="dxa"/>
            <w:tcBorders>
              <w:top w:val="nil"/>
              <w:left w:val="nil"/>
              <w:bottom w:val="nil"/>
              <w:right w:val="nil"/>
            </w:tcBorders>
          </w:tcPr>
          <w:p w14:paraId="203DE4EA" w14:textId="77777777" w:rsidR="00B02C90" w:rsidRPr="00104373" w:rsidRDefault="00B02C90">
            <w:pPr>
              <w:spacing w:line="360" w:lineRule="auto"/>
              <w:jc w:val="both"/>
              <w:rPr>
                <w:rFonts w:ascii="Arial" w:hAnsi="Arial"/>
                <w:sz w:val="28"/>
                <w:szCs w:val="28"/>
                <w:rtl/>
              </w:rPr>
            </w:pPr>
          </w:p>
        </w:tc>
        <w:tc>
          <w:tcPr>
            <w:tcW w:w="7897" w:type="dxa"/>
            <w:gridSpan w:val="2"/>
            <w:tcBorders>
              <w:top w:val="nil"/>
              <w:left w:val="nil"/>
              <w:bottom w:val="nil"/>
              <w:right w:val="nil"/>
            </w:tcBorders>
          </w:tcPr>
          <w:p w14:paraId="01839DCF" w14:textId="77777777" w:rsidR="00B02C90" w:rsidRPr="00104373" w:rsidRDefault="00B02C90">
            <w:pPr>
              <w:spacing w:line="360" w:lineRule="auto"/>
              <w:jc w:val="center"/>
              <w:rPr>
                <w:rFonts w:ascii="Arial" w:hAnsi="Arial"/>
                <w:b/>
                <w:bCs/>
                <w:sz w:val="28"/>
                <w:szCs w:val="28"/>
                <w:rtl/>
              </w:rPr>
            </w:pPr>
          </w:p>
          <w:p w14:paraId="3149B58A" w14:textId="77777777" w:rsidR="00B02C90" w:rsidRPr="00104373" w:rsidRDefault="00104373">
            <w:pPr>
              <w:spacing w:line="360" w:lineRule="auto"/>
              <w:jc w:val="center"/>
              <w:rPr>
                <w:rFonts w:ascii="Arial" w:hAnsi="Arial"/>
                <w:b/>
                <w:bCs/>
                <w:sz w:val="28"/>
                <w:szCs w:val="28"/>
                <w:rtl/>
              </w:rPr>
            </w:pPr>
            <w:r w:rsidRPr="00104373">
              <w:rPr>
                <w:rFonts w:ascii="Arial" w:hAnsi="Arial"/>
                <w:b/>
                <w:bCs/>
                <w:sz w:val="28"/>
                <w:szCs w:val="28"/>
                <w:rtl/>
              </w:rPr>
              <w:t>נגד</w:t>
            </w:r>
          </w:p>
          <w:p w14:paraId="73C63078" w14:textId="77777777" w:rsidR="00B02C90" w:rsidRPr="00104373" w:rsidRDefault="00B02C90">
            <w:pPr>
              <w:spacing w:line="360" w:lineRule="auto"/>
              <w:jc w:val="both"/>
              <w:rPr>
                <w:rFonts w:ascii="Arial" w:hAnsi="Arial"/>
                <w:sz w:val="28"/>
                <w:szCs w:val="28"/>
              </w:rPr>
            </w:pPr>
          </w:p>
        </w:tc>
      </w:tr>
      <w:tr w:rsidR="00B02C90" w:rsidRPr="00104373" w14:paraId="3F868490" w14:textId="77777777">
        <w:trPr>
          <w:trHeight w:val="355"/>
          <w:jc w:val="center"/>
        </w:trPr>
        <w:tc>
          <w:tcPr>
            <w:tcW w:w="923" w:type="dxa"/>
            <w:tcBorders>
              <w:top w:val="nil"/>
              <w:left w:val="nil"/>
              <w:bottom w:val="nil"/>
              <w:right w:val="nil"/>
            </w:tcBorders>
          </w:tcPr>
          <w:p w14:paraId="14F2A765" w14:textId="77777777" w:rsidR="00B02C90" w:rsidRPr="00104373" w:rsidRDefault="00B02C90">
            <w:pPr>
              <w:spacing w:line="360" w:lineRule="auto"/>
              <w:rPr>
                <w:rFonts w:ascii="Arial" w:hAnsi="Arial"/>
                <w:sz w:val="28"/>
                <w:szCs w:val="28"/>
                <w:rtl/>
              </w:rPr>
            </w:pPr>
          </w:p>
        </w:tc>
        <w:tc>
          <w:tcPr>
            <w:tcW w:w="4126" w:type="dxa"/>
            <w:tcBorders>
              <w:top w:val="nil"/>
              <w:left w:val="nil"/>
              <w:bottom w:val="nil"/>
              <w:right w:val="nil"/>
            </w:tcBorders>
          </w:tcPr>
          <w:p w14:paraId="3C0C8C2F" w14:textId="77777777" w:rsidR="00B02C90" w:rsidRPr="00104373" w:rsidRDefault="00104373">
            <w:pPr>
              <w:spacing w:line="360" w:lineRule="auto"/>
              <w:rPr>
                <w:b/>
                <w:bCs/>
                <w:sz w:val="28"/>
                <w:szCs w:val="28"/>
                <w:rtl/>
              </w:rPr>
            </w:pPr>
            <w:r w:rsidRPr="00104373">
              <w:rPr>
                <w:rFonts w:ascii="Arial" w:hAnsi="Arial"/>
                <w:b/>
                <w:bCs/>
                <w:sz w:val="28"/>
                <w:szCs w:val="28"/>
                <w:rtl/>
              </w:rPr>
              <w:t>סמואל כוכב (עציר)</w:t>
            </w:r>
            <w:r w:rsidRPr="00104373">
              <w:rPr>
                <w:rFonts w:ascii="Arial" w:hAnsi="Arial"/>
                <w:b/>
                <w:bCs/>
                <w:sz w:val="28"/>
                <w:szCs w:val="28"/>
                <w:rtl/>
              </w:rPr>
              <w:br/>
            </w:r>
            <w:r w:rsidRPr="00104373">
              <w:rPr>
                <w:rFonts w:hint="cs"/>
                <w:sz w:val="28"/>
                <w:szCs w:val="28"/>
                <w:rtl/>
              </w:rPr>
              <w:t>ע"י ב"כ עו"ד בני נהרי</w:t>
            </w:r>
          </w:p>
        </w:tc>
        <w:tc>
          <w:tcPr>
            <w:tcW w:w="3771" w:type="dxa"/>
            <w:tcBorders>
              <w:top w:val="nil"/>
              <w:left w:val="nil"/>
              <w:bottom w:val="nil"/>
              <w:right w:val="nil"/>
            </w:tcBorders>
          </w:tcPr>
          <w:p w14:paraId="486AAD48" w14:textId="77777777" w:rsidR="00B02C90" w:rsidRPr="00104373" w:rsidRDefault="00B02C90">
            <w:pPr>
              <w:spacing w:line="360" w:lineRule="auto"/>
              <w:jc w:val="right"/>
              <w:rPr>
                <w:rFonts w:ascii="Arial" w:hAnsi="Arial"/>
                <w:sz w:val="28"/>
                <w:szCs w:val="28"/>
              </w:rPr>
            </w:pPr>
          </w:p>
        </w:tc>
      </w:tr>
      <w:tr w:rsidR="00B02C90" w:rsidRPr="00104373" w14:paraId="3E3FEC27" w14:textId="77777777">
        <w:trPr>
          <w:trHeight w:val="355"/>
          <w:jc w:val="center"/>
        </w:trPr>
        <w:tc>
          <w:tcPr>
            <w:tcW w:w="923" w:type="dxa"/>
            <w:tcBorders>
              <w:top w:val="nil"/>
              <w:left w:val="nil"/>
              <w:bottom w:val="nil"/>
              <w:right w:val="nil"/>
            </w:tcBorders>
          </w:tcPr>
          <w:p w14:paraId="26986740" w14:textId="77777777" w:rsidR="00B02C90" w:rsidRPr="00104373" w:rsidRDefault="00B02C90">
            <w:pPr>
              <w:spacing w:line="360" w:lineRule="auto"/>
              <w:jc w:val="both"/>
              <w:rPr>
                <w:rFonts w:ascii="Arial" w:hAnsi="Arial"/>
                <w:sz w:val="28"/>
                <w:szCs w:val="28"/>
                <w:rtl/>
              </w:rPr>
            </w:pPr>
          </w:p>
        </w:tc>
        <w:tc>
          <w:tcPr>
            <w:tcW w:w="4126" w:type="dxa"/>
            <w:tcBorders>
              <w:top w:val="nil"/>
              <w:left w:val="nil"/>
              <w:bottom w:val="nil"/>
              <w:right w:val="nil"/>
            </w:tcBorders>
          </w:tcPr>
          <w:p w14:paraId="3FBDBB0C" w14:textId="77777777" w:rsidR="00B02C90" w:rsidRPr="00104373" w:rsidRDefault="00B02C90">
            <w:pPr>
              <w:spacing w:line="360" w:lineRule="auto"/>
              <w:jc w:val="both"/>
              <w:rPr>
                <w:sz w:val="28"/>
                <w:szCs w:val="28"/>
                <w:rtl/>
              </w:rPr>
            </w:pPr>
          </w:p>
        </w:tc>
        <w:tc>
          <w:tcPr>
            <w:tcW w:w="3771" w:type="dxa"/>
            <w:tcBorders>
              <w:top w:val="nil"/>
              <w:left w:val="nil"/>
              <w:bottom w:val="nil"/>
              <w:right w:val="nil"/>
            </w:tcBorders>
          </w:tcPr>
          <w:p w14:paraId="6CBD890F" w14:textId="77777777" w:rsidR="00B02C90" w:rsidRPr="00104373" w:rsidRDefault="00104373">
            <w:pPr>
              <w:spacing w:line="360" w:lineRule="auto"/>
              <w:jc w:val="right"/>
              <w:rPr>
                <w:rFonts w:ascii="Arial" w:hAnsi="Arial"/>
                <w:b/>
                <w:bCs/>
                <w:sz w:val="28"/>
                <w:szCs w:val="28"/>
              </w:rPr>
            </w:pPr>
            <w:r w:rsidRPr="00104373">
              <w:rPr>
                <w:rFonts w:hint="cs"/>
                <w:b/>
                <w:bCs/>
                <w:sz w:val="28"/>
                <w:szCs w:val="28"/>
                <w:rtl/>
              </w:rPr>
              <w:t>הנאשם</w:t>
            </w:r>
          </w:p>
        </w:tc>
      </w:tr>
    </w:tbl>
    <w:p w14:paraId="355356A1" w14:textId="77777777" w:rsidR="00B25ED9" w:rsidRDefault="00B25ED9">
      <w:pPr>
        <w:spacing w:line="360" w:lineRule="auto"/>
        <w:rPr>
          <w:sz w:val="28"/>
          <w:szCs w:val="28"/>
          <w:rtl/>
        </w:rPr>
      </w:pPr>
      <w:bookmarkStart w:id="3" w:name="LawTable"/>
      <w:bookmarkEnd w:id="3"/>
    </w:p>
    <w:p w14:paraId="592F3CBF" w14:textId="77777777" w:rsidR="00B25ED9" w:rsidRPr="00B25ED9" w:rsidRDefault="00B25ED9" w:rsidP="00B25ED9">
      <w:pPr>
        <w:spacing w:after="120" w:line="240" w:lineRule="exact"/>
        <w:ind w:left="283" w:hanging="283"/>
        <w:jc w:val="both"/>
        <w:rPr>
          <w:rFonts w:ascii="FrankRuehl" w:hAnsi="FrankRuehl" w:cs="FrankRuehl"/>
          <w:rtl/>
        </w:rPr>
      </w:pPr>
    </w:p>
    <w:p w14:paraId="043A5890" w14:textId="77777777" w:rsidR="00B25ED9" w:rsidRPr="00B25ED9" w:rsidRDefault="00B25ED9" w:rsidP="00B25ED9">
      <w:pPr>
        <w:spacing w:after="120" w:line="240" w:lineRule="exact"/>
        <w:ind w:left="283" w:hanging="283"/>
        <w:jc w:val="both"/>
        <w:rPr>
          <w:rFonts w:ascii="FrankRuehl" w:hAnsi="FrankRuehl" w:cs="FrankRuehl"/>
          <w:rtl/>
        </w:rPr>
      </w:pPr>
      <w:r w:rsidRPr="00B25ED9">
        <w:rPr>
          <w:rFonts w:ascii="FrankRuehl" w:hAnsi="FrankRuehl" w:cs="FrankRuehl"/>
          <w:rtl/>
        </w:rPr>
        <w:t xml:space="preserve">חקיקה שאוזכרה: </w:t>
      </w:r>
    </w:p>
    <w:p w14:paraId="4D643260" w14:textId="77777777" w:rsidR="00B25ED9" w:rsidRPr="00B25ED9" w:rsidRDefault="00B25ED9" w:rsidP="00B25ED9">
      <w:pPr>
        <w:spacing w:after="120" w:line="240" w:lineRule="exact"/>
        <w:ind w:left="283" w:hanging="283"/>
        <w:jc w:val="both"/>
        <w:rPr>
          <w:rFonts w:ascii="FrankRuehl" w:hAnsi="FrankRuehl" w:cs="FrankRuehl"/>
          <w:rtl/>
        </w:rPr>
      </w:pPr>
      <w:hyperlink r:id="rId6" w:history="1">
        <w:r w:rsidRPr="00B25ED9">
          <w:rPr>
            <w:rFonts w:ascii="FrankRuehl" w:hAnsi="FrankRuehl" w:cs="FrankRuehl"/>
            <w:color w:val="0000FF"/>
            <w:u w:val="single"/>
            <w:rtl/>
          </w:rPr>
          <w:t>חוק העונשין, תשל"ז-1977</w:t>
        </w:r>
      </w:hyperlink>
      <w:r w:rsidRPr="00B25ED9">
        <w:rPr>
          <w:rFonts w:ascii="FrankRuehl" w:hAnsi="FrankRuehl" w:cs="FrankRuehl"/>
          <w:rtl/>
        </w:rPr>
        <w:t xml:space="preserve">: סע'  </w:t>
      </w:r>
      <w:hyperlink r:id="rId7" w:history="1">
        <w:r w:rsidRPr="00B25ED9">
          <w:rPr>
            <w:rFonts w:ascii="FrankRuehl" w:hAnsi="FrankRuehl" w:cs="FrankRuehl"/>
            <w:color w:val="0000FF"/>
            <w:u w:val="single"/>
            <w:rtl/>
          </w:rPr>
          <w:t>117(ב)(8)</w:t>
        </w:r>
      </w:hyperlink>
      <w:r w:rsidRPr="00B25ED9">
        <w:rPr>
          <w:rFonts w:ascii="FrankRuehl" w:hAnsi="FrankRuehl" w:cs="FrankRuehl"/>
          <w:rtl/>
        </w:rPr>
        <w:t xml:space="preserve">, </w:t>
      </w:r>
      <w:hyperlink r:id="rId8" w:history="1">
        <w:r w:rsidRPr="00B25ED9">
          <w:rPr>
            <w:rFonts w:ascii="FrankRuehl" w:hAnsi="FrankRuehl" w:cs="FrankRuehl"/>
            <w:color w:val="0000FF"/>
            <w:u w:val="single"/>
            <w:rtl/>
          </w:rPr>
          <w:t>117(ב2)(3)</w:t>
        </w:r>
      </w:hyperlink>
      <w:r w:rsidRPr="00B25ED9">
        <w:rPr>
          <w:rFonts w:ascii="FrankRuehl" w:hAnsi="FrankRuehl" w:cs="FrankRuehl"/>
          <w:rtl/>
        </w:rPr>
        <w:t xml:space="preserve">, </w:t>
      </w:r>
      <w:hyperlink r:id="rId9" w:history="1">
        <w:r w:rsidRPr="00B25ED9">
          <w:rPr>
            <w:rFonts w:ascii="FrankRuehl" w:hAnsi="FrankRuehl" w:cs="FrankRuehl"/>
            <w:color w:val="0000FF"/>
            <w:u w:val="single"/>
            <w:rtl/>
          </w:rPr>
          <w:t>499</w:t>
        </w:r>
      </w:hyperlink>
    </w:p>
    <w:p w14:paraId="17ED7135" w14:textId="77777777" w:rsidR="00B25ED9" w:rsidRPr="00B25ED9" w:rsidRDefault="00B25ED9" w:rsidP="00B25ED9">
      <w:pPr>
        <w:spacing w:after="120" w:line="240" w:lineRule="exact"/>
        <w:ind w:left="283" w:hanging="283"/>
        <w:jc w:val="both"/>
        <w:rPr>
          <w:rFonts w:ascii="FrankRuehl" w:hAnsi="FrankRuehl" w:cs="FrankRuehl"/>
          <w:rtl/>
        </w:rPr>
      </w:pPr>
      <w:hyperlink r:id="rId10" w:history="1">
        <w:r w:rsidRPr="00B25ED9">
          <w:rPr>
            <w:rFonts w:ascii="FrankRuehl" w:hAnsi="FrankRuehl" w:cs="FrankRuehl"/>
            <w:color w:val="0000FF"/>
            <w:u w:val="single"/>
            <w:rtl/>
          </w:rPr>
          <w:t>פקודת מס הכנסה [נוסח חדש] - לא מרובד</w:t>
        </w:r>
      </w:hyperlink>
      <w:r w:rsidRPr="00B25ED9">
        <w:rPr>
          <w:rFonts w:ascii="FrankRuehl" w:hAnsi="FrankRuehl" w:cs="FrankRuehl"/>
          <w:rtl/>
        </w:rPr>
        <w:t xml:space="preserve">: סע'  </w:t>
      </w:r>
      <w:hyperlink r:id="rId11" w:history="1">
        <w:r w:rsidRPr="00B25ED9">
          <w:rPr>
            <w:rFonts w:ascii="FrankRuehl" w:hAnsi="FrankRuehl" w:cs="FrankRuehl"/>
            <w:color w:val="0000FF"/>
            <w:u w:val="single"/>
            <w:rtl/>
          </w:rPr>
          <w:t>220(5)</w:t>
        </w:r>
      </w:hyperlink>
    </w:p>
    <w:p w14:paraId="0B1CBA0D" w14:textId="77777777" w:rsidR="00B25ED9" w:rsidRPr="00B25ED9" w:rsidRDefault="00B25ED9" w:rsidP="00B25ED9">
      <w:pPr>
        <w:spacing w:after="120" w:line="240" w:lineRule="exact"/>
        <w:ind w:left="283" w:hanging="283"/>
        <w:jc w:val="both"/>
        <w:rPr>
          <w:rFonts w:ascii="FrankRuehl" w:hAnsi="FrankRuehl" w:cs="FrankRuehl"/>
          <w:rtl/>
        </w:rPr>
      </w:pPr>
      <w:hyperlink r:id="rId12" w:history="1">
        <w:r w:rsidRPr="00B25ED9">
          <w:rPr>
            <w:rFonts w:ascii="FrankRuehl" w:hAnsi="FrankRuehl" w:cs="FrankRuehl"/>
            <w:color w:val="0000FF"/>
            <w:u w:val="single"/>
            <w:rtl/>
          </w:rPr>
          <w:t>חוק איסור הלבנת הון, תש"ס-2000</w:t>
        </w:r>
      </w:hyperlink>
      <w:r w:rsidRPr="00B25ED9">
        <w:rPr>
          <w:rFonts w:ascii="FrankRuehl" w:hAnsi="FrankRuehl" w:cs="FrankRuehl"/>
          <w:rtl/>
        </w:rPr>
        <w:t xml:space="preserve">: סע'  </w:t>
      </w:r>
      <w:hyperlink r:id="rId13" w:history="1">
        <w:r w:rsidRPr="00B25ED9">
          <w:rPr>
            <w:rFonts w:ascii="FrankRuehl" w:hAnsi="FrankRuehl" w:cs="FrankRuehl"/>
            <w:color w:val="0000FF"/>
            <w:u w:val="single"/>
            <w:rtl/>
          </w:rPr>
          <w:t>3(א)</w:t>
        </w:r>
      </w:hyperlink>
      <w:r w:rsidRPr="00B25ED9">
        <w:rPr>
          <w:rFonts w:ascii="FrankRuehl" w:hAnsi="FrankRuehl" w:cs="FrankRuehl"/>
          <w:rtl/>
        </w:rPr>
        <w:t xml:space="preserve">, </w:t>
      </w:r>
      <w:hyperlink r:id="rId14" w:history="1">
        <w:r w:rsidRPr="00B25ED9">
          <w:rPr>
            <w:rFonts w:ascii="FrankRuehl" w:hAnsi="FrankRuehl" w:cs="FrankRuehl"/>
            <w:color w:val="0000FF"/>
            <w:u w:val="single"/>
            <w:rtl/>
          </w:rPr>
          <w:t>4</w:t>
        </w:r>
      </w:hyperlink>
      <w:r w:rsidRPr="00B25ED9">
        <w:rPr>
          <w:rFonts w:ascii="FrankRuehl" w:hAnsi="FrankRuehl" w:cs="FrankRuehl"/>
          <w:rtl/>
        </w:rPr>
        <w:t xml:space="preserve">, </w:t>
      </w:r>
      <w:hyperlink r:id="rId15" w:history="1">
        <w:r w:rsidRPr="00B25ED9">
          <w:rPr>
            <w:rFonts w:ascii="FrankRuehl" w:hAnsi="FrankRuehl" w:cs="FrankRuehl"/>
            <w:color w:val="0000FF"/>
            <w:u w:val="single"/>
            <w:rtl/>
          </w:rPr>
          <w:t>23</w:t>
        </w:r>
      </w:hyperlink>
    </w:p>
    <w:p w14:paraId="681A3640" w14:textId="77777777" w:rsidR="00B25ED9" w:rsidRPr="00B25ED9" w:rsidRDefault="00B25ED9" w:rsidP="00B25ED9">
      <w:pPr>
        <w:spacing w:after="120" w:line="240" w:lineRule="exact"/>
        <w:ind w:left="283" w:hanging="283"/>
        <w:jc w:val="both"/>
        <w:rPr>
          <w:rFonts w:ascii="FrankRuehl" w:hAnsi="FrankRuehl" w:cs="FrankRuehl"/>
          <w:rtl/>
        </w:rPr>
      </w:pPr>
      <w:hyperlink r:id="rId16" w:history="1">
        <w:r w:rsidRPr="00B25ED9">
          <w:rPr>
            <w:rFonts w:ascii="FrankRuehl" w:hAnsi="FrankRuehl" w:cs="FrankRuehl"/>
            <w:color w:val="0000FF"/>
            <w:u w:val="single"/>
            <w:rtl/>
          </w:rPr>
          <w:t>פקודת הסמים המסוכנים [נוסח חדש], תשל"ג-1973</w:t>
        </w:r>
      </w:hyperlink>
      <w:r w:rsidRPr="00B25ED9">
        <w:rPr>
          <w:rFonts w:ascii="FrankRuehl" w:hAnsi="FrankRuehl" w:cs="FrankRuehl"/>
          <w:rtl/>
        </w:rPr>
        <w:t xml:space="preserve">: סע'  </w:t>
      </w:r>
      <w:hyperlink r:id="rId17" w:history="1">
        <w:r w:rsidRPr="00B25ED9">
          <w:rPr>
            <w:rFonts w:ascii="FrankRuehl" w:hAnsi="FrankRuehl" w:cs="FrankRuehl"/>
            <w:color w:val="0000FF"/>
            <w:u w:val="single"/>
            <w:rtl/>
          </w:rPr>
          <w:t>36ח</w:t>
        </w:r>
      </w:hyperlink>
    </w:p>
    <w:p w14:paraId="50A01190" w14:textId="77777777" w:rsidR="00B25ED9" w:rsidRPr="00B25ED9" w:rsidRDefault="00B25ED9" w:rsidP="00B25ED9">
      <w:pPr>
        <w:spacing w:after="120" w:line="240" w:lineRule="exact"/>
        <w:ind w:left="283" w:hanging="283"/>
        <w:jc w:val="both"/>
        <w:rPr>
          <w:rFonts w:ascii="FrankRuehl" w:hAnsi="FrankRuehl" w:cs="FrankRuehl"/>
          <w:rtl/>
        </w:rPr>
      </w:pPr>
    </w:p>
    <w:p w14:paraId="27CE92C3" w14:textId="77777777" w:rsidR="00B25ED9" w:rsidRPr="00B25ED9" w:rsidRDefault="00B25ED9">
      <w:pPr>
        <w:spacing w:line="360" w:lineRule="auto"/>
        <w:rPr>
          <w:sz w:val="28"/>
          <w:szCs w:val="28"/>
          <w:rtl/>
        </w:rPr>
      </w:pPr>
      <w:bookmarkStart w:id="4" w:name="LawTable_End"/>
      <w:bookmarkEnd w:id="4"/>
    </w:p>
    <w:p w14:paraId="3AE10753" w14:textId="77777777" w:rsidR="00B25ED9" w:rsidRPr="00B25ED9" w:rsidRDefault="00B25ED9">
      <w:pPr>
        <w:spacing w:line="360" w:lineRule="auto"/>
        <w:rPr>
          <w:sz w:val="28"/>
          <w:szCs w:val="28"/>
          <w:rtl/>
        </w:rPr>
      </w:pPr>
    </w:p>
    <w:p w14:paraId="65E2D5BD" w14:textId="77777777" w:rsidR="002E7670" w:rsidRPr="002E7670" w:rsidRDefault="002E7670">
      <w:pPr>
        <w:spacing w:line="360" w:lineRule="auto"/>
        <w:rPr>
          <w:sz w:val="28"/>
          <w:szCs w:val="28"/>
          <w:rtl/>
        </w:rPr>
      </w:pPr>
    </w:p>
    <w:p w14:paraId="4A2EA4A7" w14:textId="77777777" w:rsidR="002E7670" w:rsidRPr="002E7670" w:rsidRDefault="002E7670">
      <w:pPr>
        <w:spacing w:line="360" w:lineRule="auto"/>
        <w:rPr>
          <w:sz w:val="28"/>
          <w:szCs w:val="28"/>
          <w:rtl/>
        </w:rPr>
      </w:pPr>
    </w:p>
    <w:p w14:paraId="7A6F7135" w14:textId="77777777" w:rsidR="00B02C90" w:rsidRPr="002E7670" w:rsidRDefault="00B02C90">
      <w:pPr>
        <w:spacing w:line="360" w:lineRule="auto"/>
        <w:rPr>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02C90" w14:paraId="433ECDE8" w14:textId="77777777">
        <w:trPr>
          <w:trHeight w:val="355"/>
          <w:jc w:val="center"/>
        </w:trPr>
        <w:tc>
          <w:tcPr>
            <w:tcW w:w="8820" w:type="dxa"/>
            <w:tcBorders>
              <w:top w:val="nil"/>
              <w:left w:val="nil"/>
              <w:bottom w:val="nil"/>
              <w:right w:val="nil"/>
            </w:tcBorders>
          </w:tcPr>
          <w:p w14:paraId="2056F697" w14:textId="77777777" w:rsidR="00B02C90" w:rsidRPr="00104373" w:rsidRDefault="00104373" w:rsidP="00104373">
            <w:pPr>
              <w:spacing w:line="360" w:lineRule="auto"/>
              <w:jc w:val="center"/>
              <w:rPr>
                <w:rFonts w:ascii="Arial" w:hAnsi="Arial"/>
                <w:bCs/>
                <w:sz w:val="40"/>
                <w:szCs w:val="40"/>
                <w:u w:val="single"/>
                <w:rtl/>
              </w:rPr>
            </w:pPr>
            <w:bookmarkStart w:id="5" w:name="PsakDin" w:colFirst="0" w:colLast="0"/>
            <w:bookmarkEnd w:id="0"/>
            <w:bookmarkEnd w:id="1"/>
            <w:r w:rsidRPr="00104373">
              <w:rPr>
                <w:rFonts w:ascii="Arial" w:hAnsi="Arial"/>
                <w:b/>
                <w:bCs/>
                <w:sz w:val="40"/>
                <w:szCs w:val="40"/>
                <w:u w:val="single"/>
                <w:rtl/>
              </w:rPr>
              <w:t>גזר דין</w:t>
            </w:r>
          </w:p>
        </w:tc>
      </w:tr>
      <w:bookmarkEnd w:id="5"/>
    </w:tbl>
    <w:p w14:paraId="5B6E08F5" w14:textId="77777777" w:rsidR="00B02C90" w:rsidRDefault="00B02C90">
      <w:pPr>
        <w:spacing w:line="360" w:lineRule="auto"/>
        <w:rPr>
          <w:rFonts w:ascii="Arial" w:hAnsi="Arial"/>
          <w:sz w:val="28"/>
          <w:szCs w:val="28"/>
          <w:rtl/>
        </w:rPr>
      </w:pPr>
    </w:p>
    <w:p w14:paraId="275A8A61" w14:textId="77777777" w:rsidR="00B02C90" w:rsidRDefault="00104373">
      <w:pPr>
        <w:spacing w:line="360" w:lineRule="auto"/>
        <w:ind w:left="720" w:hanging="720"/>
        <w:jc w:val="both"/>
        <w:rPr>
          <w:rtl/>
        </w:rPr>
      </w:pPr>
      <w:r>
        <w:rPr>
          <w:rFonts w:hint="cs"/>
          <w:sz w:val="28"/>
          <w:szCs w:val="28"/>
          <w:rtl/>
        </w:rPr>
        <w:t>1.</w:t>
      </w:r>
      <w:r>
        <w:rPr>
          <w:rFonts w:hint="cs"/>
          <w:sz w:val="28"/>
          <w:szCs w:val="28"/>
          <w:rtl/>
        </w:rPr>
        <w:tab/>
      </w:r>
      <w:bookmarkStart w:id="6" w:name="ABSTRACT_START"/>
      <w:bookmarkEnd w:id="6"/>
      <w:r>
        <w:rPr>
          <w:rFonts w:hint="cs"/>
          <w:rtl/>
        </w:rPr>
        <w:t>הנאשם הורשע על פי הודאתו במסגרת הסדר טיעון בביצוע העבירות המיוחסות לו בכתב האישום המתוקן בשלישית, וזאת לאחר שהתיק הועבר לגישור בפני כב' השופט נויטל.</w:t>
      </w:r>
    </w:p>
    <w:p w14:paraId="577B69E1" w14:textId="77777777" w:rsidR="00B02C90" w:rsidRDefault="00B02C90">
      <w:pPr>
        <w:spacing w:line="360" w:lineRule="auto"/>
        <w:jc w:val="both"/>
        <w:rPr>
          <w:rtl/>
        </w:rPr>
      </w:pPr>
    </w:p>
    <w:p w14:paraId="3499B0E2" w14:textId="77777777" w:rsidR="00B02C90" w:rsidRDefault="00104373">
      <w:pPr>
        <w:spacing w:line="360" w:lineRule="auto"/>
        <w:ind w:left="720"/>
        <w:jc w:val="both"/>
        <w:rPr>
          <w:rtl/>
        </w:rPr>
      </w:pPr>
      <w:r>
        <w:rPr>
          <w:rFonts w:hint="cs"/>
          <w:rtl/>
        </w:rPr>
        <w:lastRenderedPageBreak/>
        <w:t xml:space="preserve">לפי המפורט בכתב האישום בתקופה שאינה ידועה למאשימה ולכל הפחות מחודש אוגוסט 2011 ועד לחודש יוני 2013 רכש הנאשם זהב ללא תיעוד בשטחי הרשות הפלשתינית ומקומות אחרים (להלן: </w:t>
      </w:r>
      <w:r>
        <w:rPr>
          <w:rFonts w:hint="cs"/>
          <w:b/>
          <w:bCs/>
          <w:rtl/>
        </w:rPr>
        <w:t>"הזהב השחור"</w:t>
      </w:r>
      <w:r>
        <w:rPr>
          <w:rFonts w:hint="cs"/>
          <w:rtl/>
        </w:rPr>
        <w:t>) וזאת לשם מכירתו בישראל. חרף העובדה שהנאשם פעל ועסק במכירת הזהב השחור בישראל הרי במטרה להסוות את בעלותו בזהב השחור, הנאשם לא נרשם כחברה בע"מ או עוסק לצרכי מס ולא דיווח ולא שילם את המס הנובע מעסקאות הזהב השחור אותן ביצע, כנדרש על פי חוק</w:t>
      </w:r>
      <w:bookmarkStart w:id="7" w:name="ABSTRACT_END"/>
      <w:bookmarkEnd w:id="7"/>
      <w:r>
        <w:rPr>
          <w:rFonts w:hint="cs"/>
          <w:rtl/>
        </w:rPr>
        <w:t>.</w:t>
      </w:r>
    </w:p>
    <w:p w14:paraId="0723A745" w14:textId="77777777" w:rsidR="00B02C90" w:rsidRDefault="00B02C90">
      <w:pPr>
        <w:spacing w:line="360" w:lineRule="auto"/>
        <w:ind w:left="720"/>
        <w:jc w:val="both"/>
        <w:rPr>
          <w:rtl/>
        </w:rPr>
      </w:pPr>
    </w:p>
    <w:p w14:paraId="7DD4BB62" w14:textId="77777777" w:rsidR="00B02C90" w:rsidRDefault="00104373">
      <w:pPr>
        <w:spacing w:line="360" w:lineRule="auto"/>
        <w:ind w:left="720"/>
        <w:jc w:val="both"/>
        <w:rPr>
          <w:rtl/>
        </w:rPr>
      </w:pPr>
      <w:r>
        <w:rPr>
          <w:rFonts w:hint="cs"/>
          <w:rtl/>
        </w:rPr>
        <w:t>הנאשם פעל למכירת הזהב השחור למעורבים אחרים בפרשה (אילן שפק, חיים מויאל ואיציק אביתר) שגם נגדם הוגשו כתבי אישום שנדונים בעצם ימים אלה בבית משפט זה. את הזהב השחור מכרו אותם מעורבים ללקוחותיהם, שהם יצואנים של זהב מישראל למדינות שונות, כאשר על מנת לאפשר את הסחר בזהב השחור כמו גם החדרתו לשוק המקומי, מכירתו וייצואו, ובמטרה להתחמק מתשלום מע"מ ומס הכנסה בגין ההכנסות ממכירתו קשר הנאשם עם האחרים קשר לביצועה של תכנית עבריינית ליתן כסות חשבונאית פיקטיבית המציגה מצג כוזב בדבר התנהלות לגיטימית של הסחר ביניהם.</w:t>
      </w:r>
    </w:p>
    <w:p w14:paraId="65259D14" w14:textId="77777777" w:rsidR="00B02C90" w:rsidRDefault="00B02C90">
      <w:pPr>
        <w:spacing w:line="360" w:lineRule="auto"/>
        <w:ind w:left="720"/>
        <w:jc w:val="both"/>
        <w:rPr>
          <w:rtl/>
        </w:rPr>
      </w:pPr>
    </w:p>
    <w:p w14:paraId="6F07F97B" w14:textId="77777777" w:rsidR="00B02C90" w:rsidRDefault="00104373">
      <w:pPr>
        <w:spacing w:line="360" w:lineRule="auto"/>
        <w:ind w:left="720"/>
        <w:jc w:val="both"/>
        <w:rPr>
          <w:u w:val="single"/>
          <w:rtl/>
        </w:rPr>
      </w:pPr>
      <w:r>
        <w:rPr>
          <w:rFonts w:hint="cs"/>
          <w:u w:val="single"/>
          <w:rtl/>
        </w:rPr>
        <w:t>באישום הראשון:</w:t>
      </w:r>
    </w:p>
    <w:p w14:paraId="1FFACF22" w14:textId="77777777" w:rsidR="00B02C90" w:rsidRDefault="00104373">
      <w:pPr>
        <w:spacing w:line="360" w:lineRule="auto"/>
        <w:ind w:left="720"/>
        <w:jc w:val="both"/>
        <w:rPr>
          <w:rtl/>
        </w:rPr>
      </w:pPr>
      <w:r>
        <w:rPr>
          <w:rFonts w:hint="cs"/>
          <w:rtl/>
        </w:rPr>
        <w:t xml:space="preserve">הנאשם הורשע בעבירות של קשירת קשר לביצוע פשע לפי </w:t>
      </w:r>
      <w:hyperlink r:id="rId18" w:history="1">
        <w:r w:rsidR="00B25ED9" w:rsidRPr="00B25ED9">
          <w:rPr>
            <w:color w:val="0000FF"/>
            <w:u w:val="single"/>
            <w:rtl/>
          </w:rPr>
          <w:t>סעיף 499</w:t>
        </w:r>
      </w:hyperlink>
      <w:r>
        <w:rPr>
          <w:rFonts w:hint="cs"/>
          <w:rtl/>
        </w:rPr>
        <w:t xml:space="preserve"> ל</w:t>
      </w:r>
      <w:hyperlink r:id="rId19" w:history="1">
        <w:r w:rsidR="002E7670" w:rsidRPr="002E7670">
          <w:rPr>
            <w:rStyle w:val="Hyperlink"/>
            <w:rtl/>
          </w:rPr>
          <w:t>חוק העונשין</w:t>
        </w:r>
      </w:hyperlink>
      <w:r>
        <w:rPr>
          <w:rFonts w:hint="cs"/>
          <w:rtl/>
        </w:rPr>
        <w:t>, התשל"ז-1977 (להלן: "</w:t>
      </w:r>
      <w:r>
        <w:rPr>
          <w:rFonts w:hint="cs"/>
          <w:b/>
          <w:bCs/>
          <w:rtl/>
        </w:rPr>
        <w:t>חוק העונשין</w:t>
      </w:r>
      <w:r>
        <w:rPr>
          <w:rFonts w:hint="cs"/>
          <w:rtl/>
        </w:rPr>
        <w:t xml:space="preserve">"); בעבירה של שימוש במרמה או תחבולה או הרשאה לאחר להשתמש בהם במטרה להתחמק או להשתמט מתשלום מס בנסיבות מחמירות, עבירה לפי </w:t>
      </w:r>
      <w:hyperlink r:id="rId20" w:history="1">
        <w:r w:rsidR="00B25ED9" w:rsidRPr="00B25ED9">
          <w:rPr>
            <w:color w:val="0000FF"/>
            <w:u w:val="single"/>
            <w:rtl/>
          </w:rPr>
          <w:t>סעיף 117(ב)(8)</w:t>
        </w:r>
      </w:hyperlink>
      <w:r>
        <w:rPr>
          <w:rFonts w:hint="cs"/>
          <w:rtl/>
        </w:rPr>
        <w:t xml:space="preserve"> לחוק העונשין ביחד עם </w:t>
      </w:r>
      <w:hyperlink r:id="rId21" w:history="1">
        <w:r w:rsidR="00B25ED9" w:rsidRPr="00B25ED9">
          <w:rPr>
            <w:color w:val="0000FF"/>
            <w:u w:val="single"/>
            <w:rtl/>
          </w:rPr>
          <w:t>סעיף 117(ב2)(3)</w:t>
        </w:r>
      </w:hyperlink>
      <w:r>
        <w:rPr>
          <w:rFonts w:hint="cs"/>
          <w:rtl/>
        </w:rPr>
        <w:t xml:space="preserve"> לחוק העונשין וכן בעבירה בכוונה ובמזיד להתחמק ממס ולעזור לאדם אחר להתחמק ממס, השתמש בכל מרמה, עורמה, או תחבולה או הרשה להשתמש בהן בנסיבות מחמירות שלוש עבירות פי </w:t>
      </w:r>
      <w:hyperlink r:id="rId22" w:history="1">
        <w:r w:rsidR="00B25ED9" w:rsidRPr="00B25ED9">
          <w:rPr>
            <w:color w:val="0000FF"/>
            <w:u w:val="single"/>
            <w:rtl/>
          </w:rPr>
          <w:t>סעיף 220(5)</w:t>
        </w:r>
      </w:hyperlink>
      <w:r>
        <w:rPr>
          <w:rFonts w:hint="cs"/>
          <w:rtl/>
        </w:rPr>
        <w:t xml:space="preserve"> ל</w:t>
      </w:r>
      <w:hyperlink r:id="rId23" w:history="1">
        <w:r w:rsidR="002E7670" w:rsidRPr="002E7670">
          <w:rPr>
            <w:rStyle w:val="Hyperlink"/>
            <w:rtl/>
          </w:rPr>
          <w:t>פקודת מס הכנסה</w:t>
        </w:r>
      </w:hyperlink>
      <w:r>
        <w:rPr>
          <w:rFonts w:hint="cs"/>
          <w:rtl/>
        </w:rPr>
        <w:t>.</w:t>
      </w:r>
    </w:p>
    <w:p w14:paraId="73E9111B" w14:textId="77777777" w:rsidR="00B02C90" w:rsidRDefault="00B02C90">
      <w:pPr>
        <w:spacing w:line="360" w:lineRule="auto"/>
        <w:ind w:left="720"/>
        <w:jc w:val="both"/>
        <w:rPr>
          <w:rtl/>
        </w:rPr>
      </w:pPr>
    </w:p>
    <w:p w14:paraId="4F423D22" w14:textId="77777777" w:rsidR="00B02C90" w:rsidRDefault="00104373">
      <w:pPr>
        <w:spacing w:line="360" w:lineRule="auto"/>
        <w:ind w:left="720"/>
        <w:jc w:val="both"/>
        <w:rPr>
          <w:u w:val="single"/>
          <w:rtl/>
        </w:rPr>
      </w:pPr>
      <w:r>
        <w:rPr>
          <w:rFonts w:hint="cs"/>
          <w:u w:val="single"/>
          <w:rtl/>
        </w:rPr>
        <w:t>באישום השני:</w:t>
      </w:r>
    </w:p>
    <w:p w14:paraId="3B3012CD" w14:textId="77777777" w:rsidR="00B02C90" w:rsidRDefault="00104373">
      <w:pPr>
        <w:spacing w:line="360" w:lineRule="auto"/>
        <w:ind w:left="720"/>
        <w:jc w:val="both"/>
        <w:rPr>
          <w:rtl/>
        </w:rPr>
      </w:pPr>
      <w:r>
        <w:rPr>
          <w:rFonts w:hint="cs"/>
          <w:rtl/>
        </w:rPr>
        <w:t>הורשע הנאשם באותן עבירות בדיוק כפי שהאישום הראשון כאשר העבירות נשוא האישום הראשון התייחסו לקשר עם המעורבים שפק ומויאל ובעוד שבאישום השני העבירות התייחסו לקשר עם המעורב אביתר.</w:t>
      </w:r>
    </w:p>
    <w:p w14:paraId="3E4E06F5" w14:textId="77777777" w:rsidR="00B02C90" w:rsidRDefault="00B02C90">
      <w:pPr>
        <w:spacing w:line="360" w:lineRule="auto"/>
        <w:ind w:left="720"/>
        <w:jc w:val="both"/>
        <w:rPr>
          <w:rtl/>
        </w:rPr>
      </w:pPr>
    </w:p>
    <w:p w14:paraId="526DBF97" w14:textId="77777777" w:rsidR="00B02C90" w:rsidRDefault="00104373">
      <w:pPr>
        <w:spacing w:line="360" w:lineRule="auto"/>
        <w:ind w:left="720"/>
        <w:jc w:val="both"/>
        <w:rPr>
          <w:u w:val="single"/>
          <w:rtl/>
        </w:rPr>
      </w:pPr>
      <w:r>
        <w:rPr>
          <w:rFonts w:hint="cs"/>
          <w:u w:val="single"/>
          <w:rtl/>
        </w:rPr>
        <w:t>באישום השלישי:</w:t>
      </w:r>
    </w:p>
    <w:p w14:paraId="575BF4D9" w14:textId="77777777" w:rsidR="00B02C90" w:rsidRDefault="00104373">
      <w:pPr>
        <w:spacing w:line="360" w:lineRule="auto"/>
        <w:ind w:left="720"/>
        <w:jc w:val="both"/>
        <w:rPr>
          <w:rtl/>
        </w:rPr>
      </w:pPr>
      <w:r>
        <w:rPr>
          <w:rFonts w:hint="cs"/>
          <w:rtl/>
        </w:rPr>
        <w:t xml:space="preserve">עניינו עבירות של הלבנת הון והנאשם הורשע בעבירה של עשיית פעולה ברכוש אסור במטרה להסתיר או להסוות את מקורו, את זהות בעלי הזכויות בו, את מיקומו, את תנועותיו או עשיית פעולה בו, עבירה לפי </w:t>
      </w:r>
      <w:hyperlink r:id="rId24" w:history="1">
        <w:r w:rsidR="00B25ED9" w:rsidRPr="00B25ED9">
          <w:rPr>
            <w:color w:val="0000FF"/>
            <w:u w:val="single"/>
            <w:rtl/>
          </w:rPr>
          <w:t>סעיף 3(א)</w:t>
        </w:r>
      </w:hyperlink>
      <w:r>
        <w:rPr>
          <w:rFonts w:hint="cs"/>
          <w:rtl/>
        </w:rPr>
        <w:t xml:space="preserve"> ל</w:t>
      </w:r>
      <w:hyperlink r:id="rId25" w:history="1">
        <w:r w:rsidR="002E7670" w:rsidRPr="002E7670">
          <w:rPr>
            <w:rStyle w:val="Hyperlink"/>
            <w:rtl/>
          </w:rPr>
          <w:t>חוק איסור הלבנת הון</w:t>
        </w:r>
      </w:hyperlink>
      <w:r>
        <w:rPr>
          <w:rFonts w:hint="cs"/>
          <w:rtl/>
        </w:rPr>
        <w:t>.</w:t>
      </w:r>
    </w:p>
    <w:p w14:paraId="7DCCFF5F" w14:textId="77777777" w:rsidR="00B02C90" w:rsidRDefault="00104373">
      <w:pPr>
        <w:spacing w:line="360" w:lineRule="auto"/>
        <w:ind w:left="720"/>
        <w:jc w:val="both"/>
        <w:rPr>
          <w:rtl/>
        </w:rPr>
      </w:pPr>
      <w:r>
        <w:rPr>
          <w:rFonts w:hint="cs"/>
          <w:rtl/>
        </w:rPr>
        <w:t xml:space="preserve">כן הורשע הנאשם בעבירה לפי </w:t>
      </w:r>
      <w:hyperlink r:id="rId26" w:history="1">
        <w:r w:rsidR="00B25ED9" w:rsidRPr="00B25ED9">
          <w:rPr>
            <w:color w:val="0000FF"/>
            <w:u w:val="single"/>
            <w:rtl/>
          </w:rPr>
          <w:t>סעיף 4</w:t>
        </w:r>
      </w:hyperlink>
      <w:r>
        <w:rPr>
          <w:rFonts w:hint="cs"/>
          <w:rtl/>
        </w:rPr>
        <w:t xml:space="preserve"> לחוק זה, עבירה של עשיית פעולה ברכוש בידיעה שהוא רכוש אסור.</w:t>
      </w:r>
    </w:p>
    <w:p w14:paraId="3C6DD7D9" w14:textId="77777777" w:rsidR="00B02C90" w:rsidRDefault="00B02C90">
      <w:pPr>
        <w:spacing w:line="360" w:lineRule="auto"/>
        <w:ind w:left="720"/>
        <w:jc w:val="both"/>
        <w:rPr>
          <w:rtl/>
        </w:rPr>
      </w:pPr>
    </w:p>
    <w:p w14:paraId="5CFE6EE1" w14:textId="77777777" w:rsidR="00B02C90" w:rsidRDefault="00104373">
      <w:pPr>
        <w:spacing w:line="360" w:lineRule="auto"/>
        <w:ind w:left="720" w:hanging="720"/>
        <w:jc w:val="both"/>
        <w:rPr>
          <w:rtl/>
        </w:rPr>
      </w:pPr>
      <w:r>
        <w:rPr>
          <w:rFonts w:hint="cs"/>
          <w:rtl/>
        </w:rPr>
        <w:t>2.</w:t>
      </w:r>
      <w:r>
        <w:rPr>
          <w:rFonts w:hint="cs"/>
          <w:rtl/>
        </w:rPr>
        <w:tab/>
        <w:t>במענה לכתב האישום כפר הנאשם במיוחס לו בכתב האישום, והעלה טענת זוטא באשר להודעות שנגבו ממנו במהלך חקירתו כאשר לפי טענת הנאשם הודאתו ניתנה שלא מתוך רצון טוב וחופשי, תוך ניצול מצבו הנפשי, ניצול מחלתו הנפשית, מניעת תרופות, מניעת בדיקה על ידי רופא מומחה, מצב פסיכוטי ושורה ארוכה של טענות ש הועלו על ידי הנאשם שיש בהן לטענתו כדי לפגום בקבילות הודאתו.</w:t>
      </w:r>
    </w:p>
    <w:p w14:paraId="27F09FC8" w14:textId="77777777" w:rsidR="00B02C90" w:rsidRDefault="00B02C90">
      <w:pPr>
        <w:spacing w:line="360" w:lineRule="auto"/>
        <w:ind w:left="720" w:hanging="720"/>
        <w:jc w:val="both"/>
        <w:rPr>
          <w:rtl/>
        </w:rPr>
      </w:pPr>
    </w:p>
    <w:p w14:paraId="552E80AA" w14:textId="77777777" w:rsidR="00B02C90" w:rsidRDefault="00104373">
      <w:pPr>
        <w:spacing w:line="360" w:lineRule="auto"/>
        <w:ind w:left="720" w:hanging="720"/>
        <w:jc w:val="both"/>
        <w:rPr>
          <w:rtl/>
        </w:rPr>
      </w:pPr>
      <w:r>
        <w:rPr>
          <w:rFonts w:hint="cs"/>
          <w:rtl/>
        </w:rPr>
        <w:tab/>
        <w:t>הואיל ומדובר בנאשם שבית המשפט הורה על מעצרו עד תום ההליכים המשפטיים, מצאתי לנכון לקבוע מספר מועדים קרובים לדיון בטענת הזוטא, ובמשך שלושה ימי דיון נשמעו מרבית עדי המאשימה שזימונם התבקש לצורך הכרעה בטענת הזוטא, כאשר כל שנותר בפני בית המשפט הוא לשמוע את עדות המומחים הרפואיים - הפסיכיאטר המחוזי או מי מטעמו, והגשת תיעוד רפואי בנוגע למצבו הנפשי של הנאשם במועד ביצוע העבירות הנטענות.</w:t>
      </w:r>
    </w:p>
    <w:p w14:paraId="740ADEC2" w14:textId="77777777" w:rsidR="00B02C90" w:rsidRDefault="00B02C90">
      <w:pPr>
        <w:spacing w:line="360" w:lineRule="auto"/>
        <w:ind w:left="720" w:hanging="720"/>
        <w:jc w:val="both"/>
        <w:rPr>
          <w:rtl/>
        </w:rPr>
      </w:pPr>
    </w:p>
    <w:p w14:paraId="6010B2FC" w14:textId="77777777" w:rsidR="00B02C90" w:rsidRDefault="00104373">
      <w:pPr>
        <w:spacing w:line="360" w:lineRule="auto"/>
        <w:ind w:left="720" w:hanging="720"/>
        <w:jc w:val="both"/>
        <w:rPr>
          <w:rtl/>
        </w:rPr>
      </w:pPr>
      <w:r>
        <w:rPr>
          <w:rFonts w:hint="cs"/>
          <w:rtl/>
        </w:rPr>
        <w:tab/>
        <w:t>לאחר שמיעת מרבית הראיות הרלבנטיות לטענת הזוטא, ביקשו הצדדים לקיים הליך של גישור ביניהם, וזאת בין היתר בהסתמך על התשתית הראייתית שנחשפה בפני בית המשפט והצדיקה לטעמם של באי כוח הצדדים קיום הליך שכזה.</w:t>
      </w:r>
    </w:p>
    <w:p w14:paraId="7BAF46C8" w14:textId="77777777" w:rsidR="00B02C90" w:rsidRDefault="00B02C90">
      <w:pPr>
        <w:spacing w:line="360" w:lineRule="auto"/>
        <w:ind w:left="720" w:hanging="720"/>
        <w:jc w:val="both"/>
        <w:rPr>
          <w:rtl/>
        </w:rPr>
      </w:pPr>
    </w:p>
    <w:p w14:paraId="0E3B73AD" w14:textId="77777777" w:rsidR="00B02C90" w:rsidRDefault="00104373">
      <w:pPr>
        <w:spacing w:line="360" w:lineRule="auto"/>
        <w:ind w:left="720" w:hanging="720"/>
        <w:jc w:val="both"/>
        <w:rPr>
          <w:rtl/>
        </w:rPr>
      </w:pPr>
      <w:r>
        <w:rPr>
          <w:rFonts w:hint="cs"/>
          <w:rtl/>
        </w:rPr>
        <w:tab/>
        <w:t xml:space="preserve">נעתרתי לבקשת באי כוח הצדדים ובתום הליך גישור קצר בפני כב' השופט ג' נויטל, הודיעו הצדדים על הסכמות מלאות ומקיפות שהגיעו אליהן, ואלה הוצגו בפני בית המשפט באמצעות שני מסמכים: הראשון, </w:t>
      </w:r>
      <w:r>
        <w:rPr>
          <w:rFonts w:hint="cs"/>
          <w:b/>
          <w:bCs/>
          <w:rtl/>
        </w:rPr>
        <w:t>במ/1</w:t>
      </w:r>
      <w:r>
        <w:rPr>
          <w:rFonts w:hint="cs"/>
          <w:rtl/>
        </w:rPr>
        <w:t>, שכותרתו "</w:t>
      </w:r>
      <w:r>
        <w:rPr>
          <w:rFonts w:hint="cs"/>
          <w:b/>
          <w:bCs/>
          <w:rtl/>
        </w:rPr>
        <w:t>סיכום דברים שנערך ונחתם ביום 9.12.13</w:t>
      </w:r>
      <w:r>
        <w:rPr>
          <w:rFonts w:hint="cs"/>
          <w:rtl/>
        </w:rPr>
        <w:t xml:space="preserve">", מפרט את פרטי ההסדר. מסמך שני, </w:t>
      </w:r>
      <w:r>
        <w:rPr>
          <w:rFonts w:hint="cs"/>
          <w:b/>
          <w:bCs/>
          <w:rtl/>
        </w:rPr>
        <w:t>במ/2</w:t>
      </w:r>
      <w:r>
        <w:rPr>
          <w:rFonts w:hint="cs"/>
          <w:rtl/>
        </w:rPr>
        <w:t>, נספח להסדר טיעון: "</w:t>
      </w:r>
      <w:r>
        <w:rPr>
          <w:rFonts w:hint="cs"/>
          <w:b/>
          <w:bCs/>
          <w:rtl/>
        </w:rPr>
        <w:t>הרכוש נשוא הבקשה</w:t>
      </w:r>
      <w:r>
        <w:rPr>
          <w:rFonts w:hint="cs"/>
          <w:rtl/>
        </w:rPr>
        <w:t>" בו פרטו הצדדים את הרכוש ששייך לנאשם או נתפס בחזקת הנאשם שיחולט במסגרת הסדר הטיעון.</w:t>
      </w:r>
    </w:p>
    <w:p w14:paraId="19D161A2" w14:textId="77777777" w:rsidR="00B02C90" w:rsidRDefault="00B02C90">
      <w:pPr>
        <w:spacing w:line="360" w:lineRule="auto"/>
        <w:ind w:left="720" w:hanging="720"/>
        <w:jc w:val="both"/>
        <w:rPr>
          <w:rtl/>
        </w:rPr>
      </w:pPr>
    </w:p>
    <w:p w14:paraId="109B36A8" w14:textId="77777777" w:rsidR="00B02C90" w:rsidRDefault="00104373">
      <w:pPr>
        <w:spacing w:line="360" w:lineRule="auto"/>
        <w:ind w:left="720" w:hanging="720"/>
        <w:jc w:val="both"/>
        <w:rPr>
          <w:rtl/>
        </w:rPr>
      </w:pPr>
      <w:r>
        <w:rPr>
          <w:rFonts w:hint="cs"/>
          <w:rtl/>
        </w:rPr>
        <w:t>3.</w:t>
      </w:r>
      <w:r>
        <w:rPr>
          <w:rFonts w:hint="cs"/>
          <w:rtl/>
        </w:rPr>
        <w:tab/>
        <w:t>בדיון שהתקיים בפניי ביום 9.12.13 הציגו הצדדים את הסדר הטיעון במסגרתו עתר הנאשם לבית המשפט לאפשר לו לחזור בו מכפירתו ולהודות במיוחס לו בכתב האישום המתוקן בשלישית.</w:t>
      </w:r>
    </w:p>
    <w:p w14:paraId="2D8C845A" w14:textId="77777777" w:rsidR="00B02C90" w:rsidRDefault="00104373">
      <w:pPr>
        <w:spacing w:line="360" w:lineRule="auto"/>
        <w:ind w:left="720" w:hanging="720"/>
        <w:jc w:val="both"/>
        <w:rPr>
          <w:rtl/>
        </w:rPr>
      </w:pPr>
      <w:r>
        <w:rPr>
          <w:rFonts w:hint="cs"/>
          <w:rtl/>
        </w:rPr>
        <w:tab/>
      </w:r>
    </w:p>
    <w:p w14:paraId="02BE48D1" w14:textId="77777777" w:rsidR="00B02C90" w:rsidRDefault="00104373">
      <w:pPr>
        <w:spacing w:line="360" w:lineRule="auto"/>
        <w:ind w:left="720"/>
        <w:jc w:val="both"/>
        <w:rPr>
          <w:rtl/>
        </w:rPr>
      </w:pPr>
      <w:r>
        <w:rPr>
          <w:rFonts w:hint="cs"/>
          <w:rtl/>
        </w:rPr>
        <w:t>כמו כן עתרו הצדדים במשותף להטלת עונש מוסכם של מאסר בפועל לתקופה של 72 חודשים, מאסר על תנאי לפי שיקול דעת בית המשפט, קנס כספי בסך 850,000 ש"ח, וחילוט לטובת קרן החילוט בסכומים שונים, כמפורט בהסדר הטיעון.</w:t>
      </w:r>
    </w:p>
    <w:p w14:paraId="58FC1E6A" w14:textId="77777777" w:rsidR="00B02C90" w:rsidRDefault="00B02C90">
      <w:pPr>
        <w:spacing w:line="360" w:lineRule="auto"/>
        <w:ind w:left="720" w:hanging="720"/>
        <w:jc w:val="both"/>
        <w:rPr>
          <w:rtl/>
        </w:rPr>
      </w:pPr>
    </w:p>
    <w:p w14:paraId="5B27B3F5" w14:textId="77777777" w:rsidR="00B02C90" w:rsidRDefault="00104373">
      <w:pPr>
        <w:spacing w:line="360" w:lineRule="auto"/>
        <w:ind w:left="720" w:hanging="720"/>
        <w:jc w:val="both"/>
        <w:rPr>
          <w:rtl/>
        </w:rPr>
      </w:pPr>
      <w:r>
        <w:rPr>
          <w:rFonts w:hint="cs"/>
          <w:rtl/>
        </w:rPr>
        <w:tab/>
        <w:t>לאחר שווידאתי עם באי כוח הנאשם את הבנתו של הנאשם והסכמתו לפרטי הסדר הטיעון, ולאחר שווידאתי עם הנאשם עצמו הבנתו פרטי הסדר הטיעון, הסכמתו לחזור בו מכל טענותיו כנגד הודאותיו בחקירותיו במשרדי היחידה החוקרת, ולאחר שווידאתי שהנאשם מבין היטב את משמעות ההסדר, שההסדר הוא על דעתו ולפי רצונו - התרתי לנאשם לחזור בו מכפירתו והוא הורשע על סמך הודאתו בכל העבירות המיוחסות לו בכתב האישום.</w:t>
      </w:r>
    </w:p>
    <w:p w14:paraId="1D2F9A9E" w14:textId="77777777" w:rsidR="00B02C90" w:rsidRDefault="00B02C90">
      <w:pPr>
        <w:spacing w:line="360" w:lineRule="auto"/>
        <w:ind w:left="720" w:hanging="720"/>
        <w:jc w:val="both"/>
        <w:rPr>
          <w:rtl/>
        </w:rPr>
      </w:pPr>
    </w:p>
    <w:p w14:paraId="464B665B" w14:textId="77777777" w:rsidR="00B02C90" w:rsidRDefault="00104373">
      <w:pPr>
        <w:spacing w:line="360" w:lineRule="auto"/>
        <w:ind w:left="720" w:hanging="720"/>
        <w:jc w:val="both"/>
        <w:rPr>
          <w:rtl/>
        </w:rPr>
      </w:pPr>
      <w:r>
        <w:rPr>
          <w:rFonts w:hint="cs"/>
          <w:rtl/>
        </w:rPr>
        <w:t>4.</w:t>
      </w:r>
      <w:r>
        <w:rPr>
          <w:rFonts w:hint="cs"/>
          <w:rtl/>
        </w:rPr>
        <w:tab/>
        <w:t>שמעתי את טיעוניהם הקצרים של באי כוח הצדדים שעתרו במשותף לכבד את הסדר הטיעון. שמעתי גם את דברי הנאשם עצמו שהודה בביצוע העבירות במסגרת טיעונו לעונש, ומצאתי בסופו של דבר, אף שההסדר נוטה לקולא, לכבד את הסדר הטיעון ולהטיל על הנאשם את העונשים המוסכמים.</w:t>
      </w:r>
    </w:p>
    <w:p w14:paraId="55A28B6C" w14:textId="77777777" w:rsidR="00B02C90" w:rsidRDefault="00B02C90">
      <w:pPr>
        <w:spacing w:line="360" w:lineRule="auto"/>
        <w:ind w:left="720" w:hanging="720"/>
        <w:jc w:val="both"/>
        <w:rPr>
          <w:rtl/>
        </w:rPr>
      </w:pPr>
    </w:p>
    <w:p w14:paraId="57CB8A52" w14:textId="77777777" w:rsidR="00B02C90" w:rsidRDefault="00104373">
      <w:pPr>
        <w:spacing w:line="360" w:lineRule="auto"/>
        <w:ind w:left="720" w:hanging="720"/>
        <w:jc w:val="both"/>
        <w:rPr>
          <w:rtl/>
        </w:rPr>
      </w:pPr>
      <w:r>
        <w:rPr>
          <w:rFonts w:hint="cs"/>
          <w:rtl/>
        </w:rPr>
        <w:tab/>
      </w:r>
      <w:hyperlink r:id="rId27" w:history="1">
        <w:r w:rsidR="00B25ED9" w:rsidRPr="00B25ED9">
          <w:rPr>
            <w:color w:val="0000FF"/>
            <w:u w:val="single"/>
            <w:rtl/>
          </w:rPr>
          <w:t xml:space="preserve">בת"פ 4004/09 </w:t>
        </w:r>
      </w:hyperlink>
      <w:r>
        <w:rPr>
          <w:rFonts w:hint="cs"/>
          <w:rtl/>
        </w:rPr>
        <w:t xml:space="preserve"> </w:t>
      </w:r>
      <w:r>
        <w:rPr>
          <w:rFonts w:hint="cs"/>
          <w:b/>
          <w:bCs/>
          <w:rtl/>
        </w:rPr>
        <w:t>מדינת ישראל נ' כהן</w:t>
      </w:r>
      <w:r>
        <w:rPr>
          <w:rFonts w:hint="cs"/>
          <w:rtl/>
        </w:rPr>
        <w:t xml:space="preserve"> שניתן על ידי ביום 30.9.2013 התייחסתי לסוגיה המשפטית האם תיקון 113 ל</w:t>
      </w:r>
      <w:hyperlink r:id="rId28" w:history="1">
        <w:r w:rsidR="002E7670" w:rsidRPr="002E7670">
          <w:rPr>
            <w:rStyle w:val="Hyperlink"/>
            <w:rtl/>
          </w:rPr>
          <w:t>חוק העונשין</w:t>
        </w:r>
      </w:hyperlink>
      <w:r>
        <w:rPr>
          <w:rFonts w:hint="cs"/>
          <w:rtl/>
        </w:rPr>
        <w:t xml:space="preserve"> רלבנטי להסדרי טיעון, וציינתי שם שהתיקון שותק לחלוטין בסוגיה זו ובית המשפט העליון טרם הכריע בסוגיה והותיר אותה במספר פסקי דין בצריך עיון (ראו לעניין זה את התייחסותו מהימים האחרונים של כב' השופט נ' סולברג ב</w:t>
      </w:r>
      <w:hyperlink r:id="rId29" w:history="1">
        <w:r w:rsidR="002E7670" w:rsidRPr="002E7670">
          <w:rPr>
            <w:rStyle w:val="Hyperlink"/>
            <w:rtl/>
          </w:rPr>
          <w:t>ת"פ 512/13</w:t>
        </w:r>
      </w:hyperlink>
      <w:r>
        <w:rPr>
          <w:rFonts w:hint="cs"/>
          <w:rtl/>
        </w:rPr>
        <w:t xml:space="preserve"> </w:t>
      </w:r>
      <w:r>
        <w:rPr>
          <w:rFonts w:hint="cs"/>
          <w:b/>
          <w:bCs/>
          <w:rtl/>
        </w:rPr>
        <w:t>פלוני נ' מדינת ישראל</w:t>
      </w:r>
      <w:r>
        <w:rPr>
          <w:rFonts w:hint="cs"/>
          <w:rtl/>
        </w:rPr>
        <w:t xml:space="preserve"> (4.12.2013)).</w:t>
      </w:r>
    </w:p>
    <w:p w14:paraId="36864EB2" w14:textId="77777777" w:rsidR="00B02C90" w:rsidRDefault="00104373">
      <w:pPr>
        <w:spacing w:line="360" w:lineRule="auto"/>
        <w:ind w:left="720" w:hanging="720"/>
        <w:jc w:val="both"/>
        <w:rPr>
          <w:rtl/>
        </w:rPr>
      </w:pPr>
      <w:r>
        <w:rPr>
          <w:rFonts w:hint="cs"/>
          <w:rtl/>
        </w:rPr>
        <w:tab/>
      </w:r>
    </w:p>
    <w:p w14:paraId="5985D383" w14:textId="77777777" w:rsidR="00B02C90" w:rsidRDefault="00104373">
      <w:pPr>
        <w:spacing w:line="360" w:lineRule="auto"/>
        <w:ind w:left="720"/>
        <w:jc w:val="both"/>
        <w:rPr>
          <w:rtl/>
        </w:rPr>
      </w:pPr>
      <w:r>
        <w:rPr>
          <w:rFonts w:hint="cs"/>
          <w:rtl/>
        </w:rPr>
        <w:t xml:space="preserve">ציינתי שם שלטעמי בעבירות חמורות שלצדן עונשי מאסר לתקופות ארוכות, זכותו של הנאשם וזכות הציבור להבין את שלבי גזירת הדין בהתאם למתווה שקבע המחוקק. התיקון קובע מתווה תלת שלבי לגזירת העונש. ראשית, במידה והנאשם הורשע במספר עבירות, על בית המשפט לקבוע אם עבירות אלה מהוות אירוע אחד או כמה אירועים נפרדים. בשלב השני, בית המשפט קובע את מתחמי הענישה ההולמים בהתחשב בחומרת העבירה ובנסיבות ביצועה, ואילו בשלב השלישי נבחנות הנסיבות שאינן קשורות לביצוע העבירה ונגזר עונש בתוך מתחם הענישה למעט נסיבות חריגות של שיקום או צורך יוצא דופן בהבטחת שלום הציבור מפני הנאשם (ראה למשל, </w:t>
      </w:r>
      <w:hyperlink r:id="rId30" w:history="1">
        <w:r w:rsidR="002E7670" w:rsidRPr="002E7670">
          <w:rPr>
            <w:rStyle w:val="Hyperlink"/>
            <w:rtl/>
          </w:rPr>
          <w:t>ע"פ 8641/12</w:t>
        </w:r>
      </w:hyperlink>
      <w:r>
        <w:rPr>
          <w:rFonts w:hint="cs"/>
          <w:rtl/>
        </w:rPr>
        <w:t xml:space="preserve"> </w:t>
      </w:r>
      <w:r>
        <w:rPr>
          <w:rFonts w:hint="cs"/>
          <w:b/>
          <w:bCs/>
          <w:rtl/>
        </w:rPr>
        <w:t xml:space="preserve">סעד נ' מדינת ישראל </w:t>
      </w:r>
      <w:r>
        <w:rPr>
          <w:rFonts w:hint="cs"/>
          <w:rtl/>
        </w:rPr>
        <w:t>(5.8.2013)).</w:t>
      </w:r>
    </w:p>
    <w:p w14:paraId="7E10220D" w14:textId="77777777" w:rsidR="00B02C90" w:rsidRDefault="00B02C90">
      <w:pPr>
        <w:spacing w:line="360" w:lineRule="auto"/>
        <w:ind w:left="720" w:hanging="720"/>
        <w:jc w:val="both"/>
        <w:rPr>
          <w:rtl/>
        </w:rPr>
      </w:pPr>
    </w:p>
    <w:p w14:paraId="4BF74847" w14:textId="77777777" w:rsidR="00B02C90" w:rsidRDefault="00104373">
      <w:pPr>
        <w:spacing w:line="360" w:lineRule="auto"/>
        <w:ind w:left="720" w:hanging="720"/>
        <w:jc w:val="both"/>
        <w:rPr>
          <w:rtl/>
        </w:rPr>
      </w:pPr>
      <w:r>
        <w:rPr>
          <w:rFonts w:hint="cs"/>
          <w:rtl/>
        </w:rPr>
        <w:t>5.</w:t>
      </w:r>
      <w:r>
        <w:rPr>
          <w:rFonts w:hint="cs"/>
          <w:rtl/>
        </w:rPr>
        <w:tab/>
        <w:t>במקרה שבפני, עתירת הצדדים המשותפת הייתה להטלת עונש מוסכם, תוך פירוט קצר ביותר על הנסיבות שהביאו את הצדדים להסדר הטיעון. משמע, הצדדים מצפים מבית המשפט לאמץ את הסדר הטיעון כפי שזה הוצג, מבלי צורך להיכנס למתווה התלת שלבי.</w:t>
      </w:r>
    </w:p>
    <w:p w14:paraId="689CB9DC" w14:textId="77777777" w:rsidR="00B02C90" w:rsidRDefault="00104373">
      <w:pPr>
        <w:spacing w:line="360" w:lineRule="auto"/>
        <w:ind w:left="720" w:hanging="720"/>
        <w:jc w:val="both"/>
        <w:rPr>
          <w:rtl/>
        </w:rPr>
      </w:pPr>
      <w:r>
        <w:rPr>
          <w:rFonts w:hint="cs"/>
          <w:rtl/>
        </w:rPr>
        <w:tab/>
      </w:r>
    </w:p>
    <w:p w14:paraId="5F93269B" w14:textId="77777777" w:rsidR="00B02C90" w:rsidRDefault="00104373">
      <w:pPr>
        <w:spacing w:line="360" w:lineRule="auto"/>
        <w:ind w:left="720"/>
        <w:jc w:val="both"/>
        <w:rPr>
          <w:rtl/>
        </w:rPr>
      </w:pPr>
      <w:r>
        <w:rPr>
          <w:rFonts w:hint="cs"/>
          <w:rtl/>
        </w:rPr>
        <w:t>במקרה רגיל הייתי מוצא לנכון, נוכח היקפן וחומרתן של העבירות מחד, ונוכח עונש המאסר הארוך יחסית כמפורט בהסדר הטיעון, ללכת במתווה קבע המחוקק בתיקון 113 שלטעמי זו הדרך הראויה והנאותה לגזור את דינו של נאשם בפרשה כה סבוכה ומורכבת.</w:t>
      </w:r>
    </w:p>
    <w:p w14:paraId="2B3CE18D" w14:textId="77777777" w:rsidR="00B02C90" w:rsidRDefault="00104373">
      <w:pPr>
        <w:spacing w:line="360" w:lineRule="auto"/>
        <w:ind w:left="720" w:hanging="720"/>
        <w:jc w:val="both"/>
        <w:rPr>
          <w:rtl/>
        </w:rPr>
      </w:pPr>
      <w:r>
        <w:rPr>
          <w:rFonts w:hint="cs"/>
          <w:rtl/>
        </w:rPr>
        <w:tab/>
      </w:r>
    </w:p>
    <w:p w14:paraId="59A59E83" w14:textId="77777777" w:rsidR="00B02C90" w:rsidRDefault="00104373">
      <w:pPr>
        <w:spacing w:line="360" w:lineRule="auto"/>
        <w:ind w:left="720"/>
        <w:jc w:val="both"/>
        <w:rPr>
          <w:rtl/>
        </w:rPr>
      </w:pPr>
      <w:r>
        <w:rPr>
          <w:rFonts w:hint="cs"/>
          <w:rtl/>
        </w:rPr>
        <w:t>יש לציין ולהדגיש שכתב האישום על כל נספחיו משתרע על עשרות רבות של עמודים וברשימת העדים מפורטים למעלה מ-180 עדים, כאשר הסכומים שמצוינים בכתב האישום הינם של מאות מיליוני שקלים. סכומי החשבוניות הפיקטיביות מגיעים לכדי כ-600 מיליון ש"ח, סכום המע"מ שמתשלומו התחמק הנאשם עולה על 83 מיליון ש"ח, כך שמדובר בכתב אישום המצדיק בנסיבות רגילות התייחסות פרטנית לגבי רכיבי הענישה הראויים וההולמים בהתאם למתווה שקבע המחוקק.</w:t>
      </w:r>
    </w:p>
    <w:p w14:paraId="41BEDB96" w14:textId="77777777" w:rsidR="00B02C90" w:rsidRDefault="00B02C90">
      <w:pPr>
        <w:spacing w:line="360" w:lineRule="auto"/>
        <w:ind w:left="720" w:hanging="720"/>
        <w:jc w:val="both"/>
        <w:rPr>
          <w:rtl/>
        </w:rPr>
      </w:pPr>
    </w:p>
    <w:p w14:paraId="51FAD4B8" w14:textId="77777777" w:rsidR="00B02C90" w:rsidRDefault="00104373">
      <w:pPr>
        <w:spacing w:line="360" w:lineRule="auto"/>
        <w:ind w:left="720" w:hanging="720"/>
        <w:jc w:val="both"/>
        <w:rPr>
          <w:rtl/>
        </w:rPr>
      </w:pPr>
      <w:r>
        <w:rPr>
          <w:rFonts w:hint="cs"/>
          <w:rtl/>
        </w:rPr>
        <w:tab/>
        <w:t>יחד עם זאת, קיבלתי את עתירת באי כוח הצדדים שלא לעשות כן במקרה זה, משום העובדה שבית המשפט הספיק כבר לשמוע חלק ניכר מהראיות במסגרת הליך הזוטא, לרבות הצגת אותם מקטעים חזותיים של חקירת הנאשם, ובעיקר בשים לב לעובדה שהודעותיו של הנאשם סייעו בידי המאשימה לגבש תשתית ראייתית כנגד מעורבים אחרים רבים שאילולא כן, הייתה מתקשה המאשימה להגיש כתב אישום כנגד אותם מעורבים.</w:t>
      </w:r>
    </w:p>
    <w:p w14:paraId="1EBF7EC6" w14:textId="77777777" w:rsidR="00B02C90" w:rsidRDefault="00B02C90">
      <w:pPr>
        <w:spacing w:line="360" w:lineRule="auto"/>
        <w:ind w:left="720" w:hanging="720"/>
        <w:jc w:val="both"/>
        <w:rPr>
          <w:rtl/>
        </w:rPr>
      </w:pPr>
    </w:p>
    <w:p w14:paraId="336F22EF" w14:textId="77777777" w:rsidR="00B02C90" w:rsidRDefault="00104373">
      <w:pPr>
        <w:spacing w:line="360" w:lineRule="auto"/>
        <w:ind w:left="720" w:hanging="720"/>
        <w:jc w:val="both"/>
        <w:rPr>
          <w:rtl/>
        </w:rPr>
      </w:pPr>
      <w:r>
        <w:rPr>
          <w:rFonts w:hint="cs"/>
          <w:rtl/>
        </w:rPr>
        <w:tab/>
        <w:t>על כן, אני נמנע מקביעת מתחם ענישה הולם לגבי כל עבירה ועבירה ומוצא להתייחס לעונש המוסכם בהסדר הטיעון כמקשה אחת.</w:t>
      </w:r>
    </w:p>
    <w:p w14:paraId="499BFCB8" w14:textId="77777777" w:rsidR="00B02C90" w:rsidRDefault="00B02C90">
      <w:pPr>
        <w:spacing w:line="360" w:lineRule="auto"/>
        <w:ind w:left="720" w:hanging="720"/>
        <w:jc w:val="both"/>
        <w:rPr>
          <w:rtl/>
        </w:rPr>
      </w:pPr>
    </w:p>
    <w:p w14:paraId="003B0D24" w14:textId="77777777" w:rsidR="00B02C90" w:rsidRDefault="00104373">
      <w:pPr>
        <w:spacing w:line="360" w:lineRule="auto"/>
        <w:ind w:left="720" w:hanging="720"/>
        <w:jc w:val="both"/>
        <w:rPr>
          <w:rtl/>
        </w:rPr>
      </w:pPr>
      <w:r>
        <w:rPr>
          <w:rFonts w:hint="cs"/>
          <w:rtl/>
        </w:rPr>
        <w:t>6.</w:t>
      </w:r>
      <w:r>
        <w:rPr>
          <w:rFonts w:hint="cs"/>
          <w:rtl/>
        </w:rPr>
        <w:tab/>
        <w:t>על כן מצאתי כאמור לאמץ את הסדר הטיעון המוסכם ולקבוע שהוא אינו חורג מרמת הענישה הראויה והמקובלת חרף הערכתי שההסדר מקל במידה מסויימת עם הנאשם בהתחשב בחומרת העבירות ובהיקפן, אך ההקלה אינה כזו המצדיקה את התערבות בית המשפט, בשים לב לנימוקים שפורטו בפני בית המשפט בשלב הטיעונים לעונש.</w:t>
      </w:r>
    </w:p>
    <w:p w14:paraId="7473DFF0" w14:textId="77777777" w:rsidR="00B02C90" w:rsidRDefault="00B02C90">
      <w:pPr>
        <w:spacing w:line="360" w:lineRule="auto"/>
        <w:ind w:left="720" w:hanging="720"/>
        <w:jc w:val="both"/>
        <w:rPr>
          <w:rtl/>
        </w:rPr>
      </w:pPr>
    </w:p>
    <w:p w14:paraId="1C62ED6E" w14:textId="77777777" w:rsidR="00B02C90" w:rsidRDefault="00104373">
      <w:pPr>
        <w:spacing w:line="360" w:lineRule="auto"/>
        <w:ind w:left="720" w:hanging="720"/>
        <w:jc w:val="both"/>
        <w:rPr>
          <w:rtl/>
        </w:rPr>
      </w:pPr>
      <w:r>
        <w:rPr>
          <w:rFonts w:hint="cs"/>
          <w:rtl/>
        </w:rPr>
        <w:tab/>
        <w:t>מחד, מדובר בעבירות חמורות ביותר שפגיעתן באינטרס הציבורי המוגן היא עצומה ומתמשכת, מעשי הנאשם גרמו נזקים כספיים עצומים לקופה הציבורית. מדובר במי שהתנהלותו היוותה גורם מפתח למעורבותם של רבים אחרים בתעשייה של הברחת זהב שחור משטחי הרשות הפלשתינית לישראל במטרה להתחמק מתשלומי מס מתחייבים, תוך קשירת קשר לתוכנית עבריינית ליתן כסות חשבונאית פיקטיבית שמציגה מצג כוזב כאמור כאילו מדובר בהתנהלות לגיטימית של מסחר בין שני צדדים כשרים.</w:t>
      </w:r>
    </w:p>
    <w:p w14:paraId="1A3B64C3" w14:textId="77777777" w:rsidR="00B02C90" w:rsidRDefault="00B02C90">
      <w:pPr>
        <w:spacing w:line="360" w:lineRule="auto"/>
        <w:ind w:left="720" w:hanging="720"/>
        <w:jc w:val="both"/>
        <w:rPr>
          <w:rtl/>
        </w:rPr>
      </w:pPr>
    </w:p>
    <w:p w14:paraId="73955179" w14:textId="77777777" w:rsidR="00B02C90" w:rsidRDefault="00104373">
      <w:pPr>
        <w:spacing w:line="360" w:lineRule="auto"/>
        <w:ind w:left="720" w:hanging="720"/>
        <w:jc w:val="both"/>
        <w:rPr>
          <w:rtl/>
        </w:rPr>
      </w:pPr>
      <w:r>
        <w:rPr>
          <w:rFonts w:hint="cs"/>
          <w:rtl/>
        </w:rPr>
        <w:tab/>
        <w:t>מקרים שכאלה לא רק שגורמים לפגיעה חמורה מאוד בקופה הציבורית, אלא הם מסייעים לתעשייה עבריינית שלמה של הלבנת הון, מסחר בחשבוניות פיקטיביות, הונאת רשויות המדינה ובעיקר רשויות המס; היא גם מסייעת בידי גורמים עבריינים להלבין את כספם, ומן הדין במקרים כאלה להטיל על הנאשם המעורבים בתעשייה זו ענישה שהולמת את חומרת מעשיהם - ענישה מכבידה מאוד, עם מסר הרתעתי ברור וחד, לא רק עונשי מאסר בפועל אלא גם קנסות כספיים וחילוט בשיעור משמעותי כדי להפוך את כל התעשייה הזו לבלתי כדאית מבחינה כלכלית.</w:t>
      </w:r>
    </w:p>
    <w:p w14:paraId="4263777B" w14:textId="77777777" w:rsidR="00B02C90" w:rsidRDefault="00B02C90">
      <w:pPr>
        <w:spacing w:line="360" w:lineRule="auto"/>
        <w:ind w:left="720" w:hanging="720"/>
        <w:jc w:val="both"/>
        <w:rPr>
          <w:rtl/>
        </w:rPr>
      </w:pPr>
    </w:p>
    <w:p w14:paraId="7CEB9281" w14:textId="77777777" w:rsidR="00B02C90" w:rsidRDefault="00104373">
      <w:pPr>
        <w:spacing w:line="360" w:lineRule="auto"/>
        <w:ind w:left="720" w:hanging="720"/>
        <w:jc w:val="both"/>
        <w:rPr>
          <w:rtl/>
        </w:rPr>
      </w:pPr>
      <w:r>
        <w:rPr>
          <w:rFonts w:hint="cs"/>
          <w:rtl/>
        </w:rPr>
        <w:tab/>
        <w:t>לצד שיקולים מחמירים אלה אינני יכול להתעלם מהנסיבות המקלות במקרה זה, בראש ובראשונה הודאתו של הנאשם שמשמעה לא רק חסכון בזמן שיפוטי (ספק אם במקרה זה מדובר בגורם בעל שמשמעות שהרי בית המשפט הספיק כבר לשמוע את מרבית הראיות במסגרת טענת הזוטא) אלא שהודאה זו מגלמת בחובה גם חרטה ונטילת אחריות על ידי הנאשם כמו גם הפנמה של הפסול בהתנהגותו.</w:t>
      </w:r>
    </w:p>
    <w:p w14:paraId="7460637C" w14:textId="77777777" w:rsidR="00B02C90" w:rsidRDefault="00B02C90">
      <w:pPr>
        <w:spacing w:line="360" w:lineRule="auto"/>
        <w:ind w:left="720" w:hanging="720"/>
        <w:jc w:val="both"/>
        <w:rPr>
          <w:rtl/>
        </w:rPr>
      </w:pPr>
    </w:p>
    <w:p w14:paraId="30D5795E" w14:textId="77777777" w:rsidR="00B02C90" w:rsidRDefault="00104373">
      <w:pPr>
        <w:spacing w:line="360" w:lineRule="auto"/>
        <w:ind w:left="720" w:hanging="720"/>
        <w:jc w:val="both"/>
        <w:rPr>
          <w:rtl/>
        </w:rPr>
      </w:pPr>
      <w:r>
        <w:rPr>
          <w:rFonts w:hint="cs"/>
          <w:rtl/>
        </w:rPr>
        <w:tab/>
        <w:t>מדובר בנאשם לא צעיר בימים שמצבו הבריאותי אינו מהמשופרים, בלשון המעטה, אב ל-10 ילדים וסב לנכדים רבים, נאשם שאין לחובתו כל הרשעות קודמות ובמסגרת ההסדר אמור לרצות עונש מאסר לתקופה לא קצרה, לשלם קנס כספי לא מבוטל ולהסכים לחילוט בשווי של מיליוני שקלים.</w:t>
      </w:r>
    </w:p>
    <w:p w14:paraId="089DE597" w14:textId="77777777" w:rsidR="00B02C90" w:rsidRDefault="00B02C90">
      <w:pPr>
        <w:spacing w:line="360" w:lineRule="auto"/>
        <w:ind w:left="720" w:hanging="720"/>
        <w:jc w:val="both"/>
        <w:rPr>
          <w:rtl/>
        </w:rPr>
      </w:pPr>
    </w:p>
    <w:p w14:paraId="2C7D8E8D" w14:textId="77777777" w:rsidR="00B02C90" w:rsidRDefault="00104373">
      <w:pPr>
        <w:spacing w:line="360" w:lineRule="auto"/>
        <w:ind w:left="720" w:hanging="720"/>
        <w:jc w:val="both"/>
        <w:rPr>
          <w:rtl/>
        </w:rPr>
      </w:pPr>
      <w:r>
        <w:rPr>
          <w:rFonts w:hint="cs"/>
          <w:rtl/>
        </w:rPr>
        <w:tab/>
        <w:t>התחשבתי לא מעט בטיעון של התביעה שהודאת הנאשם ביחידה החוקרת, בשלב החקירה, סייע לידי המאשימה לגבש תשתית ראייתית מוצקה למעורבותם של אחרים.</w:t>
      </w:r>
    </w:p>
    <w:p w14:paraId="67D26FA4" w14:textId="77777777" w:rsidR="00B02C90" w:rsidRDefault="00B02C90">
      <w:pPr>
        <w:spacing w:line="360" w:lineRule="auto"/>
        <w:ind w:left="720" w:hanging="720"/>
        <w:jc w:val="both"/>
        <w:rPr>
          <w:rtl/>
        </w:rPr>
      </w:pPr>
    </w:p>
    <w:p w14:paraId="0F11DE2B" w14:textId="77777777" w:rsidR="00B02C90" w:rsidRDefault="00104373">
      <w:pPr>
        <w:spacing w:line="360" w:lineRule="auto"/>
        <w:ind w:left="720" w:hanging="720"/>
        <w:jc w:val="both"/>
        <w:rPr>
          <w:rtl/>
        </w:rPr>
      </w:pPr>
      <w:r>
        <w:rPr>
          <w:rFonts w:hint="cs"/>
          <w:rtl/>
        </w:rPr>
        <w:tab/>
        <w:t xml:space="preserve">כמו כן אני נותן משקל לא מבוטל לעובדה שהנאשם אמור להעיד במשפטם של המעורבים האחרים. </w:t>
      </w:r>
    </w:p>
    <w:p w14:paraId="3B84C733" w14:textId="77777777" w:rsidR="00B02C90" w:rsidRDefault="00B02C90">
      <w:pPr>
        <w:spacing w:line="360" w:lineRule="auto"/>
        <w:ind w:left="720" w:hanging="720"/>
        <w:jc w:val="both"/>
        <w:rPr>
          <w:rtl/>
        </w:rPr>
      </w:pPr>
    </w:p>
    <w:p w14:paraId="6FDAD67A" w14:textId="77777777" w:rsidR="00B02C90" w:rsidRDefault="00104373">
      <w:pPr>
        <w:spacing w:line="360" w:lineRule="auto"/>
        <w:ind w:left="720" w:hanging="720"/>
        <w:jc w:val="both"/>
        <w:rPr>
          <w:rtl/>
        </w:rPr>
      </w:pPr>
      <w:r>
        <w:rPr>
          <w:rFonts w:hint="cs"/>
          <w:rtl/>
        </w:rPr>
        <w:tab/>
        <w:t>כן נתתי את דעתי לעובדה שסכום החילוט הכולל מגיע לכדי 6 מיליון ש"ח לערך, כך לפי טיעונה של באת כוח המאשימה, כאשר לסכום זה מצטרף סכום הקנס שגם הוא לא מבוטל.</w:t>
      </w:r>
    </w:p>
    <w:p w14:paraId="3962F630" w14:textId="77777777" w:rsidR="00B02C90" w:rsidRDefault="00104373">
      <w:pPr>
        <w:spacing w:line="360" w:lineRule="auto"/>
        <w:ind w:left="720" w:hanging="720"/>
        <w:jc w:val="both"/>
        <w:rPr>
          <w:rtl/>
        </w:rPr>
      </w:pPr>
      <w:r>
        <w:rPr>
          <w:rFonts w:hint="cs"/>
          <w:rtl/>
        </w:rPr>
        <w:tab/>
      </w:r>
    </w:p>
    <w:p w14:paraId="248B709F" w14:textId="77777777" w:rsidR="00B02C90" w:rsidRDefault="00104373">
      <w:pPr>
        <w:spacing w:line="360" w:lineRule="auto"/>
        <w:ind w:left="720" w:hanging="720"/>
        <w:jc w:val="both"/>
        <w:rPr>
          <w:rtl/>
        </w:rPr>
      </w:pPr>
      <w:r>
        <w:rPr>
          <w:rFonts w:hint="cs"/>
          <w:rtl/>
        </w:rPr>
        <w:t>7.</w:t>
      </w:r>
      <w:r>
        <w:rPr>
          <w:rFonts w:hint="cs"/>
          <w:rtl/>
        </w:rPr>
        <w:tab/>
        <w:t>בהתחשב בכל האמור לעיל, מצאתי כאמור לכבד את הסדר הטיעון ולהטיל על הנאשם את העונשים הבאים:</w:t>
      </w:r>
    </w:p>
    <w:p w14:paraId="146C4DCB" w14:textId="77777777" w:rsidR="00B02C90" w:rsidRDefault="00B02C90">
      <w:pPr>
        <w:spacing w:line="360" w:lineRule="auto"/>
        <w:ind w:left="720" w:hanging="720"/>
        <w:jc w:val="both"/>
        <w:rPr>
          <w:rtl/>
        </w:rPr>
      </w:pPr>
    </w:p>
    <w:p w14:paraId="19F129E8" w14:textId="77777777" w:rsidR="00B02C90" w:rsidRDefault="00104373">
      <w:pPr>
        <w:spacing w:line="360" w:lineRule="auto"/>
        <w:ind w:left="1440" w:hanging="720"/>
        <w:jc w:val="both"/>
        <w:rPr>
          <w:rtl/>
        </w:rPr>
      </w:pPr>
      <w:r>
        <w:rPr>
          <w:rFonts w:hint="cs"/>
          <w:rtl/>
        </w:rPr>
        <w:t>א.</w:t>
      </w:r>
      <w:r>
        <w:rPr>
          <w:rFonts w:hint="cs"/>
          <w:rtl/>
        </w:rPr>
        <w:tab/>
        <w:t>מאסר בפועל לתקופה של 72 חודשים בניכוי ימי מעצרו בתיק זה החל מיום 16.6.2013.</w:t>
      </w:r>
    </w:p>
    <w:p w14:paraId="53E175DB" w14:textId="77777777" w:rsidR="00B02C90" w:rsidRDefault="00104373">
      <w:pPr>
        <w:spacing w:line="360" w:lineRule="auto"/>
        <w:ind w:left="1440" w:hanging="720"/>
        <w:jc w:val="both"/>
        <w:rPr>
          <w:rtl/>
        </w:rPr>
      </w:pPr>
      <w:r>
        <w:rPr>
          <w:rFonts w:hint="cs"/>
          <w:rtl/>
        </w:rPr>
        <w:t>ב.</w:t>
      </w:r>
      <w:r>
        <w:rPr>
          <w:rFonts w:hint="cs"/>
          <w:rtl/>
        </w:rPr>
        <w:tab/>
        <w:t xml:space="preserve">18 חודשי מאסר אך הנאשם לא יישא בעונש זה אלא אם יעבור תוך שלוש שנים מיום שחרורו ממאסר על אחת העבירות בהן הורשע או על כל עבירה אחרת על </w:t>
      </w:r>
      <w:hyperlink r:id="rId31" w:history="1">
        <w:r w:rsidR="002E7670" w:rsidRPr="002E7670">
          <w:rPr>
            <w:rStyle w:val="Hyperlink"/>
            <w:rtl/>
          </w:rPr>
          <w:t>חוק איסור הלבנת הון</w:t>
        </w:r>
      </w:hyperlink>
      <w:r>
        <w:rPr>
          <w:rFonts w:hint="cs"/>
          <w:rtl/>
        </w:rPr>
        <w:t>.</w:t>
      </w:r>
    </w:p>
    <w:p w14:paraId="0B7344D4" w14:textId="77777777" w:rsidR="00B02C90" w:rsidRDefault="00104373">
      <w:pPr>
        <w:spacing w:line="360" w:lineRule="auto"/>
        <w:ind w:left="1440" w:hanging="720"/>
        <w:jc w:val="both"/>
        <w:rPr>
          <w:rtl/>
        </w:rPr>
      </w:pPr>
      <w:r>
        <w:rPr>
          <w:rFonts w:hint="cs"/>
          <w:rtl/>
        </w:rPr>
        <w:t>ג.</w:t>
      </w:r>
      <w:r>
        <w:rPr>
          <w:rFonts w:hint="cs"/>
          <w:rtl/>
        </w:rPr>
        <w:tab/>
        <w:t>קנס כספי בסך של 850,000 ש"ח אשר ישולם ב-60 תשלומים שווים, עוקבים ורצופים בסך של 14,000 ש"ח, שישולמו בכל 15 לחודש החל מיום 15.3.2014 ועוד תשלום אחד בסך של 10,000 ש"ח עוקב לתשלום ה-60.</w:t>
      </w:r>
    </w:p>
    <w:p w14:paraId="60242C91" w14:textId="77777777" w:rsidR="00B02C90" w:rsidRDefault="00104373">
      <w:pPr>
        <w:spacing w:line="360" w:lineRule="auto"/>
        <w:ind w:left="1440" w:hanging="720"/>
        <w:jc w:val="both"/>
        <w:rPr>
          <w:rtl/>
        </w:rPr>
      </w:pPr>
      <w:r>
        <w:rPr>
          <w:rFonts w:hint="cs"/>
          <w:rtl/>
        </w:rPr>
        <w:tab/>
        <w:t>אם לא ישולם הקנס, יאסר הנאשם לתקופה של  24 חודשים.</w:t>
      </w:r>
    </w:p>
    <w:p w14:paraId="66CE8F50" w14:textId="77777777" w:rsidR="00B02C90" w:rsidRDefault="00104373">
      <w:pPr>
        <w:spacing w:line="360" w:lineRule="auto"/>
        <w:ind w:left="1440" w:hanging="720"/>
        <w:jc w:val="both"/>
        <w:rPr>
          <w:rtl/>
        </w:rPr>
      </w:pPr>
      <w:r>
        <w:rPr>
          <w:rFonts w:hint="cs"/>
          <w:rtl/>
        </w:rPr>
        <w:t>ד.</w:t>
      </w:r>
      <w:r>
        <w:rPr>
          <w:rFonts w:hint="cs"/>
          <w:rtl/>
        </w:rPr>
        <w:tab/>
        <w:t xml:space="preserve">בהתאם </w:t>
      </w:r>
      <w:hyperlink r:id="rId32" w:history="1">
        <w:r w:rsidR="00B25ED9" w:rsidRPr="00B25ED9">
          <w:rPr>
            <w:color w:val="0000FF"/>
            <w:u w:val="single"/>
            <w:rtl/>
          </w:rPr>
          <w:t>לסעיף 23</w:t>
        </w:r>
      </w:hyperlink>
      <w:r>
        <w:rPr>
          <w:rFonts w:hint="cs"/>
          <w:rtl/>
        </w:rPr>
        <w:t xml:space="preserve"> ל</w:t>
      </w:r>
      <w:hyperlink r:id="rId33" w:history="1">
        <w:r w:rsidR="002E7670" w:rsidRPr="002E7670">
          <w:rPr>
            <w:rStyle w:val="Hyperlink"/>
            <w:rtl/>
          </w:rPr>
          <w:t>חוק איסור הלבנת הון</w:t>
        </w:r>
      </w:hyperlink>
      <w:r>
        <w:rPr>
          <w:rFonts w:hint="cs"/>
          <w:rtl/>
        </w:rPr>
        <w:t xml:space="preserve"> ביחד עם </w:t>
      </w:r>
      <w:hyperlink r:id="rId34" w:history="1">
        <w:r w:rsidR="00B25ED9" w:rsidRPr="00B25ED9">
          <w:rPr>
            <w:color w:val="0000FF"/>
            <w:u w:val="single"/>
            <w:rtl/>
          </w:rPr>
          <w:t>סעיף 36ח</w:t>
        </w:r>
      </w:hyperlink>
      <w:r>
        <w:rPr>
          <w:rFonts w:hint="cs"/>
          <w:rtl/>
        </w:rPr>
        <w:t xml:space="preserve"> ל</w:t>
      </w:r>
      <w:hyperlink r:id="rId35" w:history="1">
        <w:r w:rsidR="002E7670" w:rsidRPr="002E7670">
          <w:rPr>
            <w:rStyle w:val="Hyperlink"/>
            <w:rtl/>
          </w:rPr>
          <w:t>פקודת הסמים המסוכנים</w:t>
        </w:r>
      </w:hyperlink>
      <w:r>
        <w:rPr>
          <w:rFonts w:hint="cs"/>
          <w:rtl/>
        </w:rPr>
        <w:t xml:space="preserve">, אני מורה על חילוט הרכוש כמפורט בנספח להסדר הטיעון שסומן על ידי </w:t>
      </w:r>
      <w:r>
        <w:rPr>
          <w:rFonts w:hint="cs"/>
          <w:b/>
          <w:bCs/>
          <w:rtl/>
        </w:rPr>
        <w:t>במ/2</w:t>
      </w:r>
      <w:r>
        <w:rPr>
          <w:rFonts w:hint="cs"/>
          <w:rtl/>
        </w:rPr>
        <w:t xml:space="preserve"> כמפורט להלן:</w:t>
      </w:r>
    </w:p>
    <w:p w14:paraId="1D5CEBB2" w14:textId="77777777" w:rsidR="00B02C90" w:rsidRDefault="00104373">
      <w:pPr>
        <w:spacing w:line="360" w:lineRule="auto"/>
        <w:ind w:left="2160" w:hanging="615"/>
        <w:jc w:val="both"/>
        <w:rPr>
          <w:rtl/>
        </w:rPr>
      </w:pPr>
      <w:r>
        <w:rPr>
          <w:rFonts w:hint="cs"/>
          <w:rtl/>
        </w:rPr>
        <w:t>1.</w:t>
      </w:r>
      <w:r>
        <w:rPr>
          <w:rFonts w:hint="cs"/>
          <w:rtl/>
        </w:rPr>
        <w:tab/>
        <w:t>חילוט כספים של 337,000 דולר, סכום שנתפס בכספת בבית בנו של הנאשם, משה כוכב.</w:t>
      </w:r>
    </w:p>
    <w:p w14:paraId="10CADA44" w14:textId="77777777" w:rsidR="00B02C90" w:rsidRDefault="00104373">
      <w:pPr>
        <w:spacing w:line="360" w:lineRule="auto"/>
        <w:ind w:left="2160" w:hanging="615"/>
        <w:jc w:val="both"/>
        <w:rPr>
          <w:rtl/>
        </w:rPr>
      </w:pPr>
      <w:r>
        <w:rPr>
          <w:rFonts w:hint="cs"/>
          <w:rtl/>
        </w:rPr>
        <w:t>2.</w:t>
      </w:r>
      <w:r>
        <w:rPr>
          <w:rFonts w:hint="cs"/>
          <w:rtl/>
        </w:rPr>
        <w:tab/>
        <w:t>חילוט סכום כסף של 2,678,600 ש"ח שנתפס בכספת בבית בנו של הנאשם, משה כוכב.</w:t>
      </w:r>
    </w:p>
    <w:p w14:paraId="51242AEF" w14:textId="77777777" w:rsidR="00B02C90" w:rsidRDefault="00104373">
      <w:pPr>
        <w:spacing w:line="360" w:lineRule="auto"/>
        <w:ind w:left="2160" w:hanging="615"/>
        <w:jc w:val="both"/>
        <w:rPr>
          <w:rtl/>
        </w:rPr>
      </w:pPr>
      <w:r>
        <w:rPr>
          <w:rFonts w:hint="cs"/>
          <w:rtl/>
        </w:rPr>
        <w:t>3.</w:t>
      </w:r>
      <w:r>
        <w:rPr>
          <w:rFonts w:hint="cs"/>
          <w:rtl/>
        </w:rPr>
        <w:tab/>
        <w:t>חילוט זהב גולמי במשקל של 14.411 ק"ג.</w:t>
      </w:r>
    </w:p>
    <w:p w14:paraId="738FF08F" w14:textId="77777777" w:rsidR="00B02C90" w:rsidRDefault="00104373">
      <w:pPr>
        <w:spacing w:line="360" w:lineRule="auto"/>
        <w:ind w:left="2160" w:hanging="615"/>
        <w:jc w:val="both"/>
        <w:rPr>
          <w:rtl/>
        </w:rPr>
      </w:pPr>
      <w:r>
        <w:rPr>
          <w:rFonts w:hint="cs"/>
          <w:rtl/>
        </w:rPr>
        <w:t>4.</w:t>
      </w:r>
      <w:r>
        <w:rPr>
          <w:rFonts w:hint="cs"/>
          <w:rtl/>
        </w:rPr>
        <w:tab/>
        <w:t>חילוט כסף גולמי (סילבר) במשקל של 150 ק"ג.</w:t>
      </w:r>
    </w:p>
    <w:p w14:paraId="740C80B4" w14:textId="77777777" w:rsidR="00B02C90" w:rsidRDefault="00104373">
      <w:pPr>
        <w:spacing w:line="360" w:lineRule="auto"/>
        <w:ind w:left="2160" w:hanging="615"/>
        <w:jc w:val="both"/>
        <w:rPr>
          <w:rtl/>
        </w:rPr>
      </w:pPr>
      <w:r>
        <w:rPr>
          <w:rFonts w:hint="cs"/>
          <w:rtl/>
        </w:rPr>
        <w:t>5.</w:t>
      </w:r>
      <w:r>
        <w:rPr>
          <w:rFonts w:hint="cs"/>
          <w:rtl/>
        </w:rPr>
        <w:tab/>
        <w:t>חילוט כסף וזהב בתפזורת במשקל של 725 גר'.</w:t>
      </w:r>
    </w:p>
    <w:p w14:paraId="1EB262D1" w14:textId="77777777" w:rsidR="00B02C90" w:rsidRDefault="00104373">
      <w:pPr>
        <w:spacing w:line="360" w:lineRule="auto"/>
        <w:ind w:left="2160" w:hanging="615"/>
        <w:jc w:val="both"/>
        <w:rPr>
          <w:rtl/>
        </w:rPr>
      </w:pPr>
      <w:r>
        <w:rPr>
          <w:rFonts w:hint="cs"/>
          <w:rtl/>
        </w:rPr>
        <w:t>6.</w:t>
      </w:r>
      <w:r>
        <w:rPr>
          <w:rFonts w:hint="cs"/>
          <w:rtl/>
        </w:rPr>
        <w:tab/>
        <w:t>חילוט שיקים מעותדים כמפורט בנספח.</w:t>
      </w:r>
    </w:p>
    <w:p w14:paraId="3C85B548" w14:textId="77777777" w:rsidR="00B02C90" w:rsidRDefault="00B02C90">
      <w:pPr>
        <w:spacing w:line="360" w:lineRule="auto"/>
        <w:ind w:left="720"/>
        <w:jc w:val="both"/>
        <w:rPr>
          <w:rtl/>
        </w:rPr>
      </w:pPr>
    </w:p>
    <w:p w14:paraId="70885E53" w14:textId="77777777" w:rsidR="00B02C90" w:rsidRDefault="00104373">
      <w:pPr>
        <w:spacing w:line="360" w:lineRule="auto"/>
        <w:ind w:left="720"/>
        <w:jc w:val="both"/>
        <w:rPr>
          <w:rtl/>
        </w:rPr>
      </w:pPr>
      <w:r>
        <w:rPr>
          <w:rFonts w:hint="cs"/>
          <w:rtl/>
        </w:rPr>
        <w:t xml:space="preserve">אני מוצא להבהיר שבהתאם למוסכם בין הצדדים, יתרת הרכוש המפורט בנספח שסומן על ידי </w:t>
      </w:r>
      <w:r>
        <w:rPr>
          <w:rFonts w:hint="cs"/>
          <w:b/>
          <w:bCs/>
          <w:rtl/>
        </w:rPr>
        <w:t>במ/1</w:t>
      </w:r>
      <w:r>
        <w:rPr>
          <w:rFonts w:hint="cs"/>
          <w:rtl/>
        </w:rPr>
        <w:t xml:space="preserve"> ואינו נכלל בהסכמה לחילוט, ישוחרר לידי הנאשם או מי מטעמו עם הפיכתו של גזר דין לחלוט.</w:t>
      </w:r>
    </w:p>
    <w:p w14:paraId="3A9787D2" w14:textId="77777777" w:rsidR="00B02C90" w:rsidRDefault="00B02C90">
      <w:pPr>
        <w:spacing w:line="360" w:lineRule="auto"/>
        <w:ind w:left="720"/>
        <w:rPr>
          <w:rtl/>
        </w:rPr>
      </w:pPr>
    </w:p>
    <w:p w14:paraId="62424BE5" w14:textId="77777777" w:rsidR="00B02C90" w:rsidRDefault="00104373">
      <w:pPr>
        <w:spacing w:line="360" w:lineRule="auto"/>
        <w:ind w:left="720"/>
        <w:rPr>
          <w:rtl/>
        </w:rPr>
      </w:pPr>
      <w:r>
        <w:rPr>
          <w:rFonts w:hint="cs"/>
          <w:rtl/>
        </w:rPr>
        <w:t>זכות ערעור בתוך 45 ימים.</w:t>
      </w:r>
    </w:p>
    <w:p w14:paraId="24666A68" w14:textId="77777777" w:rsidR="00B02C90" w:rsidRDefault="00B02C90">
      <w:pPr>
        <w:spacing w:line="360" w:lineRule="auto"/>
        <w:jc w:val="both"/>
        <w:rPr>
          <w:rFonts w:ascii="Arial" w:hAnsi="Arial"/>
          <w:rtl/>
        </w:rPr>
      </w:pPr>
    </w:p>
    <w:p w14:paraId="080CE5EF" w14:textId="77777777" w:rsidR="00B02C90" w:rsidRDefault="00104373">
      <w:pPr>
        <w:spacing w:line="360" w:lineRule="auto"/>
        <w:ind w:firstLine="720"/>
        <w:jc w:val="both"/>
        <w:rPr>
          <w:rFonts w:ascii="Arial" w:hAnsi="Arial"/>
          <w:rtl/>
        </w:rPr>
      </w:pPr>
      <w:r>
        <w:rPr>
          <w:rFonts w:ascii="Arial" w:hAnsi="Arial"/>
          <w:rtl/>
        </w:rPr>
        <w:t xml:space="preserve">ניתן היום,  י"ב טבת תשע"ד, 15 דצמבר 2013, במעמד הצדדים. </w:t>
      </w:r>
    </w:p>
    <w:p w14:paraId="71DDC69B" w14:textId="77777777" w:rsidR="00B02C90" w:rsidRDefault="00B02C90">
      <w:pPr>
        <w:spacing w:line="360" w:lineRule="auto"/>
        <w:rPr>
          <w:rtl/>
        </w:rPr>
      </w:pPr>
    </w:p>
    <w:tbl>
      <w:tblPr>
        <w:tblpPr w:leftFromText="180" w:rightFromText="180" w:vertAnchor="text" w:horzAnchor="page" w:tblpX="2113" w:tblpY="57"/>
        <w:bidiVisual/>
        <w:tblW w:w="0" w:type="auto"/>
        <w:tblLook w:val="01E0" w:firstRow="1" w:lastRow="1" w:firstColumn="1" w:lastColumn="1" w:noHBand="0" w:noVBand="0"/>
      </w:tblPr>
      <w:tblGrid>
        <w:gridCol w:w="2301"/>
      </w:tblGrid>
      <w:tr w:rsidR="00B02C90" w14:paraId="32BE4C26" w14:textId="77777777">
        <w:tc>
          <w:tcPr>
            <w:tcW w:w="2301" w:type="dxa"/>
            <w:tcBorders>
              <w:top w:val="nil"/>
              <w:left w:val="nil"/>
              <w:bottom w:val="single" w:sz="4" w:space="0" w:color="auto"/>
              <w:right w:val="nil"/>
            </w:tcBorders>
            <w:vAlign w:val="center"/>
          </w:tcPr>
          <w:p w14:paraId="64191EC5" w14:textId="77777777" w:rsidR="00B02C90" w:rsidRDefault="00B02C90">
            <w:pPr>
              <w:jc w:val="center"/>
              <w:rPr>
                <w:rFonts w:ascii="Courier New" w:hAnsi="Courier New"/>
                <w:b/>
                <w:bCs/>
                <w:sz w:val="20"/>
                <w:szCs w:val="20"/>
              </w:rPr>
            </w:pPr>
          </w:p>
        </w:tc>
      </w:tr>
      <w:tr w:rsidR="00B02C90" w14:paraId="3BD00DB1" w14:textId="77777777">
        <w:tc>
          <w:tcPr>
            <w:tcW w:w="2301" w:type="dxa"/>
            <w:tcBorders>
              <w:top w:val="single" w:sz="4" w:space="0" w:color="auto"/>
              <w:left w:val="nil"/>
              <w:bottom w:val="nil"/>
              <w:right w:val="nil"/>
            </w:tcBorders>
          </w:tcPr>
          <w:p w14:paraId="497C2CD0" w14:textId="77777777" w:rsidR="00B02C90" w:rsidRDefault="00104373">
            <w:pPr>
              <w:jc w:val="center"/>
              <w:rPr>
                <w:rFonts w:ascii="Courier New" w:hAnsi="Courier New"/>
                <w:b/>
                <w:bCs/>
              </w:rPr>
            </w:pPr>
            <w:r>
              <w:rPr>
                <w:rFonts w:ascii="Courier New" w:hAnsi="Courier New" w:hint="cs"/>
                <w:b/>
                <w:bCs/>
                <w:rtl/>
              </w:rPr>
              <w:t>חאלד כבוב, שופט</w:t>
            </w:r>
          </w:p>
        </w:tc>
      </w:tr>
    </w:tbl>
    <w:p w14:paraId="37AA08E2" w14:textId="77777777" w:rsidR="00B02C90" w:rsidRPr="00104373" w:rsidRDefault="00104373">
      <w:pPr>
        <w:spacing w:line="360" w:lineRule="auto"/>
        <w:jc w:val="center"/>
        <w:rPr>
          <w:color w:val="FFFFFF"/>
          <w:sz w:val="2"/>
          <w:szCs w:val="2"/>
        </w:rPr>
      </w:pPr>
      <w:r w:rsidRPr="00104373">
        <w:rPr>
          <w:color w:val="FFFFFF"/>
          <w:sz w:val="2"/>
          <w:szCs w:val="2"/>
          <w:rtl/>
        </w:rPr>
        <w:t>5129371</w:t>
      </w:r>
      <w:r w:rsidRPr="00104373">
        <w:rPr>
          <w:rFonts w:hint="cs"/>
          <w:color w:val="FFFFFF"/>
          <w:sz w:val="2"/>
          <w:szCs w:val="2"/>
          <w:rtl/>
        </w:rPr>
        <w:t xml:space="preserve">   </w:t>
      </w:r>
      <w:r w:rsidRPr="00104373">
        <w:rPr>
          <w:rFonts w:hint="cs"/>
          <w:color w:val="FFFFFF"/>
          <w:sz w:val="2"/>
          <w:szCs w:val="2"/>
          <w:rtl/>
        </w:rPr>
        <w:tab/>
      </w:r>
      <w:r w:rsidRPr="00104373">
        <w:rPr>
          <w:rFonts w:hint="cs"/>
          <w:color w:val="FFFFFF"/>
          <w:sz w:val="2"/>
          <w:szCs w:val="2"/>
          <w:rtl/>
        </w:rPr>
        <w:tab/>
      </w:r>
      <w:r w:rsidRPr="00104373">
        <w:rPr>
          <w:rFonts w:hint="cs"/>
          <w:color w:val="FFFFFF"/>
          <w:sz w:val="2"/>
          <w:szCs w:val="2"/>
          <w:rtl/>
        </w:rPr>
        <w:tab/>
      </w:r>
      <w:r w:rsidRPr="00104373">
        <w:rPr>
          <w:rFonts w:hint="cs"/>
          <w:color w:val="FFFFFF"/>
          <w:sz w:val="2"/>
          <w:szCs w:val="2"/>
          <w:rtl/>
        </w:rPr>
        <w:tab/>
      </w:r>
      <w:r w:rsidRPr="00104373">
        <w:rPr>
          <w:rFonts w:hint="cs"/>
          <w:color w:val="FFFFFF"/>
          <w:sz w:val="2"/>
          <w:szCs w:val="2"/>
          <w:rtl/>
        </w:rPr>
        <w:tab/>
      </w:r>
    </w:p>
    <w:p w14:paraId="112387D1" w14:textId="77777777" w:rsidR="00B02C90" w:rsidRPr="00104373" w:rsidRDefault="00104373">
      <w:pPr>
        <w:spacing w:line="360" w:lineRule="auto"/>
        <w:jc w:val="center"/>
        <w:rPr>
          <w:rFonts w:ascii="Arial" w:hAnsi="Arial"/>
          <w:color w:val="FFFFFF"/>
          <w:sz w:val="2"/>
          <w:szCs w:val="2"/>
          <w:rtl/>
        </w:rPr>
      </w:pPr>
      <w:r w:rsidRPr="00104373">
        <w:rPr>
          <w:rFonts w:ascii="Arial" w:hAnsi="Arial"/>
          <w:color w:val="FFFFFF"/>
          <w:sz w:val="2"/>
          <w:szCs w:val="2"/>
          <w:rtl/>
        </w:rPr>
        <w:t>54678313</w:t>
      </w:r>
    </w:p>
    <w:p w14:paraId="1B1E1BDE" w14:textId="77777777" w:rsidR="00B02C90" w:rsidRDefault="00B02C90">
      <w:pPr>
        <w:rPr>
          <w:rtl/>
        </w:rPr>
      </w:pPr>
    </w:p>
    <w:p w14:paraId="6D1FDD4D" w14:textId="77777777" w:rsidR="00B02C90" w:rsidRDefault="00B02C90"/>
    <w:p w14:paraId="7A79C203" w14:textId="77777777" w:rsidR="00B02C90" w:rsidRDefault="00B02C90">
      <w:pPr>
        <w:spacing w:line="360" w:lineRule="auto"/>
        <w:rPr>
          <w:sz w:val="28"/>
          <w:szCs w:val="28"/>
          <w:rtl/>
        </w:rPr>
      </w:pPr>
    </w:p>
    <w:p w14:paraId="2C14F4C9" w14:textId="77777777" w:rsidR="00B02C90" w:rsidRDefault="00B02C90">
      <w:pPr>
        <w:pStyle w:val="a3"/>
        <w:spacing w:line="360" w:lineRule="auto"/>
        <w:jc w:val="center"/>
        <w:rPr>
          <w:sz w:val="28"/>
          <w:szCs w:val="28"/>
          <w:rtl/>
        </w:rPr>
      </w:pPr>
    </w:p>
    <w:p w14:paraId="3AFF9B10" w14:textId="77777777" w:rsidR="00104373" w:rsidRPr="00104373" w:rsidRDefault="00104373" w:rsidP="00104373">
      <w:pPr>
        <w:keepNext/>
        <w:rPr>
          <w:rFonts w:ascii="David" w:hAnsi="David"/>
          <w:color w:val="000000"/>
          <w:sz w:val="22"/>
          <w:szCs w:val="22"/>
          <w:rtl/>
        </w:rPr>
      </w:pPr>
    </w:p>
    <w:p w14:paraId="7AEC78B2" w14:textId="77777777" w:rsidR="00104373" w:rsidRPr="00104373" w:rsidRDefault="00104373" w:rsidP="00104373">
      <w:pPr>
        <w:keepNext/>
        <w:rPr>
          <w:rFonts w:ascii="David" w:hAnsi="David"/>
          <w:color w:val="000000"/>
          <w:sz w:val="22"/>
          <w:szCs w:val="22"/>
          <w:rtl/>
        </w:rPr>
      </w:pPr>
      <w:r w:rsidRPr="00104373">
        <w:rPr>
          <w:rFonts w:ascii="David" w:hAnsi="David"/>
          <w:color w:val="000000"/>
          <w:sz w:val="22"/>
          <w:szCs w:val="22"/>
          <w:rtl/>
        </w:rPr>
        <w:t>חאלד כבוב 54678313</w:t>
      </w:r>
    </w:p>
    <w:p w14:paraId="5CDF343B" w14:textId="77777777" w:rsidR="00104373" w:rsidRDefault="00104373" w:rsidP="00104373">
      <w:r w:rsidRPr="00104373">
        <w:rPr>
          <w:color w:val="000000"/>
          <w:rtl/>
        </w:rPr>
        <w:t>נוסח מסמך זה כפוף לשינויי ניסוח ועריכה</w:t>
      </w:r>
    </w:p>
    <w:p w14:paraId="79E3A71A" w14:textId="77777777" w:rsidR="00104373" w:rsidRDefault="00104373" w:rsidP="00104373">
      <w:pPr>
        <w:rPr>
          <w:rtl/>
        </w:rPr>
      </w:pPr>
    </w:p>
    <w:p w14:paraId="2D8E9153" w14:textId="77777777" w:rsidR="00104373" w:rsidRDefault="00104373" w:rsidP="00104373">
      <w:pPr>
        <w:jc w:val="center"/>
        <w:rPr>
          <w:color w:val="0000FF"/>
          <w:u w:val="single"/>
        </w:rPr>
      </w:pPr>
      <w:r w:rsidRPr="00FB39E6">
        <w:rPr>
          <w:color w:val="000000"/>
          <w:rtl/>
        </w:rPr>
        <w:t>בעניין עריכה ושינויים במסמכי פסיקה, חקיקה ועוד באתר נבו – הקש כאן</w:t>
      </w:r>
    </w:p>
    <w:p w14:paraId="5169E0D0" w14:textId="77777777" w:rsidR="00B02C90" w:rsidRPr="00104373" w:rsidRDefault="00B02C90" w:rsidP="00104373">
      <w:pPr>
        <w:jc w:val="center"/>
        <w:rPr>
          <w:color w:val="0000FF"/>
          <w:u w:val="single"/>
        </w:rPr>
      </w:pPr>
    </w:p>
    <w:sectPr w:rsidR="00B02C90" w:rsidRPr="00104373" w:rsidSect="00104373">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25955" w14:textId="77777777" w:rsidR="00A0439C" w:rsidRPr="00773F29" w:rsidRDefault="00A0439C">
      <w:pPr>
        <w:rPr>
          <w:rFonts w:ascii="Garamond" w:hAnsi="Garamond" w:cs="Arial"/>
          <w:sz w:val="20"/>
          <w:szCs w:val="20"/>
        </w:rPr>
      </w:pPr>
      <w:r>
        <w:separator/>
      </w:r>
    </w:p>
  </w:endnote>
  <w:endnote w:type="continuationSeparator" w:id="0">
    <w:p w14:paraId="7EF9B601" w14:textId="77777777" w:rsidR="00A0439C" w:rsidRPr="00773F29" w:rsidRDefault="00A0439C">
      <w:pPr>
        <w:rPr>
          <w:rFonts w:ascii="Garamond" w:hAnsi="Garamond" w:cs="Arial"/>
          <w:sz w:val="2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E623C" w14:textId="77777777" w:rsidR="003E231D" w:rsidRDefault="003E231D" w:rsidP="0010437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EBB6BF1" w14:textId="77777777" w:rsidR="003E231D" w:rsidRPr="00104373" w:rsidRDefault="003E231D" w:rsidP="00104373">
    <w:pPr>
      <w:pStyle w:val="a4"/>
      <w:pBdr>
        <w:top w:val="single" w:sz="4" w:space="1" w:color="auto"/>
        <w:between w:val="single" w:sz="4" w:space="0" w:color="auto"/>
      </w:pBdr>
      <w:spacing w:after="60"/>
      <w:jc w:val="center"/>
      <w:rPr>
        <w:rFonts w:ascii="FrankRuehl" w:hAnsi="FrankRuehl" w:cs="FrankRuehl"/>
        <w:color w:val="000000"/>
      </w:rPr>
    </w:pPr>
    <w:r w:rsidRPr="0010437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AD2A" w14:textId="77777777" w:rsidR="003E231D" w:rsidRDefault="003E231D" w:rsidP="0010437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2568">
      <w:rPr>
        <w:rFonts w:ascii="FrankRuehl" w:hAnsi="FrankRuehl" w:cs="FrankRuehl"/>
        <w:noProof/>
        <w:rtl/>
      </w:rPr>
      <w:t>1</w:t>
    </w:r>
    <w:r>
      <w:rPr>
        <w:rFonts w:ascii="FrankRuehl" w:hAnsi="FrankRuehl" w:cs="FrankRuehl"/>
        <w:rtl/>
      </w:rPr>
      <w:fldChar w:fldCharType="end"/>
    </w:r>
  </w:p>
  <w:p w14:paraId="034EFC61" w14:textId="77777777" w:rsidR="003E231D" w:rsidRPr="00104373" w:rsidRDefault="003E231D" w:rsidP="00104373">
    <w:pPr>
      <w:pStyle w:val="a4"/>
      <w:pBdr>
        <w:top w:val="single" w:sz="4" w:space="1" w:color="auto"/>
        <w:between w:val="single" w:sz="4" w:space="0" w:color="auto"/>
      </w:pBdr>
      <w:spacing w:after="60"/>
      <w:jc w:val="center"/>
      <w:rPr>
        <w:rFonts w:ascii="FrankRuehl" w:hAnsi="FrankRuehl" w:cs="FrankRuehl"/>
        <w:color w:val="000000"/>
      </w:rPr>
    </w:pPr>
    <w:r w:rsidRPr="00104373">
      <w:rPr>
        <w:rFonts w:ascii="FrankRuehl" w:hAnsi="FrankRuehl" w:cs="FrankRuehl"/>
        <w:color w:val="000000"/>
      </w:rPr>
      <w:pict w14:anchorId="6BFB9C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890AB" w14:textId="77777777" w:rsidR="00A0439C" w:rsidRPr="00773F29" w:rsidRDefault="00A0439C">
      <w:pPr>
        <w:rPr>
          <w:rFonts w:ascii="Garamond" w:hAnsi="Garamond" w:cs="Arial"/>
          <w:sz w:val="20"/>
          <w:szCs w:val="20"/>
        </w:rPr>
      </w:pPr>
      <w:r>
        <w:separator/>
      </w:r>
    </w:p>
  </w:footnote>
  <w:footnote w:type="continuationSeparator" w:id="0">
    <w:p w14:paraId="3EFE20D8" w14:textId="77777777" w:rsidR="00A0439C" w:rsidRPr="00773F29" w:rsidRDefault="00A0439C">
      <w:pPr>
        <w:rPr>
          <w:rFonts w:ascii="Garamond" w:hAnsi="Garamond" w:cs="Arial"/>
          <w:sz w:val="2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DC959" w14:textId="77777777" w:rsidR="003E231D" w:rsidRPr="00104373" w:rsidRDefault="003E231D" w:rsidP="001043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21315-07-13</w:t>
    </w:r>
    <w:r>
      <w:rPr>
        <w:rFonts w:ascii="David" w:hAnsi="David"/>
        <w:color w:val="000000"/>
        <w:sz w:val="22"/>
        <w:szCs w:val="22"/>
        <w:rtl/>
      </w:rPr>
      <w:tab/>
      <w:t xml:space="preserve"> מדינת ישראל רשות המיסים נ' סמואל כוכב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3C282" w14:textId="77777777" w:rsidR="003E231D" w:rsidRPr="00104373" w:rsidRDefault="003E231D" w:rsidP="001043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21315-07-13</w:t>
    </w:r>
    <w:r>
      <w:rPr>
        <w:rFonts w:ascii="David" w:hAnsi="David"/>
        <w:color w:val="000000"/>
        <w:sz w:val="22"/>
        <w:szCs w:val="22"/>
        <w:rtl/>
      </w:rPr>
      <w:tab/>
      <w:t xml:space="preserve"> מדינת ישראל רשות המיסים נ' סמואל כוכב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02C90"/>
    <w:rsid w:val="00104373"/>
    <w:rsid w:val="0021769B"/>
    <w:rsid w:val="002913FE"/>
    <w:rsid w:val="002E7670"/>
    <w:rsid w:val="00302568"/>
    <w:rsid w:val="003E231D"/>
    <w:rsid w:val="00441C19"/>
    <w:rsid w:val="0065728C"/>
    <w:rsid w:val="00681296"/>
    <w:rsid w:val="00683EED"/>
    <w:rsid w:val="00A0439C"/>
    <w:rsid w:val="00B02C90"/>
    <w:rsid w:val="00B25ED9"/>
    <w:rsid w:val="00FB39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8CA6A0"/>
  <w15:chartTrackingRefBased/>
  <w15:docId w15:val="{3281ED5E-8FFD-4E22-BC74-1B335DB8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2C9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02C90"/>
    <w:pPr>
      <w:tabs>
        <w:tab w:val="center" w:pos="4153"/>
        <w:tab w:val="right" w:pos="8306"/>
      </w:tabs>
    </w:pPr>
  </w:style>
  <w:style w:type="paragraph" w:styleId="a4">
    <w:name w:val="footer"/>
    <w:basedOn w:val="a"/>
    <w:rsid w:val="00B02C90"/>
    <w:pPr>
      <w:tabs>
        <w:tab w:val="center" w:pos="4153"/>
        <w:tab w:val="right" w:pos="8306"/>
      </w:tabs>
    </w:pPr>
  </w:style>
  <w:style w:type="character" w:styleId="a5">
    <w:name w:val="page number"/>
    <w:basedOn w:val="a0"/>
    <w:rsid w:val="00B02C90"/>
  </w:style>
  <w:style w:type="character" w:styleId="Hyperlink">
    <w:name w:val="Hyperlink"/>
    <w:rsid w:val="001043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345/3.a" TargetMode="External"/><Relationship Id="rId18" Type="http://schemas.openxmlformats.org/officeDocument/2006/relationships/hyperlink" Target="http://www.nevo.co.il/law/70301/499" TargetMode="External"/><Relationship Id="rId26" Type="http://schemas.openxmlformats.org/officeDocument/2006/relationships/hyperlink" Target="http://www.nevo.co.il/law/74345/4" TargetMode="External"/><Relationship Id="rId39" Type="http://schemas.openxmlformats.org/officeDocument/2006/relationships/footer" Target="footer2.xml"/><Relationship Id="rId21" Type="http://schemas.openxmlformats.org/officeDocument/2006/relationships/hyperlink" Target="http://www.nevo.co.il/law/70301/117.b2.3" TargetMode="External"/><Relationship Id="rId34" Type="http://schemas.openxmlformats.org/officeDocument/2006/relationships/hyperlink" Target="http://www.nevo.co.il/law/4216/36h" TargetMode="External"/><Relationship Id="rId7" Type="http://schemas.openxmlformats.org/officeDocument/2006/relationships/hyperlink" Target="http://www.nevo.co.il/law/70301/117.b.8"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law/70301/117.b.8" TargetMode="External"/><Relationship Id="rId29" Type="http://schemas.openxmlformats.org/officeDocument/2006/relationships/hyperlink" Target="http://www.nevo.co.il/case/5569233"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84255/220.5" TargetMode="External"/><Relationship Id="rId24" Type="http://schemas.openxmlformats.org/officeDocument/2006/relationships/hyperlink" Target="http://www.nevo.co.il/law/74345/3.a" TargetMode="External"/><Relationship Id="rId32" Type="http://schemas.openxmlformats.org/officeDocument/2006/relationships/hyperlink" Target="http://www.nevo.co.il/law/74345/23"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4345/23" TargetMode="External"/><Relationship Id="rId23" Type="http://schemas.openxmlformats.org/officeDocument/2006/relationships/hyperlink" Target="http://www.nevo.co.il/law/84255" TargetMode="External"/><Relationship Id="rId28" Type="http://schemas.openxmlformats.org/officeDocument/2006/relationships/hyperlink" Target="http://www.nevo.co.il/law/70301" TargetMode="External"/><Relationship Id="rId36" Type="http://schemas.openxmlformats.org/officeDocument/2006/relationships/header" Target="header1.xml"/><Relationship Id="rId10" Type="http://schemas.openxmlformats.org/officeDocument/2006/relationships/hyperlink" Target="http://www.nevo.co.il/law/84255"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4345" TargetMode="External"/><Relationship Id="rId4" Type="http://schemas.openxmlformats.org/officeDocument/2006/relationships/footnotes" Target="footnotes.xml"/><Relationship Id="rId9" Type="http://schemas.openxmlformats.org/officeDocument/2006/relationships/hyperlink" Target="http://www.nevo.co.il/law/70301/499" TargetMode="External"/><Relationship Id="rId14" Type="http://schemas.openxmlformats.org/officeDocument/2006/relationships/hyperlink" Target="http://www.nevo.co.il/law/74345/4" TargetMode="External"/><Relationship Id="rId22" Type="http://schemas.openxmlformats.org/officeDocument/2006/relationships/hyperlink" Target="http://www.nevo.co.il/law/84255/220.5" TargetMode="External"/><Relationship Id="rId27" Type="http://schemas.openxmlformats.org/officeDocument/2006/relationships/hyperlink" Target="http://www.nevo.co.il/case/6873431" TargetMode="External"/><Relationship Id="rId30" Type="http://schemas.openxmlformats.org/officeDocument/2006/relationships/hyperlink" Target="http://www.nevo.co.il/case/5573417" TargetMode="External"/><Relationship Id="rId35" Type="http://schemas.openxmlformats.org/officeDocument/2006/relationships/hyperlink" Target="http://www.nevo.co.il/law/4216" TargetMode="External"/><Relationship Id="rId8" Type="http://schemas.openxmlformats.org/officeDocument/2006/relationships/hyperlink" Target="http://www.nevo.co.il/law/70301/117.b2.3" TargetMode="External"/><Relationship Id="rId3" Type="http://schemas.openxmlformats.org/officeDocument/2006/relationships/webSettings" Target="webSettings.xml"/><Relationship Id="rId12" Type="http://schemas.openxmlformats.org/officeDocument/2006/relationships/hyperlink" Target="http://www.nevo.co.il/law/74345" TargetMode="External"/><Relationship Id="rId17" Type="http://schemas.openxmlformats.org/officeDocument/2006/relationships/hyperlink" Target="http://www.nevo.co.il/law/4216/36h" TargetMode="External"/><Relationship Id="rId25" Type="http://schemas.openxmlformats.org/officeDocument/2006/relationships/hyperlink" Target="http://www.nevo.co.il/law/74345" TargetMode="External"/><Relationship Id="rId33" Type="http://schemas.openxmlformats.org/officeDocument/2006/relationships/hyperlink" Target="http://www.nevo.co.il/law/74345"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2063</Words>
  <Characters>10317</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12356</CharactersWithSpaces>
  <SharedDoc>false</SharedDoc>
  <HLinks>
    <vt:vector size="180" baseType="variant">
      <vt:variant>
        <vt:i4>8257637</vt:i4>
      </vt:variant>
      <vt:variant>
        <vt:i4>87</vt:i4>
      </vt:variant>
      <vt:variant>
        <vt:i4>0</vt:i4>
      </vt:variant>
      <vt:variant>
        <vt:i4>5</vt:i4>
      </vt:variant>
      <vt:variant>
        <vt:lpwstr>http://www.nevo.co.il/law/4216</vt:lpwstr>
      </vt:variant>
      <vt:variant>
        <vt:lpwstr/>
      </vt:variant>
      <vt:variant>
        <vt:i4>2424956</vt:i4>
      </vt:variant>
      <vt:variant>
        <vt:i4>84</vt:i4>
      </vt:variant>
      <vt:variant>
        <vt:i4>0</vt:i4>
      </vt:variant>
      <vt:variant>
        <vt:i4>5</vt:i4>
      </vt:variant>
      <vt:variant>
        <vt:lpwstr>http://www.nevo.co.il/law/4216/36h</vt:lpwstr>
      </vt:variant>
      <vt:variant>
        <vt:lpwstr/>
      </vt:variant>
      <vt:variant>
        <vt:i4>7995492</vt:i4>
      </vt:variant>
      <vt:variant>
        <vt:i4>81</vt:i4>
      </vt:variant>
      <vt:variant>
        <vt:i4>0</vt:i4>
      </vt:variant>
      <vt:variant>
        <vt:i4>5</vt:i4>
      </vt:variant>
      <vt:variant>
        <vt:lpwstr>http://www.nevo.co.il/law/74345</vt:lpwstr>
      </vt:variant>
      <vt:variant>
        <vt:lpwstr/>
      </vt:variant>
      <vt:variant>
        <vt:i4>6684771</vt:i4>
      </vt:variant>
      <vt:variant>
        <vt:i4>78</vt:i4>
      </vt:variant>
      <vt:variant>
        <vt:i4>0</vt:i4>
      </vt:variant>
      <vt:variant>
        <vt:i4>5</vt:i4>
      </vt:variant>
      <vt:variant>
        <vt:lpwstr>http://www.nevo.co.il/law/74345/23</vt:lpwstr>
      </vt:variant>
      <vt:variant>
        <vt:lpwstr/>
      </vt:variant>
      <vt:variant>
        <vt:i4>7995492</vt:i4>
      </vt:variant>
      <vt:variant>
        <vt:i4>75</vt:i4>
      </vt:variant>
      <vt:variant>
        <vt:i4>0</vt:i4>
      </vt:variant>
      <vt:variant>
        <vt:i4>5</vt:i4>
      </vt:variant>
      <vt:variant>
        <vt:lpwstr>http://www.nevo.co.il/law/74345</vt:lpwstr>
      </vt:variant>
      <vt:variant>
        <vt:lpwstr/>
      </vt:variant>
      <vt:variant>
        <vt:i4>3211379</vt:i4>
      </vt:variant>
      <vt:variant>
        <vt:i4>72</vt:i4>
      </vt:variant>
      <vt:variant>
        <vt:i4>0</vt:i4>
      </vt:variant>
      <vt:variant>
        <vt:i4>5</vt:i4>
      </vt:variant>
      <vt:variant>
        <vt:lpwstr>http://www.nevo.co.il/case/5573417</vt:lpwstr>
      </vt:variant>
      <vt:variant>
        <vt:lpwstr/>
      </vt:variant>
      <vt:variant>
        <vt:i4>3276923</vt:i4>
      </vt:variant>
      <vt:variant>
        <vt:i4>69</vt:i4>
      </vt:variant>
      <vt:variant>
        <vt:i4>0</vt:i4>
      </vt:variant>
      <vt:variant>
        <vt:i4>5</vt:i4>
      </vt:variant>
      <vt:variant>
        <vt:lpwstr>http://www.nevo.co.il/case/5569233</vt:lpwstr>
      </vt:variant>
      <vt:variant>
        <vt:lpwstr/>
      </vt:variant>
      <vt:variant>
        <vt:i4>7995492</vt:i4>
      </vt:variant>
      <vt:variant>
        <vt:i4>66</vt:i4>
      </vt:variant>
      <vt:variant>
        <vt:i4>0</vt:i4>
      </vt:variant>
      <vt:variant>
        <vt:i4>5</vt:i4>
      </vt:variant>
      <vt:variant>
        <vt:lpwstr>http://www.nevo.co.il/law/70301</vt:lpwstr>
      </vt:variant>
      <vt:variant>
        <vt:lpwstr/>
      </vt:variant>
      <vt:variant>
        <vt:i4>3407996</vt:i4>
      </vt:variant>
      <vt:variant>
        <vt:i4>63</vt:i4>
      </vt:variant>
      <vt:variant>
        <vt:i4>0</vt:i4>
      </vt:variant>
      <vt:variant>
        <vt:i4>5</vt:i4>
      </vt:variant>
      <vt:variant>
        <vt:lpwstr>http://www.nevo.co.il/case/6873431</vt:lpwstr>
      </vt:variant>
      <vt:variant>
        <vt:lpwstr/>
      </vt:variant>
      <vt:variant>
        <vt:i4>5570641</vt:i4>
      </vt:variant>
      <vt:variant>
        <vt:i4>60</vt:i4>
      </vt:variant>
      <vt:variant>
        <vt:i4>0</vt:i4>
      </vt:variant>
      <vt:variant>
        <vt:i4>5</vt:i4>
      </vt:variant>
      <vt:variant>
        <vt:lpwstr>http://www.nevo.co.il/law/74345/4</vt:lpwstr>
      </vt:variant>
      <vt:variant>
        <vt:lpwstr/>
      </vt:variant>
      <vt:variant>
        <vt:i4>7995492</vt:i4>
      </vt:variant>
      <vt:variant>
        <vt:i4>57</vt:i4>
      </vt:variant>
      <vt:variant>
        <vt:i4>0</vt:i4>
      </vt:variant>
      <vt:variant>
        <vt:i4>5</vt:i4>
      </vt:variant>
      <vt:variant>
        <vt:lpwstr>http://www.nevo.co.il/law/74345</vt:lpwstr>
      </vt:variant>
      <vt:variant>
        <vt:lpwstr/>
      </vt:variant>
      <vt:variant>
        <vt:i4>8061026</vt:i4>
      </vt:variant>
      <vt:variant>
        <vt:i4>54</vt:i4>
      </vt:variant>
      <vt:variant>
        <vt:i4>0</vt:i4>
      </vt:variant>
      <vt:variant>
        <vt:i4>5</vt:i4>
      </vt:variant>
      <vt:variant>
        <vt:lpwstr>http://www.nevo.co.il/law/74345/3.a</vt:lpwstr>
      </vt:variant>
      <vt:variant>
        <vt:lpwstr/>
      </vt:variant>
      <vt:variant>
        <vt:i4>8061034</vt:i4>
      </vt:variant>
      <vt:variant>
        <vt:i4>51</vt:i4>
      </vt:variant>
      <vt:variant>
        <vt:i4>0</vt:i4>
      </vt:variant>
      <vt:variant>
        <vt:i4>5</vt:i4>
      </vt:variant>
      <vt:variant>
        <vt:lpwstr>http://www.nevo.co.il/law/84255</vt:lpwstr>
      </vt:variant>
      <vt:variant>
        <vt:lpwstr/>
      </vt:variant>
      <vt:variant>
        <vt:i4>4718685</vt:i4>
      </vt:variant>
      <vt:variant>
        <vt:i4>48</vt:i4>
      </vt:variant>
      <vt:variant>
        <vt:i4>0</vt:i4>
      </vt:variant>
      <vt:variant>
        <vt:i4>5</vt:i4>
      </vt:variant>
      <vt:variant>
        <vt:lpwstr>http://www.nevo.co.il/law/84255/220.5</vt:lpwstr>
      </vt:variant>
      <vt:variant>
        <vt:lpwstr/>
      </vt:variant>
      <vt:variant>
        <vt:i4>4915231</vt:i4>
      </vt:variant>
      <vt:variant>
        <vt:i4>45</vt:i4>
      </vt:variant>
      <vt:variant>
        <vt:i4>0</vt:i4>
      </vt:variant>
      <vt:variant>
        <vt:i4>5</vt:i4>
      </vt:variant>
      <vt:variant>
        <vt:lpwstr>http://www.nevo.co.il/law/70301/117.b2.3</vt:lpwstr>
      </vt:variant>
      <vt:variant>
        <vt:lpwstr/>
      </vt:variant>
      <vt:variant>
        <vt:i4>6553649</vt:i4>
      </vt:variant>
      <vt:variant>
        <vt:i4>42</vt:i4>
      </vt:variant>
      <vt:variant>
        <vt:i4>0</vt:i4>
      </vt:variant>
      <vt:variant>
        <vt:i4>5</vt:i4>
      </vt:variant>
      <vt:variant>
        <vt:lpwstr>http://www.nevo.co.il/law/70301/117.b.8</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7077985</vt:i4>
      </vt:variant>
      <vt:variant>
        <vt:i4>36</vt:i4>
      </vt:variant>
      <vt:variant>
        <vt:i4>0</vt:i4>
      </vt:variant>
      <vt:variant>
        <vt:i4>5</vt:i4>
      </vt:variant>
      <vt:variant>
        <vt:lpwstr>http://www.nevo.co.il/law/70301/499</vt:lpwstr>
      </vt:variant>
      <vt:variant>
        <vt:lpwstr/>
      </vt:variant>
      <vt:variant>
        <vt:i4>2424956</vt:i4>
      </vt:variant>
      <vt:variant>
        <vt:i4>33</vt:i4>
      </vt:variant>
      <vt:variant>
        <vt:i4>0</vt:i4>
      </vt:variant>
      <vt:variant>
        <vt:i4>5</vt:i4>
      </vt:variant>
      <vt:variant>
        <vt:lpwstr>http://www.nevo.co.il/law/4216/36h</vt:lpwstr>
      </vt:variant>
      <vt:variant>
        <vt:lpwstr/>
      </vt:variant>
      <vt:variant>
        <vt:i4>8257637</vt:i4>
      </vt:variant>
      <vt:variant>
        <vt:i4>30</vt:i4>
      </vt:variant>
      <vt:variant>
        <vt:i4>0</vt:i4>
      </vt:variant>
      <vt:variant>
        <vt:i4>5</vt:i4>
      </vt:variant>
      <vt:variant>
        <vt:lpwstr>http://www.nevo.co.il/law/4216</vt:lpwstr>
      </vt:variant>
      <vt:variant>
        <vt:lpwstr/>
      </vt:variant>
      <vt:variant>
        <vt:i4>6684771</vt:i4>
      </vt:variant>
      <vt:variant>
        <vt:i4>27</vt:i4>
      </vt:variant>
      <vt:variant>
        <vt:i4>0</vt:i4>
      </vt:variant>
      <vt:variant>
        <vt:i4>5</vt:i4>
      </vt:variant>
      <vt:variant>
        <vt:lpwstr>http://www.nevo.co.il/law/74345/23</vt:lpwstr>
      </vt:variant>
      <vt:variant>
        <vt:lpwstr/>
      </vt:variant>
      <vt:variant>
        <vt:i4>5570641</vt:i4>
      </vt:variant>
      <vt:variant>
        <vt:i4>24</vt:i4>
      </vt:variant>
      <vt:variant>
        <vt:i4>0</vt:i4>
      </vt:variant>
      <vt:variant>
        <vt:i4>5</vt:i4>
      </vt:variant>
      <vt:variant>
        <vt:lpwstr>http://www.nevo.co.il/law/74345/4</vt:lpwstr>
      </vt:variant>
      <vt:variant>
        <vt:lpwstr/>
      </vt:variant>
      <vt:variant>
        <vt:i4>8061026</vt:i4>
      </vt:variant>
      <vt:variant>
        <vt:i4>21</vt:i4>
      </vt:variant>
      <vt:variant>
        <vt:i4>0</vt:i4>
      </vt:variant>
      <vt:variant>
        <vt:i4>5</vt:i4>
      </vt:variant>
      <vt:variant>
        <vt:lpwstr>http://www.nevo.co.il/law/74345/3.a</vt:lpwstr>
      </vt:variant>
      <vt:variant>
        <vt:lpwstr/>
      </vt:variant>
      <vt:variant>
        <vt:i4>7995492</vt:i4>
      </vt:variant>
      <vt:variant>
        <vt:i4>18</vt:i4>
      </vt:variant>
      <vt:variant>
        <vt:i4>0</vt:i4>
      </vt:variant>
      <vt:variant>
        <vt:i4>5</vt:i4>
      </vt:variant>
      <vt:variant>
        <vt:lpwstr>http://www.nevo.co.il/law/74345</vt:lpwstr>
      </vt:variant>
      <vt:variant>
        <vt:lpwstr/>
      </vt:variant>
      <vt:variant>
        <vt:i4>4718685</vt:i4>
      </vt:variant>
      <vt:variant>
        <vt:i4>15</vt:i4>
      </vt:variant>
      <vt:variant>
        <vt:i4>0</vt:i4>
      </vt:variant>
      <vt:variant>
        <vt:i4>5</vt:i4>
      </vt:variant>
      <vt:variant>
        <vt:lpwstr>http://www.nevo.co.il/law/84255/220.5</vt:lpwstr>
      </vt:variant>
      <vt:variant>
        <vt:lpwstr/>
      </vt:variant>
      <vt:variant>
        <vt:i4>8061034</vt:i4>
      </vt:variant>
      <vt:variant>
        <vt:i4>12</vt:i4>
      </vt:variant>
      <vt:variant>
        <vt:i4>0</vt:i4>
      </vt:variant>
      <vt:variant>
        <vt:i4>5</vt:i4>
      </vt:variant>
      <vt:variant>
        <vt:lpwstr>http://www.nevo.co.il/law/84255</vt:lpwstr>
      </vt:variant>
      <vt:variant>
        <vt:lpwstr/>
      </vt:variant>
      <vt:variant>
        <vt:i4>7077985</vt:i4>
      </vt:variant>
      <vt:variant>
        <vt:i4>9</vt:i4>
      </vt:variant>
      <vt:variant>
        <vt:i4>0</vt:i4>
      </vt:variant>
      <vt:variant>
        <vt:i4>5</vt:i4>
      </vt:variant>
      <vt:variant>
        <vt:lpwstr>http://www.nevo.co.il/law/70301/499</vt:lpwstr>
      </vt:variant>
      <vt:variant>
        <vt:lpwstr/>
      </vt:variant>
      <vt:variant>
        <vt:i4>4915231</vt:i4>
      </vt:variant>
      <vt:variant>
        <vt:i4>6</vt:i4>
      </vt:variant>
      <vt:variant>
        <vt:i4>0</vt:i4>
      </vt:variant>
      <vt:variant>
        <vt:i4>5</vt:i4>
      </vt:variant>
      <vt:variant>
        <vt:lpwstr>http://www.nevo.co.il/law/70301/117.b2.3</vt:lpwstr>
      </vt:variant>
      <vt:variant>
        <vt:lpwstr/>
      </vt:variant>
      <vt:variant>
        <vt:i4>6553649</vt:i4>
      </vt:variant>
      <vt:variant>
        <vt:i4>3</vt:i4>
      </vt:variant>
      <vt:variant>
        <vt:i4>0</vt:i4>
      </vt:variant>
      <vt:variant>
        <vt:i4>5</vt:i4>
      </vt:variant>
      <vt:variant>
        <vt:lpwstr>http://www.nevo.co.il/law/70301/117.b.8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2025-04-22T20:30:00Z</dcterms:created>
  <dcterms:modified xsi:type="dcterms:W3CDTF">2025-04-22T20:30:00Z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21315</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 רשות המיסים</vt:lpwstr>
  </property>
  <property fmtid="{D5CDD505-2E9C-101B-9397-08002B2CF9AE}" pid="9" name="APPELLEE">
    <vt:lpwstr>סמואל כוכב</vt:lpwstr>
  </property>
  <property fmtid="{D5CDD505-2E9C-101B-9397-08002B2CF9AE}" pid="10" name="LAWYER">
    <vt:lpwstr>כוכב;בני נהרי</vt:lpwstr>
  </property>
  <property fmtid="{D5CDD505-2E9C-101B-9397-08002B2CF9AE}" pid="11" name="JUDGE">
    <vt:lpwstr>חאלד כבוב</vt:lpwstr>
  </property>
  <property fmtid="{D5CDD505-2E9C-101B-9397-08002B2CF9AE}" pid="12" name="CITY">
    <vt:lpwstr>ת"א</vt:lpwstr>
  </property>
  <property fmtid="{D5CDD505-2E9C-101B-9397-08002B2CF9AE}" pid="13" name="DATE">
    <vt:lpwstr>20131215</vt:lpwstr>
  </property>
  <property fmtid="{D5CDD505-2E9C-101B-9397-08002B2CF9AE}" pid="14" name="TYPE_N_DATE">
    <vt:lpwstr>39020131215</vt:lpwstr>
  </property>
  <property fmtid="{D5CDD505-2E9C-101B-9397-08002B2CF9AE}" pid="15" name="WORDNUMPAGES">
    <vt:lpwstr>7</vt:lpwstr>
  </property>
  <property fmtid="{D5CDD505-2E9C-101B-9397-08002B2CF9AE}" pid="16" name="TYPE_ABS_DATE">
    <vt:lpwstr>390020131215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6873431;5569233;5573417</vt:lpwstr>
  </property>
  <property fmtid="{D5CDD505-2E9C-101B-9397-08002B2CF9AE}" pid="36" name="LAWLISTTMP1">
    <vt:lpwstr>70301/499;117.b.8;117.b2.3</vt:lpwstr>
  </property>
  <property fmtid="{D5CDD505-2E9C-101B-9397-08002B2CF9AE}" pid="37" name="LAWLISTTMP2">
    <vt:lpwstr>84255/220.5</vt:lpwstr>
  </property>
  <property fmtid="{D5CDD505-2E9C-101B-9397-08002B2CF9AE}" pid="38" name="LAWLISTTMP3">
    <vt:lpwstr>74345/003.a;004;023</vt:lpwstr>
  </property>
  <property fmtid="{D5CDD505-2E9C-101B-9397-08002B2CF9AE}" pid="39" name="LAWLISTTMP4">
    <vt:lpwstr>4216/036h</vt:lpwstr>
  </property>
</Properties>
</file>