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11979" w:type="dxa"/>
        <w:jc w:val="center"/>
        <w:tblLook w:val="0000" w:firstRow="0" w:lastRow="0" w:firstColumn="0" w:lastColumn="0" w:noHBand="0" w:noVBand="0"/>
      </w:tblPr>
      <w:tblGrid>
        <w:gridCol w:w="8317"/>
        <w:gridCol w:w="2164"/>
        <w:gridCol w:w="1498"/>
      </w:tblGrid>
      <w:tr w:rsidR="00DF18DC" w:rsidRPr="00F828F6" w14:paraId="5C10A113" w14:textId="77777777">
        <w:trPr>
          <w:gridAfter w:val="1"/>
          <w:wAfter w:w="1498" w:type="dxa"/>
          <w:trHeight w:hRule="exact" w:val="543"/>
          <w:jc w:val="center"/>
        </w:trPr>
        <w:tc>
          <w:tcPr>
            <w:tcW w:w="10481" w:type="dxa"/>
            <w:gridSpan w:val="2"/>
          </w:tcPr>
          <w:p w14:paraId="7FDCFE31" w14:textId="77777777" w:rsidR="00DF18DC" w:rsidRPr="00F828F6" w:rsidRDefault="00F828F6">
            <w:pPr>
              <w:pStyle w:val="a3"/>
              <w:jc w:val="center"/>
              <w:rPr>
                <w:rFonts w:ascii="Tahoma" w:hAnsi="Tahoma" w:cs="Tahoma"/>
                <w:color w:val="000080"/>
                <w:rtl/>
              </w:rPr>
            </w:pPr>
            <w:bookmarkStart w:id="0" w:name="LastJudge"/>
            <w:r w:rsidRPr="00F828F6">
              <w:rPr>
                <w:rFonts w:ascii="Tahoma" w:hAnsi="Tahoma" w:cs="Tahoma"/>
                <w:b/>
                <w:bCs/>
                <w:color w:val="000080"/>
                <w:rtl/>
              </w:rPr>
              <w:t>בית המשפט המחוזי מרכז-לוד</w:t>
            </w:r>
          </w:p>
        </w:tc>
      </w:tr>
      <w:tr w:rsidR="00DF18DC" w:rsidRPr="00F828F6" w14:paraId="61DA32B7" w14:textId="77777777">
        <w:trPr>
          <w:trHeight w:val="440"/>
          <w:jc w:val="center"/>
        </w:trPr>
        <w:tc>
          <w:tcPr>
            <w:tcW w:w="8317" w:type="dxa"/>
          </w:tcPr>
          <w:p w14:paraId="050038BD" w14:textId="77777777" w:rsidR="00DF18DC" w:rsidRPr="00F828F6" w:rsidRDefault="00F828F6">
            <w:pPr>
              <w:ind w:left="353"/>
              <w:jc w:val="center"/>
              <w:rPr>
                <w:rFonts w:ascii="Arial" w:hAnsi="Arial" w:cs="Arial"/>
                <w:b/>
                <w:bCs/>
                <w:rtl/>
              </w:rPr>
            </w:pPr>
            <w:r w:rsidRPr="00F828F6">
              <w:rPr>
                <w:rFonts w:ascii="Arial" w:hAnsi="Arial" w:cs="Arial"/>
                <w:b/>
                <w:bCs/>
                <w:rtl/>
              </w:rPr>
              <w:t>ת"פ 36422-07-13 מדינת ישראל נ' JORDAN PEDRAZA(עציר)</w:t>
            </w:r>
          </w:p>
          <w:p w14:paraId="748D4E2C" w14:textId="77777777" w:rsidR="00DF18DC" w:rsidRPr="00F828F6" w:rsidRDefault="00DF18DC">
            <w:pPr>
              <w:pStyle w:val="a3"/>
              <w:rPr>
                <w:rFonts w:ascii="Arial" w:hAnsi="Arial" w:cs="Arial"/>
                <w:b/>
                <w:bCs/>
                <w:rtl/>
              </w:rPr>
            </w:pPr>
          </w:p>
        </w:tc>
        <w:tc>
          <w:tcPr>
            <w:tcW w:w="3662" w:type="dxa"/>
            <w:gridSpan w:val="2"/>
          </w:tcPr>
          <w:p w14:paraId="6BFCF1EE" w14:textId="77777777" w:rsidR="00DF18DC" w:rsidRPr="00F828F6" w:rsidRDefault="00DF18DC">
            <w:pPr>
              <w:pStyle w:val="a3"/>
              <w:jc w:val="right"/>
              <w:rPr>
                <w:rFonts w:cs="FrankRuehl"/>
                <w:sz w:val="28"/>
                <w:szCs w:val="28"/>
                <w:rtl/>
              </w:rPr>
            </w:pPr>
          </w:p>
        </w:tc>
      </w:tr>
    </w:tbl>
    <w:p w14:paraId="0AD88F0B" w14:textId="77777777" w:rsidR="00DF18DC" w:rsidRPr="00F828F6" w:rsidRDefault="00F828F6">
      <w:pPr>
        <w:pStyle w:val="a3"/>
        <w:rPr>
          <w:rtl/>
        </w:rPr>
      </w:pPr>
      <w:r w:rsidRPr="00F828F6">
        <w:rPr>
          <w:rFonts w:hint="cs"/>
          <w:rtl/>
        </w:rPr>
        <w:t xml:space="preserve"> </w:t>
      </w:r>
    </w:p>
    <w:p w14:paraId="30F45670" w14:textId="77777777" w:rsidR="00DF18DC" w:rsidRPr="00F828F6" w:rsidRDefault="00DF18DC">
      <w:pPr>
        <w:rPr>
          <w:rFonts w:ascii="Arial" w:hAnsi="Arial" w:cs="Arial"/>
          <w:rtl/>
        </w:rPr>
      </w:pPr>
    </w:p>
    <w:tbl>
      <w:tblPr>
        <w:bidiVisual/>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3"/>
        <w:gridCol w:w="3771"/>
      </w:tblGrid>
      <w:tr w:rsidR="00DF18DC" w:rsidRPr="00F828F6" w14:paraId="680E5F94" w14:textId="77777777">
        <w:trPr>
          <w:trHeight w:val="295"/>
          <w:jc w:val="center"/>
        </w:trPr>
        <w:tc>
          <w:tcPr>
            <w:tcW w:w="923" w:type="dxa"/>
            <w:tcBorders>
              <w:top w:val="nil"/>
              <w:left w:val="nil"/>
              <w:bottom w:val="nil"/>
              <w:right w:val="nil"/>
            </w:tcBorders>
          </w:tcPr>
          <w:p w14:paraId="28A4DE6E" w14:textId="77777777" w:rsidR="00DF18DC" w:rsidRPr="00F828F6" w:rsidRDefault="00F828F6">
            <w:pPr>
              <w:jc w:val="both"/>
              <w:rPr>
                <w:rFonts w:ascii="Arial" w:hAnsi="Arial" w:cs="Arial"/>
              </w:rPr>
            </w:pPr>
            <w:bookmarkStart w:id="1" w:name="_GoBack"/>
            <w:bookmarkEnd w:id="1"/>
            <w:r w:rsidRPr="00F828F6">
              <w:rPr>
                <w:rFonts w:ascii="Arial" w:hAnsi="Arial" w:cs="Arial" w:hint="cs"/>
                <w:rtl/>
              </w:rPr>
              <w:t>ל</w:t>
            </w:r>
            <w:r w:rsidRPr="00F828F6">
              <w:rPr>
                <w:rFonts w:ascii="Arial" w:hAnsi="Arial" w:cs="Arial"/>
                <w:rtl/>
              </w:rPr>
              <w:t xml:space="preserve">פני </w:t>
            </w:r>
          </w:p>
        </w:tc>
        <w:tc>
          <w:tcPr>
            <w:tcW w:w="8994" w:type="dxa"/>
            <w:gridSpan w:val="2"/>
            <w:tcBorders>
              <w:top w:val="nil"/>
              <w:left w:val="nil"/>
              <w:bottom w:val="nil"/>
              <w:right w:val="nil"/>
            </w:tcBorders>
          </w:tcPr>
          <w:p w14:paraId="57F5F056" w14:textId="77777777" w:rsidR="00DF18DC" w:rsidRPr="00F828F6" w:rsidRDefault="00F828F6">
            <w:pPr>
              <w:rPr>
                <w:rFonts w:ascii="Arial" w:hAnsi="Arial" w:cs="Arial"/>
                <w:b/>
                <w:bCs/>
                <w:rtl/>
              </w:rPr>
            </w:pPr>
            <w:r w:rsidRPr="00F828F6">
              <w:rPr>
                <w:rFonts w:ascii="Arial" w:hAnsi="Arial" w:cs="Arial"/>
                <w:b/>
                <w:bCs/>
                <w:rtl/>
              </w:rPr>
              <w:t>כב' ה</w:t>
            </w:r>
            <w:r w:rsidRPr="00F828F6">
              <w:rPr>
                <w:rFonts w:ascii="Arial" w:hAnsi="Arial" w:cs="Arial" w:hint="cs"/>
                <w:rtl/>
              </w:rPr>
              <w:t>שופטת</w:t>
            </w:r>
            <w:r w:rsidRPr="00F828F6">
              <w:rPr>
                <w:rFonts w:ascii="Arial" w:hAnsi="Arial" w:cs="Arial"/>
                <w:b/>
                <w:bCs/>
                <w:rtl/>
              </w:rPr>
              <w:t xml:space="preserve">  </w:t>
            </w:r>
            <w:r w:rsidRPr="00F828F6">
              <w:rPr>
                <w:rFonts w:ascii="Arial" w:hAnsi="Arial" w:cs="Arial" w:hint="cs"/>
                <w:rtl/>
              </w:rPr>
              <w:t>ורדה מרוז</w:t>
            </w:r>
          </w:p>
          <w:p w14:paraId="1111ECEF" w14:textId="77777777" w:rsidR="00DF18DC" w:rsidRPr="00F828F6" w:rsidRDefault="00DF18DC">
            <w:pPr>
              <w:rPr>
                <w:rFonts w:ascii="Arial" w:hAnsi="Arial" w:cs="Arial"/>
                <w:rtl/>
              </w:rPr>
            </w:pPr>
          </w:p>
          <w:p w14:paraId="77BB508E" w14:textId="77777777" w:rsidR="00DF18DC" w:rsidRPr="00F828F6" w:rsidRDefault="00DF18DC">
            <w:pPr>
              <w:jc w:val="both"/>
              <w:rPr>
                <w:rFonts w:ascii="Arial" w:hAnsi="Arial" w:cs="Arial"/>
              </w:rPr>
            </w:pPr>
          </w:p>
        </w:tc>
      </w:tr>
      <w:tr w:rsidR="00DF18DC" w:rsidRPr="00F828F6" w14:paraId="209398A7" w14:textId="77777777">
        <w:trPr>
          <w:trHeight w:val="355"/>
          <w:jc w:val="center"/>
        </w:trPr>
        <w:tc>
          <w:tcPr>
            <w:tcW w:w="923" w:type="dxa"/>
            <w:tcBorders>
              <w:top w:val="nil"/>
              <w:left w:val="nil"/>
              <w:bottom w:val="nil"/>
              <w:right w:val="nil"/>
            </w:tcBorders>
          </w:tcPr>
          <w:p w14:paraId="0A75A4AF" w14:textId="77777777" w:rsidR="00DF18DC" w:rsidRPr="00F828F6" w:rsidRDefault="00F828F6">
            <w:pPr>
              <w:jc w:val="both"/>
              <w:rPr>
                <w:rFonts w:ascii="Arial" w:hAnsi="Arial" w:cs="Arial"/>
              </w:rPr>
            </w:pPr>
            <w:bookmarkStart w:id="2" w:name="FirstAppellant"/>
            <w:bookmarkStart w:id="3" w:name="FirstLawyer"/>
            <w:r w:rsidRPr="00F828F6">
              <w:rPr>
                <w:rFonts w:ascii="Arial" w:hAnsi="Arial" w:cs="Arial"/>
                <w:rtl/>
              </w:rPr>
              <w:t>בעניין:</w:t>
            </w:r>
          </w:p>
        </w:tc>
        <w:tc>
          <w:tcPr>
            <w:tcW w:w="5223" w:type="dxa"/>
            <w:tcBorders>
              <w:top w:val="nil"/>
              <w:left w:val="nil"/>
              <w:bottom w:val="nil"/>
              <w:right w:val="nil"/>
            </w:tcBorders>
          </w:tcPr>
          <w:p w14:paraId="5E3B80F9" w14:textId="77777777" w:rsidR="00DF18DC" w:rsidRPr="00F828F6" w:rsidRDefault="00F828F6">
            <w:pPr>
              <w:rPr>
                <w:rFonts w:ascii="Arial" w:hAnsi="Arial" w:cs="Arial"/>
                <w:b/>
                <w:bCs/>
                <w:rtl/>
              </w:rPr>
            </w:pPr>
            <w:r w:rsidRPr="00F828F6">
              <w:rPr>
                <w:rFonts w:ascii="Arial" w:hAnsi="Arial" w:cs="Arial" w:hint="cs"/>
                <w:b/>
                <w:bCs/>
                <w:rtl/>
              </w:rPr>
              <w:t>מדינת ישראל</w:t>
            </w:r>
          </w:p>
          <w:p w14:paraId="2BCFC186" w14:textId="77777777" w:rsidR="00DF18DC" w:rsidRPr="00F828F6" w:rsidRDefault="00F828F6">
            <w:pPr>
              <w:rPr>
                <w:rFonts w:ascii="Arial" w:hAnsi="Arial" w:cs="Arial"/>
              </w:rPr>
            </w:pPr>
            <w:r w:rsidRPr="00F828F6">
              <w:rPr>
                <w:rFonts w:ascii="Arial" w:hAnsi="Arial" w:cs="Arial" w:hint="cs"/>
                <w:rtl/>
              </w:rPr>
              <w:t xml:space="preserve">ע"י ב"כ עוה"ד גלעד ארליך </w:t>
            </w:r>
            <w:r w:rsidRPr="00F828F6">
              <w:rPr>
                <w:rFonts w:ascii="Arial" w:hAnsi="Arial" w:cs="Arial"/>
                <w:rtl/>
              </w:rPr>
              <w:t>–</w:t>
            </w:r>
            <w:r w:rsidRPr="00F828F6">
              <w:rPr>
                <w:rFonts w:ascii="Arial" w:hAnsi="Arial" w:cs="Arial" w:hint="cs"/>
                <w:rtl/>
              </w:rPr>
              <w:t xml:space="preserve"> פמ"מ </w:t>
            </w:r>
          </w:p>
        </w:tc>
        <w:tc>
          <w:tcPr>
            <w:tcW w:w="3771" w:type="dxa"/>
            <w:tcBorders>
              <w:top w:val="nil"/>
              <w:left w:val="nil"/>
              <w:bottom w:val="nil"/>
              <w:right w:val="nil"/>
            </w:tcBorders>
          </w:tcPr>
          <w:p w14:paraId="5C400F30" w14:textId="77777777" w:rsidR="00DF18DC" w:rsidRPr="00F828F6" w:rsidRDefault="00DF18DC">
            <w:pPr>
              <w:jc w:val="both"/>
              <w:rPr>
                <w:rFonts w:ascii="Arial" w:hAnsi="Arial" w:cs="Arial"/>
              </w:rPr>
            </w:pPr>
          </w:p>
        </w:tc>
      </w:tr>
      <w:bookmarkEnd w:id="2"/>
      <w:bookmarkEnd w:id="3"/>
      <w:tr w:rsidR="00DF18DC" w:rsidRPr="00F828F6" w14:paraId="4215198D" w14:textId="77777777">
        <w:trPr>
          <w:trHeight w:val="355"/>
          <w:jc w:val="center"/>
        </w:trPr>
        <w:tc>
          <w:tcPr>
            <w:tcW w:w="923" w:type="dxa"/>
            <w:tcBorders>
              <w:top w:val="nil"/>
              <w:left w:val="nil"/>
              <w:bottom w:val="nil"/>
              <w:right w:val="nil"/>
            </w:tcBorders>
          </w:tcPr>
          <w:p w14:paraId="59540DF1" w14:textId="77777777" w:rsidR="00DF18DC" w:rsidRPr="00F828F6" w:rsidRDefault="00DF18DC">
            <w:pPr>
              <w:jc w:val="both"/>
              <w:rPr>
                <w:rFonts w:ascii="Arial" w:hAnsi="Arial" w:cs="Arial"/>
                <w:rtl/>
              </w:rPr>
            </w:pPr>
          </w:p>
        </w:tc>
        <w:tc>
          <w:tcPr>
            <w:tcW w:w="5223" w:type="dxa"/>
            <w:tcBorders>
              <w:top w:val="nil"/>
              <w:left w:val="nil"/>
              <w:bottom w:val="nil"/>
              <w:right w:val="nil"/>
            </w:tcBorders>
          </w:tcPr>
          <w:p w14:paraId="08A7B723" w14:textId="77777777" w:rsidR="00DF18DC" w:rsidRPr="00F828F6" w:rsidRDefault="00DF18DC">
            <w:pPr>
              <w:jc w:val="both"/>
              <w:rPr>
                <w:rFonts w:ascii="Arial" w:hAnsi="Arial" w:cs="Arial"/>
                <w:rtl/>
              </w:rPr>
            </w:pPr>
          </w:p>
        </w:tc>
        <w:tc>
          <w:tcPr>
            <w:tcW w:w="3771" w:type="dxa"/>
            <w:tcBorders>
              <w:top w:val="nil"/>
              <w:left w:val="nil"/>
              <w:bottom w:val="nil"/>
              <w:right w:val="nil"/>
            </w:tcBorders>
          </w:tcPr>
          <w:p w14:paraId="2529725D" w14:textId="77777777" w:rsidR="00DF18DC" w:rsidRPr="00F828F6" w:rsidRDefault="00F828F6">
            <w:pPr>
              <w:jc w:val="right"/>
              <w:rPr>
                <w:rFonts w:ascii="Arial" w:hAnsi="Arial" w:cs="Arial"/>
                <w:b/>
                <w:bCs/>
                <w:rtl/>
              </w:rPr>
            </w:pPr>
            <w:r w:rsidRPr="00F828F6">
              <w:rPr>
                <w:rFonts w:ascii="Arial" w:hAnsi="Arial" w:cs="Arial"/>
                <w:b/>
                <w:bCs/>
                <w:rtl/>
              </w:rPr>
              <w:t>ה</w:t>
            </w:r>
            <w:r w:rsidRPr="00F828F6">
              <w:rPr>
                <w:rFonts w:ascii="Arial" w:hAnsi="Arial" w:cs="Arial" w:hint="cs"/>
                <w:b/>
                <w:bCs/>
                <w:rtl/>
              </w:rPr>
              <w:t>מאשימה</w:t>
            </w:r>
          </w:p>
        </w:tc>
      </w:tr>
      <w:tr w:rsidR="00DF18DC" w:rsidRPr="00F828F6" w14:paraId="5BC1DD1E" w14:textId="77777777">
        <w:trPr>
          <w:trHeight w:val="355"/>
          <w:jc w:val="center"/>
        </w:trPr>
        <w:tc>
          <w:tcPr>
            <w:tcW w:w="923" w:type="dxa"/>
            <w:tcBorders>
              <w:top w:val="nil"/>
              <w:left w:val="nil"/>
              <w:bottom w:val="nil"/>
              <w:right w:val="nil"/>
            </w:tcBorders>
          </w:tcPr>
          <w:p w14:paraId="3E81FFCD" w14:textId="77777777" w:rsidR="00DF18DC" w:rsidRPr="00F828F6" w:rsidRDefault="00DF18DC">
            <w:pPr>
              <w:jc w:val="both"/>
              <w:rPr>
                <w:rFonts w:ascii="Arial" w:hAnsi="Arial" w:cs="Arial"/>
                <w:rtl/>
              </w:rPr>
            </w:pPr>
          </w:p>
        </w:tc>
        <w:tc>
          <w:tcPr>
            <w:tcW w:w="8994" w:type="dxa"/>
            <w:gridSpan w:val="2"/>
            <w:tcBorders>
              <w:top w:val="nil"/>
              <w:left w:val="nil"/>
              <w:bottom w:val="nil"/>
              <w:right w:val="nil"/>
            </w:tcBorders>
          </w:tcPr>
          <w:p w14:paraId="1C3F438D" w14:textId="77777777" w:rsidR="00DF18DC" w:rsidRPr="00F828F6" w:rsidRDefault="00DF18DC">
            <w:pPr>
              <w:jc w:val="center"/>
              <w:rPr>
                <w:rFonts w:ascii="Arial" w:hAnsi="Arial" w:cs="Arial"/>
                <w:b/>
                <w:bCs/>
                <w:rtl/>
              </w:rPr>
            </w:pPr>
          </w:p>
          <w:p w14:paraId="420F372A" w14:textId="77777777" w:rsidR="00DF18DC" w:rsidRPr="00F828F6" w:rsidRDefault="00F828F6">
            <w:pPr>
              <w:jc w:val="center"/>
              <w:rPr>
                <w:rFonts w:ascii="Arial" w:hAnsi="Arial" w:cs="Arial"/>
                <w:b/>
                <w:bCs/>
                <w:sz w:val="28"/>
                <w:szCs w:val="28"/>
                <w:rtl/>
              </w:rPr>
            </w:pPr>
            <w:r w:rsidRPr="00F828F6">
              <w:rPr>
                <w:rFonts w:ascii="Arial" w:hAnsi="Arial" w:cs="Arial"/>
                <w:b/>
                <w:bCs/>
                <w:sz w:val="28"/>
                <w:szCs w:val="28"/>
                <w:rtl/>
              </w:rPr>
              <w:t>נגד</w:t>
            </w:r>
          </w:p>
          <w:p w14:paraId="5CC40FE9" w14:textId="77777777" w:rsidR="00DF18DC" w:rsidRPr="00F828F6" w:rsidRDefault="00DF18DC">
            <w:pPr>
              <w:jc w:val="both"/>
              <w:rPr>
                <w:rFonts w:ascii="Arial" w:hAnsi="Arial" w:cs="Arial"/>
                <w:rtl/>
              </w:rPr>
            </w:pPr>
          </w:p>
          <w:p w14:paraId="68A34CB0" w14:textId="77777777" w:rsidR="00DF18DC" w:rsidRPr="00F828F6" w:rsidRDefault="00DF18DC">
            <w:pPr>
              <w:jc w:val="both"/>
              <w:rPr>
                <w:rFonts w:ascii="Arial" w:hAnsi="Arial" w:cs="Arial"/>
              </w:rPr>
            </w:pPr>
          </w:p>
        </w:tc>
      </w:tr>
      <w:tr w:rsidR="00DF18DC" w:rsidRPr="00F828F6" w14:paraId="54895953" w14:textId="77777777">
        <w:trPr>
          <w:trHeight w:val="355"/>
          <w:jc w:val="center"/>
        </w:trPr>
        <w:tc>
          <w:tcPr>
            <w:tcW w:w="923" w:type="dxa"/>
            <w:tcBorders>
              <w:top w:val="nil"/>
              <w:left w:val="nil"/>
              <w:bottom w:val="nil"/>
              <w:right w:val="nil"/>
            </w:tcBorders>
          </w:tcPr>
          <w:p w14:paraId="374CB84B" w14:textId="77777777" w:rsidR="00DF18DC" w:rsidRPr="00F828F6" w:rsidRDefault="00DF18DC">
            <w:pPr>
              <w:rPr>
                <w:rFonts w:ascii="Arial" w:hAnsi="Arial" w:cs="Arial"/>
                <w:rtl/>
              </w:rPr>
            </w:pPr>
          </w:p>
        </w:tc>
        <w:tc>
          <w:tcPr>
            <w:tcW w:w="5223" w:type="dxa"/>
            <w:tcBorders>
              <w:top w:val="nil"/>
              <w:left w:val="nil"/>
              <w:bottom w:val="nil"/>
              <w:right w:val="nil"/>
            </w:tcBorders>
          </w:tcPr>
          <w:p w14:paraId="1546DA68" w14:textId="77777777" w:rsidR="00DF18DC" w:rsidRPr="00F828F6" w:rsidRDefault="00F828F6">
            <w:pPr>
              <w:rPr>
                <w:rFonts w:ascii="Arial" w:hAnsi="Arial" w:cs="Arial"/>
                <w:rtl/>
              </w:rPr>
            </w:pPr>
            <w:r w:rsidRPr="00F828F6">
              <w:rPr>
                <w:rFonts w:ascii="Arial" w:hAnsi="Arial" w:cs="Arial" w:hint="cs"/>
                <w:b/>
                <w:bCs/>
              </w:rPr>
              <w:t>YENI MARCELA JORDAN PEDRAZA</w:t>
            </w:r>
            <w:r w:rsidRPr="00F828F6">
              <w:rPr>
                <w:rFonts w:ascii="Arial" w:hAnsi="Arial" w:cs="Arial" w:hint="cs"/>
                <w:b/>
                <w:bCs/>
                <w:rtl/>
              </w:rPr>
              <w:t xml:space="preserve"> (עציר)</w:t>
            </w:r>
          </w:p>
        </w:tc>
        <w:tc>
          <w:tcPr>
            <w:tcW w:w="3771" w:type="dxa"/>
            <w:tcBorders>
              <w:top w:val="nil"/>
              <w:left w:val="nil"/>
              <w:bottom w:val="nil"/>
              <w:right w:val="nil"/>
            </w:tcBorders>
          </w:tcPr>
          <w:p w14:paraId="5A35945B" w14:textId="77777777" w:rsidR="00DF18DC" w:rsidRPr="00F828F6" w:rsidRDefault="00DF18DC">
            <w:pPr>
              <w:jc w:val="right"/>
              <w:rPr>
                <w:rFonts w:ascii="Arial" w:hAnsi="Arial" w:cs="Arial"/>
              </w:rPr>
            </w:pPr>
          </w:p>
        </w:tc>
      </w:tr>
      <w:tr w:rsidR="00DF18DC" w:rsidRPr="00F828F6" w14:paraId="6E1116C3" w14:textId="77777777">
        <w:trPr>
          <w:trHeight w:val="355"/>
          <w:jc w:val="center"/>
        </w:trPr>
        <w:tc>
          <w:tcPr>
            <w:tcW w:w="923" w:type="dxa"/>
            <w:tcBorders>
              <w:top w:val="nil"/>
              <w:left w:val="nil"/>
              <w:bottom w:val="nil"/>
              <w:right w:val="nil"/>
            </w:tcBorders>
          </w:tcPr>
          <w:p w14:paraId="34349F11" w14:textId="77777777" w:rsidR="00DF18DC" w:rsidRPr="00F828F6" w:rsidRDefault="00DF18DC">
            <w:pPr>
              <w:jc w:val="both"/>
              <w:rPr>
                <w:rFonts w:ascii="Arial" w:hAnsi="Arial" w:cs="Arial"/>
                <w:rtl/>
              </w:rPr>
            </w:pPr>
          </w:p>
        </w:tc>
        <w:tc>
          <w:tcPr>
            <w:tcW w:w="5223" w:type="dxa"/>
            <w:tcBorders>
              <w:top w:val="nil"/>
              <w:left w:val="nil"/>
              <w:bottom w:val="nil"/>
              <w:right w:val="nil"/>
            </w:tcBorders>
          </w:tcPr>
          <w:p w14:paraId="61C727D0" w14:textId="77777777" w:rsidR="00DF18DC" w:rsidRPr="00F828F6" w:rsidRDefault="00F828F6">
            <w:pPr>
              <w:jc w:val="both"/>
              <w:rPr>
                <w:rFonts w:ascii="Arial" w:hAnsi="Arial" w:cs="Arial"/>
                <w:rtl/>
              </w:rPr>
            </w:pPr>
            <w:r w:rsidRPr="00F828F6">
              <w:rPr>
                <w:rFonts w:ascii="Arial" w:hAnsi="Arial" w:cs="Arial" w:hint="cs"/>
                <w:rtl/>
              </w:rPr>
              <w:t>ע"י ב"כ עוה"ד גלית בש</w:t>
            </w:r>
          </w:p>
        </w:tc>
        <w:tc>
          <w:tcPr>
            <w:tcW w:w="3771" w:type="dxa"/>
            <w:tcBorders>
              <w:top w:val="nil"/>
              <w:left w:val="nil"/>
              <w:bottom w:val="nil"/>
              <w:right w:val="nil"/>
            </w:tcBorders>
          </w:tcPr>
          <w:p w14:paraId="304F5232" w14:textId="77777777" w:rsidR="00DF18DC" w:rsidRPr="00F828F6" w:rsidRDefault="00F828F6">
            <w:pPr>
              <w:jc w:val="right"/>
              <w:rPr>
                <w:rFonts w:ascii="Arial" w:hAnsi="Arial" w:cs="Arial"/>
              </w:rPr>
            </w:pPr>
            <w:r w:rsidRPr="00F828F6">
              <w:rPr>
                <w:rFonts w:ascii="Arial" w:hAnsi="Arial" w:cs="Arial"/>
                <w:b/>
                <w:bCs/>
                <w:rtl/>
              </w:rPr>
              <w:t>ה</w:t>
            </w:r>
            <w:r w:rsidRPr="00F828F6">
              <w:rPr>
                <w:rFonts w:ascii="Arial" w:hAnsi="Arial" w:cs="Arial" w:hint="cs"/>
                <w:b/>
                <w:bCs/>
                <w:rtl/>
              </w:rPr>
              <w:t>נאשמת</w:t>
            </w:r>
          </w:p>
        </w:tc>
      </w:tr>
    </w:tbl>
    <w:p w14:paraId="20A32570" w14:textId="77777777" w:rsidR="002B1C8B" w:rsidRDefault="002B1C8B">
      <w:pPr>
        <w:rPr>
          <w:rFonts w:ascii="Arial" w:hAnsi="Arial" w:cs="Arial"/>
          <w:rtl/>
        </w:rPr>
      </w:pPr>
      <w:bookmarkStart w:id="4" w:name="LawTable"/>
      <w:bookmarkEnd w:id="4"/>
    </w:p>
    <w:p w14:paraId="2DDFF110" w14:textId="77777777" w:rsidR="002B1C8B" w:rsidRPr="002B1C8B" w:rsidRDefault="002B1C8B" w:rsidP="002B1C8B">
      <w:pPr>
        <w:spacing w:after="120" w:line="240" w:lineRule="exact"/>
        <w:ind w:left="283" w:hanging="283"/>
        <w:jc w:val="both"/>
        <w:rPr>
          <w:rFonts w:ascii="FrankRuehl" w:hAnsi="FrankRuehl" w:cs="FrankRuehl"/>
          <w:rtl/>
        </w:rPr>
      </w:pPr>
    </w:p>
    <w:p w14:paraId="032FAF35" w14:textId="77777777" w:rsidR="002B1C8B" w:rsidRPr="002B1C8B" w:rsidRDefault="002B1C8B" w:rsidP="002B1C8B">
      <w:pPr>
        <w:spacing w:after="120" w:line="240" w:lineRule="exact"/>
        <w:ind w:left="283" w:hanging="283"/>
        <w:jc w:val="both"/>
        <w:rPr>
          <w:rFonts w:ascii="FrankRuehl" w:hAnsi="FrankRuehl" w:cs="FrankRuehl"/>
          <w:rtl/>
        </w:rPr>
      </w:pPr>
      <w:r w:rsidRPr="002B1C8B">
        <w:rPr>
          <w:rFonts w:ascii="FrankRuehl" w:hAnsi="FrankRuehl" w:cs="FrankRuehl"/>
          <w:rtl/>
        </w:rPr>
        <w:t xml:space="preserve">חקיקה שאוזכרה: </w:t>
      </w:r>
    </w:p>
    <w:p w14:paraId="5761472A" w14:textId="77777777" w:rsidR="002B1C8B" w:rsidRPr="002B1C8B" w:rsidRDefault="002B1C8B" w:rsidP="002B1C8B">
      <w:pPr>
        <w:spacing w:after="120" w:line="240" w:lineRule="exact"/>
        <w:ind w:left="283" w:hanging="283"/>
        <w:jc w:val="both"/>
        <w:rPr>
          <w:rFonts w:ascii="FrankRuehl" w:hAnsi="FrankRuehl" w:cs="FrankRuehl"/>
          <w:rtl/>
        </w:rPr>
      </w:pPr>
      <w:hyperlink r:id="rId7" w:history="1">
        <w:r w:rsidRPr="002B1C8B">
          <w:rPr>
            <w:rFonts w:ascii="FrankRuehl" w:hAnsi="FrankRuehl" w:cs="FrankRuehl"/>
            <w:color w:val="0000FF"/>
            <w:u w:val="single"/>
            <w:rtl/>
          </w:rPr>
          <w:t>פקודת הסמים המסוכנים [נוסח חדש], תשל"ג-1973</w:t>
        </w:r>
      </w:hyperlink>
      <w:r w:rsidRPr="002B1C8B">
        <w:rPr>
          <w:rFonts w:ascii="FrankRuehl" w:hAnsi="FrankRuehl" w:cs="FrankRuehl"/>
          <w:rtl/>
        </w:rPr>
        <w:t xml:space="preserve">: סע'  </w:t>
      </w:r>
      <w:hyperlink r:id="rId8" w:history="1">
        <w:r w:rsidRPr="002B1C8B">
          <w:rPr>
            <w:rFonts w:ascii="FrankRuehl" w:hAnsi="FrankRuehl" w:cs="FrankRuehl"/>
            <w:color w:val="0000FF"/>
            <w:u w:val="single"/>
            <w:rtl/>
          </w:rPr>
          <w:t>13</w:t>
        </w:r>
      </w:hyperlink>
      <w:r w:rsidRPr="002B1C8B">
        <w:rPr>
          <w:rFonts w:ascii="FrankRuehl" w:hAnsi="FrankRuehl" w:cs="FrankRuehl"/>
          <w:rtl/>
        </w:rPr>
        <w:t xml:space="preserve">, </w:t>
      </w:r>
      <w:hyperlink r:id="rId9" w:history="1">
        <w:r w:rsidRPr="002B1C8B">
          <w:rPr>
            <w:rFonts w:ascii="FrankRuehl" w:hAnsi="FrankRuehl" w:cs="FrankRuehl"/>
            <w:color w:val="0000FF"/>
            <w:u w:val="single"/>
            <w:rtl/>
          </w:rPr>
          <w:t>19א</w:t>
        </w:r>
      </w:hyperlink>
      <w:r w:rsidRPr="002B1C8B">
        <w:rPr>
          <w:rFonts w:ascii="FrankRuehl" w:hAnsi="FrankRuehl" w:cs="FrankRuehl"/>
          <w:rtl/>
        </w:rPr>
        <w:t xml:space="preserve">, </w:t>
      </w:r>
      <w:hyperlink r:id="rId10" w:history="1">
        <w:r w:rsidRPr="002B1C8B">
          <w:rPr>
            <w:rFonts w:ascii="FrankRuehl" w:hAnsi="FrankRuehl" w:cs="FrankRuehl"/>
            <w:color w:val="0000FF"/>
            <w:u w:val="single"/>
            <w:rtl/>
          </w:rPr>
          <w:t>36ח</w:t>
        </w:r>
      </w:hyperlink>
    </w:p>
    <w:p w14:paraId="49F3F7F7" w14:textId="77777777" w:rsidR="002B1C8B" w:rsidRPr="002B1C8B" w:rsidRDefault="002B1C8B" w:rsidP="002B1C8B">
      <w:pPr>
        <w:spacing w:after="120" w:line="240" w:lineRule="exact"/>
        <w:ind w:left="283" w:hanging="283"/>
        <w:jc w:val="both"/>
        <w:rPr>
          <w:rFonts w:ascii="FrankRuehl" w:hAnsi="FrankRuehl" w:cs="FrankRuehl"/>
          <w:rtl/>
        </w:rPr>
      </w:pPr>
      <w:hyperlink r:id="rId11" w:history="1">
        <w:r w:rsidRPr="002B1C8B">
          <w:rPr>
            <w:rFonts w:ascii="FrankRuehl" w:hAnsi="FrankRuehl" w:cs="FrankRuehl"/>
            <w:color w:val="0000FF"/>
            <w:u w:val="single"/>
            <w:rtl/>
          </w:rPr>
          <w:t>חוק העונשין, תשל"ז-1977</w:t>
        </w:r>
      </w:hyperlink>
    </w:p>
    <w:p w14:paraId="2F7CAA2E" w14:textId="77777777" w:rsidR="002B1C8B" w:rsidRPr="002B1C8B" w:rsidRDefault="002B1C8B" w:rsidP="002B1C8B">
      <w:pPr>
        <w:spacing w:after="120" w:line="240" w:lineRule="exact"/>
        <w:ind w:left="283" w:hanging="283"/>
        <w:jc w:val="both"/>
        <w:rPr>
          <w:rFonts w:ascii="FrankRuehl" w:hAnsi="FrankRuehl" w:cs="FrankRuehl"/>
          <w:rtl/>
        </w:rPr>
      </w:pPr>
    </w:p>
    <w:p w14:paraId="5C996C51" w14:textId="77777777" w:rsidR="002B1C8B" w:rsidRPr="002B1C8B" w:rsidRDefault="002B1C8B">
      <w:pPr>
        <w:rPr>
          <w:rFonts w:ascii="Arial" w:hAnsi="Arial" w:cs="Arial"/>
          <w:rtl/>
        </w:rPr>
      </w:pPr>
      <w:bookmarkStart w:id="5" w:name="LawTable_End"/>
      <w:bookmarkEnd w:id="5"/>
    </w:p>
    <w:p w14:paraId="04DD55D1" w14:textId="77777777" w:rsidR="00DF18DC" w:rsidRPr="00F828F6" w:rsidRDefault="00DF18DC">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18DC" w14:paraId="0EDBD730" w14:textId="77777777">
        <w:trPr>
          <w:trHeight w:val="355"/>
          <w:jc w:val="center"/>
        </w:trPr>
        <w:tc>
          <w:tcPr>
            <w:tcW w:w="8820" w:type="dxa"/>
            <w:tcBorders>
              <w:top w:val="nil"/>
              <w:left w:val="nil"/>
              <w:bottom w:val="nil"/>
              <w:right w:val="nil"/>
            </w:tcBorders>
          </w:tcPr>
          <w:p w14:paraId="3A31E61A" w14:textId="77777777" w:rsidR="00F828F6" w:rsidRPr="00F828F6" w:rsidRDefault="00F828F6" w:rsidP="00F828F6">
            <w:pPr>
              <w:jc w:val="center"/>
              <w:rPr>
                <w:rFonts w:ascii="Arial" w:hAnsi="Arial" w:cs="Arial"/>
                <w:b/>
                <w:bCs/>
                <w:sz w:val="32"/>
                <w:szCs w:val="32"/>
                <w:u w:val="single"/>
                <w:rtl/>
              </w:rPr>
            </w:pPr>
            <w:bookmarkStart w:id="6" w:name="PsakDin" w:colFirst="0" w:colLast="0"/>
            <w:bookmarkEnd w:id="0"/>
            <w:r w:rsidRPr="00F828F6">
              <w:rPr>
                <w:rFonts w:ascii="Arial" w:hAnsi="Arial" w:cs="Arial"/>
                <w:b/>
                <w:bCs/>
                <w:sz w:val="32"/>
                <w:szCs w:val="32"/>
                <w:u w:val="single"/>
                <w:rtl/>
              </w:rPr>
              <w:t>גזר דין</w:t>
            </w:r>
          </w:p>
          <w:p w14:paraId="27554F9C" w14:textId="77777777" w:rsidR="00DF18DC" w:rsidRPr="00F828F6" w:rsidRDefault="00DF18DC" w:rsidP="00F828F6">
            <w:pPr>
              <w:jc w:val="center"/>
              <w:rPr>
                <w:rFonts w:ascii="Arial" w:hAnsi="Arial" w:cs="Arial"/>
                <w:bCs/>
                <w:sz w:val="32"/>
                <w:szCs w:val="32"/>
                <w:u w:val="single"/>
                <w:rtl/>
              </w:rPr>
            </w:pPr>
          </w:p>
        </w:tc>
      </w:tr>
      <w:bookmarkEnd w:id="6"/>
    </w:tbl>
    <w:p w14:paraId="22DAF2CE" w14:textId="77777777" w:rsidR="00DF18DC" w:rsidRDefault="00DF18DC">
      <w:pPr>
        <w:rPr>
          <w:rFonts w:ascii="Arial" w:hAnsi="Arial" w:cs="Arial"/>
          <w:rtl/>
        </w:rPr>
      </w:pPr>
    </w:p>
    <w:p w14:paraId="44A17C50" w14:textId="77777777" w:rsidR="00DF18DC" w:rsidRDefault="00F828F6">
      <w:pPr>
        <w:numPr>
          <w:ilvl w:val="0"/>
          <w:numId w:val="1"/>
        </w:numPr>
        <w:tabs>
          <w:tab w:val="clear" w:pos="720"/>
        </w:tabs>
        <w:spacing w:after="200" w:line="360" w:lineRule="auto"/>
        <w:ind w:left="567" w:hanging="567"/>
        <w:jc w:val="both"/>
        <w:rPr>
          <w:rFonts w:ascii="Arial" w:hAnsi="Arial" w:cs="Arial"/>
        </w:rPr>
      </w:pPr>
      <w:bookmarkStart w:id="7" w:name="ABSTRACT_START"/>
      <w:bookmarkEnd w:id="7"/>
      <w:r>
        <w:rPr>
          <w:rFonts w:ascii="Arial" w:hAnsi="Arial" w:cs="Arial"/>
          <w:rtl/>
        </w:rPr>
        <w:t xml:space="preserve">הנאשמת הורשעה עפ"י הודייתה בעבירות שעניינן ייבוא סם מסוכן לפי </w:t>
      </w:r>
      <w:hyperlink r:id="rId12" w:history="1">
        <w:r w:rsidR="002B1C8B" w:rsidRPr="002B1C8B">
          <w:rPr>
            <w:rFonts w:ascii="Arial" w:hAnsi="Arial" w:cs="Arial"/>
            <w:color w:val="0000FF"/>
            <w:u w:val="single"/>
            <w:rtl/>
          </w:rPr>
          <w:t>סעיף 13</w:t>
        </w:r>
      </w:hyperlink>
      <w:r>
        <w:rPr>
          <w:rFonts w:ascii="Arial" w:hAnsi="Arial" w:cs="Arial"/>
          <w:rtl/>
        </w:rPr>
        <w:t xml:space="preserve"> ל</w:t>
      </w:r>
      <w:hyperlink r:id="rId13" w:history="1">
        <w:r w:rsidRPr="00F828F6">
          <w:rPr>
            <w:rFonts w:ascii="Arial" w:hAnsi="Arial" w:cs="Arial"/>
            <w:color w:val="0000FF"/>
            <w:u w:val="single"/>
            <w:rtl/>
          </w:rPr>
          <w:t>פקודת הסמים המסוכנים</w:t>
        </w:r>
      </w:hyperlink>
      <w:r>
        <w:rPr>
          <w:rFonts w:ascii="Arial" w:hAnsi="Arial" w:cs="Arial"/>
          <w:rtl/>
        </w:rPr>
        <w:t xml:space="preserve"> [נוסח חדש], התשל"ג – 1973 (להלן: "</w:t>
      </w:r>
      <w:r>
        <w:rPr>
          <w:rFonts w:ascii="Arial" w:hAnsi="Arial" w:cs="Arial"/>
          <w:b/>
          <w:bCs/>
          <w:sz w:val="22"/>
          <w:szCs w:val="22"/>
          <w:rtl/>
        </w:rPr>
        <w:t>פקודת הסמים המסוכנים</w:t>
      </w:r>
      <w:r>
        <w:rPr>
          <w:rFonts w:ascii="Arial" w:hAnsi="Arial" w:cs="Arial"/>
          <w:rtl/>
        </w:rPr>
        <w:t>" או "</w:t>
      </w:r>
      <w:r>
        <w:rPr>
          <w:rFonts w:ascii="Arial" w:hAnsi="Arial" w:cs="Arial"/>
          <w:b/>
          <w:bCs/>
          <w:sz w:val="22"/>
          <w:szCs w:val="22"/>
          <w:rtl/>
        </w:rPr>
        <w:t>הפקודה</w:t>
      </w:r>
      <w:r>
        <w:rPr>
          <w:rFonts w:ascii="Arial" w:hAnsi="Arial" w:cs="Arial"/>
          <w:rtl/>
        </w:rPr>
        <w:t xml:space="preserve">") ביחד עם </w:t>
      </w:r>
      <w:hyperlink r:id="rId14" w:history="1">
        <w:r w:rsidR="002B1C8B" w:rsidRPr="002B1C8B">
          <w:rPr>
            <w:rFonts w:ascii="Arial" w:hAnsi="Arial" w:cs="Arial"/>
            <w:color w:val="0000FF"/>
            <w:u w:val="single"/>
            <w:rtl/>
          </w:rPr>
          <w:t>סעיף 19א</w:t>
        </w:r>
      </w:hyperlink>
      <w:r>
        <w:rPr>
          <w:rFonts w:ascii="Arial" w:hAnsi="Arial" w:cs="Arial"/>
          <w:rtl/>
        </w:rPr>
        <w:t xml:space="preserve"> לפקודה. </w:t>
      </w:r>
    </w:p>
    <w:p w14:paraId="022ADABD" w14:textId="77777777" w:rsidR="00DF18DC" w:rsidRDefault="00F828F6">
      <w:pPr>
        <w:numPr>
          <w:ilvl w:val="0"/>
          <w:numId w:val="1"/>
        </w:numPr>
        <w:tabs>
          <w:tab w:val="clear" w:pos="720"/>
        </w:tabs>
        <w:spacing w:after="200" w:line="360" w:lineRule="auto"/>
        <w:ind w:left="567" w:hanging="567"/>
        <w:jc w:val="both"/>
        <w:rPr>
          <w:rFonts w:ascii="Arial" w:hAnsi="Arial" w:cs="Arial"/>
        </w:rPr>
      </w:pPr>
      <w:bookmarkStart w:id="8" w:name="ABSTRACT_END"/>
      <w:bookmarkEnd w:id="8"/>
      <w:r>
        <w:rPr>
          <w:rFonts w:ascii="Arial" w:hAnsi="Arial" w:cs="Arial"/>
          <w:rtl/>
        </w:rPr>
        <w:t>הנאשמת אזרחית קולומביה. עפ"י עובדות כתב האישום, בחודש יוני 13' ראתה הנאשמת בעמוד ה"פייסבוק" של חברתה קריסטינה גומז (להלן: "</w:t>
      </w:r>
      <w:r>
        <w:rPr>
          <w:rFonts w:ascii="Arial" w:hAnsi="Arial" w:cs="Arial"/>
          <w:b/>
          <w:bCs/>
          <w:sz w:val="22"/>
          <w:szCs w:val="22"/>
          <w:rtl/>
        </w:rPr>
        <w:t>קריסטינה</w:t>
      </w:r>
      <w:r>
        <w:rPr>
          <w:rFonts w:ascii="Arial" w:hAnsi="Arial" w:cs="Arial"/>
          <w:rtl/>
        </w:rPr>
        <w:t xml:space="preserve">"), כי היא ביקרה מחוץ לקולומביה. משביררה את פשר הדבר התחוור לנאשמת כי קריסטינה החדירה סמים לישראל ובתמורה קיבלה כ- 17 מיליון פסוס קולומביאנים, אז ביקשה ממנה לצרפה לנסיעה עתידית על מנת שאף היא תחדיר סמים תמורת תשלום. </w:t>
      </w:r>
    </w:p>
    <w:p w14:paraId="411637B0"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lastRenderedPageBreak/>
        <w:t xml:space="preserve">קריסטינה קישרה בין הנאשמת לבין אדם בשם אתור, אשר הורה לה להוציא דרכון בתוקף ולצבוע את שיערה לצורך נסיעתה לישראל. הנאשמת עשתה כן. </w:t>
      </w:r>
    </w:p>
    <w:p w14:paraId="0C63292B"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 xml:space="preserve">ביום 8.7.13 מסר אתור לנאשמת, באמצעות קריסטינה, כרטיסי טיסה לישראל, כסף מזומן בסך 500 דולר, הזמנה למלון בירושלים וסם מסוכן מסוג קוקאין במשקל 660.93 גרם (להלן: </w:t>
      </w:r>
      <w:r>
        <w:rPr>
          <w:rFonts w:ascii="Arial" w:hAnsi="Arial" w:cs="Arial"/>
          <w:b/>
          <w:bCs/>
          <w:sz w:val="22"/>
          <w:szCs w:val="22"/>
          <w:rtl/>
        </w:rPr>
        <w:t>"הסם"</w:t>
      </w:r>
      <w:r>
        <w:rPr>
          <w:rFonts w:ascii="Arial" w:hAnsi="Arial" w:cs="Arial"/>
          <w:rtl/>
        </w:rPr>
        <w:t xml:space="preserve">). כן הבטיח לשלם לה תמורה בסך 17,000,000 פסוס קולומביאנים עם שובה לקולומביה, לאחר החדרת הסמים לישראל. </w:t>
      </w:r>
    </w:p>
    <w:p w14:paraId="532F1303"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 xml:space="preserve">ביום 10.7.13, בשעה 1:20, נחתה הנאשמת בנמל התעופה בן גוריון כשבאיבר מינה  זרג ובתוכו הסם. </w:t>
      </w:r>
    </w:p>
    <w:p w14:paraId="4FF9435D" w14:textId="77777777" w:rsidR="00DF18DC" w:rsidRDefault="00F828F6">
      <w:pPr>
        <w:spacing w:after="200" w:line="360" w:lineRule="auto"/>
        <w:ind w:left="567" w:hanging="567"/>
        <w:jc w:val="both"/>
        <w:rPr>
          <w:rFonts w:ascii="Arial" w:hAnsi="Arial" w:cs="Arial"/>
          <w:b/>
          <w:bCs/>
          <w:u w:val="single"/>
        </w:rPr>
      </w:pPr>
      <w:r>
        <w:rPr>
          <w:rFonts w:ascii="Arial" w:hAnsi="Arial" w:cs="Arial"/>
          <w:rtl/>
        </w:rPr>
        <w:tab/>
      </w:r>
      <w:r>
        <w:rPr>
          <w:rFonts w:ascii="Arial" w:hAnsi="Arial" w:cs="Arial"/>
          <w:b/>
          <w:bCs/>
          <w:u w:val="single"/>
          <w:rtl/>
        </w:rPr>
        <w:t>טיעוני הצדדים לעונש</w:t>
      </w:r>
    </w:p>
    <w:p w14:paraId="289A287E"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 xml:space="preserve">ב"כ המאשימה, עוה"ד גלעד ארליך, עמד על משקלו הנכבד של הסם והטעים את הנזק החברתי שעלול היה להיגרם אלמלא נתפס. התובע גרס כי יש לבכר את שיקולי הגמול וההרתעה על פני נסיבותיה האישיות של הנאשמת, בהתחשב בנפיצות העבירות של ייבוא סמים מדרום אמריקה. לדידו, מדיניות הענישה הקיימת אינה הולמת את חומרת העבירות והגיעה העת להחמיר בענישה כדי למגר את התופעה. </w:t>
      </w:r>
    </w:p>
    <w:p w14:paraId="3D103E38"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 xml:space="preserve">חומרת יתר ייחס ליוזמה שנטלה הנאשמת לידה כאשר פנתה לסוחרי הסמים (באמצעות חברתה) והציעה את שירותיה, תוך נקיטת פעולות הכנה, כמו צביעת שערה וחידוש דרכונה. </w:t>
      </w:r>
    </w:p>
    <w:p w14:paraId="332FB905"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התובע גרס, כי מתחם הענישה ההולם נע בין 40 חודשי מאסר ל – 6 שנות מאסר ועתר להשית על הנאשמת עונש של 55 חודשי מאסר. הוגשה אסופת פסיקה התומכת בעמדתו. כן, עתר להשית על הנאשמת מאסר על תנאי וקנס ולחלט את הכספים שנתפסו ברשותה.</w:t>
      </w:r>
    </w:p>
    <w:p w14:paraId="48D9C404" w14:textId="77777777" w:rsidR="00DF18DC" w:rsidRDefault="00F828F6">
      <w:pPr>
        <w:numPr>
          <w:ilvl w:val="0"/>
          <w:numId w:val="1"/>
        </w:numPr>
        <w:tabs>
          <w:tab w:val="clear" w:pos="720"/>
        </w:tabs>
        <w:spacing w:line="360" w:lineRule="auto"/>
        <w:ind w:left="567" w:hanging="567"/>
        <w:jc w:val="both"/>
        <w:rPr>
          <w:rFonts w:ascii="Arial" w:hAnsi="Arial" w:cs="Arial"/>
        </w:rPr>
      </w:pPr>
      <w:r>
        <w:rPr>
          <w:rFonts w:ascii="Arial" w:hAnsi="Arial" w:cs="Arial"/>
          <w:rtl/>
        </w:rPr>
        <w:t xml:space="preserve">ב"כ הנאשמת, עוה"ד גלית בש, טענה למתחם הענישה שנע בין 18 ל - 45 חודשי מאסר. </w:t>
      </w:r>
    </w:p>
    <w:p w14:paraId="6541A711" w14:textId="77777777" w:rsidR="00DF18DC" w:rsidRDefault="00DF18DC">
      <w:pPr>
        <w:ind w:left="567" w:hanging="567"/>
        <w:jc w:val="both"/>
        <w:rPr>
          <w:rFonts w:ascii="Arial" w:hAnsi="Arial" w:cs="Arial"/>
        </w:rPr>
      </w:pPr>
    </w:p>
    <w:p w14:paraId="22B31A4F" w14:textId="77777777" w:rsidR="00DF18DC" w:rsidRDefault="00F828F6">
      <w:pPr>
        <w:numPr>
          <w:ilvl w:val="0"/>
          <w:numId w:val="1"/>
        </w:numPr>
        <w:tabs>
          <w:tab w:val="clear" w:pos="720"/>
        </w:tabs>
        <w:spacing w:line="360" w:lineRule="auto"/>
        <w:ind w:left="567" w:hanging="567"/>
        <w:jc w:val="both"/>
        <w:rPr>
          <w:rFonts w:ascii="Arial" w:hAnsi="Arial" w:cs="Arial"/>
        </w:rPr>
      </w:pPr>
      <w:r>
        <w:rPr>
          <w:rFonts w:ascii="Arial" w:hAnsi="Arial" w:cs="Arial"/>
          <w:rtl/>
        </w:rPr>
        <w:t xml:space="preserve">הסנגורית עמדה על נסיבותיה הקשות של הנאשמת; אזרחית קולומביה, כבת 34, אם חד הורית לארבעה ילדים בגילאי 4, 6, 15 ו- 19, אשר ביצעה את העבירות מתוך מצוקה כספית ובמטרה לפרנס את ילדיה. אמה של הנאשמת סובלת מבעיות רפואיות ומאושפזת בבית חולים. שני אחיה נפטרו, האחד, אשר טיפל בילדיה, נפטר בשנה האחרונה ומאז נותרו ילדיה ללא גורם משגיח. בנה בן ה – 15 פיתח תלות בסמים </w:t>
      </w:r>
      <w:r>
        <w:rPr>
          <w:rFonts w:ascii="Arial" w:hAnsi="Arial" w:cs="Arial"/>
          <w:rtl/>
        </w:rPr>
        <w:lastRenderedPageBreak/>
        <w:t>ומתגורר ברחובות (הוגש אישור מתורגם מהשגרירות הקולומביאנית חתום בידי השגריר קמילו סנדובאל).</w:t>
      </w:r>
    </w:p>
    <w:p w14:paraId="4C050817" w14:textId="77777777" w:rsidR="00DF18DC" w:rsidRDefault="00DF18DC">
      <w:pPr>
        <w:ind w:left="567" w:hanging="567"/>
        <w:jc w:val="both"/>
        <w:rPr>
          <w:rFonts w:ascii="Arial" w:hAnsi="Arial" w:cs="Arial"/>
        </w:rPr>
      </w:pPr>
    </w:p>
    <w:p w14:paraId="78142774" w14:textId="77777777" w:rsidR="00DF18DC" w:rsidRDefault="00F828F6">
      <w:pPr>
        <w:numPr>
          <w:ilvl w:val="0"/>
          <w:numId w:val="1"/>
        </w:numPr>
        <w:tabs>
          <w:tab w:val="clear" w:pos="720"/>
        </w:tabs>
        <w:spacing w:line="360" w:lineRule="auto"/>
        <w:ind w:left="567" w:hanging="567"/>
        <w:jc w:val="both"/>
        <w:rPr>
          <w:rFonts w:ascii="Arial" w:hAnsi="Arial" w:cs="Arial"/>
        </w:rPr>
      </w:pPr>
      <w:r>
        <w:rPr>
          <w:rFonts w:ascii="Arial" w:hAnsi="Arial" w:cs="Arial"/>
          <w:rtl/>
        </w:rPr>
        <w:t>הסנגורית הטעימה את שיתוף הפעולה של הנאשמת עם הרשויות. כתב האישום מבוסס על עדותה במשטרה, בגדרה תיארה את מסכת הייבוא בפרוטרוט, מבלי להסתיר עובדות, הגם שאלו הרעו את מצבה. כן ביקשה להתחשב בבדידותה וזרותה של הנאשמת, אשר אינה דוברת עברית, אין ברשותה כסף למחיה והיא נעדרת תמיכה. היא שוהה במעצר בתנאים קשים אלו מזה כשנה.</w:t>
      </w:r>
    </w:p>
    <w:p w14:paraId="383A89D2"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 xml:space="preserve">בנסיבות המתוארות ובמיוחד בשל היותה אם חד הורית, גרסה הסנגורית כי יש להקל בעונשה של הנאשמת ואין להשית עליה קנס כספי. כן, ביקשה להותיר בידיה סכום כסף למחייה מתוך הכספים שנתפסו ברשותה. הסנגורית הגישה אסופת פסיקה לתמיכה בעמדתה לעונש. </w:t>
      </w:r>
    </w:p>
    <w:p w14:paraId="38C620B8" w14:textId="77777777" w:rsidR="00DF18DC" w:rsidRDefault="00F828F6">
      <w:pPr>
        <w:spacing w:after="200" w:line="360" w:lineRule="auto"/>
        <w:ind w:left="567" w:hanging="567"/>
        <w:jc w:val="both"/>
        <w:rPr>
          <w:rFonts w:ascii="Arial" w:hAnsi="Arial" w:cs="Arial"/>
          <w:b/>
          <w:bCs/>
          <w:u w:val="single"/>
        </w:rPr>
      </w:pPr>
      <w:r>
        <w:rPr>
          <w:rFonts w:ascii="Arial" w:hAnsi="Arial" w:cs="Arial"/>
          <w:rtl/>
        </w:rPr>
        <w:tab/>
      </w:r>
      <w:r>
        <w:rPr>
          <w:rFonts w:ascii="Arial" w:hAnsi="Arial" w:cs="Arial"/>
          <w:b/>
          <w:bCs/>
          <w:u w:val="single"/>
          <w:rtl/>
        </w:rPr>
        <w:t>דיון והכרעה</w:t>
      </w:r>
    </w:p>
    <w:p w14:paraId="23E20E1C"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העיקרון המנחה בענישה, בעקבות תיקון 113 ל</w:t>
      </w:r>
      <w:hyperlink r:id="rId15" w:history="1">
        <w:r w:rsidRPr="00F828F6">
          <w:rPr>
            <w:rFonts w:ascii="Arial" w:hAnsi="Arial" w:cs="Arial"/>
            <w:color w:val="0000FF"/>
            <w:u w:val="single"/>
            <w:rtl/>
          </w:rPr>
          <w:t>חוק העונשין</w:t>
        </w:r>
      </w:hyperlink>
      <w:r>
        <w:rPr>
          <w:rFonts w:ascii="Arial" w:hAnsi="Arial" w:cs="Arial"/>
          <w:rtl/>
        </w:rPr>
        <w:t xml:space="preserve">, הוא קיומו של הלימה בין חומרת מעשה העבירה, נסיבות ביצועו ומידת אשמו של הנאשם לבין סוג ומידת העונש שעליו לשאת. נסיבותיו האישיות של הנאשם משפיעות על מקומו של העונש בתוך טווח הענישה, אולם אין בהן כדי להשפיע על קביעת מתחם העונש ההולם. </w:t>
      </w:r>
    </w:p>
    <w:p w14:paraId="324404CA" w14:textId="77777777" w:rsidR="00DF18DC" w:rsidRDefault="00F828F6">
      <w:pPr>
        <w:numPr>
          <w:ilvl w:val="0"/>
          <w:numId w:val="1"/>
        </w:numPr>
        <w:tabs>
          <w:tab w:val="clear" w:pos="720"/>
        </w:tabs>
        <w:spacing w:after="200" w:line="360" w:lineRule="auto"/>
        <w:ind w:left="567" w:hanging="567"/>
        <w:jc w:val="both"/>
        <w:rPr>
          <w:rFonts w:ascii="Arial" w:hAnsi="Arial" w:cs="Arial"/>
          <w:rtl/>
        </w:rPr>
      </w:pPr>
      <w:r>
        <w:rPr>
          <w:rFonts w:ascii="Arial" w:hAnsi="Arial" w:cs="Arial"/>
          <w:rtl/>
        </w:rPr>
        <w:t>עקרון ההלימה קיים מקדמא דנא, הגם שבלבוש שונה. ידועה ההלכה לפיה בעבירות הסמים ככלל ובעבירות ייבוא בפרט יש ליתן בכורה לשלום הציבור ובריאותו. לעניין זה ראה:</w:t>
      </w:r>
    </w:p>
    <w:p w14:paraId="76789132" w14:textId="77777777" w:rsidR="00DF18DC" w:rsidRDefault="00F828F6">
      <w:pPr>
        <w:tabs>
          <w:tab w:val="left" w:pos="1134"/>
          <w:tab w:val="left" w:pos="1502"/>
        </w:tabs>
        <w:spacing w:after="200" w:line="276" w:lineRule="auto"/>
        <w:ind w:left="1275" w:right="851"/>
        <w:jc w:val="both"/>
        <w:rPr>
          <w:rFonts w:ascii="Arial" w:hAnsi="Arial" w:cs="Arial"/>
          <w:sz w:val="22"/>
          <w:szCs w:val="22"/>
          <w:rtl/>
        </w:rPr>
      </w:pPr>
      <w:r>
        <w:rPr>
          <w:rFonts w:ascii="Arial" w:hAnsi="Arial" w:cs="Arial"/>
          <w:sz w:val="22"/>
          <w:szCs w:val="22"/>
          <w:rtl/>
        </w:rPr>
        <w:t>"</w:t>
      </w:r>
      <w:r>
        <w:rPr>
          <w:rFonts w:ascii="Arial" w:hAnsi="Arial" w:cs="Arial"/>
          <w:b/>
          <w:bCs/>
          <w:sz w:val="22"/>
          <w:szCs w:val="22"/>
          <w:rtl/>
        </w:rPr>
        <w:t>מתוך מודעות להשפעות הקשות של השימוש בסמים על גופו ועל נפשו של המשתמש – בין השאר, יציאתו של אדם ממעגל החיים הרגיל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Fonts w:ascii="Arial" w:hAnsi="Arial" w:cs="Arial"/>
          <w:sz w:val="22"/>
          <w:szCs w:val="22"/>
          <w:rtl/>
        </w:rPr>
        <w:t>" (</w:t>
      </w:r>
      <w:hyperlink r:id="rId16" w:history="1">
        <w:r w:rsidRPr="00F828F6">
          <w:rPr>
            <w:rFonts w:ascii="Arial" w:hAnsi="Arial" w:cs="Arial"/>
            <w:color w:val="0000FF"/>
            <w:sz w:val="22"/>
            <w:szCs w:val="22"/>
            <w:u w:val="single"/>
            <w:rtl/>
          </w:rPr>
          <w:t>ע"פ 6029/03</w:t>
        </w:r>
      </w:hyperlink>
      <w:r>
        <w:rPr>
          <w:rFonts w:ascii="Arial" w:hAnsi="Arial" w:cs="Arial"/>
          <w:sz w:val="22"/>
          <w:szCs w:val="22"/>
          <w:rtl/>
        </w:rPr>
        <w:t xml:space="preserve"> </w:t>
      </w:r>
      <w:r>
        <w:rPr>
          <w:rFonts w:ascii="Arial" w:hAnsi="Arial" w:cs="Arial"/>
          <w:b/>
          <w:bCs/>
          <w:sz w:val="22"/>
          <w:szCs w:val="22"/>
          <w:rtl/>
        </w:rPr>
        <w:t>מדינת ישראל נ' שמאי</w:t>
      </w:r>
      <w:r>
        <w:rPr>
          <w:rFonts w:ascii="Arial" w:hAnsi="Arial" w:cs="Arial"/>
          <w:sz w:val="22"/>
          <w:szCs w:val="22"/>
          <w:rtl/>
        </w:rPr>
        <w:t>, נח(2) 734 (2004)).</w:t>
      </w:r>
    </w:p>
    <w:p w14:paraId="0A6726E0" w14:textId="77777777" w:rsidR="00DF18DC" w:rsidRDefault="00F828F6">
      <w:pPr>
        <w:numPr>
          <w:ilvl w:val="0"/>
          <w:numId w:val="1"/>
        </w:numPr>
        <w:tabs>
          <w:tab w:val="clear" w:pos="720"/>
        </w:tabs>
        <w:spacing w:line="360" w:lineRule="auto"/>
        <w:ind w:left="567" w:hanging="567"/>
        <w:jc w:val="both"/>
        <w:rPr>
          <w:rFonts w:ascii="Arial" w:hAnsi="Arial" w:cs="Arial"/>
        </w:rPr>
      </w:pPr>
      <w:r>
        <w:rPr>
          <w:rFonts w:ascii="Arial" w:hAnsi="Arial" w:cs="Arial"/>
          <w:rtl/>
        </w:rPr>
        <w:t xml:space="preserve">לא אחת נפסק, כי יש להחמיר בעונשיהם של בלדרים, חרף מעמדם הנמוך בהיררכיה העבריינית, בשל תפקידם החשוב במערכת הפצת הסמים לחברה (ר' למשל </w:t>
      </w:r>
      <w:hyperlink r:id="rId17" w:history="1">
        <w:r w:rsidRPr="00F828F6">
          <w:rPr>
            <w:rFonts w:ascii="Arial" w:hAnsi="Arial" w:cs="Arial"/>
            <w:color w:val="0000FF"/>
            <w:u w:val="single"/>
            <w:rtl/>
          </w:rPr>
          <w:t>ע"פ 3820/09</w:t>
        </w:r>
      </w:hyperlink>
      <w:r>
        <w:rPr>
          <w:rFonts w:ascii="Arial" w:hAnsi="Arial" w:cs="Arial"/>
          <w:szCs w:val="22"/>
          <w:rtl/>
        </w:rPr>
        <w:t xml:space="preserve"> </w:t>
      </w:r>
      <w:r>
        <w:rPr>
          <w:rFonts w:ascii="Arial" w:hAnsi="Arial" w:cs="Arial"/>
          <w:b/>
          <w:bCs/>
          <w:szCs w:val="22"/>
          <w:rtl/>
        </w:rPr>
        <w:t>מדינת ישראל נ' אוחיון</w:t>
      </w:r>
      <w:r>
        <w:rPr>
          <w:rFonts w:ascii="Arial" w:hAnsi="Arial" w:cs="Arial"/>
          <w:szCs w:val="22"/>
          <w:rtl/>
        </w:rPr>
        <w:t xml:space="preserve"> </w:t>
      </w:r>
      <w:r>
        <w:rPr>
          <w:rFonts w:ascii="Arial" w:hAnsi="Arial" w:cs="Arial"/>
          <w:rtl/>
        </w:rPr>
        <w:t>(פורסם בנבו, 6.9.09)).</w:t>
      </w:r>
    </w:p>
    <w:p w14:paraId="324B0EA8" w14:textId="77777777" w:rsidR="00DF18DC" w:rsidRDefault="00F828F6">
      <w:pPr>
        <w:spacing w:after="200" w:line="360" w:lineRule="auto"/>
        <w:ind w:left="567"/>
        <w:jc w:val="both"/>
        <w:rPr>
          <w:rFonts w:ascii="Arial" w:hAnsi="Arial" w:cs="Arial"/>
          <w:rtl/>
        </w:rPr>
      </w:pPr>
      <w:r>
        <w:rPr>
          <w:rFonts w:ascii="Arial" w:hAnsi="Arial" w:cs="Arial"/>
          <w:rtl/>
        </w:rPr>
        <w:t>לעניין זה קבעתי במקום אחר:</w:t>
      </w:r>
    </w:p>
    <w:p w14:paraId="047E0E1D" w14:textId="77777777" w:rsidR="00DF18DC" w:rsidRDefault="00F828F6">
      <w:pPr>
        <w:spacing w:after="200" w:line="276" w:lineRule="auto"/>
        <w:ind w:left="1275" w:right="851"/>
        <w:jc w:val="both"/>
        <w:rPr>
          <w:rFonts w:ascii="Arial" w:hAnsi="Arial" w:cs="Arial"/>
          <w:b/>
          <w:bCs/>
          <w:sz w:val="22"/>
          <w:szCs w:val="22"/>
        </w:rPr>
      </w:pPr>
      <w:r>
        <w:rPr>
          <w:rFonts w:ascii="Arial" w:hAnsi="Arial" w:cs="Arial"/>
          <w:sz w:val="22"/>
          <w:szCs w:val="22"/>
          <w:rtl/>
        </w:rPr>
        <w:t>"</w:t>
      </w:r>
      <w:r>
        <w:rPr>
          <w:rFonts w:ascii="Arial" w:hAnsi="Arial" w:cs="Arial"/>
          <w:b/>
          <w:bCs/>
          <w:sz w:val="22"/>
          <w:szCs w:val="22"/>
          <w:rtl/>
        </w:rPr>
        <w:t xml:space="preserve">בלדרות סמים, על פי טיבה ואופייה, מעמידה בקדמת הבמה את החוליה החלשה שבשרשרת הסם. הבלדרים, דרך כלל, אינם מעורבים בליבת עסקי הסמים אלא משמשים זרוע ארוכה לשולחיהם. הם עצמם, לרוב, אנשים תמימים וקשיי יום, אשר משמשים "בולעני סמים", כלי קיבול חי לייבוא הסמים, בשל מצוקה כלכלית ומתוך רצון לקדם את מצבם הכלכלי ולהפיק רווחים בתוך פרק זמן קצר, אגב נטילת סיכון. </w:t>
      </w:r>
    </w:p>
    <w:p w14:paraId="72F02228" w14:textId="77777777" w:rsidR="00DF18DC" w:rsidRDefault="00F828F6">
      <w:pPr>
        <w:spacing w:after="200" w:line="276" w:lineRule="auto"/>
        <w:ind w:left="1275" w:right="851"/>
        <w:jc w:val="both"/>
        <w:rPr>
          <w:rFonts w:ascii="Arial" w:hAnsi="Arial" w:cs="Arial"/>
          <w:sz w:val="22"/>
          <w:szCs w:val="22"/>
        </w:rPr>
      </w:pPr>
      <w:r>
        <w:rPr>
          <w:rFonts w:ascii="Arial" w:hAnsi="Arial" w:cs="Arial"/>
          <w:b/>
          <w:bCs/>
          <w:sz w:val="22"/>
          <w:szCs w:val="22"/>
          <w:rtl/>
        </w:rPr>
        <w:t>שולחיהם מנצלים לא פעם את חולשתם ומצוקתם. בנסיבות אלו, הקלה בעונשי בלדרים מטעמים של מצוקה וחולשה, כמוה כמתן "תמריץ" להמשך ביצוע העבירות על ידם ויהא בכך משום מסר שלילי לעבריינים בכוח. לפיכך, ראיתי להעדיף את האינטרס הציבורי ואת ההכרח בענישה הרתעתית כחלק מהמאבק הקשה בפגיעתם הרעה של הסמים</w:t>
      </w:r>
      <w:r>
        <w:rPr>
          <w:rFonts w:ascii="Arial" w:hAnsi="Arial" w:cs="Arial"/>
          <w:sz w:val="22"/>
          <w:szCs w:val="22"/>
          <w:rtl/>
        </w:rPr>
        <w:t>"</w:t>
      </w:r>
      <w:r>
        <w:rPr>
          <w:rFonts w:ascii="Arial" w:hAnsi="Arial" w:cs="Arial"/>
          <w:b/>
          <w:bCs/>
          <w:sz w:val="22"/>
          <w:szCs w:val="22"/>
          <w:rtl/>
        </w:rPr>
        <w:t xml:space="preserve"> </w:t>
      </w:r>
      <w:r>
        <w:rPr>
          <w:rFonts w:ascii="Arial" w:hAnsi="Arial" w:cs="Arial"/>
          <w:sz w:val="22"/>
          <w:szCs w:val="22"/>
          <w:rtl/>
        </w:rPr>
        <w:t>(</w:t>
      </w:r>
      <w:hyperlink r:id="rId18" w:history="1">
        <w:r w:rsidRPr="00F828F6">
          <w:rPr>
            <w:rFonts w:ascii="Arial" w:hAnsi="Arial" w:cs="Arial"/>
            <w:color w:val="0000FF"/>
            <w:sz w:val="22"/>
            <w:szCs w:val="22"/>
            <w:u w:val="single"/>
            <w:rtl/>
          </w:rPr>
          <w:t>ת"פ  11574-08-12</w:t>
        </w:r>
      </w:hyperlink>
      <w:r>
        <w:rPr>
          <w:rFonts w:ascii="Arial" w:hAnsi="Arial" w:cs="Arial"/>
          <w:b/>
          <w:bCs/>
          <w:sz w:val="22"/>
          <w:szCs w:val="22"/>
          <w:rtl/>
        </w:rPr>
        <w:t xml:space="preserve"> מדינת ישראל נ' אלברס</w:t>
      </w:r>
      <w:r>
        <w:rPr>
          <w:rFonts w:ascii="Arial" w:hAnsi="Arial" w:cs="Arial"/>
          <w:sz w:val="22"/>
          <w:szCs w:val="22"/>
          <w:rtl/>
        </w:rPr>
        <w:t>).</w:t>
      </w:r>
    </w:p>
    <w:p w14:paraId="015B5E82" w14:textId="77777777" w:rsidR="00DF18DC" w:rsidRDefault="00F828F6">
      <w:pPr>
        <w:numPr>
          <w:ilvl w:val="0"/>
          <w:numId w:val="1"/>
        </w:numPr>
        <w:tabs>
          <w:tab w:val="clear" w:pos="720"/>
        </w:tabs>
        <w:spacing w:after="200" w:line="360" w:lineRule="auto"/>
        <w:ind w:left="567" w:hanging="567"/>
        <w:jc w:val="both"/>
        <w:rPr>
          <w:rFonts w:ascii="Arial" w:hAnsi="Arial" w:cs="Arial"/>
        </w:rPr>
      </w:pPr>
      <w:r>
        <w:rPr>
          <w:rFonts w:ascii="Arial" w:hAnsi="Arial" w:cs="Arial"/>
          <w:rtl/>
        </w:rPr>
        <w:t>הדברים יפים לענייננו. אין ספק שהנאשמת ביצעה את העבירה על רקע מצוקה ונסיבות חיים קשות, אולם בוודאי שאין באלו כדי להצדיק את מעשיה, אף לא למתן הקלה בת משקל בעונשה.</w:t>
      </w:r>
    </w:p>
    <w:p w14:paraId="29454C03" w14:textId="77777777" w:rsidR="00DF18DC" w:rsidRDefault="00F828F6">
      <w:pPr>
        <w:numPr>
          <w:ilvl w:val="0"/>
          <w:numId w:val="1"/>
        </w:numPr>
        <w:tabs>
          <w:tab w:val="clear" w:pos="720"/>
        </w:tabs>
        <w:spacing w:after="200" w:line="360" w:lineRule="auto"/>
        <w:ind w:left="567" w:hanging="567"/>
        <w:jc w:val="both"/>
        <w:rPr>
          <w:rFonts w:ascii="Arial" w:hAnsi="Arial" w:cs="Arial"/>
          <w:b/>
          <w:bCs/>
          <w:u w:val="single"/>
        </w:rPr>
      </w:pPr>
      <w:r>
        <w:rPr>
          <w:rFonts w:ascii="Arial" w:hAnsi="Arial" w:cs="Arial"/>
          <w:rtl/>
        </w:rPr>
        <w:t xml:space="preserve">בקביעת מתחם הענישה ההולם נתתי דעתי לנזק הפוטנציאלי הגלום בסם, סוגו וכמותו הנכבדה (660 גרם), לרבות היוזמה שנטלה הנאשמת בביצוע העבירה,  תכנונה, תזמונה וקביעת תמורה נכבדה בגינה. בהינתן כל אלו ובהתחשב במדיניות הענישה הנהוגה, אני קובעת מתחם ענישה הולם של 24 עד 55 חודשי מאסר. </w:t>
      </w:r>
    </w:p>
    <w:p w14:paraId="6281DE10" w14:textId="77777777" w:rsidR="00DF18DC" w:rsidRDefault="00F828F6">
      <w:pPr>
        <w:numPr>
          <w:ilvl w:val="0"/>
          <w:numId w:val="1"/>
        </w:numPr>
        <w:tabs>
          <w:tab w:val="clear" w:pos="720"/>
        </w:tabs>
        <w:spacing w:after="200" w:line="360" w:lineRule="auto"/>
        <w:ind w:left="567" w:hanging="567"/>
        <w:jc w:val="both"/>
        <w:rPr>
          <w:rFonts w:ascii="Arial" w:hAnsi="Arial" w:cs="Arial"/>
          <w:b/>
          <w:bCs/>
          <w:u w:val="single"/>
        </w:rPr>
      </w:pPr>
      <w:r>
        <w:rPr>
          <w:rFonts w:ascii="Arial" w:hAnsi="Arial" w:cs="Arial"/>
          <w:rtl/>
        </w:rPr>
        <w:t>בקביעת העונש בתוך המתחם, יש לשקול את נסיבותיה האישיות של הנאשמת, כפי שפורטו, היותה תושבת זרה ומנותקת מסביבתה, שיתוף הפעולה שהפגינה בחקירתה והודייתה בעבירות. מצאתי להקל עמה קמעה בהתחשב בהיותה אם חד הורית ל – 4 ילדים.</w:t>
      </w:r>
    </w:p>
    <w:p w14:paraId="2B310263" w14:textId="77777777" w:rsidR="00DF18DC" w:rsidRDefault="00F828F6">
      <w:pPr>
        <w:numPr>
          <w:ilvl w:val="0"/>
          <w:numId w:val="1"/>
        </w:numPr>
        <w:tabs>
          <w:tab w:val="clear" w:pos="720"/>
        </w:tabs>
        <w:spacing w:after="200" w:line="360" w:lineRule="auto"/>
        <w:ind w:left="567" w:hanging="567"/>
        <w:jc w:val="both"/>
        <w:rPr>
          <w:rFonts w:ascii="Arial" w:hAnsi="Arial" w:cs="Arial"/>
          <w:b/>
          <w:bCs/>
          <w:u w:val="single"/>
        </w:rPr>
      </w:pPr>
      <w:r>
        <w:rPr>
          <w:rFonts w:ascii="Arial" w:hAnsi="Arial" w:cs="Arial"/>
          <w:rtl/>
        </w:rPr>
        <w:t>לאחר שקלול מכלול השיקולים לחומרא ולקולא, אני גוזרת על הנאשמת את העונשים הבאים:</w:t>
      </w:r>
    </w:p>
    <w:p w14:paraId="123567C9" w14:textId="77777777" w:rsidR="00DF18DC" w:rsidRDefault="00F828F6">
      <w:pPr>
        <w:numPr>
          <w:ilvl w:val="1"/>
          <w:numId w:val="2"/>
        </w:numPr>
        <w:spacing w:after="120" w:line="360" w:lineRule="auto"/>
        <w:ind w:left="850" w:right="-142" w:hanging="425"/>
        <w:jc w:val="both"/>
        <w:rPr>
          <w:rFonts w:ascii="Arial" w:hAnsi="Arial" w:cs="Arial"/>
          <w:b/>
          <w:bCs/>
          <w:u w:val="single"/>
        </w:rPr>
      </w:pPr>
      <w:r>
        <w:rPr>
          <w:rFonts w:ascii="Arial" w:hAnsi="Arial" w:cs="Arial"/>
          <w:rtl/>
        </w:rPr>
        <w:t>45 חודשי מאסר בפועל בניכוי ימי מעצרה.</w:t>
      </w:r>
    </w:p>
    <w:p w14:paraId="25DB3900" w14:textId="77777777" w:rsidR="00DF18DC" w:rsidRDefault="00F828F6">
      <w:pPr>
        <w:numPr>
          <w:ilvl w:val="1"/>
          <w:numId w:val="2"/>
        </w:numPr>
        <w:spacing w:after="120" w:line="360" w:lineRule="auto"/>
        <w:ind w:left="850" w:right="-142" w:hanging="425"/>
        <w:jc w:val="both"/>
        <w:rPr>
          <w:rFonts w:ascii="Arial" w:hAnsi="Arial" w:cs="Arial"/>
          <w:b/>
          <w:bCs/>
          <w:u w:val="single"/>
        </w:rPr>
      </w:pPr>
      <w:r>
        <w:rPr>
          <w:rFonts w:ascii="Arial" w:hAnsi="Arial" w:cs="Arial"/>
          <w:rtl/>
        </w:rPr>
        <w:t xml:space="preserve">12 חודשי מאסר על תנאי משך 3 שנים מיום שחרורה ממאסר והתנאי הוא שלא תעבור עבירת פשע לפי </w:t>
      </w:r>
      <w:hyperlink r:id="rId19" w:history="1">
        <w:r w:rsidRPr="00F828F6">
          <w:rPr>
            <w:rFonts w:ascii="Arial" w:hAnsi="Arial" w:cs="Arial"/>
            <w:color w:val="0000FF"/>
            <w:u w:val="single"/>
            <w:rtl/>
          </w:rPr>
          <w:t>פקודת הסמים המסוכנים</w:t>
        </w:r>
      </w:hyperlink>
      <w:r>
        <w:rPr>
          <w:rFonts w:ascii="Arial" w:hAnsi="Arial" w:cs="Arial"/>
          <w:rtl/>
        </w:rPr>
        <w:t>.</w:t>
      </w:r>
    </w:p>
    <w:p w14:paraId="66268A91" w14:textId="77777777" w:rsidR="00DF18DC" w:rsidRDefault="00F828F6">
      <w:pPr>
        <w:numPr>
          <w:ilvl w:val="1"/>
          <w:numId w:val="2"/>
        </w:numPr>
        <w:spacing w:after="120" w:line="360" w:lineRule="auto"/>
        <w:ind w:left="850" w:right="-142" w:hanging="425"/>
        <w:jc w:val="both"/>
        <w:rPr>
          <w:rFonts w:ascii="Arial" w:hAnsi="Arial" w:cs="Arial"/>
          <w:b/>
          <w:bCs/>
          <w:u w:val="single"/>
        </w:rPr>
      </w:pPr>
      <w:r>
        <w:rPr>
          <w:rFonts w:ascii="Arial" w:hAnsi="Arial" w:cs="Arial"/>
          <w:rtl/>
        </w:rPr>
        <w:t>בהתחשב במצוקתה הכלכלית לא ראיתי מקום להשית קנס.</w:t>
      </w:r>
    </w:p>
    <w:p w14:paraId="6F9EC725" w14:textId="77777777" w:rsidR="00DF18DC" w:rsidRDefault="00DF18DC">
      <w:pPr>
        <w:spacing w:after="120" w:line="360" w:lineRule="auto"/>
        <w:ind w:left="850" w:right="-142"/>
        <w:jc w:val="both"/>
        <w:rPr>
          <w:rFonts w:ascii="Arial" w:hAnsi="Arial" w:cs="Arial"/>
          <w:b/>
          <w:bCs/>
          <w:u w:val="single"/>
          <w:rtl/>
        </w:rPr>
      </w:pPr>
    </w:p>
    <w:p w14:paraId="394ADAEA" w14:textId="77777777" w:rsidR="00DF18DC" w:rsidRDefault="00DF18DC">
      <w:pPr>
        <w:spacing w:after="120" w:line="360" w:lineRule="auto"/>
        <w:ind w:left="850" w:right="-142"/>
        <w:jc w:val="both"/>
        <w:rPr>
          <w:rFonts w:ascii="Arial" w:hAnsi="Arial" w:cs="Arial"/>
          <w:b/>
          <w:bCs/>
          <w:u w:val="single"/>
          <w:rtl/>
        </w:rPr>
      </w:pPr>
    </w:p>
    <w:p w14:paraId="07BD223F" w14:textId="77777777" w:rsidR="00DF18DC" w:rsidRDefault="00DF18DC">
      <w:pPr>
        <w:spacing w:after="120" w:line="360" w:lineRule="auto"/>
        <w:ind w:left="850" w:right="-142"/>
        <w:jc w:val="both"/>
        <w:rPr>
          <w:rFonts w:ascii="Arial" w:hAnsi="Arial" w:cs="Arial"/>
          <w:b/>
          <w:bCs/>
          <w:u w:val="single"/>
        </w:rPr>
      </w:pPr>
    </w:p>
    <w:p w14:paraId="7DD77930" w14:textId="77777777" w:rsidR="00DF18DC" w:rsidRDefault="00F828F6">
      <w:pPr>
        <w:numPr>
          <w:ilvl w:val="1"/>
          <w:numId w:val="2"/>
        </w:numPr>
        <w:spacing w:after="120" w:line="360" w:lineRule="auto"/>
        <w:ind w:left="850" w:right="-142" w:hanging="425"/>
        <w:jc w:val="both"/>
        <w:rPr>
          <w:rFonts w:ascii="Arial" w:hAnsi="Arial" w:cs="Arial"/>
          <w:b/>
          <w:bCs/>
          <w:u w:val="single"/>
        </w:rPr>
      </w:pPr>
      <w:r>
        <w:rPr>
          <w:rFonts w:ascii="Arial" w:hAnsi="Arial" w:cs="Arial"/>
          <w:rtl/>
        </w:rPr>
        <w:t xml:space="preserve">400 דולר מתוך הסכום שנתפס ברשות הנאשמת יועברו לידיה לצורכי מחייתה. היתרה תחולט לטובת הקרן לטיפול בנכסים שחולטו, שהוקמה לפי </w:t>
      </w:r>
      <w:hyperlink r:id="rId20" w:history="1">
        <w:r w:rsidR="002B1C8B" w:rsidRPr="002B1C8B">
          <w:rPr>
            <w:rFonts w:ascii="Arial" w:hAnsi="Arial" w:cs="Arial"/>
            <w:color w:val="0000FF"/>
            <w:u w:val="single"/>
            <w:rtl/>
          </w:rPr>
          <w:t>סעיף 36ח</w:t>
        </w:r>
      </w:hyperlink>
      <w:r>
        <w:rPr>
          <w:rFonts w:ascii="Arial" w:hAnsi="Arial" w:cs="Arial"/>
          <w:rtl/>
        </w:rPr>
        <w:t xml:space="preserve"> ל</w:t>
      </w:r>
      <w:hyperlink r:id="rId21" w:history="1">
        <w:r w:rsidRPr="00F828F6">
          <w:rPr>
            <w:rFonts w:ascii="Arial" w:hAnsi="Arial" w:cs="Arial"/>
            <w:color w:val="0000FF"/>
            <w:u w:val="single"/>
            <w:rtl/>
          </w:rPr>
          <w:t>פקודת הסמים המסוכנים</w:t>
        </w:r>
      </w:hyperlink>
      <w:r>
        <w:rPr>
          <w:rFonts w:ascii="Arial" w:hAnsi="Arial" w:cs="Arial"/>
          <w:rtl/>
        </w:rPr>
        <w:t xml:space="preserve">. </w:t>
      </w:r>
    </w:p>
    <w:p w14:paraId="4E513061" w14:textId="77777777" w:rsidR="00DF18DC" w:rsidRDefault="00DF18DC">
      <w:pPr>
        <w:spacing w:after="120"/>
        <w:ind w:left="850" w:right="-142"/>
        <w:jc w:val="both"/>
        <w:rPr>
          <w:rFonts w:ascii="Arial" w:hAnsi="Arial" w:cs="Arial"/>
          <w:b/>
          <w:bCs/>
          <w:u w:val="single"/>
        </w:rPr>
      </w:pPr>
    </w:p>
    <w:p w14:paraId="1BB9E284" w14:textId="77777777" w:rsidR="00DF18DC" w:rsidRDefault="00F828F6">
      <w:pPr>
        <w:tabs>
          <w:tab w:val="num" w:pos="1440"/>
        </w:tabs>
        <w:spacing w:after="200" w:line="360" w:lineRule="auto"/>
        <w:ind w:left="425" w:right="-142" w:hanging="567"/>
        <w:jc w:val="both"/>
        <w:rPr>
          <w:rFonts w:ascii="Arial" w:hAnsi="Arial" w:cs="Arial"/>
          <w:b/>
          <w:bCs/>
          <w:rtl/>
        </w:rPr>
      </w:pPr>
      <w:r>
        <w:rPr>
          <w:rFonts w:ascii="Arial" w:hAnsi="Arial" w:cs="Arial"/>
          <w:b/>
          <w:bCs/>
          <w:rtl/>
        </w:rPr>
        <w:t>זכות ערעור לבית המשפט העליון תוך 45 יום.</w:t>
      </w:r>
    </w:p>
    <w:p w14:paraId="45339D4C" w14:textId="77777777" w:rsidR="00DF18DC" w:rsidRDefault="00F828F6">
      <w:pPr>
        <w:ind w:left="425" w:right="-142" w:hanging="567"/>
        <w:rPr>
          <w:rFonts w:ascii="Arial" w:hAnsi="Arial" w:cs="Arial"/>
          <w:sz w:val="28"/>
          <w:szCs w:val="28"/>
          <w:rtl/>
        </w:rPr>
      </w:pPr>
      <w:r w:rsidRPr="00F828F6">
        <w:rPr>
          <w:rFonts w:ascii="Arial" w:hAnsi="Arial" w:cs="Arial"/>
          <w:color w:val="FFFFFF"/>
          <w:sz w:val="2"/>
          <w:szCs w:val="2"/>
          <w:rtl/>
        </w:rPr>
        <w:t>5129371</w:t>
      </w:r>
      <w:r>
        <w:rPr>
          <w:rFonts w:ascii="Arial" w:hAnsi="Arial" w:cs="Arial"/>
          <w:rtl/>
        </w:rPr>
        <w:t xml:space="preserve">ניתן היום, ט"ז י"ז תמוז תשע"ד, 15 יולי 2014, במעמד הנאשמת וב"כ הצדדים. </w:t>
      </w:r>
    </w:p>
    <w:tbl>
      <w:tblPr>
        <w:bidiVisual/>
        <w:tblW w:w="0" w:type="auto"/>
        <w:jc w:val="right"/>
        <w:tblLook w:val="01E0" w:firstRow="1" w:lastRow="1" w:firstColumn="1" w:lastColumn="1" w:noHBand="0" w:noVBand="0"/>
      </w:tblPr>
      <w:tblGrid>
        <w:gridCol w:w="3232"/>
      </w:tblGrid>
      <w:tr w:rsidR="00DF18DC" w14:paraId="1E9A84C3" w14:textId="77777777">
        <w:trPr>
          <w:trHeight w:val="524"/>
          <w:jc w:val="right"/>
        </w:trPr>
        <w:tc>
          <w:tcPr>
            <w:tcW w:w="3232" w:type="dxa"/>
            <w:tcBorders>
              <w:top w:val="nil"/>
              <w:left w:val="nil"/>
              <w:bottom w:val="single" w:sz="4" w:space="0" w:color="auto"/>
              <w:right w:val="nil"/>
            </w:tcBorders>
            <w:vAlign w:val="bottom"/>
          </w:tcPr>
          <w:p w14:paraId="6826410D" w14:textId="77777777" w:rsidR="00DF18DC" w:rsidRPr="00F828F6" w:rsidRDefault="00F828F6">
            <w:pPr>
              <w:ind w:left="425" w:right="-142" w:hanging="567"/>
              <w:jc w:val="center"/>
              <w:rPr>
                <w:rFonts w:ascii="Courier New" w:hAnsi="Courier New"/>
                <w:b/>
                <w:bCs/>
                <w:color w:val="FFFFFF"/>
                <w:sz w:val="2"/>
                <w:szCs w:val="2"/>
                <w:rtl/>
              </w:rPr>
            </w:pPr>
            <w:r w:rsidRPr="00F828F6">
              <w:rPr>
                <w:rFonts w:ascii="Courier New" w:hAnsi="Courier New"/>
                <w:b/>
                <w:bCs/>
                <w:color w:val="FFFFFF"/>
                <w:sz w:val="2"/>
                <w:szCs w:val="2"/>
                <w:rtl/>
              </w:rPr>
              <w:t>54678313</w:t>
            </w:r>
          </w:p>
        </w:tc>
      </w:tr>
      <w:tr w:rsidR="00DF18DC" w14:paraId="4D48E53F" w14:textId="77777777">
        <w:trPr>
          <w:trHeight w:val="323"/>
          <w:jc w:val="right"/>
        </w:trPr>
        <w:tc>
          <w:tcPr>
            <w:tcW w:w="3232" w:type="dxa"/>
            <w:tcBorders>
              <w:top w:val="single" w:sz="4" w:space="0" w:color="auto"/>
              <w:left w:val="nil"/>
              <w:bottom w:val="nil"/>
              <w:right w:val="nil"/>
            </w:tcBorders>
            <w:vAlign w:val="bottom"/>
          </w:tcPr>
          <w:p w14:paraId="28E3FC0A" w14:textId="77777777" w:rsidR="00DF18DC" w:rsidRDefault="00F828F6">
            <w:pPr>
              <w:ind w:left="425" w:right="-142" w:hanging="567"/>
              <w:jc w:val="center"/>
              <w:rPr>
                <w:rFonts w:ascii="Arial" w:hAnsi="Arial" w:cs="Arial"/>
                <w:b/>
                <w:bCs/>
              </w:rPr>
            </w:pPr>
            <w:r>
              <w:rPr>
                <w:rFonts w:ascii="Arial" w:hAnsi="Arial" w:cs="Arial"/>
                <w:b/>
                <w:bCs/>
                <w:rtl/>
              </w:rPr>
              <w:t>ורדה מרוז, שופטת</w:t>
            </w:r>
          </w:p>
        </w:tc>
      </w:tr>
    </w:tbl>
    <w:p w14:paraId="008F8505" w14:textId="77777777" w:rsidR="00DF18DC" w:rsidRDefault="00DF18DC"/>
    <w:p w14:paraId="1CEED035" w14:textId="77777777" w:rsidR="00DF18DC" w:rsidRDefault="00DF18DC">
      <w:pPr>
        <w:pStyle w:val="a3"/>
        <w:jc w:val="center"/>
        <w:rPr>
          <w:rFonts w:ascii="Arial" w:hAnsi="Arial" w:cs="Arial"/>
          <w:rtl/>
        </w:rPr>
      </w:pPr>
    </w:p>
    <w:p w14:paraId="10B64E5C" w14:textId="77777777" w:rsidR="00F828F6" w:rsidRPr="00F828F6" w:rsidRDefault="00F828F6" w:rsidP="00F828F6">
      <w:pPr>
        <w:keepNext/>
        <w:rPr>
          <w:rFonts w:ascii="David" w:hAnsi="David"/>
          <w:color w:val="000000"/>
          <w:sz w:val="22"/>
          <w:szCs w:val="22"/>
          <w:rtl/>
        </w:rPr>
      </w:pPr>
    </w:p>
    <w:p w14:paraId="3CE8DAE1" w14:textId="77777777" w:rsidR="00F828F6" w:rsidRPr="00F828F6" w:rsidRDefault="00F828F6" w:rsidP="00F828F6">
      <w:pPr>
        <w:keepNext/>
        <w:rPr>
          <w:rFonts w:ascii="David" w:hAnsi="David"/>
          <w:color w:val="000000"/>
          <w:sz w:val="22"/>
          <w:szCs w:val="22"/>
          <w:rtl/>
        </w:rPr>
      </w:pPr>
      <w:r w:rsidRPr="00F828F6">
        <w:rPr>
          <w:rFonts w:ascii="David" w:hAnsi="David"/>
          <w:color w:val="000000"/>
          <w:sz w:val="22"/>
          <w:szCs w:val="22"/>
          <w:rtl/>
        </w:rPr>
        <w:t>ורדה מרוז 54678313</w:t>
      </w:r>
    </w:p>
    <w:p w14:paraId="4C21B574" w14:textId="77777777" w:rsidR="00F828F6" w:rsidRDefault="00F828F6" w:rsidP="00F828F6">
      <w:r w:rsidRPr="00F828F6">
        <w:rPr>
          <w:color w:val="000000"/>
          <w:rtl/>
        </w:rPr>
        <w:t>נוסח מסמך זה כפוף לשינויי ניסוח ועריכה</w:t>
      </w:r>
    </w:p>
    <w:p w14:paraId="443AFEDA" w14:textId="77777777" w:rsidR="00F828F6" w:rsidRDefault="00F828F6" w:rsidP="00F828F6">
      <w:pPr>
        <w:rPr>
          <w:rtl/>
        </w:rPr>
      </w:pPr>
    </w:p>
    <w:p w14:paraId="264FD7A0" w14:textId="77777777" w:rsidR="00F828F6" w:rsidRDefault="00F828F6" w:rsidP="00F828F6">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00FD437" w14:textId="77777777" w:rsidR="00DF18DC" w:rsidRPr="00F828F6" w:rsidRDefault="00DF18DC" w:rsidP="00F828F6">
      <w:pPr>
        <w:jc w:val="center"/>
        <w:rPr>
          <w:color w:val="0000FF"/>
          <w:u w:val="single"/>
        </w:rPr>
      </w:pPr>
    </w:p>
    <w:sectPr w:rsidR="00DF18DC" w:rsidRPr="00F828F6" w:rsidSect="00F828F6">
      <w:headerReference w:type="even" r:id="rId23"/>
      <w:headerReference w:type="default" r:id="rId24"/>
      <w:footerReference w:type="even" r:id="rId25"/>
      <w:footerReference w:type="default" r:id="rId26"/>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D1739" w14:textId="77777777" w:rsidR="009D480A" w:rsidRPr="003F26E2" w:rsidRDefault="009D480A">
      <w:pPr>
        <w:rPr>
          <w:rFonts w:cs="Arial"/>
          <w:szCs w:val="20"/>
        </w:rPr>
      </w:pPr>
      <w:r>
        <w:separator/>
      </w:r>
    </w:p>
  </w:endnote>
  <w:endnote w:type="continuationSeparator" w:id="0">
    <w:p w14:paraId="4D02FFF0" w14:textId="77777777" w:rsidR="009D480A" w:rsidRPr="003F26E2" w:rsidRDefault="009D480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AB97" w14:textId="77777777" w:rsidR="00F828F6" w:rsidRDefault="00F828F6" w:rsidP="00F828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F7B112" w14:textId="77777777" w:rsidR="00DF18DC" w:rsidRPr="00F828F6" w:rsidRDefault="00F828F6" w:rsidP="00F828F6">
    <w:pPr>
      <w:pStyle w:val="a4"/>
      <w:pBdr>
        <w:top w:val="single" w:sz="4" w:space="1" w:color="auto"/>
        <w:between w:val="single" w:sz="4" w:space="0" w:color="auto"/>
      </w:pBdr>
      <w:spacing w:after="60"/>
      <w:jc w:val="center"/>
      <w:rPr>
        <w:rFonts w:ascii="FrankRuehl" w:hAnsi="FrankRuehl" w:cs="FrankRuehl"/>
        <w:color w:val="000000"/>
      </w:rPr>
    </w:pPr>
    <w:r w:rsidRPr="00F828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3B185" w14:textId="77777777" w:rsidR="00F828F6" w:rsidRDefault="00F828F6" w:rsidP="00F828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1C47">
      <w:rPr>
        <w:rFonts w:ascii="FrankRuehl" w:hAnsi="FrankRuehl" w:cs="FrankRuehl"/>
        <w:noProof/>
        <w:rtl/>
      </w:rPr>
      <w:t>1</w:t>
    </w:r>
    <w:r>
      <w:rPr>
        <w:rFonts w:ascii="FrankRuehl" w:hAnsi="FrankRuehl" w:cs="FrankRuehl"/>
        <w:rtl/>
      </w:rPr>
      <w:fldChar w:fldCharType="end"/>
    </w:r>
  </w:p>
  <w:p w14:paraId="5DCE0B57" w14:textId="77777777" w:rsidR="00DF18DC" w:rsidRPr="00F828F6" w:rsidRDefault="00F828F6" w:rsidP="00F828F6">
    <w:pPr>
      <w:pStyle w:val="a4"/>
      <w:pBdr>
        <w:top w:val="single" w:sz="4" w:space="1" w:color="auto"/>
        <w:between w:val="single" w:sz="4" w:space="0" w:color="auto"/>
      </w:pBdr>
      <w:spacing w:after="60"/>
      <w:jc w:val="center"/>
      <w:rPr>
        <w:rFonts w:ascii="FrankRuehl" w:hAnsi="FrankRuehl" w:cs="FrankRuehl"/>
        <w:color w:val="000000"/>
      </w:rPr>
    </w:pPr>
    <w:r w:rsidRPr="00F828F6">
      <w:rPr>
        <w:rFonts w:ascii="FrankRuehl" w:hAnsi="FrankRuehl" w:cs="FrankRuehl"/>
        <w:color w:val="000000"/>
      </w:rPr>
      <w:pict w14:anchorId="6ADFC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ADCD7" w14:textId="77777777" w:rsidR="009D480A" w:rsidRPr="003F26E2" w:rsidRDefault="009D480A">
      <w:pPr>
        <w:rPr>
          <w:rFonts w:cs="Arial"/>
          <w:szCs w:val="20"/>
        </w:rPr>
      </w:pPr>
      <w:r>
        <w:separator/>
      </w:r>
    </w:p>
  </w:footnote>
  <w:footnote w:type="continuationSeparator" w:id="0">
    <w:p w14:paraId="3A8F709F" w14:textId="77777777" w:rsidR="009D480A" w:rsidRPr="003F26E2" w:rsidRDefault="009D480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DA3F4" w14:textId="77777777" w:rsidR="00F828F6" w:rsidRPr="00F828F6" w:rsidRDefault="00F828F6" w:rsidP="00F828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36422-07-13</w:t>
    </w:r>
    <w:r>
      <w:rPr>
        <w:rFonts w:ascii="David" w:hAnsi="David"/>
        <w:color w:val="000000"/>
        <w:sz w:val="22"/>
        <w:szCs w:val="22"/>
        <w:rtl/>
      </w:rPr>
      <w:tab/>
      <w:t xml:space="preserve"> מדינת ישראל נ' </w:t>
    </w:r>
    <w:r>
      <w:rPr>
        <w:rFonts w:ascii="David" w:hAnsi="David"/>
        <w:color w:val="000000"/>
        <w:sz w:val="22"/>
        <w:szCs w:val="22"/>
      </w:rPr>
      <w:t>YENI MARCELA JORDAN PEDRAZA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04730" w14:textId="77777777" w:rsidR="00F828F6" w:rsidRPr="00F828F6" w:rsidRDefault="00F828F6" w:rsidP="00F828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36422-07-13</w:t>
    </w:r>
    <w:r>
      <w:rPr>
        <w:rFonts w:ascii="David" w:hAnsi="David"/>
        <w:color w:val="000000"/>
        <w:sz w:val="22"/>
        <w:szCs w:val="22"/>
        <w:rtl/>
      </w:rPr>
      <w:tab/>
      <w:t xml:space="preserve"> מדינת ישראל נ' </w:t>
    </w:r>
    <w:r>
      <w:rPr>
        <w:rFonts w:ascii="David" w:hAnsi="David"/>
        <w:color w:val="000000"/>
        <w:sz w:val="22"/>
        <w:szCs w:val="22"/>
      </w:rPr>
      <w:t>YENI MARCELA JORDAN PEDRAZA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A75DE"/>
    <w:multiLevelType w:val="hybridMultilevel"/>
    <w:tmpl w:val="72709B3C"/>
    <w:lvl w:ilvl="0" w:tplc="83F60278">
      <w:start w:val="1"/>
      <w:numFmt w:val="decimal"/>
      <w:lvlText w:val="%1."/>
      <w:lvlJc w:val="left"/>
      <w:pPr>
        <w:tabs>
          <w:tab w:val="num" w:pos="720"/>
        </w:tabs>
        <w:ind w:left="720" w:hanging="360"/>
      </w:pPr>
      <w:rPr>
        <w:rFonts w:ascii="Arial" w:hAnsi="Arial" w:cs="Arial" w:hint="default"/>
        <w:b w:val="0"/>
        <w:bCs w:val="0"/>
        <w:sz w:val="24"/>
        <w:szCs w:val="24"/>
      </w:rPr>
    </w:lvl>
    <w:lvl w:ilvl="1" w:tplc="DCE6135C">
      <w:start w:val="1"/>
      <w:numFmt w:val="hebrew1"/>
      <w:lvlText w:val="%2."/>
      <w:lvlJc w:val="center"/>
      <w:pPr>
        <w:tabs>
          <w:tab w:val="num" w:pos="1440"/>
        </w:tabs>
        <w:ind w:left="1440" w:hanging="360"/>
      </w:pPr>
      <w:rPr>
        <w:rFonts w:ascii="Arial" w:hAnsi="Arial" w:cs="Arial" w:hint="default"/>
        <w:b w:val="0"/>
        <w:bCs w:val="0"/>
        <w:sz w:val="24"/>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5D3F0D5F"/>
    <w:multiLevelType w:val="hybridMultilevel"/>
    <w:tmpl w:val="A2843270"/>
    <w:lvl w:ilvl="0" w:tplc="83F60278">
      <w:start w:val="1"/>
      <w:numFmt w:val="decimal"/>
      <w:lvlText w:val="%1."/>
      <w:lvlJc w:val="left"/>
      <w:pPr>
        <w:tabs>
          <w:tab w:val="num" w:pos="720"/>
        </w:tabs>
        <w:ind w:left="720" w:hanging="360"/>
      </w:pPr>
      <w:rPr>
        <w:rFonts w:ascii="Arial" w:hAnsi="Arial" w:cs="Arial" w:hint="default"/>
        <w:b w:val="0"/>
        <w:bCs w:val="0"/>
        <w:sz w:val="24"/>
        <w:szCs w:val="24"/>
      </w:rPr>
    </w:lvl>
    <w:lvl w:ilvl="1" w:tplc="04090013">
      <w:start w:val="1"/>
      <w:numFmt w:val="hebrew1"/>
      <w:lvlText w:val="%2."/>
      <w:lvlJc w:val="center"/>
      <w:pPr>
        <w:tabs>
          <w:tab w:val="num" w:pos="1440"/>
        </w:tabs>
        <w:ind w:left="1440" w:hanging="360"/>
      </w:pPr>
      <w:rPr>
        <w:rFonts w:cs="Times New Roman" w:hint="default"/>
        <w:sz w:val="24"/>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717633425">
    <w:abstractNumId w:val="1"/>
  </w:num>
  <w:num w:numId="2" w16cid:durableId="200083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18DC"/>
    <w:rsid w:val="00185EEE"/>
    <w:rsid w:val="002B1C8B"/>
    <w:rsid w:val="00641C47"/>
    <w:rsid w:val="009D480A"/>
    <w:rsid w:val="00DF18DC"/>
    <w:rsid w:val="00F26FD6"/>
    <w:rsid w:val="00F82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A1F989"/>
  <w15:chartTrackingRefBased/>
  <w15:docId w15:val="{CB623BCF-1888-457F-899A-D061D8D7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8D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F18DC"/>
    <w:pPr>
      <w:tabs>
        <w:tab w:val="center" w:pos="4153"/>
        <w:tab w:val="right" w:pos="8306"/>
      </w:tabs>
    </w:pPr>
  </w:style>
  <w:style w:type="paragraph" w:styleId="a4">
    <w:name w:val="footer"/>
    <w:basedOn w:val="a"/>
    <w:rsid w:val="00DF18DC"/>
    <w:pPr>
      <w:tabs>
        <w:tab w:val="center" w:pos="4153"/>
        <w:tab w:val="right" w:pos="8306"/>
      </w:tabs>
    </w:pPr>
  </w:style>
  <w:style w:type="character" w:styleId="a5">
    <w:name w:val="page number"/>
    <w:basedOn w:val="a0"/>
    <w:rsid w:val="00DF18DC"/>
  </w:style>
  <w:style w:type="character" w:styleId="Hyperlink">
    <w:name w:val="Hyperlink"/>
    <w:basedOn w:val="a0"/>
    <w:rsid w:val="00F82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case/389697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591776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law/4216/36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36h"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7339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2424956</vt:i4>
      </vt:variant>
      <vt:variant>
        <vt:i4>39</vt:i4>
      </vt:variant>
      <vt:variant>
        <vt:i4>0</vt:i4>
      </vt:variant>
      <vt:variant>
        <vt:i4>5</vt:i4>
      </vt:variant>
      <vt:variant>
        <vt:lpwstr>http://www.nevo.co.il/law/4216/36h</vt:lpwstr>
      </vt:variant>
      <vt:variant>
        <vt:lpwstr/>
      </vt:variant>
      <vt:variant>
        <vt:i4>8257637</vt:i4>
      </vt:variant>
      <vt:variant>
        <vt:i4>36</vt:i4>
      </vt:variant>
      <vt:variant>
        <vt:i4>0</vt:i4>
      </vt:variant>
      <vt:variant>
        <vt:i4>5</vt:i4>
      </vt:variant>
      <vt:variant>
        <vt:lpwstr>http://www.nevo.co.il/law/4216</vt:lpwstr>
      </vt:variant>
      <vt:variant>
        <vt:lpwstr/>
      </vt:variant>
      <vt:variant>
        <vt:i4>3145853</vt:i4>
      </vt:variant>
      <vt:variant>
        <vt:i4>33</vt:i4>
      </vt:variant>
      <vt:variant>
        <vt:i4>0</vt:i4>
      </vt:variant>
      <vt:variant>
        <vt:i4>5</vt:i4>
      </vt:variant>
      <vt:variant>
        <vt:lpwstr>http://www.nevo.co.il/case/3896973</vt:lpwstr>
      </vt:variant>
      <vt:variant>
        <vt:lpwstr/>
      </vt:variant>
      <vt:variant>
        <vt:i4>3407996</vt:i4>
      </vt:variant>
      <vt:variant>
        <vt:i4>30</vt:i4>
      </vt:variant>
      <vt:variant>
        <vt:i4>0</vt:i4>
      </vt:variant>
      <vt:variant>
        <vt:i4>5</vt:i4>
      </vt:variant>
      <vt:variant>
        <vt:lpwstr>http://www.nevo.co.il/case/5917767</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7995492</vt:i4>
      </vt:variant>
      <vt:variant>
        <vt:i4>12</vt:i4>
      </vt:variant>
      <vt:variant>
        <vt:i4>0</vt:i4>
      </vt:variant>
      <vt:variant>
        <vt:i4>5</vt:i4>
      </vt:variant>
      <vt:variant>
        <vt:lpwstr>http://www.nevo.co.il/law/70301</vt:lpwstr>
      </vt:variant>
      <vt:variant>
        <vt:lpwstr/>
      </vt:variant>
      <vt:variant>
        <vt:i4>2424956</vt:i4>
      </vt:variant>
      <vt:variant>
        <vt:i4>9</vt:i4>
      </vt:variant>
      <vt:variant>
        <vt:i4>0</vt:i4>
      </vt:variant>
      <vt:variant>
        <vt:i4>5</vt:i4>
      </vt:variant>
      <vt:variant>
        <vt:lpwstr>http://www.nevo.co.il/law/4216/36h</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36422</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YENI MARCELA JORDAN PEDRAZA</vt:lpwstr>
  </property>
  <property fmtid="{D5CDD505-2E9C-101B-9397-08002B2CF9AE}" pid="10" name="LAWYER">
    <vt:lpwstr>גלעד ארליך פ;גלית בש</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20140715</vt:lpwstr>
  </property>
  <property fmtid="{D5CDD505-2E9C-101B-9397-08002B2CF9AE}" pid="14" name="TYPE_N_DATE">
    <vt:lpwstr>39020140715</vt:lpwstr>
  </property>
  <property fmtid="{D5CDD505-2E9C-101B-9397-08002B2CF9AE}" pid="15" name="CASESLISTTMP1">
    <vt:lpwstr>5786821;5917767;3896973</vt:lpwstr>
  </property>
  <property fmtid="{D5CDD505-2E9C-101B-9397-08002B2CF9AE}" pid="16" name="WORDNUMPAGES">
    <vt:lpwstr>5</vt:lpwstr>
  </property>
  <property fmtid="{D5CDD505-2E9C-101B-9397-08002B2CF9AE}" pid="17" name="TYPE_ABS_DATE">
    <vt:lpwstr>390020140715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4216/013;019a;036h</vt:lpwstr>
  </property>
  <property fmtid="{D5CDD505-2E9C-101B-9397-08002B2CF9AE}" pid="37" name="LAWLISTTMP2">
    <vt:lpwstr>70301</vt:lpwstr>
  </property>
</Properties>
</file>