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C7FF0" w:rsidRPr="00170413" w14:paraId="50F8A173" w14:textId="77777777">
        <w:trPr>
          <w:trHeight w:hRule="exact" w:val="418"/>
          <w:jc w:val="center"/>
        </w:trPr>
        <w:tc>
          <w:tcPr>
            <w:tcW w:w="8721" w:type="dxa"/>
            <w:gridSpan w:val="2"/>
          </w:tcPr>
          <w:p w14:paraId="47A2F0B1" w14:textId="77777777" w:rsidR="00AC7FF0" w:rsidRPr="00170413" w:rsidRDefault="00170413">
            <w:pPr>
              <w:pStyle w:val="a3"/>
              <w:jc w:val="center"/>
              <w:rPr>
                <w:rFonts w:ascii="Tahoma" w:hAnsi="Tahoma" w:cs="Tahoma"/>
                <w:color w:val="000080"/>
                <w:rtl/>
              </w:rPr>
            </w:pPr>
            <w:r w:rsidRPr="00170413">
              <w:rPr>
                <w:rFonts w:ascii="Tahoma" w:hAnsi="Tahoma" w:cs="Tahoma"/>
                <w:b/>
                <w:bCs/>
                <w:color w:val="000080"/>
                <w:rtl/>
              </w:rPr>
              <w:t>בית המשפט המחוזי מרכז-לוד</w:t>
            </w:r>
          </w:p>
        </w:tc>
      </w:tr>
      <w:tr w:rsidR="00AC7FF0" w:rsidRPr="00170413" w14:paraId="2EE2CE54" w14:textId="77777777">
        <w:trPr>
          <w:trHeight w:val="337"/>
          <w:jc w:val="center"/>
        </w:trPr>
        <w:tc>
          <w:tcPr>
            <w:tcW w:w="5055" w:type="dxa"/>
          </w:tcPr>
          <w:p w14:paraId="6D5688E0" w14:textId="77777777" w:rsidR="00AC7FF0" w:rsidRPr="00170413" w:rsidRDefault="00170413">
            <w:pPr>
              <w:rPr>
                <w:b/>
                <w:bCs/>
                <w:sz w:val="28"/>
                <w:szCs w:val="28"/>
                <w:rtl/>
              </w:rPr>
            </w:pPr>
            <w:r w:rsidRPr="00170413">
              <w:rPr>
                <w:b/>
                <w:bCs/>
                <w:sz w:val="28"/>
                <w:szCs w:val="28"/>
                <w:rtl/>
              </w:rPr>
              <w:t>ת"פ</w:t>
            </w:r>
            <w:r w:rsidRPr="00170413">
              <w:rPr>
                <w:rFonts w:hint="cs"/>
                <w:b/>
                <w:bCs/>
                <w:sz w:val="28"/>
                <w:szCs w:val="28"/>
                <w:rtl/>
              </w:rPr>
              <w:t xml:space="preserve"> </w:t>
            </w:r>
            <w:r w:rsidRPr="00170413">
              <w:rPr>
                <w:b/>
                <w:bCs/>
                <w:sz w:val="28"/>
                <w:szCs w:val="28"/>
                <w:rtl/>
              </w:rPr>
              <w:t>17410-08-13</w:t>
            </w:r>
            <w:r w:rsidRPr="00170413">
              <w:rPr>
                <w:rFonts w:hint="cs"/>
                <w:b/>
                <w:bCs/>
                <w:sz w:val="28"/>
                <w:szCs w:val="28"/>
                <w:rtl/>
              </w:rPr>
              <w:t xml:space="preserve"> </w:t>
            </w:r>
            <w:r w:rsidRPr="00170413">
              <w:rPr>
                <w:b/>
                <w:bCs/>
                <w:sz w:val="28"/>
                <w:szCs w:val="28"/>
                <w:rtl/>
              </w:rPr>
              <w:t>מדינת ישראל נ' אלקלעי</w:t>
            </w:r>
          </w:p>
          <w:p w14:paraId="2BCDD9E2" w14:textId="77777777" w:rsidR="00AC7FF0" w:rsidRPr="00170413" w:rsidRDefault="00AC7FF0">
            <w:pPr>
              <w:pStyle w:val="a3"/>
              <w:rPr>
                <w:rFonts w:cs="FrankRuehl"/>
                <w:sz w:val="28"/>
                <w:szCs w:val="28"/>
                <w:rtl/>
              </w:rPr>
            </w:pPr>
          </w:p>
        </w:tc>
        <w:tc>
          <w:tcPr>
            <w:tcW w:w="3666" w:type="dxa"/>
          </w:tcPr>
          <w:p w14:paraId="132C8B25" w14:textId="77777777" w:rsidR="00AC7FF0" w:rsidRPr="00170413" w:rsidRDefault="00AC7FF0">
            <w:pPr>
              <w:pStyle w:val="a3"/>
              <w:jc w:val="right"/>
              <w:rPr>
                <w:rFonts w:cs="FrankRuehl"/>
                <w:sz w:val="28"/>
                <w:szCs w:val="28"/>
                <w:rtl/>
              </w:rPr>
            </w:pPr>
          </w:p>
        </w:tc>
      </w:tr>
    </w:tbl>
    <w:p w14:paraId="4E1235B8" w14:textId="77777777" w:rsidR="00AC7FF0" w:rsidRPr="00170413" w:rsidRDefault="00170413">
      <w:pPr>
        <w:pStyle w:val="a3"/>
        <w:rPr>
          <w:rtl/>
        </w:rPr>
      </w:pPr>
      <w:r w:rsidRPr="00170413">
        <w:rPr>
          <w:rFonts w:hint="cs"/>
          <w:rtl/>
        </w:rPr>
        <w:t xml:space="preserve"> </w:t>
      </w:r>
    </w:p>
    <w:p w14:paraId="2BA3BF71" w14:textId="77777777" w:rsidR="00AC7FF0" w:rsidRPr="00170413" w:rsidRDefault="00AC7FF0">
      <w:pPr>
        <w:rPr>
          <w:rFonts w:ascii="Arial" w:hAnsi="Arial"/>
          <w:sz w:val="28"/>
          <w:szCs w:val="28"/>
          <w:rtl/>
        </w:rPr>
      </w:pPr>
    </w:p>
    <w:tbl>
      <w:tblPr>
        <w:bidiVisual/>
        <w:tblW w:w="8848" w:type="dxa"/>
        <w:tblInd w:w="-28" w:type="dxa"/>
        <w:tblLook w:val="01E0" w:firstRow="1" w:lastRow="1" w:firstColumn="1" w:lastColumn="1" w:noHBand="0" w:noVBand="0"/>
      </w:tblPr>
      <w:tblGrid>
        <w:gridCol w:w="2880"/>
        <w:gridCol w:w="5839"/>
        <w:gridCol w:w="83"/>
        <w:gridCol w:w="46"/>
      </w:tblGrid>
      <w:tr w:rsidR="00AC7FF0" w:rsidRPr="00170413" w14:paraId="78F39812" w14:textId="77777777">
        <w:trPr>
          <w:gridAfter w:val="2"/>
          <w:wAfter w:w="101" w:type="dxa"/>
        </w:trPr>
        <w:tc>
          <w:tcPr>
            <w:tcW w:w="8719" w:type="dxa"/>
            <w:gridSpan w:val="2"/>
          </w:tcPr>
          <w:p w14:paraId="43F42599" w14:textId="77777777" w:rsidR="00AC7FF0" w:rsidRPr="00170413" w:rsidRDefault="00170413">
            <w:pPr>
              <w:spacing w:line="360" w:lineRule="auto"/>
              <w:jc w:val="both"/>
              <w:rPr>
                <w:b/>
                <w:bCs/>
                <w:sz w:val="28"/>
                <w:szCs w:val="28"/>
                <w:rtl/>
              </w:rPr>
            </w:pPr>
            <w:r w:rsidRPr="00170413">
              <w:rPr>
                <w:rFonts w:hint="cs"/>
                <w:b/>
                <w:bCs/>
                <w:sz w:val="28"/>
                <w:szCs w:val="28"/>
                <w:rtl/>
              </w:rPr>
              <w:t xml:space="preserve">בפני כב' השופט אברהם טל </w:t>
            </w:r>
            <w:r w:rsidRPr="00170413">
              <w:rPr>
                <w:b/>
                <w:bCs/>
                <w:sz w:val="28"/>
                <w:szCs w:val="28"/>
                <w:rtl/>
              </w:rPr>
              <w:t>–</w:t>
            </w:r>
            <w:r w:rsidRPr="00170413">
              <w:rPr>
                <w:rFonts w:hint="cs"/>
                <w:b/>
                <w:bCs/>
                <w:sz w:val="28"/>
                <w:szCs w:val="28"/>
                <w:rtl/>
              </w:rPr>
              <w:t xml:space="preserve"> נשיא </w:t>
            </w:r>
          </w:p>
          <w:p w14:paraId="0853265E" w14:textId="77777777" w:rsidR="00AC7FF0" w:rsidRPr="00170413" w:rsidRDefault="00AC7FF0">
            <w:pPr>
              <w:spacing w:line="360" w:lineRule="auto"/>
              <w:jc w:val="both"/>
              <w:rPr>
                <w:b/>
                <w:bCs/>
                <w:sz w:val="28"/>
                <w:szCs w:val="28"/>
              </w:rPr>
            </w:pPr>
          </w:p>
        </w:tc>
      </w:tr>
      <w:tr w:rsidR="00AC7FF0" w:rsidRPr="00170413" w14:paraId="4CF984B0" w14:textId="77777777">
        <w:trPr>
          <w:gridAfter w:val="1"/>
          <w:wAfter w:w="46" w:type="dxa"/>
        </w:trPr>
        <w:tc>
          <w:tcPr>
            <w:tcW w:w="2880" w:type="dxa"/>
          </w:tcPr>
          <w:p w14:paraId="341DE606" w14:textId="77777777" w:rsidR="00AC7FF0" w:rsidRPr="00170413" w:rsidRDefault="00170413">
            <w:pPr>
              <w:ind w:left="26"/>
              <w:rPr>
                <w:b/>
                <w:bCs/>
                <w:sz w:val="28"/>
                <w:szCs w:val="28"/>
              </w:rPr>
            </w:pPr>
            <w:bookmarkStart w:id="0" w:name="FirstAppellant"/>
            <w:bookmarkStart w:id="1" w:name="LastJudge"/>
            <w:bookmarkEnd w:id="1"/>
            <w:r w:rsidRPr="00170413">
              <w:rPr>
                <w:rFonts w:hint="cs"/>
                <w:b/>
                <w:bCs/>
                <w:sz w:val="28"/>
                <w:szCs w:val="28"/>
                <w:rtl/>
              </w:rPr>
              <w:t>ה</w:t>
            </w:r>
            <w:r w:rsidRPr="00170413">
              <w:rPr>
                <w:rFonts w:hint="cs"/>
                <w:sz w:val="28"/>
                <w:szCs w:val="28"/>
                <w:rtl/>
              </w:rPr>
              <w:t>מאשימה</w:t>
            </w:r>
          </w:p>
        </w:tc>
        <w:tc>
          <w:tcPr>
            <w:tcW w:w="5922" w:type="dxa"/>
            <w:gridSpan w:val="2"/>
          </w:tcPr>
          <w:p w14:paraId="7A0E34D7" w14:textId="77777777" w:rsidR="00AC7FF0" w:rsidRPr="00170413" w:rsidRDefault="00170413">
            <w:pPr>
              <w:rPr>
                <w:sz w:val="28"/>
                <w:szCs w:val="28"/>
                <w:rtl/>
              </w:rPr>
            </w:pPr>
            <w:r w:rsidRPr="00170413">
              <w:rPr>
                <w:rFonts w:hint="cs"/>
                <w:sz w:val="28"/>
                <w:szCs w:val="28"/>
                <w:rtl/>
              </w:rPr>
              <w:t>מדינת ישראל</w:t>
            </w:r>
          </w:p>
          <w:p w14:paraId="0E0E12F2" w14:textId="77777777" w:rsidR="00AC7FF0" w:rsidRPr="00170413" w:rsidRDefault="00AC7FF0">
            <w:pPr>
              <w:rPr>
                <w:b/>
                <w:bCs/>
                <w:sz w:val="28"/>
                <w:szCs w:val="28"/>
              </w:rPr>
            </w:pPr>
          </w:p>
        </w:tc>
      </w:tr>
      <w:bookmarkEnd w:id="0"/>
      <w:tr w:rsidR="00AC7FF0" w:rsidRPr="00170413" w14:paraId="3D3B3193" w14:textId="77777777">
        <w:trPr>
          <w:gridAfter w:val="1"/>
          <w:wAfter w:w="46" w:type="dxa"/>
        </w:trPr>
        <w:tc>
          <w:tcPr>
            <w:tcW w:w="8802" w:type="dxa"/>
            <w:gridSpan w:val="3"/>
          </w:tcPr>
          <w:p w14:paraId="1B642550" w14:textId="77777777" w:rsidR="00AC7FF0" w:rsidRPr="00170413" w:rsidRDefault="00AC7FF0">
            <w:pPr>
              <w:jc w:val="both"/>
              <w:rPr>
                <w:rFonts w:ascii="Arial" w:hAnsi="Arial"/>
                <w:b/>
                <w:bCs/>
                <w:sz w:val="28"/>
                <w:szCs w:val="28"/>
                <w:rtl/>
              </w:rPr>
            </w:pPr>
          </w:p>
          <w:p w14:paraId="6BF82B94" w14:textId="77777777" w:rsidR="00AC7FF0" w:rsidRPr="00170413" w:rsidRDefault="00170413">
            <w:pPr>
              <w:jc w:val="center"/>
              <w:rPr>
                <w:rFonts w:ascii="Arial" w:hAnsi="Arial"/>
                <w:b/>
                <w:bCs/>
                <w:sz w:val="28"/>
                <w:szCs w:val="28"/>
                <w:rtl/>
              </w:rPr>
            </w:pPr>
            <w:r w:rsidRPr="00170413">
              <w:rPr>
                <w:rFonts w:ascii="Arial" w:hAnsi="Arial" w:hint="cs"/>
                <w:b/>
                <w:bCs/>
                <w:sz w:val="28"/>
                <w:szCs w:val="28"/>
                <w:rtl/>
              </w:rPr>
              <w:t>נגד</w:t>
            </w:r>
          </w:p>
          <w:p w14:paraId="2AACAB7A" w14:textId="77777777" w:rsidR="00AC7FF0" w:rsidRPr="00170413" w:rsidRDefault="00AC7FF0">
            <w:pPr>
              <w:jc w:val="center"/>
              <w:rPr>
                <w:rFonts w:ascii="Arial" w:hAnsi="Arial"/>
                <w:b/>
                <w:bCs/>
                <w:sz w:val="28"/>
                <w:szCs w:val="28"/>
              </w:rPr>
            </w:pPr>
          </w:p>
        </w:tc>
      </w:tr>
      <w:tr w:rsidR="00AC7FF0" w:rsidRPr="00170413" w14:paraId="23DD036C" w14:textId="77777777">
        <w:trPr>
          <w:gridAfter w:val="1"/>
          <w:wAfter w:w="46" w:type="dxa"/>
        </w:trPr>
        <w:tc>
          <w:tcPr>
            <w:tcW w:w="2880" w:type="dxa"/>
          </w:tcPr>
          <w:p w14:paraId="22E9AE78" w14:textId="77777777" w:rsidR="00AC7FF0" w:rsidRPr="00170413" w:rsidRDefault="00170413">
            <w:pPr>
              <w:ind w:left="26"/>
              <w:rPr>
                <w:b/>
                <w:bCs/>
                <w:sz w:val="28"/>
                <w:szCs w:val="28"/>
              </w:rPr>
            </w:pPr>
            <w:r w:rsidRPr="00170413">
              <w:rPr>
                <w:rFonts w:hint="cs"/>
                <w:b/>
                <w:bCs/>
                <w:sz w:val="28"/>
                <w:szCs w:val="28"/>
                <w:rtl/>
              </w:rPr>
              <w:t>ה</w:t>
            </w:r>
            <w:r w:rsidRPr="00170413">
              <w:rPr>
                <w:rFonts w:hint="cs"/>
                <w:sz w:val="28"/>
                <w:szCs w:val="28"/>
                <w:rtl/>
              </w:rPr>
              <w:t>נאשם</w:t>
            </w:r>
          </w:p>
        </w:tc>
        <w:tc>
          <w:tcPr>
            <w:tcW w:w="5922" w:type="dxa"/>
            <w:gridSpan w:val="2"/>
          </w:tcPr>
          <w:p w14:paraId="79D6F1CE" w14:textId="77777777" w:rsidR="00AC7FF0" w:rsidRPr="00170413" w:rsidRDefault="00170413">
            <w:pPr>
              <w:rPr>
                <w:b/>
                <w:bCs/>
                <w:sz w:val="28"/>
                <w:szCs w:val="28"/>
                <w:rtl/>
              </w:rPr>
            </w:pPr>
            <w:r w:rsidRPr="00170413">
              <w:rPr>
                <w:rFonts w:hint="cs"/>
                <w:b/>
                <w:bCs/>
                <w:sz w:val="28"/>
                <w:szCs w:val="28"/>
                <w:rtl/>
              </w:rPr>
              <w:t xml:space="preserve">תום אלקלעי </w:t>
            </w:r>
            <w:r w:rsidRPr="00170413">
              <w:rPr>
                <w:rFonts w:hint="cs"/>
                <w:b/>
                <w:bCs/>
                <w:sz w:val="28"/>
                <w:szCs w:val="28"/>
                <w:rtl/>
              </w:rPr>
              <w:br/>
            </w:r>
          </w:p>
          <w:p w14:paraId="46075F3A" w14:textId="77777777" w:rsidR="00AC7FF0" w:rsidRPr="00170413" w:rsidRDefault="00AC7FF0">
            <w:pPr>
              <w:rPr>
                <w:b/>
                <w:bCs/>
                <w:sz w:val="28"/>
                <w:szCs w:val="28"/>
              </w:rPr>
            </w:pPr>
          </w:p>
        </w:tc>
      </w:tr>
      <w:tr w:rsidR="00AC7FF0" w14:paraId="38F4650B"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4"/>
            <w:tcBorders>
              <w:top w:val="nil"/>
              <w:left w:val="nil"/>
              <w:bottom w:val="nil"/>
              <w:right w:val="nil"/>
            </w:tcBorders>
          </w:tcPr>
          <w:p w14:paraId="70D9076B" w14:textId="77777777" w:rsidR="00641F5B" w:rsidRDefault="00641F5B" w:rsidP="00170413">
            <w:pPr>
              <w:jc w:val="center"/>
              <w:rPr>
                <w:rFonts w:ascii="Arial" w:hAnsi="Arial" w:cs="FrankRuehl"/>
                <w:sz w:val="36"/>
                <w:szCs w:val="36"/>
                <w:rtl/>
              </w:rPr>
            </w:pPr>
            <w:bookmarkStart w:id="2" w:name="PsakDin" w:colFirst="0" w:colLast="0"/>
            <w:bookmarkStart w:id="3" w:name="LawTable"/>
            <w:bookmarkEnd w:id="3"/>
          </w:p>
          <w:p w14:paraId="50FE951F" w14:textId="77777777" w:rsidR="00641F5B" w:rsidRPr="00641F5B" w:rsidRDefault="00641F5B" w:rsidP="00641F5B">
            <w:pPr>
              <w:spacing w:after="120" w:line="240" w:lineRule="exact"/>
              <w:ind w:left="283" w:hanging="283"/>
              <w:jc w:val="both"/>
              <w:rPr>
                <w:rFonts w:ascii="FrankRuehl" w:hAnsi="FrankRuehl" w:cs="FrankRuehl"/>
                <w:rtl/>
              </w:rPr>
            </w:pPr>
          </w:p>
          <w:p w14:paraId="51ABACD6" w14:textId="77777777" w:rsidR="00641F5B" w:rsidRPr="00641F5B" w:rsidRDefault="00641F5B" w:rsidP="00641F5B">
            <w:pPr>
              <w:spacing w:after="120" w:line="240" w:lineRule="exact"/>
              <w:ind w:left="283" w:hanging="283"/>
              <w:jc w:val="both"/>
              <w:rPr>
                <w:rFonts w:ascii="FrankRuehl" w:hAnsi="FrankRuehl" w:cs="FrankRuehl"/>
                <w:rtl/>
              </w:rPr>
            </w:pPr>
            <w:r w:rsidRPr="00641F5B">
              <w:rPr>
                <w:rFonts w:ascii="FrankRuehl" w:hAnsi="FrankRuehl" w:cs="FrankRuehl"/>
                <w:rtl/>
              </w:rPr>
              <w:t xml:space="preserve">חקיקה שאוזכרה: </w:t>
            </w:r>
          </w:p>
          <w:p w14:paraId="42128122" w14:textId="77777777" w:rsidR="00641F5B" w:rsidRPr="00641F5B" w:rsidRDefault="00641F5B" w:rsidP="00641F5B">
            <w:pPr>
              <w:spacing w:after="120" w:line="240" w:lineRule="exact"/>
              <w:ind w:left="283" w:hanging="283"/>
              <w:jc w:val="both"/>
              <w:rPr>
                <w:rFonts w:ascii="FrankRuehl" w:hAnsi="FrankRuehl" w:cs="FrankRuehl"/>
                <w:rtl/>
              </w:rPr>
            </w:pPr>
            <w:hyperlink r:id="rId7" w:history="1">
              <w:r w:rsidRPr="00641F5B">
                <w:rPr>
                  <w:rFonts w:ascii="FrankRuehl" w:hAnsi="FrankRuehl" w:cs="FrankRuehl"/>
                  <w:color w:val="0000FF"/>
                  <w:u w:val="single"/>
                  <w:rtl/>
                </w:rPr>
                <w:t>פקודת הסמים המסוכנים [נוסח חדש], תשל"ג-1973</w:t>
              </w:r>
            </w:hyperlink>
            <w:r w:rsidRPr="00641F5B">
              <w:rPr>
                <w:rFonts w:ascii="FrankRuehl" w:hAnsi="FrankRuehl" w:cs="FrankRuehl"/>
                <w:rtl/>
              </w:rPr>
              <w:t xml:space="preserve">: סע'  </w:t>
            </w:r>
            <w:hyperlink r:id="rId8" w:history="1">
              <w:r w:rsidRPr="00641F5B">
                <w:rPr>
                  <w:rFonts w:ascii="FrankRuehl" w:hAnsi="FrankRuehl" w:cs="FrankRuehl"/>
                  <w:color w:val="0000FF"/>
                  <w:u w:val="single"/>
                  <w:rtl/>
                </w:rPr>
                <w:t>7(א)</w:t>
              </w:r>
            </w:hyperlink>
            <w:r w:rsidRPr="00641F5B">
              <w:rPr>
                <w:rFonts w:ascii="FrankRuehl" w:hAnsi="FrankRuehl" w:cs="FrankRuehl"/>
                <w:rtl/>
              </w:rPr>
              <w:t xml:space="preserve">, </w:t>
            </w:r>
            <w:hyperlink r:id="rId9" w:history="1">
              <w:r w:rsidRPr="00641F5B">
                <w:rPr>
                  <w:rFonts w:ascii="FrankRuehl" w:hAnsi="FrankRuehl" w:cs="FrankRuehl"/>
                  <w:color w:val="0000FF"/>
                  <w:u w:val="single"/>
                  <w:rtl/>
                </w:rPr>
                <w:t>7(ג)</w:t>
              </w:r>
            </w:hyperlink>
            <w:r w:rsidRPr="00641F5B">
              <w:rPr>
                <w:rFonts w:ascii="FrankRuehl" w:hAnsi="FrankRuehl" w:cs="FrankRuehl"/>
                <w:rtl/>
              </w:rPr>
              <w:t xml:space="preserve">, </w:t>
            </w:r>
            <w:hyperlink r:id="rId10" w:history="1">
              <w:r w:rsidRPr="00641F5B">
                <w:rPr>
                  <w:rFonts w:ascii="FrankRuehl" w:hAnsi="FrankRuehl" w:cs="FrankRuehl"/>
                  <w:color w:val="0000FF"/>
                  <w:u w:val="single"/>
                  <w:rtl/>
                </w:rPr>
                <w:t>13</w:t>
              </w:r>
            </w:hyperlink>
            <w:r w:rsidRPr="00641F5B">
              <w:rPr>
                <w:rFonts w:ascii="FrankRuehl" w:hAnsi="FrankRuehl" w:cs="FrankRuehl"/>
                <w:rtl/>
              </w:rPr>
              <w:t xml:space="preserve">, </w:t>
            </w:r>
            <w:hyperlink r:id="rId11" w:history="1">
              <w:r w:rsidRPr="00641F5B">
                <w:rPr>
                  <w:rFonts w:ascii="FrankRuehl" w:hAnsi="FrankRuehl" w:cs="FrankRuehl"/>
                  <w:color w:val="0000FF"/>
                  <w:u w:val="single"/>
                  <w:rtl/>
                </w:rPr>
                <w:t>19א'</w:t>
              </w:r>
            </w:hyperlink>
          </w:p>
          <w:p w14:paraId="5AF0C4B3" w14:textId="77777777" w:rsidR="00641F5B" w:rsidRPr="00641F5B" w:rsidRDefault="00641F5B" w:rsidP="00641F5B">
            <w:pPr>
              <w:spacing w:after="120" w:line="240" w:lineRule="exact"/>
              <w:ind w:left="283" w:hanging="283"/>
              <w:jc w:val="both"/>
              <w:rPr>
                <w:rFonts w:ascii="FrankRuehl" w:hAnsi="FrankRuehl" w:cs="FrankRuehl"/>
                <w:rtl/>
              </w:rPr>
            </w:pPr>
            <w:hyperlink r:id="rId12" w:history="1">
              <w:r w:rsidRPr="00641F5B">
                <w:rPr>
                  <w:rFonts w:ascii="FrankRuehl" w:hAnsi="FrankRuehl" w:cs="FrankRuehl"/>
                  <w:color w:val="0000FF"/>
                  <w:u w:val="single"/>
                  <w:rtl/>
                </w:rPr>
                <w:t>חוק העונשין, תשל"ז-1977</w:t>
              </w:r>
            </w:hyperlink>
            <w:r w:rsidRPr="00641F5B">
              <w:rPr>
                <w:rFonts w:ascii="FrankRuehl" w:hAnsi="FrankRuehl" w:cs="FrankRuehl"/>
                <w:rtl/>
              </w:rPr>
              <w:t xml:space="preserve">: סע'  </w:t>
            </w:r>
            <w:hyperlink r:id="rId13" w:history="1">
              <w:r w:rsidRPr="00641F5B">
                <w:rPr>
                  <w:rFonts w:ascii="FrankRuehl" w:hAnsi="FrankRuehl" w:cs="FrankRuehl"/>
                  <w:color w:val="0000FF"/>
                  <w:u w:val="single"/>
                  <w:rtl/>
                </w:rPr>
                <w:t>40 ט'</w:t>
              </w:r>
            </w:hyperlink>
          </w:p>
          <w:p w14:paraId="61B6EE94" w14:textId="77777777" w:rsidR="00641F5B" w:rsidRPr="00641F5B" w:rsidRDefault="00641F5B" w:rsidP="00641F5B">
            <w:pPr>
              <w:spacing w:after="120" w:line="240" w:lineRule="exact"/>
              <w:ind w:left="283" w:hanging="283"/>
              <w:jc w:val="both"/>
              <w:rPr>
                <w:rFonts w:ascii="FrankRuehl" w:hAnsi="FrankRuehl" w:cs="FrankRuehl"/>
                <w:rtl/>
              </w:rPr>
            </w:pPr>
          </w:p>
          <w:p w14:paraId="41EB7EA7" w14:textId="77777777" w:rsidR="00170413" w:rsidRPr="00170413" w:rsidRDefault="00170413" w:rsidP="00170413">
            <w:pPr>
              <w:jc w:val="center"/>
              <w:rPr>
                <w:rFonts w:ascii="Arial" w:hAnsi="Arial" w:cs="FrankRuehl"/>
                <w:b/>
                <w:bCs/>
                <w:sz w:val="36"/>
                <w:szCs w:val="36"/>
                <w:rtl/>
              </w:rPr>
            </w:pPr>
            <w:bookmarkStart w:id="4" w:name="LawTable_End"/>
            <w:bookmarkEnd w:id="4"/>
            <w:r w:rsidRPr="00170413">
              <w:rPr>
                <w:rFonts w:ascii="Arial" w:hAnsi="Arial" w:cs="FrankRuehl"/>
                <w:b/>
                <w:bCs/>
                <w:sz w:val="36"/>
                <w:szCs w:val="36"/>
                <w:rtl/>
              </w:rPr>
              <w:t>גזר דין</w:t>
            </w:r>
          </w:p>
          <w:p w14:paraId="0266B32D" w14:textId="77777777" w:rsidR="00AC7FF0" w:rsidRPr="00170413" w:rsidRDefault="00AC7FF0" w:rsidP="00170413">
            <w:pPr>
              <w:jc w:val="center"/>
              <w:rPr>
                <w:rFonts w:ascii="Arial" w:hAnsi="Arial" w:cs="FrankRuehl"/>
                <w:bCs/>
                <w:sz w:val="36"/>
                <w:szCs w:val="36"/>
                <w:rtl/>
              </w:rPr>
            </w:pPr>
          </w:p>
        </w:tc>
      </w:tr>
      <w:bookmarkEnd w:id="2"/>
    </w:tbl>
    <w:p w14:paraId="12D52A79" w14:textId="77777777" w:rsidR="00AC7FF0" w:rsidRDefault="00AC7FF0">
      <w:pPr>
        <w:rPr>
          <w:rFonts w:ascii="Arial" w:hAnsi="Arial"/>
          <w:sz w:val="28"/>
          <w:szCs w:val="28"/>
          <w:rtl/>
        </w:rPr>
      </w:pPr>
    </w:p>
    <w:p w14:paraId="16CB156A" w14:textId="77777777" w:rsidR="00AC7FF0" w:rsidRDefault="00170413">
      <w:pPr>
        <w:spacing w:line="360" w:lineRule="auto"/>
        <w:jc w:val="both"/>
        <w:rPr>
          <w:b/>
          <w:bCs/>
          <w:sz w:val="28"/>
          <w:szCs w:val="28"/>
        </w:rPr>
      </w:pPr>
      <w:r>
        <w:rPr>
          <w:rFonts w:hint="cs"/>
          <w:b/>
          <w:bCs/>
          <w:sz w:val="28"/>
          <w:szCs w:val="28"/>
          <w:rtl/>
        </w:rPr>
        <w:t>מעשי הנאשם והרשעתו</w:t>
      </w:r>
    </w:p>
    <w:p w14:paraId="0801327E" w14:textId="77777777" w:rsidR="00AC7FF0" w:rsidRDefault="00170413">
      <w:pPr>
        <w:spacing w:line="360" w:lineRule="auto"/>
        <w:ind w:left="720" w:hanging="720"/>
        <w:contextualSpacing/>
        <w:jc w:val="both"/>
        <w:rPr>
          <w:rFonts w:ascii="Calibri" w:eastAsia="Calibri" w:hAnsi="Calibri"/>
          <w:sz w:val="28"/>
          <w:szCs w:val="28"/>
        </w:rPr>
      </w:pPr>
      <w:r>
        <w:rPr>
          <w:rFonts w:ascii="Calibri" w:eastAsia="Calibri" w:hAnsi="Calibri" w:hint="cs"/>
          <w:sz w:val="28"/>
          <w:szCs w:val="28"/>
          <w:rtl/>
        </w:rPr>
        <w:t>1.</w:t>
      </w:r>
      <w:r>
        <w:rPr>
          <w:rFonts w:ascii="Calibri" w:eastAsia="Calibri" w:hAnsi="Calibri" w:hint="cs"/>
          <w:sz w:val="28"/>
          <w:szCs w:val="28"/>
          <w:rtl/>
        </w:rPr>
        <w:tab/>
      </w:r>
      <w:bookmarkStart w:id="5" w:name="ABSTRACT_START"/>
      <w:bookmarkEnd w:id="5"/>
      <w:r>
        <w:rPr>
          <w:rFonts w:ascii="Calibri" w:eastAsia="Calibri" w:hAnsi="Calibri" w:hint="cs"/>
          <w:sz w:val="28"/>
          <w:szCs w:val="28"/>
          <w:rtl/>
        </w:rPr>
        <w:t xml:space="preserve">הנאשם הורשע על פי הודאתו במסגרת הסדר טיעון, שאינו מתייחס לעניין העונש, בשני אישומים בביצוע עבירות לפי </w:t>
      </w:r>
      <w:hyperlink r:id="rId14" w:history="1">
        <w:r w:rsidRPr="00170413">
          <w:rPr>
            <w:rFonts w:ascii="Calibri" w:eastAsia="Calibri" w:hAnsi="Calibri" w:hint="cs"/>
            <w:color w:val="0000FF"/>
            <w:sz w:val="28"/>
            <w:szCs w:val="28"/>
            <w:u w:val="single"/>
            <w:rtl/>
          </w:rPr>
          <w:t>פקודת</w:t>
        </w:r>
        <w:r w:rsidRPr="00170413">
          <w:rPr>
            <w:rFonts w:ascii="Calibri" w:eastAsia="Calibri" w:hAnsi="Calibri"/>
            <w:color w:val="0000FF"/>
            <w:sz w:val="28"/>
            <w:szCs w:val="28"/>
            <w:u w:val="single"/>
            <w:rtl/>
          </w:rPr>
          <w:t xml:space="preserve"> </w:t>
        </w:r>
        <w:r w:rsidRPr="00170413">
          <w:rPr>
            <w:rFonts w:ascii="Calibri" w:eastAsia="Calibri" w:hAnsi="Calibri" w:hint="cs"/>
            <w:color w:val="0000FF"/>
            <w:sz w:val="28"/>
            <w:szCs w:val="28"/>
            <w:u w:val="single"/>
            <w:rtl/>
          </w:rPr>
          <w:t>הסמים</w:t>
        </w:r>
        <w:r w:rsidRPr="00170413">
          <w:rPr>
            <w:rFonts w:ascii="Calibri" w:eastAsia="Calibri" w:hAnsi="Calibri"/>
            <w:color w:val="0000FF"/>
            <w:sz w:val="28"/>
            <w:szCs w:val="28"/>
            <w:u w:val="single"/>
            <w:rtl/>
          </w:rPr>
          <w:t xml:space="preserve"> </w:t>
        </w:r>
        <w:r w:rsidRPr="00170413">
          <w:rPr>
            <w:rFonts w:ascii="Calibri" w:eastAsia="Calibri" w:hAnsi="Calibri" w:hint="cs"/>
            <w:color w:val="0000FF"/>
            <w:sz w:val="28"/>
            <w:szCs w:val="28"/>
            <w:u w:val="single"/>
            <w:rtl/>
          </w:rPr>
          <w:t>המסוכנים</w:t>
        </w:r>
      </w:hyperlink>
      <w:r>
        <w:rPr>
          <w:rFonts w:ascii="Calibri" w:eastAsia="Calibri" w:hAnsi="Calibri" w:hint="cs"/>
          <w:sz w:val="28"/>
          <w:szCs w:val="28"/>
          <w:rtl/>
        </w:rPr>
        <w:t xml:space="preserve"> [נוסח חדש], התשל"ג- 1973 (להלן: "</w:t>
      </w:r>
      <w:r>
        <w:rPr>
          <w:rFonts w:ascii="Calibri" w:eastAsia="Calibri" w:hAnsi="Calibri" w:hint="cs"/>
          <w:b/>
          <w:bCs/>
          <w:sz w:val="28"/>
          <w:szCs w:val="28"/>
          <w:rtl/>
        </w:rPr>
        <w:t>הפקודה</w:t>
      </w:r>
      <w:r>
        <w:rPr>
          <w:rFonts w:ascii="Calibri" w:eastAsia="Calibri" w:hAnsi="Calibri" w:hint="cs"/>
          <w:sz w:val="28"/>
          <w:szCs w:val="28"/>
          <w:rtl/>
        </w:rPr>
        <w:t>" או "</w:t>
      </w:r>
      <w:r>
        <w:rPr>
          <w:rFonts w:ascii="Calibri" w:eastAsia="Calibri" w:hAnsi="Calibri" w:hint="cs"/>
          <w:b/>
          <w:bCs/>
          <w:sz w:val="28"/>
          <w:szCs w:val="28"/>
          <w:rtl/>
        </w:rPr>
        <w:t>פקודת הסמים המסוכנים</w:t>
      </w:r>
      <w:r>
        <w:rPr>
          <w:rFonts w:ascii="Calibri" w:eastAsia="Calibri" w:hAnsi="Calibri" w:hint="cs"/>
          <w:sz w:val="28"/>
          <w:szCs w:val="28"/>
          <w:rtl/>
        </w:rPr>
        <w:t xml:space="preserve">"): </w:t>
      </w:r>
    </w:p>
    <w:p w14:paraId="30FABAFB" w14:textId="77777777" w:rsidR="00AC7FF0" w:rsidRDefault="00170413">
      <w:pPr>
        <w:spacing w:line="360" w:lineRule="auto"/>
        <w:ind w:left="720"/>
        <w:contextualSpacing/>
        <w:jc w:val="both"/>
        <w:rPr>
          <w:rFonts w:ascii="Calibri" w:eastAsia="Calibri" w:hAnsi="Calibri"/>
          <w:sz w:val="28"/>
          <w:szCs w:val="28"/>
          <w:rtl/>
        </w:rPr>
      </w:pPr>
      <w:r>
        <w:rPr>
          <w:rFonts w:ascii="Calibri" w:eastAsia="Calibri" w:hAnsi="Calibri" w:hint="cs"/>
          <w:sz w:val="28"/>
          <w:szCs w:val="28"/>
          <w:rtl/>
        </w:rPr>
        <w:t xml:space="preserve">באישום הראשון הורשע הנאשם בעבירות של יבוא סם מסוכן, עבירה לפי </w:t>
      </w:r>
      <w:hyperlink r:id="rId15" w:history="1">
        <w:r w:rsidR="00641F5B" w:rsidRPr="00641F5B">
          <w:rPr>
            <w:rFonts w:ascii="Calibri" w:eastAsia="Calibri" w:hAnsi="Calibri" w:hint="cs"/>
            <w:color w:val="0000FF"/>
            <w:sz w:val="28"/>
            <w:szCs w:val="28"/>
            <w:u w:val="single"/>
            <w:rtl/>
          </w:rPr>
          <w:t>סעיף</w:t>
        </w:r>
        <w:r w:rsidR="00641F5B" w:rsidRPr="00641F5B">
          <w:rPr>
            <w:rFonts w:ascii="Calibri" w:eastAsia="Calibri" w:hAnsi="Calibri"/>
            <w:color w:val="0000FF"/>
            <w:sz w:val="28"/>
            <w:szCs w:val="28"/>
            <w:u w:val="single"/>
            <w:rtl/>
          </w:rPr>
          <w:t xml:space="preserve"> 13</w:t>
        </w:r>
      </w:hyperlink>
      <w:r>
        <w:rPr>
          <w:rFonts w:ascii="Calibri" w:eastAsia="Calibri" w:hAnsi="Calibri" w:hint="cs"/>
          <w:sz w:val="28"/>
          <w:szCs w:val="28"/>
          <w:rtl/>
        </w:rPr>
        <w:t xml:space="preserve"> בצירוף </w:t>
      </w:r>
      <w:hyperlink r:id="rId16" w:history="1">
        <w:r w:rsidR="00641F5B" w:rsidRPr="00641F5B">
          <w:rPr>
            <w:rFonts w:ascii="Calibri" w:eastAsia="Calibri" w:hAnsi="Calibri" w:hint="cs"/>
            <w:color w:val="0000FF"/>
            <w:sz w:val="28"/>
            <w:szCs w:val="28"/>
            <w:u w:val="single"/>
            <w:rtl/>
          </w:rPr>
          <w:t>סעיף</w:t>
        </w:r>
        <w:r w:rsidR="00641F5B" w:rsidRPr="00641F5B">
          <w:rPr>
            <w:rFonts w:ascii="Calibri" w:eastAsia="Calibri" w:hAnsi="Calibri"/>
            <w:color w:val="0000FF"/>
            <w:sz w:val="28"/>
            <w:szCs w:val="28"/>
            <w:u w:val="single"/>
            <w:rtl/>
          </w:rPr>
          <w:t xml:space="preserve"> 19</w:t>
        </w:r>
        <w:r w:rsidR="00641F5B" w:rsidRPr="00641F5B">
          <w:rPr>
            <w:rFonts w:ascii="Calibri" w:eastAsia="Calibri" w:hAnsi="Calibri" w:hint="cs"/>
            <w:color w:val="0000FF"/>
            <w:sz w:val="28"/>
            <w:szCs w:val="28"/>
            <w:u w:val="single"/>
            <w:rtl/>
          </w:rPr>
          <w:t>א</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לפקודה ובהחזקת סם מסוכן שלא לצריכה עצמית, עבירה לפי </w:t>
      </w:r>
      <w:hyperlink r:id="rId17" w:history="1">
        <w:r w:rsidR="00641F5B" w:rsidRPr="00641F5B">
          <w:rPr>
            <w:rFonts w:ascii="Calibri" w:eastAsia="Calibri" w:hAnsi="Calibri" w:hint="cs"/>
            <w:color w:val="0000FF"/>
            <w:sz w:val="28"/>
            <w:szCs w:val="28"/>
            <w:u w:val="single"/>
            <w:rtl/>
          </w:rPr>
          <w:t>סעיפים</w:t>
        </w:r>
        <w:r w:rsidR="00641F5B" w:rsidRPr="00641F5B">
          <w:rPr>
            <w:rFonts w:ascii="Calibri" w:eastAsia="Calibri" w:hAnsi="Calibri"/>
            <w:color w:val="0000FF"/>
            <w:sz w:val="28"/>
            <w:szCs w:val="28"/>
            <w:u w:val="single"/>
            <w:rtl/>
          </w:rPr>
          <w:t xml:space="preserve"> 7(</w:t>
        </w:r>
        <w:r w:rsidR="00641F5B" w:rsidRPr="00641F5B">
          <w:rPr>
            <w:rFonts w:ascii="Calibri" w:eastAsia="Calibri" w:hAnsi="Calibri" w:hint="cs"/>
            <w:color w:val="0000FF"/>
            <w:sz w:val="28"/>
            <w:szCs w:val="28"/>
            <w:u w:val="single"/>
            <w:rtl/>
          </w:rPr>
          <w:t>א</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 </w:t>
      </w:r>
      <w:hyperlink r:id="rId18" w:history="1">
        <w:r w:rsidR="00641F5B" w:rsidRPr="00641F5B">
          <w:rPr>
            <w:rFonts w:ascii="Calibri" w:eastAsia="Calibri" w:hAnsi="Calibri" w:hint="cs"/>
            <w:color w:val="0000FF"/>
            <w:sz w:val="28"/>
            <w:szCs w:val="28"/>
            <w:u w:val="single"/>
            <w:rtl/>
          </w:rPr>
          <w:t>סעיף</w:t>
        </w:r>
        <w:r w:rsidR="00641F5B" w:rsidRPr="00641F5B">
          <w:rPr>
            <w:rFonts w:ascii="Calibri" w:eastAsia="Calibri" w:hAnsi="Calibri"/>
            <w:color w:val="0000FF"/>
            <w:sz w:val="28"/>
            <w:szCs w:val="28"/>
            <w:u w:val="single"/>
            <w:rtl/>
          </w:rPr>
          <w:t xml:space="preserve"> 7(</w:t>
        </w:r>
        <w:r w:rsidR="00641F5B" w:rsidRPr="00641F5B">
          <w:rPr>
            <w:rFonts w:ascii="Calibri" w:eastAsia="Calibri" w:hAnsi="Calibri" w:hint="cs"/>
            <w:color w:val="0000FF"/>
            <w:sz w:val="28"/>
            <w:szCs w:val="28"/>
            <w:u w:val="single"/>
            <w:rtl/>
          </w:rPr>
          <w:t>ג</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רישא לפקודה. </w:t>
      </w:r>
    </w:p>
    <w:p w14:paraId="1DE3F34C" w14:textId="77777777" w:rsidR="00AC7FF0" w:rsidRDefault="00170413">
      <w:pPr>
        <w:spacing w:line="360" w:lineRule="auto"/>
        <w:ind w:left="720"/>
        <w:contextualSpacing/>
        <w:jc w:val="both"/>
        <w:rPr>
          <w:rFonts w:ascii="Calibri" w:eastAsia="Calibri" w:hAnsi="Calibri"/>
          <w:sz w:val="28"/>
          <w:szCs w:val="28"/>
          <w:rtl/>
        </w:rPr>
      </w:pPr>
      <w:bookmarkStart w:id="6" w:name="ABSTRACT_END"/>
      <w:bookmarkEnd w:id="6"/>
      <w:r>
        <w:rPr>
          <w:rFonts w:ascii="Calibri" w:eastAsia="Calibri" w:hAnsi="Calibri" w:hint="cs"/>
          <w:sz w:val="28"/>
          <w:szCs w:val="28"/>
          <w:rtl/>
        </w:rPr>
        <w:t xml:space="preserve">באישום השני הורשע הנאשם בעבירות של סחר בסם מסוכן, עבירה לפי </w:t>
      </w:r>
      <w:hyperlink r:id="rId19" w:history="1">
        <w:r w:rsidR="00641F5B" w:rsidRPr="00641F5B">
          <w:rPr>
            <w:rFonts w:ascii="Calibri" w:eastAsia="Calibri" w:hAnsi="Calibri" w:hint="cs"/>
            <w:color w:val="0000FF"/>
            <w:sz w:val="28"/>
            <w:szCs w:val="28"/>
            <w:u w:val="single"/>
            <w:rtl/>
          </w:rPr>
          <w:t>סעיף</w:t>
        </w:r>
        <w:r w:rsidR="00641F5B" w:rsidRPr="00641F5B">
          <w:rPr>
            <w:rFonts w:ascii="Calibri" w:eastAsia="Calibri" w:hAnsi="Calibri"/>
            <w:color w:val="0000FF"/>
            <w:sz w:val="28"/>
            <w:szCs w:val="28"/>
            <w:u w:val="single"/>
            <w:rtl/>
          </w:rPr>
          <w:t xml:space="preserve"> 13</w:t>
        </w:r>
      </w:hyperlink>
      <w:r>
        <w:rPr>
          <w:rFonts w:ascii="Calibri" w:eastAsia="Calibri" w:hAnsi="Calibri" w:hint="cs"/>
          <w:sz w:val="28"/>
          <w:szCs w:val="28"/>
          <w:rtl/>
        </w:rPr>
        <w:t xml:space="preserve"> בצירוף </w:t>
      </w:r>
      <w:hyperlink r:id="rId20" w:history="1">
        <w:r w:rsidR="00641F5B" w:rsidRPr="00641F5B">
          <w:rPr>
            <w:rFonts w:ascii="Calibri" w:eastAsia="Calibri" w:hAnsi="Calibri" w:hint="cs"/>
            <w:color w:val="0000FF"/>
            <w:sz w:val="28"/>
            <w:szCs w:val="28"/>
            <w:u w:val="single"/>
            <w:rtl/>
          </w:rPr>
          <w:t>סעיף</w:t>
        </w:r>
        <w:r w:rsidR="00641F5B" w:rsidRPr="00641F5B">
          <w:rPr>
            <w:rFonts w:ascii="Calibri" w:eastAsia="Calibri" w:hAnsi="Calibri"/>
            <w:color w:val="0000FF"/>
            <w:sz w:val="28"/>
            <w:szCs w:val="28"/>
            <w:u w:val="single"/>
            <w:rtl/>
          </w:rPr>
          <w:t xml:space="preserve"> 19</w:t>
        </w:r>
        <w:r w:rsidR="00641F5B" w:rsidRPr="00641F5B">
          <w:rPr>
            <w:rFonts w:ascii="Calibri" w:eastAsia="Calibri" w:hAnsi="Calibri" w:hint="cs"/>
            <w:color w:val="0000FF"/>
            <w:sz w:val="28"/>
            <w:szCs w:val="28"/>
            <w:u w:val="single"/>
            <w:rtl/>
          </w:rPr>
          <w:t>א</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לפקודה; החזקת סם מסוכן שלא לצריכה עצמית, עבירה לפי </w:t>
      </w:r>
      <w:hyperlink r:id="rId21" w:history="1">
        <w:r w:rsidR="00641F5B" w:rsidRPr="00641F5B">
          <w:rPr>
            <w:rFonts w:ascii="Calibri" w:eastAsia="Calibri" w:hAnsi="Calibri" w:hint="cs"/>
            <w:color w:val="0000FF"/>
            <w:sz w:val="28"/>
            <w:szCs w:val="28"/>
            <w:u w:val="single"/>
            <w:rtl/>
          </w:rPr>
          <w:t>סעיפים</w:t>
        </w:r>
        <w:r w:rsidR="00641F5B" w:rsidRPr="00641F5B">
          <w:rPr>
            <w:rFonts w:ascii="Calibri" w:eastAsia="Calibri" w:hAnsi="Calibri"/>
            <w:color w:val="0000FF"/>
            <w:sz w:val="28"/>
            <w:szCs w:val="28"/>
            <w:u w:val="single"/>
            <w:rtl/>
          </w:rPr>
          <w:t xml:space="preserve"> 7(</w:t>
        </w:r>
        <w:r w:rsidR="00641F5B" w:rsidRPr="00641F5B">
          <w:rPr>
            <w:rFonts w:ascii="Calibri" w:eastAsia="Calibri" w:hAnsi="Calibri" w:hint="cs"/>
            <w:color w:val="0000FF"/>
            <w:sz w:val="28"/>
            <w:szCs w:val="28"/>
            <w:u w:val="single"/>
            <w:rtl/>
          </w:rPr>
          <w:t>א</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 </w:t>
      </w:r>
      <w:hyperlink r:id="rId22" w:history="1">
        <w:r w:rsidR="00641F5B" w:rsidRPr="00641F5B">
          <w:rPr>
            <w:rFonts w:ascii="Calibri" w:eastAsia="Calibri" w:hAnsi="Calibri"/>
            <w:color w:val="0000FF"/>
            <w:sz w:val="28"/>
            <w:szCs w:val="28"/>
            <w:u w:val="single"/>
            <w:rtl/>
          </w:rPr>
          <w:t>7(</w:t>
        </w:r>
        <w:r w:rsidR="00641F5B" w:rsidRPr="00641F5B">
          <w:rPr>
            <w:rFonts w:ascii="Calibri" w:eastAsia="Calibri" w:hAnsi="Calibri" w:hint="cs"/>
            <w:color w:val="0000FF"/>
            <w:sz w:val="28"/>
            <w:szCs w:val="28"/>
            <w:u w:val="single"/>
            <w:rtl/>
          </w:rPr>
          <w:t>ג</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רישא לפקודה והחזקת סם לצריכה עצמית, עבירה לפי </w:t>
      </w:r>
      <w:hyperlink r:id="rId23" w:history="1">
        <w:r w:rsidR="00641F5B" w:rsidRPr="00641F5B">
          <w:rPr>
            <w:rFonts w:ascii="Calibri" w:eastAsia="Calibri" w:hAnsi="Calibri" w:hint="cs"/>
            <w:color w:val="0000FF"/>
            <w:sz w:val="28"/>
            <w:szCs w:val="28"/>
            <w:u w:val="single"/>
            <w:rtl/>
          </w:rPr>
          <w:t>סעיפים</w:t>
        </w:r>
        <w:r w:rsidR="00641F5B" w:rsidRPr="00641F5B">
          <w:rPr>
            <w:rFonts w:ascii="Calibri" w:eastAsia="Calibri" w:hAnsi="Calibri"/>
            <w:color w:val="0000FF"/>
            <w:sz w:val="28"/>
            <w:szCs w:val="28"/>
            <w:u w:val="single"/>
            <w:rtl/>
          </w:rPr>
          <w:t xml:space="preserve"> 7(</w:t>
        </w:r>
        <w:r w:rsidR="00641F5B" w:rsidRPr="00641F5B">
          <w:rPr>
            <w:rFonts w:ascii="Calibri" w:eastAsia="Calibri" w:hAnsi="Calibri" w:hint="cs"/>
            <w:color w:val="0000FF"/>
            <w:sz w:val="28"/>
            <w:szCs w:val="28"/>
            <w:u w:val="single"/>
            <w:rtl/>
          </w:rPr>
          <w:t>א</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 </w:t>
      </w:r>
      <w:hyperlink r:id="rId24" w:history="1">
        <w:r w:rsidR="00641F5B" w:rsidRPr="00641F5B">
          <w:rPr>
            <w:rFonts w:ascii="Calibri" w:eastAsia="Calibri" w:hAnsi="Calibri"/>
            <w:color w:val="0000FF"/>
            <w:sz w:val="28"/>
            <w:szCs w:val="28"/>
            <w:u w:val="single"/>
            <w:rtl/>
          </w:rPr>
          <w:t>7(</w:t>
        </w:r>
        <w:r w:rsidR="00641F5B" w:rsidRPr="00641F5B">
          <w:rPr>
            <w:rFonts w:ascii="Calibri" w:eastAsia="Calibri" w:hAnsi="Calibri" w:hint="cs"/>
            <w:color w:val="0000FF"/>
            <w:sz w:val="28"/>
            <w:szCs w:val="28"/>
            <w:u w:val="single"/>
            <w:rtl/>
          </w:rPr>
          <w:t>ג</w:t>
        </w:r>
        <w:r w:rsidR="00641F5B" w:rsidRPr="00641F5B">
          <w:rPr>
            <w:rFonts w:ascii="Calibri" w:eastAsia="Calibri" w:hAnsi="Calibri"/>
            <w:color w:val="0000FF"/>
            <w:sz w:val="28"/>
            <w:szCs w:val="28"/>
            <w:u w:val="single"/>
            <w:rtl/>
          </w:rPr>
          <w:t>)</w:t>
        </w:r>
      </w:hyperlink>
      <w:r>
        <w:rPr>
          <w:rFonts w:ascii="Calibri" w:eastAsia="Calibri" w:hAnsi="Calibri" w:hint="cs"/>
          <w:sz w:val="28"/>
          <w:szCs w:val="28"/>
          <w:rtl/>
        </w:rPr>
        <w:t xml:space="preserve"> סיפא לפקודה.</w:t>
      </w:r>
    </w:p>
    <w:p w14:paraId="4CF9625B" w14:textId="77777777" w:rsidR="00AC7FF0" w:rsidRDefault="00AC7FF0">
      <w:pPr>
        <w:spacing w:line="360" w:lineRule="auto"/>
        <w:ind w:left="720"/>
        <w:contextualSpacing/>
        <w:jc w:val="both"/>
        <w:rPr>
          <w:rFonts w:ascii="Calibri" w:eastAsia="Calibri" w:hAnsi="Calibri"/>
          <w:sz w:val="28"/>
          <w:szCs w:val="28"/>
        </w:rPr>
      </w:pPr>
    </w:p>
    <w:p w14:paraId="163F1C4C" w14:textId="77777777" w:rsidR="00AC7FF0" w:rsidRDefault="00170413">
      <w:pPr>
        <w:spacing w:line="360" w:lineRule="auto"/>
        <w:ind w:left="720" w:hanging="720"/>
        <w:contextualSpacing/>
        <w:jc w:val="both"/>
        <w:rPr>
          <w:rFonts w:ascii="Calibri" w:eastAsia="Calibri" w:hAnsi="Calibri"/>
          <w:sz w:val="28"/>
          <w:szCs w:val="28"/>
        </w:rPr>
      </w:pPr>
      <w:r>
        <w:rPr>
          <w:rFonts w:hint="cs"/>
          <w:sz w:val="28"/>
          <w:szCs w:val="28"/>
          <w:rtl/>
        </w:rPr>
        <w:t>2.</w:t>
      </w:r>
      <w:r>
        <w:rPr>
          <w:rFonts w:hint="cs"/>
          <w:sz w:val="28"/>
          <w:szCs w:val="28"/>
          <w:rtl/>
        </w:rPr>
        <w:tab/>
        <w:t>על פי האמור באישום הראשון בכתב האישום המתוקן,</w:t>
      </w:r>
      <w:r>
        <w:rPr>
          <w:rFonts w:ascii="Calibri" w:eastAsia="Calibri" w:hAnsi="Calibri" w:hint="cs"/>
          <w:sz w:val="28"/>
          <w:szCs w:val="28"/>
          <w:rtl/>
        </w:rPr>
        <w:t xml:space="preserve"> דימתילטריפטאמין </w:t>
      </w:r>
      <w:r>
        <w:rPr>
          <w:rFonts w:ascii="Calibri" w:eastAsia="Calibri" w:hAnsi="Calibri"/>
          <w:sz w:val="28"/>
          <w:szCs w:val="28"/>
        </w:rPr>
        <w:t>N</w:t>
      </w:r>
      <w:r>
        <w:rPr>
          <w:rFonts w:ascii="Calibri" w:eastAsia="Calibri" w:hAnsi="Calibri" w:hint="cs"/>
          <w:sz w:val="28"/>
          <w:szCs w:val="28"/>
          <w:rtl/>
        </w:rPr>
        <w:t>,</w:t>
      </w:r>
      <w:r>
        <w:rPr>
          <w:rFonts w:ascii="Calibri" w:eastAsia="Calibri" w:hAnsi="Calibri"/>
          <w:sz w:val="28"/>
          <w:szCs w:val="28"/>
        </w:rPr>
        <w:t>N</w:t>
      </w:r>
      <w:r>
        <w:rPr>
          <w:rFonts w:ascii="Calibri" w:eastAsia="Calibri" w:hAnsi="Calibri" w:hint="cs"/>
          <w:sz w:val="28"/>
          <w:szCs w:val="28"/>
          <w:rtl/>
        </w:rPr>
        <w:t xml:space="preserve"> הינו סם מסוכן לפי </w:t>
      </w:r>
      <w:hyperlink r:id="rId25" w:history="1">
        <w:r w:rsidRPr="00170413">
          <w:rPr>
            <w:rFonts w:ascii="Calibri" w:eastAsia="Calibri" w:hAnsi="Calibri" w:hint="cs"/>
            <w:color w:val="0000FF"/>
            <w:sz w:val="28"/>
            <w:szCs w:val="28"/>
            <w:u w:val="single"/>
            <w:rtl/>
          </w:rPr>
          <w:t>פקודת</w:t>
        </w:r>
        <w:r w:rsidRPr="00170413">
          <w:rPr>
            <w:rFonts w:ascii="Calibri" w:eastAsia="Calibri" w:hAnsi="Calibri"/>
            <w:color w:val="0000FF"/>
            <w:sz w:val="28"/>
            <w:szCs w:val="28"/>
            <w:u w:val="single"/>
            <w:rtl/>
          </w:rPr>
          <w:t xml:space="preserve"> </w:t>
        </w:r>
        <w:r w:rsidRPr="00170413">
          <w:rPr>
            <w:rFonts w:ascii="Calibri" w:eastAsia="Calibri" w:hAnsi="Calibri" w:hint="cs"/>
            <w:color w:val="0000FF"/>
            <w:sz w:val="28"/>
            <w:szCs w:val="28"/>
            <w:u w:val="single"/>
            <w:rtl/>
          </w:rPr>
          <w:t>הסמים</w:t>
        </w:r>
        <w:r w:rsidRPr="00170413">
          <w:rPr>
            <w:rFonts w:ascii="Calibri" w:eastAsia="Calibri" w:hAnsi="Calibri"/>
            <w:color w:val="0000FF"/>
            <w:sz w:val="28"/>
            <w:szCs w:val="28"/>
            <w:u w:val="single"/>
            <w:rtl/>
          </w:rPr>
          <w:t xml:space="preserve"> </w:t>
        </w:r>
        <w:r w:rsidRPr="00170413">
          <w:rPr>
            <w:rFonts w:ascii="Calibri" w:eastAsia="Calibri" w:hAnsi="Calibri" w:hint="cs"/>
            <w:color w:val="0000FF"/>
            <w:sz w:val="28"/>
            <w:szCs w:val="28"/>
            <w:u w:val="single"/>
            <w:rtl/>
          </w:rPr>
          <w:t>המסוכנים</w:t>
        </w:r>
      </w:hyperlink>
      <w:r>
        <w:rPr>
          <w:rFonts w:ascii="Calibri" w:eastAsia="Calibri" w:hAnsi="Calibri" w:hint="cs"/>
          <w:sz w:val="28"/>
          <w:szCs w:val="28"/>
          <w:rtl/>
        </w:rPr>
        <w:t xml:space="preserve"> (להלן: "</w:t>
      </w:r>
      <w:r>
        <w:rPr>
          <w:rFonts w:ascii="Calibri" w:eastAsia="Calibri" w:hAnsi="Calibri"/>
          <w:b/>
          <w:bCs/>
          <w:sz w:val="28"/>
          <w:szCs w:val="28"/>
        </w:rPr>
        <w:t>DMT</w:t>
      </w:r>
      <w:r>
        <w:rPr>
          <w:rFonts w:ascii="Calibri" w:eastAsia="Calibri" w:hAnsi="Calibri" w:hint="cs"/>
          <w:sz w:val="28"/>
          <w:szCs w:val="28"/>
          <w:rtl/>
        </w:rPr>
        <w:t xml:space="preserve">"), השייך לקבוצת הסמים ההזייתיים ממשפחת הטריפטאמינים, וגורם להשפעות פיזיולוגיות ופסיכדליות דומות ל- </w:t>
      </w:r>
      <w:r>
        <w:rPr>
          <w:rFonts w:ascii="Calibri" w:eastAsia="Calibri" w:hAnsi="Calibri"/>
          <w:sz w:val="28"/>
          <w:szCs w:val="28"/>
        </w:rPr>
        <w:t xml:space="preserve">LSD </w:t>
      </w:r>
      <w:r>
        <w:rPr>
          <w:rFonts w:ascii="Calibri" w:eastAsia="Calibri" w:hAnsi="Calibri" w:hint="cs"/>
          <w:sz w:val="28"/>
          <w:szCs w:val="28"/>
          <w:rtl/>
        </w:rPr>
        <w:t xml:space="preserve"> שעיקרן גרימת הזיות, השריית תחושת ניתוק ושינוי במצב ההכרה.</w:t>
      </w:r>
    </w:p>
    <w:p w14:paraId="0E2D3DEB" w14:textId="77777777" w:rsidR="00AC7FF0" w:rsidRDefault="00AC7FF0">
      <w:pPr>
        <w:spacing w:line="360" w:lineRule="auto"/>
        <w:ind w:left="720"/>
        <w:contextualSpacing/>
        <w:jc w:val="both"/>
        <w:rPr>
          <w:rFonts w:ascii="Calibri" w:eastAsia="Calibri" w:hAnsi="Calibri"/>
          <w:sz w:val="28"/>
          <w:szCs w:val="28"/>
        </w:rPr>
      </w:pPr>
    </w:p>
    <w:p w14:paraId="78AD1D96" w14:textId="77777777" w:rsidR="00AC7FF0" w:rsidRDefault="00170413">
      <w:pPr>
        <w:spacing w:line="360" w:lineRule="auto"/>
        <w:ind w:left="720"/>
        <w:contextualSpacing/>
        <w:jc w:val="both"/>
        <w:rPr>
          <w:rFonts w:ascii="Calibri" w:eastAsia="Calibri" w:hAnsi="Calibri"/>
          <w:sz w:val="28"/>
          <w:szCs w:val="28"/>
          <w:rtl/>
        </w:rPr>
      </w:pPr>
      <w:r>
        <w:rPr>
          <w:rFonts w:ascii="Calibri" w:eastAsia="Calibri" w:hAnsi="Calibri" w:hint="cs"/>
          <w:sz w:val="28"/>
          <w:szCs w:val="28"/>
          <w:rtl/>
        </w:rPr>
        <w:t xml:space="preserve">בתאריך 13.6.13, או בסמוך לכך, הזמין הנאשם מהולנד לישראל, באמצעות האינטרנט, </w:t>
      </w:r>
      <w:r>
        <w:rPr>
          <w:rFonts w:ascii="Calibri" w:eastAsia="Calibri" w:hAnsi="Calibri"/>
          <w:sz w:val="28"/>
          <w:szCs w:val="28"/>
        </w:rPr>
        <w:t>DMT</w:t>
      </w:r>
      <w:r>
        <w:rPr>
          <w:rFonts w:ascii="Calibri" w:eastAsia="Calibri" w:hAnsi="Calibri" w:hint="cs"/>
          <w:sz w:val="28"/>
          <w:szCs w:val="28"/>
          <w:rtl/>
        </w:rPr>
        <w:t xml:space="preserve"> ושילם עבורו באמצעות כרטיס אשראי 103.30 יורו.</w:t>
      </w:r>
    </w:p>
    <w:p w14:paraId="2454ECB2" w14:textId="77777777" w:rsidR="00AC7FF0" w:rsidRDefault="00AC7FF0">
      <w:pPr>
        <w:spacing w:line="360" w:lineRule="auto"/>
        <w:ind w:left="720"/>
        <w:contextualSpacing/>
        <w:jc w:val="both"/>
        <w:rPr>
          <w:rFonts w:ascii="Calibri" w:eastAsia="Calibri" w:hAnsi="Calibri"/>
          <w:sz w:val="28"/>
          <w:szCs w:val="28"/>
          <w:rtl/>
        </w:rPr>
      </w:pPr>
    </w:p>
    <w:p w14:paraId="69091D09" w14:textId="77777777" w:rsidR="00AC7FF0" w:rsidRDefault="00170413">
      <w:pPr>
        <w:spacing w:line="360" w:lineRule="auto"/>
        <w:ind w:left="720"/>
        <w:contextualSpacing/>
        <w:jc w:val="both"/>
        <w:rPr>
          <w:rFonts w:ascii="Calibri" w:eastAsia="Calibri" w:hAnsi="Calibri"/>
          <w:sz w:val="28"/>
          <w:szCs w:val="28"/>
          <w:rtl/>
        </w:rPr>
      </w:pPr>
      <w:r>
        <w:rPr>
          <w:rFonts w:ascii="Calibri" w:eastAsia="Calibri" w:hAnsi="Calibri" w:hint="cs"/>
          <w:sz w:val="28"/>
          <w:szCs w:val="28"/>
          <w:rtl/>
        </w:rPr>
        <w:t xml:space="preserve">בתאריך 17.6.13, או בסמוך לכך, הגיעה לארץ חבילה מהולנד, המכילה </w:t>
      </w:r>
      <w:r>
        <w:rPr>
          <w:rFonts w:ascii="Calibri" w:eastAsia="Calibri" w:hAnsi="Calibri"/>
          <w:sz w:val="28"/>
          <w:szCs w:val="28"/>
        </w:rPr>
        <w:t>DMT</w:t>
      </w:r>
      <w:r>
        <w:rPr>
          <w:rFonts w:ascii="Calibri" w:eastAsia="Calibri" w:hAnsi="Calibri" w:hint="cs"/>
          <w:sz w:val="28"/>
          <w:szCs w:val="28"/>
          <w:rtl/>
        </w:rPr>
        <w:t xml:space="preserve"> במשקל 1011.84 גרם נטו (להלן: "</w:t>
      </w:r>
      <w:r>
        <w:rPr>
          <w:rFonts w:ascii="Calibri" w:eastAsia="Calibri" w:hAnsi="Calibri" w:hint="cs"/>
          <w:b/>
          <w:bCs/>
          <w:sz w:val="28"/>
          <w:szCs w:val="28"/>
          <w:rtl/>
        </w:rPr>
        <w:t>הסם המסוכן</w:t>
      </w:r>
      <w:r>
        <w:rPr>
          <w:rFonts w:ascii="Calibri" w:eastAsia="Calibri" w:hAnsi="Calibri" w:hint="cs"/>
          <w:sz w:val="28"/>
          <w:szCs w:val="28"/>
          <w:rtl/>
        </w:rPr>
        <w:t>"), המיועד למסירה לנאשם (להלן: "</w:t>
      </w:r>
      <w:r>
        <w:rPr>
          <w:rFonts w:ascii="Calibri" w:eastAsia="Calibri" w:hAnsi="Calibri" w:hint="cs"/>
          <w:b/>
          <w:bCs/>
          <w:sz w:val="28"/>
          <w:szCs w:val="28"/>
          <w:rtl/>
        </w:rPr>
        <w:t>החבילה</w:t>
      </w:r>
      <w:r>
        <w:rPr>
          <w:rFonts w:ascii="Calibri" w:eastAsia="Calibri" w:hAnsi="Calibri" w:hint="cs"/>
          <w:sz w:val="28"/>
          <w:szCs w:val="28"/>
          <w:rtl/>
        </w:rPr>
        <w:t xml:space="preserve">"), ונתפס על ידי המשטרה בנתב"ג. </w:t>
      </w:r>
    </w:p>
    <w:p w14:paraId="1DABE133" w14:textId="77777777" w:rsidR="00AC7FF0" w:rsidRDefault="00AC7FF0">
      <w:pPr>
        <w:spacing w:line="360" w:lineRule="auto"/>
        <w:ind w:left="720"/>
        <w:contextualSpacing/>
        <w:jc w:val="both"/>
        <w:rPr>
          <w:rFonts w:ascii="Calibri" w:eastAsia="Calibri" w:hAnsi="Calibri"/>
          <w:sz w:val="28"/>
          <w:szCs w:val="28"/>
          <w:rtl/>
        </w:rPr>
      </w:pPr>
    </w:p>
    <w:p w14:paraId="65EB2FD3" w14:textId="77777777" w:rsidR="00AC7FF0" w:rsidRDefault="00170413">
      <w:pPr>
        <w:spacing w:line="360" w:lineRule="auto"/>
        <w:ind w:left="720"/>
        <w:contextualSpacing/>
        <w:jc w:val="both"/>
        <w:rPr>
          <w:rFonts w:ascii="Calibri" w:eastAsia="Calibri" w:hAnsi="Calibri"/>
          <w:sz w:val="28"/>
          <w:szCs w:val="28"/>
          <w:rtl/>
        </w:rPr>
      </w:pPr>
      <w:r>
        <w:rPr>
          <w:rFonts w:ascii="Calibri" w:eastAsia="Calibri" w:hAnsi="Calibri" w:hint="cs"/>
          <w:sz w:val="28"/>
          <w:szCs w:val="28"/>
          <w:rtl/>
        </w:rPr>
        <w:t>עובר לתאריך 5.8.13, לאחר תפיסת הסם המסוכן על ידי המשטרה, הוכנסו לחבילה 24.5 גרם ברוטו מהסם המסוכן (להלן: "</w:t>
      </w:r>
      <w:r>
        <w:rPr>
          <w:rFonts w:ascii="Calibri" w:eastAsia="Calibri" w:hAnsi="Calibri" w:hint="cs"/>
          <w:b/>
          <w:bCs/>
          <w:sz w:val="28"/>
          <w:szCs w:val="28"/>
          <w:rtl/>
        </w:rPr>
        <w:t>החבילה המבוימת</w:t>
      </w:r>
      <w:r>
        <w:rPr>
          <w:rFonts w:ascii="Calibri" w:eastAsia="Calibri" w:hAnsi="Calibri" w:hint="cs"/>
          <w:sz w:val="28"/>
          <w:szCs w:val="28"/>
          <w:rtl/>
        </w:rPr>
        <w:t xml:space="preserve">"). בתאריך 5.8.13, לאחר שקיבל הודעה על הגעת החבילה לארץ, הגיע הנאשם לסניף הדואר בכלבו שלום בתל אביב, קיבל את החבילה המבוימת וסמוך לאחר מכן נעצר על ידי המשטרה. </w:t>
      </w:r>
    </w:p>
    <w:p w14:paraId="0A96AABD" w14:textId="77777777" w:rsidR="00AC7FF0" w:rsidRDefault="00AC7FF0">
      <w:pPr>
        <w:spacing w:line="360" w:lineRule="auto"/>
        <w:contextualSpacing/>
        <w:jc w:val="both"/>
        <w:rPr>
          <w:rFonts w:ascii="Calibri" w:eastAsia="Calibri" w:hAnsi="Calibri"/>
          <w:sz w:val="28"/>
          <w:szCs w:val="28"/>
          <w:rtl/>
        </w:rPr>
      </w:pPr>
    </w:p>
    <w:p w14:paraId="5120DC84" w14:textId="77777777" w:rsidR="00AC7FF0" w:rsidRDefault="00170413">
      <w:pPr>
        <w:spacing w:line="360" w:lineRule="auto"/>
        <w:ind w:left="720" w:hanging="720"/>
        <w:contextualSpacing/>
        <w:jc w:val="both"/>
        <w:rPr>
          <w:rFonts w:ascii="Calibri" w:eastAsia="Calibri" w:hAnsi="Calibri"/>
          <w:sz w:val="28"/>
          <w:szCs w:val="28"/>
          <w:rtl/>
        </w:rPr>
      </w:pPr>
      <w:r>
        <w:rPr>
          <w:rFonts w:ascii="Calibri" w:eastAsia="Calibri" w:hAnsi="Calibri" w:hint="cs"/>
          <w:sz w:val="28"/>
          <w:szCs w:val="28"/>
          <w:rtl/>
        </w:rPr>
        <w:t>3.</w:t>
      </w:r>
      <w:r>
        <w:rPr>
          <w:rFonts w:ascii="Calibri" w:eastAsia="Calibri" w:hAnsi="Calibri" w:hint="cs"/>
          <w:sz w:val="28"/>
          <w:szCs w:val="28"/>
          <w:rtl/>
        </w:rPr>
        <w:tab/>
        <w:t>עפ"י האמור באישום השני בשנים 2011-2012, או בסמוך לכך, במספר הזדמנויות במשך כשנה, נפגש הנאשם עם אסף פטל (להלן: "</w:t>
      </w:r>
      <w:r>
        <w:rPr>
          <w:rFonts w:ascii="Calibri" w:eastAsia="Calibri" w:hAnsi="Calibri" w:hint="cs"/>
          <w:b/>
          <w:bCs/>
          <w:sz w:val="28"/>
          <w:szCs w:val="28"/>
          <w:rtl/>
        </w:rPr>
        <w:t>אסף</w:t>
      </w:r>
      <w:r>
        <w:rPr>
          <w:rFonts w:ascii="Calibri" w:eastAsia="Calibri" w:hAnsi="Calibri" w:hint="cs"/>
          <w:sz w:val="28"/>
          <w:szCs w:val="28"/>
          <w:rtl/>
        </w:rPr>
        <w:t>") בתל אביב, ורכש ממנו קנבוס, במשקל של 30-100 גרם. הנאשם שילם לאסף עבור כל רכישה 2,000-3,000 ₪, בהתאם לכמות שרכש ממנו, ובהמשך מכר הנאשם את הסם לאחרים.</w:t>
      </w:r>
    </w:p>
    <w:p w14:paraId="74B89535" w14:textId="77777777" w:rsidR="00AC7FF0" w:rsidRDefault="00AC7FF0">
      <w:pPr>
        <w:spacing w:line="360" w:lineRule="auto"/>
        <w:ind w:left="720"/>
        <w:contextualSpacing/>
        <w:jc w:val="both"/>
        <w:rPr>
          <w:rFonts w:ascii="Calibri" w:eastAsia="Calibri" w:hAnsi="Calibri"/>
          <w:sz w:val="28"/>
          <w:szCs w:val="28"/>
          <w:rtl/>
        </w:rPr>
      </w:pPr>
    </w:p>
    <w:p w14:paraId="6841099D" w14:textId="77777777" w:rsidR="00AC7FF0" w:rsidRDefault="00170413">
      <w:pPr>
        <w:spacing w:line="360" w:lineRule="auto"/>
        <w:ind w:left="720"/>
        <w:contextualSpacing/>
        <w:jc w:val="both"/>
        <w:rPr>
          <w:rFonts w:ascii="Calibri" w:eastAsia="Calibri" w:hAnsi="Calibri"/>
          <w:sz w:val="28"/>
          <w:szCs w:val="28"/>
          <w:rtl/>
        </w:rPr>
      </w:pPr>
      <w:r>
        <w:rPr>
          <w:rFonts w:ascii="Calibri" w:eastAsia="Calibri" w:hAnsi="Calibri" w:hint="cs"/>
          <w:sz w:val="28"/>
          <w:szCs w:val="28"/>
          <w:rtl/>
        </w:rPr>
        <w:t xml:space="preserve">במועד שאינו ידוע למאשימה, במהלך שנת 2012, או בסמוך לכך, החזיק הנאשם בקבוקון המכיל 100 טיפות של </w:t>
      </w:r>
      <w:r>
        <w:rPr>
          <w:rFonts w:ascii="Calibri" w:eastAsia="Calibri" w:hAnsi="Calibri"/>
          <w:sz w:val="28"/>
          <w:szCs w:val="28"/>
        </w:rPr>
        <w:t>LSD</w:t>
      </w:r>
      <w:r>
        <w:rPr>
          <w:rFonts w:ascii="Calibri" w:eastAsia="Calibri" w:hAnsi="Calibri" w:hint="cs"/>
          <w:sz w:val="28"/>
          <w:szCs w:val="28"/>
          <w:rtl/>
        </w:rPr>
        <w:t xml:space="preserve"> שלא לצריכה עצמית.</w:t>
      </w:r>
    </w:p>
    <w:p w14:paraId="221AB383" w14:textId="77777777" w:rsidR="00AC7FF0" w:rsidRDefault="00AC7FF0">
      <w:pPr>
        <w:spacing w:line="360" w:lineRule="auto"/>
        <w:ind w:left="720"/>
        <w:contextualSpacing/>
        <w:jc w:val="both"/>
        <w:rPr>
          <w:rFonts w:ascii="Calibri" w:eastAsia="Calibri" w:hAnsi="Calibri"/>
          <w:sz w:val="28"/>
          <w:szCs w:val="28"/>
          <w:rtl/>
        </w:rPr>
      </w:pPr>
    </w:p>
    <w:p w14:paraId="75657C82" w14:textId="77777777" w:rsidR="00AC7FF0" w:rsidRDefault="00170413">
      <w:pPr>
        <w:spacing w:line="360" w:lineRule="auto"/>
        <w:ind w:left="720"/>
        <w:contextualSpacing/>
        <w:jc w:val="both"/>
        <w:rPr>
          <w:rFonts w:ascii="Calibri" w:eastAsia="Calibri" w:hAnsi="Calibri"/>
          <w:sz w:val="28"/>
          <w:szCs w:val="28"/>
          <w:rtl/>
        </w:rPr>
      </w:pPr>
      <w:r>
        <w:rPr>
          <w:rFonts w:ascii="Calibri" w:eastAsia="Calibri" w:hAnsi="Calibri" w:hint="cs"/>
          <w:sz w:val="28"/>
          <w:szCs w:val="28"/>
          <w:rtl/>
        </w:rPr>
        <w:lastRenderedPageBreak/>
        <w:t>במועדים שונים, שאינם ידועים למאשימה, במהלך שנת 2013 ועד מעצרו ביום 5.8.13, החזיק הנאשם קנבוס, בכמויות שונות, לשימושו העצמי.</w:t>
      </w:r>
    </w:p>
    <w:p w14:paraId="516671D9" w14:textId="77777777" w:rsidR="00AC7FF0" w:rsidRDefault="00AC7FF0">
      <w:pPr>
        <w:spacing w:line="360" w:lineRule="auto"/>
        <w:jc w:val="both"/>
        <w:rPr>
          <w:b/>
          <w:bCs/>
          <w:sz w:val="28"/>
          <w:szCs w:val="28"/>
          <w:rtl/>
        </w:rPr>
      </w:pPr>
    </w:p>
    <w:p w14:paraId="622A7DF4" w14:textId="77777777" w:rsidR="00AC7FF0" w:rsidRDefault="00AC7FF0">
      <w:pPr>
        <w:spacing w:line="360" w:lineRule="auto"/>
        <w:jc w:val="both"/>
        <w:rPr>
          <w:b/>
          <w:bCs/>
          <w:sz w:val="28"/>
          <w:szCs w:val="28"/>
          <w:rtl/>
        </w:rPr>
      </w:pPr>
    </w:p>
    <w:p w14:paraId="132ED79B" w14:textId="77777777" w:rsidR="00AC7FF0" w:rsidRDefault="00AC7FF0">
      <w:pPr>
        <w:spacing w:line="360" w:lineRule="auto"/>
        <w:jc w:val="both"/>
        <w:rPr>
          <w:b/>
          <w:bCs/>
          <w:sz w:val="28"/>
          <w:szCs w:val="28"/>
          <w:rtl/>
        </w:rPr>
      </w:pPr>
    </w:p>
    <w:p w14:paraId="0712003F" w14:textId="77777777" w:rsidR="00AC7FF0" w:rsidRDefault="00AC7FF0">
      <w:pPr>
        <w:spacing w:line="360" w:lineRule="auto"/>
        <w:jc w:val="both"/>
        <w:rPr>
          <w:b/>
          <w:bCs/>
          <w:sz w:val="28"/>
          <w:szCs w:val="28"/>
          <w:rtl/>
        </w:rPr>
      </w:pPr>
    </w:p>
    <w:p w14:paraId="58A0276F" w14:textId="77777777" w:rsidR="00AC7FF0" w:rsidRDefault="00AC7FF0">
      <w:pPr>
        <w:spacing w:line="360" w:lineRule="auto"/>
        <w:jc w:val="both"/>
        <w:rPr>
          <w:b/>
          <w:bCs/>
          <w:sz w:val="28"/>
          <w:szCs w:val="28"/>
          <w:rtl/>
        </w:rPr>
      </w:pPr>
    </w:p>
    <w:p w14:paraId="1315B028" w14:textId="77777777" w:rsidR="00AC7FF0" w:rsidRDefault="00170413">
      <w:pPr>
        <w:spacing w:line="360" w:lineRule="auto"/>
        <w:jc w:val="both"/>
        <w:rPr>
          <w:rFonts w:ascii="Calibri" w:eastAsia="Calibri" w:hAnsi="Calibri"/>
          <w:sz w:val="28"/>
          <w:szCs w:val="28"/>
          <w:rtl/>
        </w:rPr>
      </w:pPr>
      <w:r>
        <w:rPr>
          <w:rFonts w:hint="cs"/>
          <w:b/>
          <w:bCs/>
          <w:sz w:val="28"/>
          <w:szCs w:val="28"/>
          <w:rtl/>
        </w:rPr>
        <w:t xml:space="preserve">תסקיר שירות המבחן </w:t>
      </w:r>
    </w:p>
    <w:p w14:paraId="4213B869" w14:textId="77777777" w:rsidR="00AC7FF0" w:rsidRDefault="00170413">
      <w:pPr>
        <w:spacing w:line="360" w:lineRule="auto"/>
        <w:ind w:left="720" w:hanging="720"/>
        <w:jc w:val="both"/>
        <w:rPr>
          <w:sz w:val="28"/>
          <w:szCs w:val="28"/>
          <w:rtl/>
        </w:rPr>
      </w:pPr>
      <w:r>
        <w:rPr>
          <w:rFonts w:hint="cs"/>
          <w:sz w:val="28"/>
          <w:szCs w:val="28"/>
          <w:rtl/>
        </w:rPr>
        <w:t>1.</w:t>
      </w:r>
      <w:r>
        <w:rPr>
          <w:rFonts w:hint="cs"/>
          <w:sz w:val="28"/>
          <w:szCs w:val="28"/>
          <w:rtl/>
        </w:rPr>
        <w:tab/>
        <w:t xml:space="preserve">תסקיר שירות המבחן מיום 8.5.2014 מפרט את נסיבותיו האישיות של הנאשם שהוא כבן 31, גרוש ללא ילדים. טרם מעצרו עבד הנאשם כמאבטח והתגורר בגפו בדירה שכורה בת"א. מאז מעצרו, הוא חזר להתגורר בבית הוריו המאמצים בראשון לציון בתנאי מעצר בית לילי. </w:t>
      </w:r>
    </w:p>
    <w:p w14:paraId="099671BC" w14:textId="77777777" w:rsidR="00AC7FF0" w:rsidRDefault="00170413">
      <w:pPr>
        <w:spacing w:line="360" w:lineRule="auto"/>
        <w:ind w:left="720"/>
        <w:jc w:val="both"/>
        <w:rPr>
          <w:sz w:val="28"/>
          <w:szCs w:val="28"/>
          <w:rtl/>
        </w:rPr>
      </w:pPr>
      <w:r>
        <w:rPr>
          <w:rFonts w:hint="cs"/>
          <w:sz w:val="28"/>
          <w:szCs w:val="28"/>
          <w:rtl/>
        </w:rPr>
        <w:t xml:space="preserve">הנאשם גדל בראשון לציון, סיים 12 שנות לימוד עם תעודת בגרות מלאה, התגייס לצה"ל ושירת במשך כשנתיים כלוחם בחיל השריון, אך על רקע קשיי הסתגלות ביקש לשרת כעובד מטבח וסיים שירות צבאי מלא. עם שחרורו מצה"ל טייל הנאשם במזרח הרחוק במשך כשנה וחצי, ועם חזרתו ארצה עבד כפקיד ושליח במשרד עו"ד במשך מספר שנים. בגיל 27 השתלב הנאשם בלימודי תואר ראשון במשפטים במכללה האקדמית "אונו" וכיום הוא נמצא בשנה רביעית. בתקופת מעצר הבית הוא השתלב בלימודי תואר ראשון נוסף במדעי החיים באוניברסיטה הפתוחה. </w:t>
      </w:r>
    </w:p>
    <w:p w14:paraId="6B95E7C0" w14:textId="77777777" w:rsidR="00AC7FF0" w:rsidRDefault="00AC7FF0">
      <w:pPr>
        <w:pStyle w:val="ListParagraph"/>
        <w:spacing w:after="0" w:line="360" w:lineRule="auto"/>
        <w:jc w:val="both"/>
        <w:rPr>
          <w:rFonts w:cs="David"/>
          <w:sz w:val="28"/>
          <w:szCs w:val="28"/>
          <w:rtl/>
        </w:rPr>
      </w:pPr>
    </w:p>
    <w:p w14:paraId="70E8A244" w14:textId="77777777" w:rsidR="00AC7FF0" w:rsidRDefault="00170413">
      <w:pPr>
        <w:pStyle w:val="ListParagraph"/>
        <w:spacing w:after="0" w:line="360" w:lineRule="auto"/>
        <w:jc w:val="both"/>
        <w:rPr>
          <w:rFonts w:cs="David"/>
          <w:sz w:val="28"/>
          <w:szCs w:val="28"/>
          <w:rtl/>
        </w:rPr>
      </w:pPr>
      <w:r>
        <w:rPr>
          <w:rFonts w:cs="David" w:hint="cs"/>
          <w:sz w:val="28"/>
          <w:szCs w:val="28"/>
          <w:rtl/>
        </w:rPr>
        <w:t xml:space="preserve">הנאשם החל לצרוך קנבוס במהלך גיל ההתבגרות, במסגרת התרועעות עם חברה שולית, בה חווה תחושת שייכות. בהדרגה תלותו בסמים העמיקה, והם היו אמצעי להשגת רגיעה נפשית, ריגוש, בריחה מהמציאות ודרך ליצירת קשרים חברתיים. כאשר נודע להוריו כי הוא צורך סמים באופן קבוע הפנו אותו לטיפול במסגרת "אל סם". הנאשם תיאר שיתוף פעולה עם גורמי הטיפול ושמר על ניקיון מסמים על רקע רצונו  לרצות את הוריו. הוא התמיד בניקיונו מסמים עד לנסיעתו למזרח הרחוק, שם חזר לצרוך קנבוס ובמקביל, נחשף לשימוש בסמים הזייתים מסוג </w:t>
      </w:r>
      <w:r>
        <w:rPr>
          <w:rFonts w:cs="David"/>
          <w:sz w:val="28"/>
          <w:szCs w:val="28"/>
        </w:rPr>
        <w:t>LSD</w:t>
      </w:r>
      <w:r>
        <w:rPr>
          <w:rFonts w:cs="David" w:hint="cs"/>
          <w:sz w:val="28"/>
          <w:szCs w:val="28"/>
          <w:rtl/>
        </w:rPr>
        <w:t>, אותם צרך גם לאחר חזרתו ארצה, בתדירות מסוימת. עם גירושיו מאשתו בשנת 2011 הוא החל לצרוך סמים בתדירות קבועה ובאופן התמכרותי, על רקע קשייו להתמודד באופן ישיר עם הקשיים הרגשיים שהתעוררו אצלו.</w:t>
      </w:r>
    </w:p>
    <w:p w14:paraId="27A5EBBD" w14:textId="77777777" w:rsidR="00AC7FF0" w:rsidRDefault="00AC7FF0">
      <w:pPr>
        <w:pStyle w:val="ListParagraph"/>
        <w:spacing w:after="0" w:line="360" w:lineRule="auto"/>
        <w:jc w:val="both"/>
        <w:rPr>
          <w:rFonts w:cs="David"/>
          <w:sz w:val="28"/>
          <w:szCs w:val="28"/>
          <w:rtl/>
        </w:rPr>
      </w:pPr>
    </w:p>
    <w:p w14:paraId="23516DD4" w14:textId="77777777" w:rsidR="00AC7FF0" w:rsidRDefault="00AC7FF0">
      <w:pPr>
        <w:pStyle w:val="ListParagraph"/>
        <w:spacing w:after="0" w:line="360" w:lineRule="auto"/>
        <w:jc w:val="both"/>
        <w:rPr>
          <w:rFonts w:cs="David"/>
          <w:sz w:val="28"/>
          <w:szCs w:val="28"/>
          <w:rtl/>
        </w:rPr>
      </w:pPr>
    </w:p>
    <w:p w14:paraId="05EF3264" w14:textId="77777777" w:rsidR="00AC7FF0" w:rsidRDefault="00AC7FF0">
      <w:pPr>
        <w:pStyle w:val="ListParagraph"/>
        <w:spacing w:after="0" w:line="360" w:lineRule="auto"/>
        <w:jc w:val="both"/>
        <w:rPr>
          <w:rFonts w:cs="David"/>
          <w:sz w:val="28"/>
          <w:szCs w:val="28"/>
          <w:rtl/>
        </w:rPr>
      </w:pPr>
    </w:p>
    <w:p w14:paraId="446CC7AC" w14:textId="77777777" w:rsidR="00AC7FF0" w:rsidRDefault="00AC7FF0">
      <w:pPr>
        <w:pStyle w:val="ListParagraph"/>
        <w:spacing w:after="0" w:line="360" w:lineRule="auto"/>
        <w:jc w:val="both"/>
        <w:rPr>
          <w:rFonts w:cs="David"/>
          <w:sz w:val="28"/>
          <w:szCs w:val="28"/>
          <w:rtl/>
        </w:rPr>
      </w:pPr>
    </w:p>
    <w:p w14:paraId="1C34E4CF" w14:textId="77777777" w:rsidR="00AC7FF0" w:rsidRDefault="00170413">
      <w:pPr>
        <w:pStyle w:val="ListParagraph"/>
        <w:spacing w:after="0" w:line="360" w:lineRule="auto"/>
        <w:jc w:val="both"/>
        <w:rPr>
          <w:rFonts w:cs="David"/>
          <w:sz w:val="28"/>
          <w:szCs w:val="28"/>
          <w:rtl/>
        </w:rPr>
      </w:pPr>
      <w:r>
        <w:rPr>
          <w:rFonts w:cs="David" w:hint="cs"/>
          <w:sz w:val="28"/>
          <w:szCs w:val="28"/>
          <w:rtl/>
        </w:rPr>
        <w:t>הנאשם שהה בבית מעצר במשך כחודש ימים ועם שחרורו למעצר בית, בחודש ספטמבר 2013, השתלב בקבוצה לעצורי בית, כשבמקביל השתלב בטיפול פסיכולוגי פרטי בתחום ההתמכרות "במכון גרין". הנאשם הגיע באופן קבוע למפגשים הקבוצתיים והחל לבחון באופן ביקורתי את בחירותיו המכשילות, את הפער בין תכניותיו הנורמטיביות והמאמץ שהשקיע בלימודיו לבין העיסוק והשימוש בסמים וביצע בדיקות שתן, שנמצאו נקיות משרידי סם.</w:t>
      </w:r>
    </w:p>
    <w:p w14:paraId="343A8C14" w14:textId="77777777" w:rsidR="00AC7FF0" w:rsidRDefault="00AC7FF0">
      <w:pPr>
        <w:pStyle w:val="ListParagraph"/>
        <w:spacing w:after="0" w:line="360" w:lineRule="auto"/>
        <w:jc w:val="both"/>
        <w:rPr>
          <w:rFonts w:cs="David"/>
          <w:sz w:val="28"/>
          <w:szCs w:val="28"/>
          <w:rtl/>
        </w:rPr>
      </w:pPr>
    </w:p>
    <w:p w14:paraId="451C9B8E" w14:textId="77777777" w:rsidR="00AC7FF0" w:rsidRDefault="00170413">
      <w:pPr>
        <w:pStyle w:val="ListParagraph"/>
        <w:spacing w:after="0" w:line="360" w:lineRule="auto"/>
        <w:jc w:val="both"/>
        <w:rPr>
          <w:rFonts w:cs="David"/>
          <w:sz w:val="28"/>
          <w:szCs w:val="28"/>
          <w:rtl/>
        </w:rPr>
      </w:pPr>
      <w:r>
        <w:rPr>
          <w:rFonts w:cs="David" w:hint="cs"/>
          <w:sz w:val="28"/>
          <w:szCs w:val="28"/>
          <w:rtl/>
        </w:rPr>
        <w:t>הנאשם תיאר את רתיעתו מההליך המשפטי, לצד הבושה שחש סביב החשיפה של אירועי העבירות בתקשורת, והביע כאב על אכזבתם של הוריו ממנו.</w:t>
      </w:r>
    </w:p>
    <w:p w14:paraId="75886A94" w14:textId="77777777" w:rsidR="00AC7FF0" w:rsidRDefault="00AC7FF0">
      <w:pPr>
        <w:pStyle w:val="ListParagraph"/>
        <w:spacing w:after="0" w:line="360" w:lineRule="auto"/>
        <w:jc w:val="both"/>
        <w:rPr>
          <w:rFonts w:cs="David"/>
          <w:sz w:val="28"/>
          <w:szCs w:val="28"/>
          <w:rtl/>
        </w:rPr>
      </w:pPr>
    </w:p>
    <w:p w14:paraId="0D6DA15C" w14:textId="77777777" w:rsidR="00AC7FF0" w:rsidRDefault="00170413">
      <w:pPr>
        <w:pStyle w:val="ListParagraph"/>
        <w:spacing w:after="0" w:line="360" w:lineRule="auto"/>
        <w:jc w:val="both"/>
        <w:rPr>
          <w:rFonts w:cs="David"/>
          <w:sz w:val="28"/>
          <w:szCs w:val="28"/>
          <w:rtl/>
        </w:rPr>
      </w:pPr>
      <w:r>
        <w:rPr>
          <w:rFonts w:cs="David" w:hint="cs"/>
          <w:sz w:val="28"/>
          <w:szCs w:val="28"/>
          <w:rtl/>
        </w:rPr>
        <w:t>להערכת שירות המבחן נראה שהנאשם פיתח תלות בסמים על רקע קשיים רגשיים מהם הוא סובל, כאמצעי להשגת רגיעה נפשית, ריגוש, בריחה מהמציאות ודרך להפגת בדידות ויצירת קשרים חברתיים.</w:t>
      </w:r>
    </w:p>
    <w:p w14:paraId="41D407FC" w14:textId="77777777" w:rsidR="00AC7FF0" w:rsidRDefault="00AC7FF0">
      <w:pPr>
        <w:pStyle w:val="ListParagraph"/>
        <w:spacing w:after="0" w:line="360" w:lineRule="auto"/>
        <w:jc w:val="both"/>
        <w:rPr>
          <w:rFonts w:cs="David"/>
          <w:sz w:val="28"/>
          <w:szCs w:val="28"/>
          <w:rtl/>
        </w:rPr>
      </w:pPr>
    </w:p>
    <w:p w14:paraId="7E4325E9" w14:textId="77777777" w:rsidR="00AC7FF0" w:rsidRDefault="00170413">
      <w:pPr>
        <w:pStyle w:val="ListParagraph"/>
        <w:spacing w:after="0" w:line="360" w:lineRule="auto"/>
        <w:jc w:val="both"/>
        <w:rPr>
          <w:rFonts w:cs="David"/>
          <w:sz w:val="28"/>
          <w:szCs w:val="28"/>
          <w:rtl/>
        </w:rPr>
      </w:pPr>
      <w:r>
        <w:rPr>
          <w:rFonts w:cs="David" w:hint="cs"/>
          <w:sz w:val="28"/>
          <w:szCs w:val="28"/>
          <w:rtl/>
        </w:rPr>
        <w:t>ניכר כי הנאשם מודע לבעייתיות בהתנהגותו, מביע חרטה ומוטיבציה לשינוי התנהגותו ומאז מעצרו, הוא עושה מאמצים לניהול אורח חיים נורמטיבי: שומר על ניקיון מסמים, מתמיד בטיפול, שומר על קשר עם שירות המבחן ומגדיר מטרות חיוביות לעתידו.</w:t>
      </w:r>
    </w:p>
    <w:p w14:paraId="711253E7" w14:textId="77777777" w:rsidR="00AC7FF0" w:rsidRDefault="00AC7FF0">
      <w:pPr>
        <w:pStyle w:val="ListParagraph"/>
        <w:spacing w:after="0" w:line="360" w:lineRule="auto"/>
        <w:jc w:val="both"/>
        <w:rPr>
          <w:rFonts w:cs="David"/>
          <w:sz w:val="28"/>
          <w:szCs w:val="28"/>
          <w:rtl/>
        </w:rPr>
      </w:pPr>
    </w:p>
    <w:p w14:paraId="6729B349" w14:textId="77777777" w:rsidR="00AC7FF0" w:rsidRDefault="00170413">
      <w:pPr>
        <w:pStyle w:val="ListParagraph"/>
        <w:spacing w:after="0" w:line="360" w:lineRule="auto"/>
        <w:jc w:val="both"/>
        <w:rPr>
          <w:rFonts w:cs="David"/>
          <w:sz w:val="28"/>
          <w:szCs w:val="28"/>
          <w:rtl/>
        </w:rPr>
      </w:pPr>
      <w:r>
        <w:rPr>
          <w:rFonts w:cs="David" w:hint="cs"/>
          <w:sz w:val="28"/>
          <w:szCs w:val="28"/>
          <w:rtl/>
        </w:rPr>
        <w:t xml:space="preserve">שירות המבחן התרשם כי הנאשם לא מחזיק בדפוסי התנהגות או חשיבה עברייניים מופנמים. רתיעתו מההליכים המשפטיים, חיבורו למחירים האישיים והמשפחתיים ששילם, והתמדתו בטיפול ושמירה על ניקיון מסמים מפחיתים את הסיכון להתנהגות חסרת גבולות נוספת על ידו. </w:t>
      </w:r>
    </w:p>
    <w:p w14:paraId="45CFE6CA" w14:textId="77777777" w:rsidR="00AC7FF0" w:rsidRDefault="00AC7FF0">
      <w:pPr>
        <w:pStyle w:val="ListParagraph"/>
        <w:spacing w:after="0" w:line="360" w:lineRule="auto"/>
        <w:jc w:val="both"/>
        <w:rPr>
          <w:rFonts w:cs="David"/>
          <w:sz w:val="28"/>
          <w:szCs w:val="28"/>
          <w:rtl/>
        </w:rPr>
      </w:pPr>
    </w:p>
    <w:p w14:paraId="53D5A31B" w14:textId="77777777" w:rsidR="00AC7FF0" w:rsidRDefault="00170413">
      <w:pPr>
        <w:pStyle w:val="ListParagraph"/>
        <w:spacing w:after="0" w:line="360" w:lineRule="auto"/>
        <w:jc w:val="both"/>
        <w:rPr>
          <w:rFonts w:cs="David"/>
          <w:sz w:val="28"/>
          <w:szCs w:val="28"/>
          <w:rtl/>
        </w:rPr>
      </w:pPr>
      <w:r>
        <w:rPr>
          <w:rFonts w:cs="David" w:hint="cs"/>
          <w:sz w:val="28"/>
          <w:szCs w:val="28"/>
          <w:rtl/>
        </w:rPr>
        <w:t xml:space="preserve">שירות המבחן המליץ, לאור ההתרשמות מהנאשם והערכתו כי ההליכים המשפטיים סייעו לבלום את תהליך הידרדרותו והמאמצים שהוא משקיע כיום לנהל אורח חיים נורמטיבי, לאמץ את האפיק השיקומי ולהטיל עליו צו מבחן למשך שנה בתנאי המשך טיפול במכון גרין.   </w:t>
      </w:r>
      <w:bookmarkStart w:id="7" w:name="_GoBack"/>
      <w:bookmarkEnd w:id="7"/>
      <w:r>
        <w:rPr>
          <w:rFonts w:cs="David" w:hint="cs"/>
          <w:sz w:val="28"/>
          <w:szCs w:val="28"/>
          <w:rtl/>
        </w:rPr>
        <w:t>שירות המבחן התרשם כי מאסר מאחורי סורג ובריח עלול לפגוע בהישגיו הנוכחיים ולגרום להתדרדרות נוספת במצבו, לכן המליצו להטיל עליו מאסר בדרך של עבודות שירות.</w:t>
      </w:r>
    </w:p>
    <w:p w14:paraId="45DF26D6" w14:textId="77777777" w:rsidR="00AC7FF0" w:rsidRDefault="00170413">
      <w:pPr>
        <w:pStyle w:val="ListParagraph"/>
        <w:spacing w:after="0" w:line="360" w:lineRule="auto"/>
        <w:jc w:val="both"/>
        <w:rPr>
          <w:rFonts w:cs="David"/>
          <w:sz w:val="28"/>
          <w:szCs w:val="28"/>
          <w:rtl/>
        </w:rPr>
      </w:pPr>
      <w:r>
        <w:rPr>
          <w:rFonts w:cs="David" w:hint="cs"/>
          <w:sz w:val="28"/>
          <w:szCs w:val="28"/>
          <w:rtl/>
        </w:rPr>
        <w:t xml:space="preserve">  </w:t>
      </w:r>
    </w:p>
    <w:p w14:paraId="1CE1CC64" w14:textId="77777777" w:rsidR="00AC7FF0" w:rsidRDefault="00170413">
      <w:pPr>
        <w:spacing w:line="360" w:lineRule="auto"/>
        <w:jc w:val="both"/>
        <w:rPr>
          <w:b/>
          <w:bCs/>
          <w:sz w:val="28"/>
          <w:szCs w:val="28"/>
          <w:rtl/>
        </w:rPr>
      </w:pPr>
      <w:r>
        <w:rPr>
          <w:rFonts w:hint="cs"/>
          <w:b/>
          <w:bCs/>
          <w:sz w:val="28"/>
          <w:szCs w:val="28"/>
          <w:rtl/>
        </w:rPr>
        <w:t xml:space="preserve">הראיות לעונש </w:t>
      </w:r>
    </w:p>
    <w:p w14:paraId="1D6ADA58" w14:textId="77777777" w:rsidR="00AC7FF0" w:rsidRDefault="00170413">
      <w:pPr>
        <w:spacing w:line="360" w:lineRule="auto"/>
        <w:ind w:left="720" w:hanging="720"/>
        <w:jc w:val="both"/>
        <w:rPr>
          <w:b/>
          <w:bCs/>
          <w:sz w:val="28"/>
          <w:szCs w:val="28"/>
          <w:rtl/>
        </w:rPr>
      </w:pPr>
      <w:r>
        <w:rPr>
          <w:rFonts w:hint="cs"/>
          <w:sz w:val="28"/>
          <w:szCs w:val="28"/>
          <w:rtl/>
        </w:rPr>
        <w:t>1.</w:t>
      </w:r>
      <w:r>
        <w:rPr>
          <w:rFonts w:hint="cs"/>
          <w:sz w:val="28"/>
          <w:szCs w:val="28"/>
          <w:rtl/>
        </w:rPr>
        <w:tab/>
        <w:t xml:space="preserve">ב"כ המאשימה הגיש חוות דעת ממשרד הבריאות לגבי מעמדו ומסוכנותו של הסם </w:t>
      </w:r>
      <w:r>
        <w:rPr>
          <w:sz w:val="28"/>
          <w:szCs w:val="28"/>
        </w:rPr>
        <w:t>DMT</w:t>
      </w:r>
      <w:r>
        <w:rPr>
          <w:rFonts w:hint="cs"/>
          <w:sz w:val="28"/>
          <w:szCs w:val="28"/>
          <w:rtl/>
        </w:rPr>
        <w:t xml:space="preserve">, נושא האישום הראשון. </w:t>
      </w:r>
    </w:p>
    <w:p w14:paraId="2747166C" w14:textId="77777777" w:rsidR="00AC7FF0" w:rsidRDefault="00AC7FF0">
      <w:pPr>
        <w:pStyle w:val="ListParagraph"/>
        <w:spacing w:after="0" w:line="360" w:lineRule="auto"/>
        <w:jc w:val="both"/>
        <w:rPr>
          <w:rFonts w:ascii="Times New Roman" w:eastAsia="Times New Roman" w:hAnsi="Times New Roman" w:cs="David"/>
          <w:sz w:val="28"/>
          <w:szCs w:val="28"/>
        </w:rPr>
      </w:pPr>
    </w:p>
    <w:p w14:paraId="6D33E667"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על פי האמור בחוות הדעת החומר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שייך לקבוצת הסמים ההזייתיים ממשפחת הטריפטאמינים, פועל על קולטני הסרוטונין בגוף (</w:t>
      </w:r>
      <w:r>
        <w:rPr>
          <w:rFonts w:ascii="Times New Roman" w:eastAsia="Times New Roman" w:hAnsi="Times New Roman" w:cs="David"/>
          <w:sz w:val="28"/>
          <w:szCs w:val="28"/>
        </w:rPr>
        <w:t>HT</w:t>
      </w:r>
      <w:r>
        <w:rPr>
          <w:rFonts w:ascii="Times New Roman" w:eastAsia="Times New Roman" w:hAnsi="Times New Roman" w:cs="David" w:hint="cs"/>
          <w:sz w:val="28"/>
          <w:szCs w:val="28"/>
          <w:rtl/>
        </w:rPr>
        <w:t xml:space="preserve">-5) ובכך גורם להשפעות פיזיולוגיות ופסיכודליות דומות לאלה של </w:t>
      </w:r>
      <w:r>
        <w:rPr>
          <w:rFonts w:ascii="Times New Roman" w:eastAsia="Times New Roman" w:hAnsi="Times New Roman" w:cs="David"/>
          <w:sz w:val="28"/>
          <w:szCs w:val="28"/>
        </w:rPr>
        <w:t>LSD</w:t>
      </w:r>
      <w:r>
        <w:rPr>
          <w:rFonts w:ascii="Times New Roman" w:eastAsia="Times New Roman" w:hAnsi="Times New Roman" w:cs="David" w:hint="cs"/>
          <w:sz w:val="28"/>
          <w:szCs w:val="28"/>
          <w:rtl/>
        </w:rPr>
        <w:t xml:space="preserve">, שעיקרן גרימת הזיות, השריית תחושת ניתוק ושינוי במצב ההכרה. </w:t>
      </w:r>
    </w:p>
    <w:p w14:paraId="7B1AEDF5"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5327C99D"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אופן השימוש בסם עצמו מגוון, אך בדרך כלל הוא נצרך בעישון או שאיפה, עקב העובדה שלאחר בליעה הוא עובר מטבוליזם נרחב והשפעתו הפסיכודלית קטנה.</w:t>
      </w:r>
    </w:p>
    <w:p w14:paraId="386E5E62"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7D27A0FA"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על פי האמור בחוות הדעת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הינו סם מסוכן, וידוע כגורם ליתר לחץ דם חמור, קושי נשימתי, דפיקות לב מוגברות עד לפגיעה לבבית, התייבשות, הזעת יתר, דליריום, בלבול, פגיעה ויזואלית, שלשול והקאות בלתי פוסקים. </w:t>
      </w:r>
    </w:p>
    <w:p w14:paraId="74578CAE"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ידוע בספרות הרפואית שהשימוש בחומרים הלוציגנים ממשפחת הטריפטאנים, ש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משויך אליהם, הביא לאשפוזים ואף למוות, שנקשר להתפתחות תופעות לוואי קשות ומסכנות חיים כגון: פרכוסים, הפרעות קצב, יתר לחץ דם מסכן חיים, ראבדומיוליזיס (כאב שרירים חריף), היפותרמיה (עלייה משמעותית בחום הגוף) והתייבשות. </w:t>
      </w:r>
    </w:p>
    <w:p w14:paraId="5DBCE4C6"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32A1599F"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על פי האמור בחוות הדעת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אינו מתמוסס במים, אלא רק בממיסים אורגניים או שומנים ומיצוי מאבקת מקור של עץ ה- </w:t>
      </w:r>
      <w:r>
        <w:rPr>
          <w:rFonts w:ascii="Times New Roman" w:eastAsia="Times New Roman" w:hAnsi="Times New Roman" w:cs="David"/>
          <w:sz w:val="28"/>
          <w:szCs w:val="28"/>
        </w:rPr>
        <w:t>MIMOSA</w:t>
      </w:r>
      <w:r>
        <w:rPr>
          <w:rFonts w:ascii="Times New Roman" w:eastAsia="Times New Roman" w:hAnsi="Times New Roman" w:cs="David" w:hint="cs"/>
          <w:sz w:val="28"/>
          <w:szCs w:val="28"/>
          <w:rtl/>
        </w:rPr>
        <w:t xml:space="preserve"> דורש סביבה בסיסית. על פי תיאורים של משתמשים, ק"ג אבקה של צמח מקור כגון </w:t>
      </w:r>
      <w:r>
        <w:rPr>
          <w:rFonts w:ascii="Times New Roman" w:eastAsia="Times New Roman" w:hAnsi="Times New Roman" w:cs="David"/>
          <w:sz w:val="28"/>
          <w:szCs w:val="28"/>
        </w:rPr>
        <w:t>MIMOSA</w:t>
      </w:r>
      <w:r>
        <w:rPr>
          <w:rFonts w:ascii="Times New Roman" w:eastAsia="Times New Roman" w:hAnsi="Times New Roman" w:cs="David" w:hint="cs"/>
          <w:sz w:val="28"/>
          <w:szCs w:val="28"/>
          <w:rtl/>
        </w:rPr>
        <w:t xml:space="preserve"> פוטנציאלית יניבו לכל הפחות 5 גרם (0.5%), או 5,000 מ"ג אבקת בסיס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וישנם גם דיווחים על כמות תוצר גבוהה יותר.</w:t>
      </w:r>
    </w:p>
    <w:p w14:paraId="72F7EC7E"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די בעישון של מנות שבין 30 מ"ג ל- 60 מ"ג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על מנת "להתמסטל". </w:t>
      </w:r>
    </w:p>
    <w:p w14:paraId="2C38A5C5"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143C441F"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בחוות הדעת נכתב כי 10 גרם של חומר בסיס, הוא למעשה פוטנציאלית עשרות עד מאות מנות סם וק"ג אבקת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הן כמיצוי, הן מצמח, ובעיקר כאבקת בסיס, מהווים כמות מסחרית של הסם.   </w:t>
      </w:r>
    </w:p>
    <w:p w14:paraId="670E0CA9"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2108A077" w14:textId="77777777" w:rsidR="00AC7FF0" w:rsidRDefault="00170413">
      <w:pPr>
        <w:spacing w:line="360" w:lineRule="auto"/>
        <w:ind w:left="720" w:hanging="720"/>
        <w:jc w:val="both"/>
        <w:rPr>
          <w:b/>
          <w:bCs/>
          <w:sz w:val="28"/>
          <w:szCs w:val="28"/>
          <w:rtl/>
        </w:rPr>
      </w:pPr>
      <w:r>
        <w:rPr>
          <w:rFonts w:hint="cs"/>
          <w:sz w:val="28"/>
          <w:szCs w:val="28"/>
          <w:rtl/>
        </w:rPr>
        <w:t>2.</w:t>
      </w:r>
      <w:r>
        <w:rPr>
          <w:rFonts w:hint="cs"/>
          <w:sz w:val="28"/>
          <w:szCs w:val="28"/>
          <w:rtl/>
        </w:rPr>
        <w:tab/>
        <w:t>ב"כ הנאשם הגיש דו"ח ביניים של תהליך הטיפול אותו עבר הנאשם ב</w:t>
      </w:r>
      <w:r>
        <w:rPr>
          <w:rFonts w:hint="cs"/>
          <w:b/>
          <w:bCs/>
          <w:sz w:val="28"/>
          <w:szCs w:val="28"/>
          <w:rtl/>
        </w:rPr>
        <w:t xml:space="preserve">"מכון גרין", </w:t>
      </w:r>
      <w:r>
        <w:rPr>
          <w:rFonts w:hint="cs"/>
          <w:sz w:val="28"/>
          <w:szCs w:val="28"/>
          <w:rtl/>
        </w:rPr>
        <w:t xml:space="preserve">עליו חתומות העו"ס טלי עדן והפסיכולוגית הראשית של המכון גלית הלוי- בר טנדלר. </w:t>
      </w:r>
    </w:p>
    <w:p w14:paraId="6300AC60"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2BE1D317"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מהדוח עולה כי לפני כשנתיים, נעצר הנאשם ועוכב לחקירה בעקבות חשד לביצוע עבירות סמים. נערך חיפוש בדירתו ונמצא גראס, אך התיק שנפתח כנגדו נסגר בשל הליך איסוף הראיות שנעשה באופן לא חוקי. הנאשם תיאר כי המעצר והחקירה המשטרתית הרתיעו אותו והוא החליט להפסיק לקנות  גראס וכעבור מספר חודשים החליט לרכוש סם מסוג דימתילטריפטאמין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השייך לקבוצת הסמים ההזייתיים, בדומה ל</w:t>
      </w:r>
      <w:r>
        <w:rPr>
          <w:rFonts w:ascii="Times New Roman" w:eastAsia="Times New Roman" w:hAnsi="Times New Roman" w:cs="David"/>
          <w:sz w:val="28"/>
          <w:szCs w:val="28"/>
        </w:rPr>
        <w:t xml:space="preserve">LSD  </w:t>
      </w:r>
      <w:r>
        <w:rPr>
          <w:rFonts w:ascii="Times New Roman" w:eastAsia="Times New Roman" w:hAnsi="Times New Roman" w:cs="David" w:hint="cs"/>
          <w:sz w:val="28"/>
          <w:szCs w:val="28"/>
          <w:rtl/>
        </w:rPr>
        <w:t xml:space="preserve">, עליו שמע מחברים. הוא פנה לאתר חוקי באינטרנט והזמין צמח מסוג </w:t>
      </w:r>
      <w:r>
        <w:rPr>
          <w:rFonts w:ascii="Times New Roman" w:eastAsia="Times New Roman" w:hAnsi="Times New Roman" w:cs="David"/>
          <w:sz w:val="28"/>
          <w:szCs w:val="28"/>
        </w:rPr>
        <w:t xml:space="preserve">MIMOSA HOSTILIS </w:t>
      </w:r>
      <w:r>
        <w:rPr>
          <w:rFonts w:ascii="Times New Roman" w:eastAsia="Times New Roman" w:hAnsi="Times New Roman" w:cs="David" w:hint="cs"/>
          <w:sz w:val="28"/>
          <w:szCs w:val="28"/>
          <w:rtl/>
        </w:rPr>
        <w:t xml:space="preserve"> טחון ובכוונתו הייתה להפיק מהצמח (פיסות גזע ושורשים טחונים)</w:t>
      </w:r>
      <w:r>
        <w:rPr>
          <w:rFonts w:ascii="Times New Roman" w:eastAsia="Times New Roman" w:hAnsi="Times New Roman" w:cs="David"/>
          <w:sz w:val="28"/>
          <w:szCs w:val="28"/>
        </w:rPr>
        <w:t xml:space="preserve">DMT  </w:t>
      </w:r>
      <w:r>
        <w:rPr>
          <w:rFonts w:ascii="Times New Roman" w:eastAsia="Times New Roman" w:hAnsi="Times New Roman" w:cs="David" w:hint="cs"/>
          <w:sz w:val="28"/>
          <w:szCs w:val="28"/>
          <w:rtl/>
        </w:rPr>
        <w:t xml:space="preserve"> שמהווה סם מסוכן. </w:t>
      </w:r>
    </w:p>
    <w:p w14:paraId="116BE8A2"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73C84911"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מכון גרין התרשם כי הנאשם סבר שעצם הזמנת הצמח מאתר חוקי באינטרנט לא נחשבת לעבירה אלא רק הפקת ה</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מתוכו, ולכן הוא הופתע כשהוא נעצר לחקירה. הוא התעניין בסם הזה במטרה להיכנס למצבי הזיה לפרקי זמן קצרים, שנחוו בעיניו כ"בריחה" למצבים מנטליים טובים יותר מחייו במציאות היום יומית. במשך השנים התמכרותו לסמים הלכה והעמיקה עד שהגיע למצב שפחד להפסיק, התעוררו נדודי שינה, והוא הצליח להירדם רק לאחר שהשתמש בסמים </w:t>
      </w:r>
    </w:p>
    <w:p w14:paraId="65A8168C"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7C75DEFC"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מכון גרין התרשם מדבריו של הנאשם כי האישומים נגדו מבוססים בעיקר על הודאתו במהלך החקירה במשטרה, במהלכה דיווח מיוזמתו שמכר סמים לחבריו. </w:t>
      </w:r>
    </w:p>
    <w:p w14:paraId="50F8597D"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628DF8A2"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מהדוח עולה כי ההחלטה לצרוך </w:t>
      </w:r>
      <w:r>
        <w:rPr>
          <w:rFonts w:ascii="Times New Roman" w:eastAsia="Times New Roman" w:hAnsi="Times New Roman" w:cs="David"/>
          <w:sz w:val="28"/>
          <w:szCs w:val="28"/>
        </w:rPr>
        <w:t>DMT</w:t>
      </w:r>
      <w:r>
        <w:rPr>
          <w:rFonts w:ascii="Times New Roman" w:eastAsia="Times New Roman" w:hAnsi="Times New Roman" w:cs="David" w:hint="cs"/>
          <w:sz w:val="28"/>
          <w:szCs w:val="28"/>
          <w:rtl/>
        </w:rPr>
        <w:t xml:space="preserve"> נבעה מרצונו של הנאשם לצמצם את האפשרות להסתבך עם החוק. הוא חקר את הנושא באינטרנט וסבר שניתן להזמין ולרכוש באופן חוקי את צמח ה</w:t>
      </w:r>
      <w:r>
        <w:rPr>
          <w:rFonts w:ascii="Times New Roman" w:eastAsia="Times New Roman" w:hAnsi="Times New Roman" w:cs="David"/>
          <w:sz w:val="28"/>
          <w:szCs w:val="28"/>
        </w:rPr>
        <w:t xml:space="preserve"> MIMOSA HOSTILIS </w:t>
      </w:r>
      <w:r>
        <w:rPr>
          <w:rFonts w:ascii="Times New Roman" w:eastAsia="Times New Roman" w:hAnsi="Times New Roman" w:cs="David" w:hint="cs"/>
          <w:sz w:val="28"/>
          <w:szCs w:val="28"/>
          <w:rtl/>
        </w:rPr>
        <w:t>והניח שפעולת הזמנת הצמח היא חוקית ולגיטימית מאחר והתרשם שהצמח משמש גם כחומר גלם, בין היתר לצביעת בדים.</w:t>
      </w:r>
    </w:p>
    <w:p w14:paraId="7B885217"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37C22422"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מכון גרין התרשם מתהליך הטיפול של הנאשם, שפנה מיוזמתו למכון בעקבות מעורבותו בעבירות סמים ומרצונו לברר לעומק את המקור והמניעים שהביאו אותו לידי שימוש אינטנסיבי בגראס ובסמים הזייתיים ולמצוא את החוזק לא לעשן סמים יותר.</w:t>
      </w:r>
    </w:p>
    <w:p w14:paraId="2DF0F5DC"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1014B3AB"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מתחילת הטיפול הנאשם הגיע בעקביות לפגישות הטיפוליות, המתקיימות אחת לשבוע, ובמקביל השתלב בקבוצת תמיכה לעצורי בית שהתקיימה במסגרת שירות המבחן למבוגרים. </w:t>
      </w:r>
    </w:p>
    <w:p w14:paraId="053D6A30"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201F565B"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6D40AD42"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מאז שנעצר הפסיק הנאשם לחלוטין להשתמש בסמים מכל סוג שהוא. מצבו הנפשי והבריאותי הולך ומשתפר והוא החל להתייחס לאירועים שונים שחווה בחייו, למערכות יחסיו עם הוריו, לבת זוגו לשעבר ובת זוגו הנוכחית ולהתמכרותו לסמים. נראה שהנאשם הצליח ליצור קשר טיפולי טוב, המבוסס על יצירת אמון, פתיחות באופן הדרגתי, ובולטת שאיפתו ליצור שינוי בחייו, לרבת להימנע משימוש בסמים בעתיד.</w:t>
      </w:r>
    </w:p>
    <w:p w14:paraId="6543B2C3"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לאחרונה החל הנאשם לעבוד בחווה אורגנית ונראה שהוא שבע רצון, אם כי מתייחס למסגרת זו כאל מסגרת עבודה זמנית.</w:t>
      </w:r>
    </w:p>
    <w:p w14:paraId="712DD15B"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05C58D31"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מסקנת מכון גרין היא שנראה שמדובר בבחור שהתמכר לגראס מתוך צורך נפשי להירגע ולברוח ממציאות חייו. להערכתם לא מדובר בסוחר סמים אלא בבחור שסיפק סמים לחבריו על רקע התמכרותו הקשה. כיום הוא מנהל אורח חיים ללא סמים מזה מספר חודשים, מגיע בעקביות לתהליך הטיפול במכון גרין ובמסגרת שירות המבחן. הוא עמד בכל התנאים להם נדרש במסגרת ההליך המשפטי, מעוניין לחזור לנהל אורח חיים נורמטיבי נקי מסמים. החל ללמוד ולעבוד ומעוניין למצוא כיוון תעסוקתי שיענה על צרכיו. כמו כן, בכוונת הנאשם להמשיך בהליך הטיפולי, בין היתר, כדי להמשיך להתחזק בכדי להימנע משימוש בסמים גם בעתיד. </w:t>
      </w:r>
    </w:p>
    <w:p w14:paraId="06C65178" w14:textId="77777777" w:rsidR="00AC7FF0" w:rsidRDefault="00AC7FF0">
      <w:pPr>
        <w:pStyle w:val="ListParagraph"/>
        <w:spacing w:after="0" w:line="360" w:lineRule="auto"/>
        <w:jc w:val="both"/>
        <w:rPr>
          <w:rFonts w:ascii="Times New Roman" w:eastAsia="Times New Roman" w:hAnsi="Times New Roman" w:cs="David"/>
          <w:sz w:val="28"/>
          <w:szCs w:val="28"/>
          <w:rtl/>
        </w:rPr>
      </w:pPr>
    </w:p>
    <w:p w14:paraId="013012B5" w14:textId="77777777" w:rsidR="00AC7FF0" w:rsidRDefault="00170413">
      <w:pPr>
        <w:pStyle w:val="ListParagraph"/>
        <w:spacing w:after="0" w:line="360" w:lineRule="auto"/>
        <w:jc w:val="both"/>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לאור שיתוף הפעולה של הנאשם בטיפול בחודשים האחרונים ויכולתו להיעזר, לאור התרשמותם של מכון גרין מבחור נורמטיבי, שהשימוש שלו בסמים משקף קשיים נפשיים ולא סגנון חיים עברייני ממליצים מומחי מכון גרין לאפשר לנאשם להמשיך בתהליך הטיפול ולהטיל עליו ענישה מופחתת שתאפשר לו לשקם את חייו.    </w:t>
      </w:r>
    </w:p>
    <w:p w14:paraId="2C4A6061" w14:textId="77777777" w:rsidR="00AC7FF0" w:rsidRDefault="00AC7FF0">
      <w:pPr>
        <w:pStyle w:val="ListParagraph"/>
        <w:spacing w:after="0" w:line="360" w:lineRule="auto"/>
        <w:jc w:val="both"/>
        <w:rPr>
          <w:rFonts w:ascii="David" w:eastAsia="Times New Roman" w:hAnsi="David" w:cs="David"/>
          <w:sz w:val="28"/>
          <w:szCs w:val="28"/>
          <w:rtl/>
        </w:rPr>
      </w:pPr>
    </w:p>
    <w:p w14:paraId="3C602CAD" w14:textId="77777777" w:rsidR="00AC7FF0" w:rsidRDefault="00170413">
      <w:pPr>
        <w:spacing w:line="360" w:lineRule="auto"/>
        <w:ind w:left="720" w:hanging="720"/>
        <w:jc w:val="both"/>
        <w:rPr>
          <w:rFonts w:ascii="David" w:hAnsi="David"/>
          <w:sz w:val="28"/>
          <w:szCs w:val="28"/>
          <w:rtl/>
        </w:rPr>
      </w:pPr>
      <w:r>
        <w:rPr>
          <w:rFonts w:ascii="David" w:hAnsi="David" w:hint="cs"/>
          <w:sz w:val="28"/>
          <w:szCs w:val="28"/>
          <w:rtl/>
        </w:rPr>
        <w:t>3.</w:t>
      </w:r>
      <w:r>
        <w:rPr>
          <w:rFonts w:ascii="David" w:hAnsi="David" w:hint="cs"/>
          <w:sz w:val="28"/>
          <w:szCs w:val="28"/>
          <w:rtl/>
        </w:rPr>
        <w:tab/>
        <w:t xml:space="preserve">העו"ס טלי עדן סיפרה בעדותה כי התרשמותה מהנאשם היא שמדובר במי שנמצא במצוקה רגשית גבוהה, והשימוש וההתמכרות שלו לסמים הם על רקע קשיים נפשיים ורגשיים ולא נובעים מרקע עברייני. היא הוסיפה כי העבודה הטיפולית עם הנאשם נעשתה מלכתחילה יד ביד עם שירות המבחן. במכון יודעים שהנאשם היה בקבוצת תמיכה של עצורים וביצע בדיקות שתן שנמצאו נקיות מסמים ומשתף פעולה באופן מלא עם שרות המבחן. </w:t>
      </w:r>
    </w:p>
    <w:p w14:paraId="509EBA1B" w14:textId="77777777" w:rsidR="00AC7FF0" w:rsidRDefault="00170413">
      <w:pPr>
        <w:spacing w:line="360" w:lineRule="auto"/>
        <w:ind w:left="720" w:hanging="720"/>
        <w:jc w:val="both"/>
        <w:rPr>
          <w:rFonts w:ascii="David" w:hAnsi="David"/>
          <w:sz w:val="28"/>
          <w:szCs w:val="28"/>
          <w:rtl/>
        </w:rPr>
      </w:pPr>
      <w:r>
        <w:rPr>
          <w:rFonts w:ascii="David" w:hAnsi="David" w:hint="cs"/>
          <w:sz w:val="28"/>
          <w:szCs w:val="28"/>
          <w:rtl/>
        </w:rPr>
        <w:t xml:space="preserve">           </w:t>
      </w:r>
    </w:p>
    <w:p w14:paraId="74568A74" w14:textId="77777777" w:rsidR="00AC7FF0" w:rsidRDefault="00170413">
      <w:pPr>
        <w:spacing w:line="360" w:lineRule="auto"/>
        <w:ind w:left="720" w:hanging="69"/>
        <w:jc w:val="both"/>
        <w:rPr>
          <w:rFonts w:ascii="David" w:hAnsi="David"/>
          <w:sz w:val="28"/>
          <w:szCs w:val="28"/>
          <w:rtl/>
        </w:rPr>
      </w:pPr>
      <w:r>
        <w:rPr>
          <w:rFonts w:ascii="David" w:hAnsi="David" w:hint="cs"/>
          <w:sz w:val="28"/>
          <w:szCs w:val="28"/>
          <w:rtl/>
        </w:rPr>
        <w:t xml:space="preserve">לדבריה הנאשם מגיע באופן קבוע, אחת לשבוע, למכון גרין לטיפול, ובאופן הדרגתי התחיל להשתתף בתכנים אישיים כשמטרתו מרכזית על פי הצהרתו היא לחקור ולבדוק מה היו המניעים להתמכרותו לסמים. לטענתה נראה שהטיפול עוזר לו. הנאשם עבר טיפול כאשר היה בשנות העשרה לחייו במסגרת אל סם,  אך מאז ועד היום לא היה בטיפול.  </w:t>
      </w:r>
    </w:p>
    <w:p w14:paraId="370A6C84" w14:textId="77777777" w:rsidR="00AC7FF0" w:rsidRDefault="00AC7FF0">
      <w:pPr>
        <w:spacing w:line="360" w:lineRule="auto"/>
        <w:ind w:left="720" w:hanging="69"/>
        <w:jc w:val="both"/>
        <w:rPr>
          <w:rFonts w:ascii="David" w:hAnsi="David"/>
          <w:sz w:val="28"/>
          <w:szCs w:val="28"/>
          <w:rtl/>
        </w:rPr>
      </w:pPr>
    </w:p>
    <w:p w14:paraId="25F1DED8" w14:textId="77777777" w:rsidR="00AC7FF0" w:rsidRDefault="00AC7FF0">
      <w:pPr>
        <w:jc w:val="both"/>
        <w:rPr>
          <w:rFonts w:ascii="David" w:hAnsi="David"/>
          <w:b/>
          <w:bCs/>
          <w:sz w:val="28"/>
          <w:szCs w:val="28"/>
          <w:rtl/>
        </w:rPr>
      </w:pPr>
    </w:p>
    <w:p w14:paraId="4AFEC49B" w14:textId="77777777" w:rsidR="00AC7FF0" w:rsidRDefault="00170413">
      <w:pPr>
        <w:spacing w:line="360" w:lineRule="auto"/>
        <w:ind w:left="720" w:hanging="720"/>
        <w:jc w:val="both"/>
        <w:rPr>
          <w:rFonts w:ascii="David" w:hAnsi="David"/>
          <w:sz w:val="28"/>
          <w:szCs w:val="28"/>
          <w:rtl/>
        </w:rPr>
      </w:pPr>
      <w:r>
        <w:rPr>
          <w:rFonts w:ascii="David" w:hAnsi="David" w:hint="cs"/>
          <w:sz w:val="28"/>
          <w:szCs w:val="28"/>
          <w:rtl/>
        </w:rPr>
        <w:t>4.</w:t>
      </w:r>
      <w:r>
        <w:rPr>
          <w:rFonts w:ascii="David" w:hAnsi="David" w:hint="cs"/>
          <w:sz w:val="28"/>
          <w:szCs w:val="28"/>
          <w:rtl/>
        </w:rPr>
        <w:tab/>
        <w:t xml:space="preserve">אמו של הנאשם תיארה את הנאשם כילד רגיש, טוב לב, תמים ואוהב. </w:t>
      </w:r>
    </w:p>
    <w:p w14:paraId="2AC95ABB"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היא סיפרה כי לפני כשלוש שנים הנאשם עבר משבר, התגרש מאישה שאהב, גירושים קשים וטראומתיים והוא עבר אותם בצורה קשה, היה מדוכא ובמצוקה. היא מתארת כי הנאשם סגור ומופנם ולא שיתף אותם אך עם הזמן נראה שהוא מצליח להתגבר. </w:t>
      </w:r>
    </w:p>
    <w:p w14:paraId="09AA8B68" w14:textId="77777777" w:rsidR="00AC7FF0" w:rsidRDefault="00AC7FF0">
      <w:pPr>
        <w:pStyle w:val="ListParagraph"/>
        <w:spacing w:after="0" w:line="360" w:lineRule="auto"/>
        <w:jc w:val="both"/>
        <w:rPr>
          <w:rFonts w:ascii="David" w:eastAsia="Times New Roman" w:hAnsi="David" w:cs="David"/>
          <w:sz w:val="28"/>
          <w:szCs w:val="28"/>
        </w:rPr>
      </w:pPr>
    </w:p>
    <w:p w14:paraId="6EB2D597" w14:textId="77777777" w:rsidR="00AC7FF0" w:rsidRDefault="00170413">
      <w:pPr>
        <w:pStyle w:val="ListParagraph"/>
        <w:spacing w:after="0" w:line="360" w:lineRule="auto"/>
        <w:jc w:val="both"/>
        <w:rPr>
          <w:rFonts w:ascii="David" w:eastAsia="Times New Roman" w:hAnsi="David" w:cs="David"/>
          <w:sz w:val="28"/>
          <w:szCs w:val="28"/>
          <w:rtl/>
        </w:rPr>
      </w:pPr>
      <w:r>
        <w:rPr>
          <w:rFonts w:ascii="David" w:eastAsia="Times New Roman" w:hAnsi="David" w:cs="David" w:hint="cs"/>
          <w:sz w:val="28"/>
          <w:szCs w:val="28"/>
          <w:rtl/>
        </w:rPr>
        <w:t xml:space="preserve">אמו של הנאשם אמרה כי היא לא חשבה לרגע שהוא משתמש בסמים ולכן ההלם של המעצר היה כ"כ טראומתי עבור המשפחה. </w:t>
      </w:r>
    </w:p>
    <w:p w14:paraId="5DB906A0" w14:textId="77777777" w:rsidR="00AC7FF0" w:rsidRDefault="00AC7FF0">
      <w:pPr>
        <w:spacing w:line="360" w:lineRule="auto"/>
        <w:ind w:left="720"/>
        <w:jc w:val="both"/>
        <w:rPr>
          <w:rFonts w:ascii="David" w:hAnsi="David"/>
          <w:sz w:val="28"/>
          <w:szCs w:val="28"/>
          <w:rtl/>
        </w:rPr>
      </w:pPr>
    </w:p>
    <w:p w14:paraId="1E40233C"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עוד אמרה אמו של הנאשם כי עם מעצרו הם הבהירו לנאשם שזו הזדמנות לשנות את החיים שלו והוא בעצמו הבין זאת ולכן הם פנו למכון גרין בהסכמתו המלאה. הנאשם נמצא בטיפול כבר 9 חודשים והם רואים את השינוי שחל בו מאז.  </w:t>
      </w:r>
    </w:p>
    <w:p w14:paraId="1D9478FC" w14:textId="77777777" w:rsidR="00AC7FF0" w:rsidRDefault="00AC7FF0">
      <w:pPr>
        <w:spacing w:line="360" w:lineRule="auto"/>
        <w:ind w:left="720"/>
        <w:jc w:val="both"/>
        <w:rPr>
          <w:rFonts w:ascii="David" w:hAnsi="David"/>
          <w:sz w:val="28"/>
          <w:szCs w:val="28"/>
          <w:rtl/>
        </w:rPr>
      </w:pPr>
    </w:p>
    <w:p w14:paraId="63F21A43"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לבסוף הדגישה אמו של הנאשם כי במידה והוא ישלח למאסר הדבר עלול לפגוע בהליך הטיפולי ובשיקום שלו ואף לגרום לנסיגה.  </w:t>
      </w:r>
    </w:p>
    <w:p w14:paraId="59E65774" w14:textId="77777777" w:rsidR="00AC7FF0" w:rsidRDefault="00AC7FF0">
      <w:pPr>
        <w:spacing w:line="360" w:lineRule="auto"/>
        <w:ind w:left="720" w:hanging="720"/>
        <w:jc w:val="both"/>
        <w:rPr>
          <w:rFonts w:ascii="David" w:hAnsi="David"/>
          <w:sz w:val="28"/>
          <w:szCs w:val="28"/>
          <w:rtl/>
        </w:rPr>
      </w:pPr>
    </w:p>
    <w:p w14:paraId="74B5D22E" w14:textId="77777777" w:rsidR="00AC7FF0" w:rsidRDefault="00170413">
      <w:pPr>
        <w:spacing w:line="360" w:lineRule="auto"/>
        <w:ind w:left="720" w:hanging="720"/>
        <w:jc w:val="both"/>
        <w:rPr>
          <w:rFonts w:ascii="David" w:hAnsi="David"/>
          <w:sz w:val="28"/>
          <w:szCs w:val="28"/>
        </w:rPr>
      </w:pPr>
      <w:r>
        <w:rPr>
          <w:rFonts w:ascii="David" w:hAnsi="David" w:hint="cs"/>
          <w:sz w:val="28"/>
          <w:szCs w:val="28"/>
          <w:rtl/>
        </w:rPr>
        <w:t>5.</w:t>
      </w:r>
      <w:r>
        <w:rPr>
          <w:rFonts w:ascii="David" w:hAnsi="David" w:hint="cs"/>
          <w:sz w:val="28"/>
          <w:szCs w:val="28"/>
          <w:rtl/>
        </w:rPr>
        <w:tab/>
        <w:t>אביו של הנאשם סיפר כי הנאשם הבין והפנים את מה שהוא עשה גם לעצמו וגם למשפחה, שהאמינה עד למקרה הזה שהנאשם חי חיים נורמטיביים מחוץ לבית, למד ועבד. בדיעבד, בשיחות שלו עם הנאשם, התברר שמה שגרם להידרדרותו הם הנישואים הכושלים שלו.</w:t>
      </w:r>
    </w:p>
    <w:p w14:paraId="7E4D3521" w14:textId="77777777" w:rsidR="00AC7FF0" w:rsidRDefault="00AC7FF0">
      <w:pPr>
        <w:pStyle w:val="ListParagraph"/>
        <w:spacing w:after="0" w:line="360" w:lineRule="auto"/>
        <w:jc w:val="both"/>
        <w:rPr>
          <w:rFonts w:ascii="David" w:eastAsia="Times New Roman" w:hAnsi="David" w:cs="David"/>
          <w:sz w:val="28"/>
          <w:szCs w:val="28"/>
          <w:rtl/>
        </w:rPr>
      </w:pPr>
    </w:p>
    <w:p w14:paraId="72FC2E18"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גם אביו של הנאשם תאר את בנו כבחור מאוד סגור, מופנם, ממעט להתבטא, ולא משתף כמעט בכלום. לדבריו, הנאשם אינו בעל אישיות עבריינית, הוא בחור מאוד תמים ונאיבי, קל להשפעה ונוח להשפעה. </w:t>
      </w:r>
    </w:p>
    <w:p w14:paraId="4F813957" w14:textId="77777777" w:rsidR="00AC7FF0" w:rsidRDefault="00AC7FF0">
      <w:pPr>
        <w:spacing w:line="360" w:lineRule="auto"/>
        <w:ind w:left="720"/>
        <w:jc w:val="both"/>
        <w:rPr>
          <w:rFonts w:ascii="David" w:hAnsi="David"/>
          <w:sz w:val="28"/>
          <w:szCs w:val="28"/>
          <w:rtl/>
        </w:rPr>
      </w:pPr>
    </w:p>
    <w:p w14:paraId="2B81AABB"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אביו של הנאשם סיפר כי הוא ואשתו הבהירו לנאשם כי הם יתמכו בו במקרה זה ובלבד שהוא יתנתק באופן מוחלט מנושא הסמים והבהירו לו שמדובר בתמיכה חד פעמית ואחרונה, והנאשם התחייב. </w:t>
      </w:r>
    </w:p>
    <w:p w14:paraId="287F7F88" w14:textId="77777777" w:rsidR="00AC7FF0" w:rsidRDefault="00AC7FF0">
      <w:pPr>
        <w:spacing w:line="360" w:lineRule="auto"/>
        <w:ind w:left="720"/>
        <w:jc w:val="both"/>
        <w:rPr>
          <w:rFonts w:ascii="David" w:hAnsi="David"/>
          <w:sz w:val="28"/>
          <w:szCs w:val="28"/>
          <w:rtl/>
        </w:rPr>
      </w:pPr>
    </w:p>
    <w:p w14:paraId="3E4C55B4"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מאז שהנאשם שוחרר ממעצר הוא נמצא בתהליך שיקום מתמשך, גם בשירות המבחן, גם ע"י פסיכולוג פרטי וגם בבית ובניסיון להשתלב בלימודים במסגרת האוניברסיטה הפתוחה. הם רואים שהתחיל להתגבש אצלו שינוי מסוים גם בנושא הפתיחות, וחושבים שאם ימשיך בדרך זו הוא ישתקם. </w:t>
      </w:r>
    </w:p>
    <w:p w14:paraId="1180B74E" w14:textId="77777777" w:rsidR="00AC7FF0" w:rsidRDefault="00AC7FF0">
      <w:pPr>
        <w:spacing w:line="360" w:lineRule="auto"/>
        <w:ind w:left="720"/>
        <w:jc w:val="both"/>
        <w:rPr>
          <w:rFonts w:ascii="David" w:hAnsi="David"/>
          <w:sz w:val="28"/>
          <w:szCs w:val="28"/>
          <w:rtl/>
        </w:rPr>
      </w:pPr>
    </w:p>
    <w:p w14:paraId="1204E7CE"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אביו של הנאשם משוכנע שמאסר בפועל לא רק יגרום להידרדרות של הנאשם אלא יוביל להרס שלו, ועל כן ביקש להסתפק במקרה זה בעבודות שירות. </w:t>
      </w:r>
    </w:p>
    <w:p w14:paraId="613D93B7" w14:textId="77777777" w:rsidR="00AC7FF0" w:rsidRDefault="00AC7FF0">
      <w:pPr>
        <w:spacing w:line="360" w:lineRule="auto"/>
        <w:jc w:val="both"/>
        <w:rPr>
          <w:rFonts w:ascii="David" w:hAnsi="David"/>
          <w:sz w:val="28"/>
          <w:szCs w:val="28"/>
          <w:rtl/>
        </w:rPr>
      </w:pPr>
    </w:p>
    <w:p w14:paraId="1258B112" w14:textId="77777777" w:rsidR="00AC7FF0" w:rsidRDefault="00170413">
      <w:pPr>
        <w:spacing w:line="360" w:lineRule="auto"/>
        <w:jc w:val="both"/>
        <w:rPr>
          <w:rFonts w:ascii="David" w:hAnsi="David"/>
          <w:b/>
          <w:bCs/>
          <w:sz w:val="28"/>
          <w:szCs w:val="28"/>
          <w:rtl/>
        </w:rPr>
      </w:pPr>
      <w:r>
        <w:rPr>
          <w:rFonts w:ascii="David" w:hAnsi="David" w:hint="cs"/>
          <w:b/>
          <w:bCs/>
          <w:sz w:val="28"/>
          <w:szCs w:val="28"/>
          <w:rtl/>
        </w:rPr>
        <w:t>טיעוני הצדדים לעונש:</w:t>
      </w:r>
    </w:p>
    <w:p w14:paraId="6F8DADFE" w14:textId="77777777" w:rsidR="00AC7FF0" w:rsidRDefault="00170413">
      <w:pPr>
        <w:spacing w:line="360" w:lineRule="auto"/>
        <w:jc w:val="both"/>
        <w:rPr>
          <w:rFonts w:ascii="David" w:hAnsi="David"/>
          <w:sz w:val="28"/>
          <w:szCs w:val="28"/>
        </w:rPr>
      </w:pPr>
      <w:r>
        <w:rPr>
          <w:rFonts w:hint="cs"/>
          <w:sz w:val="28"/>
          <w:szCs w:val="28"/>
          <w:rtl/>
        </w:rPr>
        <w:t>1.</w:t>
      </w:r>
      <w:r>
        <w:rPr>
          <w:rFonts w:hint="cs"/>
          <w:sz w:val="28"/>
          <w:szCs w:val="28"/>
          <w:rtl/>
        </w:rPr>
        <w:tab/>
        <w:t xml:space="preserve">ב"כ המאשימה עתר לקבוע מתחם ענישה נפרד לכל אחד מהאישומים. </w:t>
      </w:r>
    </w:p>
    <w:p w14:paraId="2958DACB" w14:textId="77777777" w:rsidR="00AC7FF0" w:rsidRDefault="00170413">
      <w:pPr>
        <w:pStyle w:val="ListParagraph"/>
        <w:spacing w:after="0" w:line="360" w:lineRule="auto"/>
        <w:jc w:val="both"/>
        <w:rPr>
          <w:rFonts w:ascii="David" w:eastAsia="Times New Roman" w:hAnsi="David" w:cs="David"/>
          <w:sz w:val="28"/>
          <w:szCs w:val="28"/>
          <w:rtl/>
        </w:rPr>
      </w:pPr>
      <w:r>
        <w:rPr>
          <w:rFonts w:cs="David" w:hint="cs"/>
          <w:sz w:val="28"/>
          <w:szCs w:val="28"/>
          <w:rtl/>
        </w:rPr>
        <w:t xml:space="preserve">לטענתו המתחם בגין ייבוא סם מסוכן נע בין עבודות שירות למאסר קצר בפועל; המתחם בגין סחר בסם מסוכן נע בין </w:t>
      </w:r>
      <w:r>
        <w:rPr>
          <w:rFonts w:ascii="David" w:eastAsia="Times New Roman" w:hAnsi="David" w:cs="David" w:hint="cs"/>
          <w:sz w:val="28"/>
          <w:szCs w:val="28"/>
          <w:rtl/>
        </w:rPr>
        <w:t>12 לבין 18 חודשי מאסר בפועל והמתחם בגין החזקת סם מסוכן שלא לצריכה עצמית נע בין 6 לבין 12 חודשי מאסר בפועל.</w:t>
      </w:r>
    </w:p>
    <w:p w14:paraId="50CE586A" w14:textId="77777777" w:rsidR="00AC7FF0" w:rsidRDefault="00170413">
      <w:pPr>
        <w:pStyle w:val="ListParagraph"/>
        <w:spacing w:after="0" w:line="360" w:lineRule="auto"/>
        <w:jc w:val="both"/>
        <w:rPr>
          <w:rFonts w:ascii="David" w:eastAsia="Times New Roman" w:hAnsi="David" w:cs="David"/>
          <w:sz w:val="28"/>
          <w:szCs w:val="28"/>
        </w:rPr>
      </w:pPr>
      <w:r>
        <w:rPr>
          <w:rFonts w:cs="David" w:hint="cs"/>
          <w:sz w:val="28"/>
          <w:szCs w:val="28"/>
          <w:rtl/>
        </w:rPr>
        <w:t xml:space="preserve">בנסיבות אלה, עתר למתחם ענישה כולל בין 12 לבין 20 חודשי מאסר בפועל, מאסר על תנאי, קנס ופסילת רישיון, וביקש למקם את הנאשם באמצע המתחם, נוטה למטה. </w:t>
      </w:r>
    </w:p>
    <w:p w14:paraId="1722BCF7" w14:textId="77777777" w:rsidR="00AC7FF0" w:rsidRDefault="00AC7FF0">
      <w:pPr>
        <w:spacing w:line="360" w:lineRule="auto"/>
        <w:jc w:val="both"/>
        <w:rPr>
          <w:rFonts w:ascii="David" w:hAnsi="David"/>
          <w:sz w:val="28"/>
          <w:szCs w:val="28"/>
          <w:rtl/>
        </w:rPr>
      </w:pPr>
    </w:p>
    <w:p w14:paraId="2AB81D22" w14:textId="77777777" w:rsidR="00AC7FF0" w:rsidRDefault="00AC7FF0">
      <w:pPr>
        <w:spacing w:line="360" w:lineRule="auto"/>
        <w:jc w:val="both"/>
        <w:rPr>
          <w:rFonts w:ascii="David" w:hAnsi="David"/>
          <w:sz w:val="28"/>
          <w:szCs w:val="28"/>
          <w:rtl/>
        </w:rPr>
      </w:pPr>
    </w:p>
    <w:p w14:paraId="74426D2D" w14:textId="77777777" w:rsidR="00AC7FF0" w:rsidRDefault="00AC7FF0">
      <w:pPr>
        <w:spacing w:line="360" w:lineRule="auto"/>
        <w:jc w:val="both"/>
        <w:rPr>
          <w:rFonts w:ascii="David" w:hAnsi="David"/>
          <w:sz w:val="28"/>
          <w:szCs w:val="28"/>
        </w:rPr>
      </w:pPr>
    </w:p>
    <w:p w14:paraId="336350A8" w14:textId="77777777" w:rsidR="00AC7FF0" w:rsidRDefault="00170413">
      <w:pPr>
        <w:spacing w:line="360" w:lineRule="auto"/>
        <w:ind w:left="720"/>
        <w:jc w:val="both"/>
        <w:rPr>
          <w:rFonts w:ascii="David" w:hAnsi="David"/>
          <w:sz w:val="28"/>
          <w:szCs w:val="28"/>
          <w:rtl/>
        </w:rPr>
      </w:pPr>
      <w:r>
        <w:rPr>
          <w:rFonts w:hint="cs"/>
          <w:sz w:val="28"/>
          <w:szCs w:val="28"/>
          <w:rtl/>
        </w:rPr>
        <w:t xml:space="preserve">ב"כ המאשימה הדגיש </w:t>
      </w:r>
      <w:r>
        <w:rPr>
          <w:rFonts w:ascii="David" w:hAnsi="David" w:hint="cs"/>
          <w:sz w:val="28"/>
          <w:szCs w:val="28"/>
          <w:rtl/>
        </w:rPr>
        <w:t xml:space="preserve">לגבי הסם שהנאשם ייבא על פי האישום הראשון, כי הטענה שהוא מיועד לסחר מבוססת על הכמות שכן אין ראיות למכירה בפועל או לכוונת מכירה. גם את הסם נושא האישום השני אין ראיות שהוא מכר לאחרים, והטענה להחזקה למטרת סחר מבוססת על כמותו.  </w:t>
      </w:r>
    </w:p>
    <w:p w14:paraId="041A19DF" w14:textId="77777777" w:rsidR="00AC7FF0" w:rsidRDefault="00AC7FF0">
      <w:pPr>
        <w:spacing w:line="360" w:lineRule="auto"/>
        <w:ind w:left="720"/>
        <w:jc w:val="both"/>
        <w:rPr>
          <w:rFonts w:ascii="David" w:hAnsi="David"/>
          <w:sz w:val="28"/>
          <w:szCs w:val="28"/>
          <w:rtl/>
        </w:rPr>
      </w:pPr>
    </w:p>
    <w:p w14:paraId="785F3582"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ב"כ המאשימה טען כי שימוש בסמים עלול להביא לתחומי עבריינות נוספים ולא בכדי העונש הקבוע על העבירות בהן הורשע הנאשם עומד על עונש מקסימום של 20 שנים. כמו כן ציין את מדיניות ההחמרה בעבירות סמים, תוך מתן בכורה לשיקולי גמול והרתעה לעומת האינטרס האישי.</w:t>
      </w:r>
    </w:p>
    <w:p w14:paraId="7794B096" w14:textId="77777777" w:rsidR="00AC7FF0" w:rsidRDefault="00AC7FF0">
      <w:pPr>
        <w:spacing w:line="360" w:lineRule="auto"/>
        <w:ind w:left="720"/>
        <w:jc w:val="both"/>
        <w:rPr>
          <w:rFonts w:ascii="David" w:hAnsi="David"/>
          <w:sz w:val="28"/>
          <w:szCs w:val="28"/>
          <w:rtl/>
        </w:rPr>
      </w:pPr>
    </w:p>
    <w:p w14:paraId="1E476E25"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ב"כ המאשימה הוסיף כי הסם מושא האישום הראשון הוא סם חדש, וזה כתב האישום הראשון שהוגש בעבירות המיוחסות לסם זה. הנאשם ייבא כמות גבוהה של מעל לקילו. אכן בחוות הדעת כתוב שבאופן אמיתי אפשר להפיק מכמות כזו 5 גרם של חומר פעיל, אך חווה"ד קובעת שכמות כזו מספיקה לייצור של עשרות עד מאות מנות ולכן גם כמות כזו קטנה היא כמות מסחרית. </w:t>
      </w:r>
    </w:p>
    <w:p w14:paraId="35593A76" w14:textId="77777777" w:rsidR="00AC7FF0" w:rsidRDefault="00AC7FF0">
      <w:pPr>
        <w:spacing w:line="360" w:lineRule="auto"/>
        <w:ind w:left="720"/>
        <w:jc w:val="both"/>
        <w:rPr>
          <w:rFonts w:ascii="David" w:hAnsi="David"/>
          <w:sz w:val="28"/>
          <w:szCs w:val="28"/>
          <w:rtl/>
        </w:rPr>
      </w:pPr>
    </w:p>
    <w:p w14:paraId="3B24A379"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ב"כ המאשימה הדגיש כי עיקר החומרה מכוונת לעבירת הסחר בקנבוס כמתואר באישום השני שהתגלתה רק בעקבות הודאת הנאשם. אירועי הסחר כשלעצמם מתייחסים למספר הזדמנויות, בסכומים לא מבוטלים של אלפי שקלים, ולאורך שנתיים. </w:t>
      </w:r>
    </w:p>
    <w:p w14:paraId="07A0344C" w14:textId="77777777" w:rsidR="00AC7FF0" w:rsidRDefault="00AC7FF0">
      <w:pPr>
        <w:spacing w:line="360" w:lineRule="auto"/>
        <w:jc w:val="both"/>
        <w:rPr>
          <w:rFonts w:ascii="David" w:hAnsi="David"/>
          <w:sz w:val="28"/>
          <w:szCs w:val="28"/>
          <w:rtl/>
        </w:rPr>
      </w:pPr>
    </w:p>
    <w:p w14:paraId="28030B32"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ב"כ המאשימה ביקש להפריד בין נסיבות שקשורות בביצוע העבירות לבין שלל נסיבות לקולא, שאינן קשורות בביצוע העבירות, דברי הוריו של הנאשם, הליכי החקירה ושיתוף הפעולה של הנאשם עם הרשויות, הודאתו וחשיפת גורמים נוספים, הנסיבות שהובילו אותו לבצע את העבירות, כמו גם נסיבות חייו והפגיעה בו ובמשפחתו, שיש להם משקל בתוך מתחם העונש ההולם ולא בקביעת המתחם עצמו.</w:t>
      </w:r>
    </w:p>
    <w:p w14:paraId="17D150DD" w14:textId="77777777" w:rsidR="00AC7FF0" w:rsidRDefault="00AC7FF0">
      <w:pPr>
        <w:spacing w:line="360" w:lineRule="auto"/>
        <w:ind w:left="720"/>
        <w:jc w:val="both"/>
        <w:rPr>
          <w:rFonts w:ascii="David" w:hAnsi="David"/>
          <w:sz w:val="28"/>
          <w:szCs w:val="28"/>
          <w:rtl/>
        </w:rPr>
      </w:pPr>
    </w:p>
    <w:p w14:paraId="5417DDA4"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ב"כ המאשימה הדגיש את נסיבות ביצוע העבירות, את התכנון שקדם לביצוען ואת הנזק שהיה צפוי להיגרם מהן וביקש לקחת בחשבון את שיקולי ההתרעה. אמנם הנאשם למד את הלקח ועבר טלטלה יחד עם בני משפחתו, אך השיקול של הרתעת הרבים הוא נימוק לנוע במעלה המתחם. </w:t>
      </w:r>
    </w:p>
    <w:p w14:paraId="329EAEA0" w14:textId="77777777" w:rsidR="00AC7FF0" w:rsidRDefault="00AC7FF0">
      <w:pPr>
        <w:spacing w:line="360" w:lineRule="auto"/>
        <w:ind w:left="720"/>
        <w:jc w:val="both"/>
        <w:rPr>
          <w:rFonts w:ascii="David" w:hAnsi="David"/>
          <w:sz w:val="28"/>
          <w:szCs w:val="28"/>
          <w:rtl/>
        </w:rPr>
      </w:pPr>
    </w:p>
    <w:p w14:paraId="0C9E05FF"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באשר לשיקולי השיקום טען ב"כ המאשימה כי לא מתקיימים התנאים לעשות שימוש בהם וגם אם בית המשפט יסבור כי במקרה הנדון מתקיימים התנאים, אין מקום לחרוג בצורה לא מידתית לעבר עונש של עבודות שירות כפי המלצת שירות המבחן.</w:t>
      </w:r>
    </w:p>
    <w:p w14:paraId="2558C142" w14:textId="77777777" w:rsidR="00AC7FF0" w:rsidRDefault="00AC7FF0">
      <w:pPr>
        <w:spacing w:line="360" w:lineRule="auto"/>
        <w:ind w:left="720"/>
        <w:jc w:val="both"/>
        <w:rPr>
          <w:rFonts w:ascii="David" w:hAnsi="David"/>
          <w:sz w:val="28"/>
          <w:szCs w:val="28"/>
          <w:rtl/>
        </w:rPr>
      </w:pPr>
    </w:p>
    <w:p w14:paraId="58FACE9A" w14:textId="77777777" w:rsidR="00AC7FF0" w:rsidRDefault="00170413">
      <w:pPr>
        <w:spacing w:line="360" w:lineRule="auto"/>
        <w:ind w:left="720"/>
        <w:jc w:val="both"/>
        <w:rPr>
          <w:rFonts w:ascii="David" w:hAnsi="David"/>
          <w:sz w:val="28"/>
          <w:szCs w:val="28"/>
          <w:rtl/>
        </w:rPr>
      </w:pPr>
      <w:r>
        <w:rPr>
          <w:rFonts w:ascii="David" w:hAnsi="David" w:hint="cs"/>
          <w:sz w:val="28"/>
          <w:szCs w:val="28"/>
          <w:rtl/>
        </w:rPr>
        <w:t xml:space="preserve">ב"כ המאשימה הדגיש כי הנאשם נמצא בתחילת הדרך, הוא עדיין לא השתקם. הטיפול אותו עובר הנאשם הוא של קבוצה טיפולית ושיחות פרטניות פעם בשבוע ולכן אין מדובר בטיפול משמעותי וב"סיכוי ממשי לשיקום". </w:t>
      </w:r>
    </w:p>
    <w:p w14:paraId="28D4CAAE" w14:textId="77777777" w:rsidR="00AC7FF0" w:rsidRDefault="00AC7FF0">
      <w:pPr>
        <w:spacing w:line="360" w:lineRule="auto"/>
        <w:jc w:val="both"/>
        <w:rPr>
          <w:rFonts w:ascii="David" w:hAnsi="David"/>
          <w:sz w:val="28"/>
          <w:szCs w:val="28"/>
          <w:rtl/>
        </w:rPr>
      </w:pPr>
    </w:p>
    <w:p w14:paraId="06703BCC" w14:textId="77777777" w:rsidR="00AC7FF0" w:rsidRDefault="00170413">
      <w:pPr>
        <w:spacing w:line="360" w:lineRule="auto"/>
        <w:jc w:val="both"/>
        <w:rPr>
          <w:rFonts w:ascii="Calibri" w:hAnsi="Calibri"/>
          <w:sz w:val="28"/>
          <w:szCs w:val="28"/>
          <w:rtl/>
        </w:rPr>
      </w:pPr>
      <w:r>
        <w:rPr>
          <w:rFonts w:ascii="David" w:hAnsi="David" w:hint="cs"/>
          <w:sz w:val="28"/>
          <w:szCs w:val="28"/>
          <w:rtl/>
        </w:rPr>
        <w:t>2.</w:t>
      </w:r>
      <w:r>
        <w:rPr>
          <w:rFonts w:ascii="David" w:hAnsi="David" w:hint="cs"/>
          <w:sz w:val="28"/>
          <w:szCs w:val="28"/>
          <w:rtl/>
        </w:rPr>
        <w:tab/>
      </w:r>
      <w:r>
        <w:rPr>
          <w:rFonts w:hint="cs"/>
          <w:sz w:val="28"/>
          <w:szCs w:val="28"/>
          <w:rtl/>
        </w:rPr>
        <w:t xml:space="preserve">ב"כ הנאשם עתר למתחם ענישה שנע בין </w:t>
      </w:r>
      <w:r>
        <w:rPr>
          <w:rFonts w:ascii="Calibri" w:hAnsi="Calibri" w:hint="cs"/>
          <w:sz w:val="28"/>
          <w:szCs w:val="28"/>
          <w:rtl/>
        </w:rPr>
        <w:t xml:space="preserve">של"צ ל- 6 חודשי עבודות שירות. </w:t>
      </w:r>
    </w:p>
    <w:p w14:paraId="1AB2B8A2" w14:textId="77777777" w:rsidR="00AC7FF0" w:rsidRDefault="00170413">
      <w:pPr>
        <w:pStyle w:val="ListParagraph"/>
        <w:spacing w:after="0" w:line="360" w:lineRule="auto"/>
        <w:jc w:val="both"/>
        <w:rPr>
          <w:rFonts w:cs="David"/>
          <w:sz w:val="28"/>
          <w:szCs w:val="28"/>
          <w:rtl/>
        </w:rPr>
      </w:pPr>
      <w:r>
        <w:rPr>
          <w:rFonts w:ascii="David" w:eastAsia="Times New Roman" w:hAnsi="David" w:cs="David" w:hint="cs"/>
          <w:sz w:val="28"/>
          <w:szCs w:val="28"/>
          <w:rtl/>
        </w:rPr>
        <w:t>ב"כ הנאשם טען כי הנאשם הזמין קילו מימוזה, שלא מופיעה ב</w:t>
      </w:r>
      <w:hyperlink r:id="rId26" w:history="1">
        <w:r w:rsidRPr="00170413">
          <w:rPr>
            <w:rFonts w:ascii="David" w:eastAsia="Times New Roman" w:hAnsi="David" w:cs="David"/>
            <w:color w:val="0000FF"/>
            <w:sz w:val="28"/>
            <w:szCs w:val="28"/>
            <w:u w:val="single"/>
            <w:rtl/>
          </w:rPr>
          <w:t>פקודת הסמים המסוכנים</w:t>
        </w:r>
      </w:hyperlink>
      <w:r>
        <w:rPr>
          <w:rFonts w:ascii="David" w:eastAsia="Times New Roman" w:hAnsi="David" w:cs="David" w:hint="cs"/>
          <w:sz w:val="28"/>
          <w:szCs w:val="28"/>
          <w:rtl/>
        </w:rPr>
        <w:t xml:space="preserve">. המימוזה מכילה </w:t>
      </w:r>
      <w:r>
        <w:rPr>
          <w:rFonts w:eastAsia="Times New Roman" w:cs="David"/>
          <w:sz w:val="28"/>
          <w:szCs w:val="28"/>
        </w:rPr>
        <w:t>DMT</w:t>
      </w:r>
      <w:r>
        <w:rPr>
          <w:rFonts w:ascii="David" w:eastAsia="Times New Roman" w:hAnsi="David" w:cs="David" w:hint="cs"/>
          <w:sz w:val="28"/>
          <w:szCs w:val="28"/>
          <w:rtl/>
        </w:rPr>
        <w:t xml:space="preserve">, </w:t>
      </w:r>
      <w:r>
        <w:rPr>
          <w:rFonts w:eastAsia="Times New Roman" w:cs="David" w:hint="cs"/>
          <w:sz w:val="28"/>
          <w:szCs w:val="28"/>
          <w:rtl/>
        </w:rPr>
        <w:t xml:space="preserve">אך כשהיא בטבע היא בעצם עץ, שיח. הנאשם קנה באתר אינטרנט את גזע העץ כשהוא גרוס וטחון. הוא הדגיש כי יש הבדל בין תצורתו הטבעית של העץ לבין זמן ההפקה, כאשר מפיקים את ה- </w:t>
      </w:r>
      <w:r>
        <w:rPr>
          <w:rFonts w:eastAsia="Times New Roman" w:cs="David"/>
          <w:sz w:val="28"/>
          <w:szCs w:val="28"/>
        </w:rPr>
        <w:t>DMT</w:t>
      </w:r>
      <w:r>
        <w:rPr>
          <w:rFonts w:eastAsia="Times New Roman" w:cs="David" w:hint="cs"/>
          <w:sz w:val="28"/>
          <w:szCs w:val="28"/>
          <w:rtl/>
        </w:rPr>
        <w:t xml:space="preserve"> שמופיע ב</w:t>
      </w:r>
      <w:hyperlink r:id="rId27" w:history="1">
        <w:r w:rsidRPr="00170413">
          <w:rPr>
            <w:rFonts w:eastAsia="Times New Roman" w:cs="David" w:hint="eastAsia"/>
            <w:color w:val="0000FF"/>
            <w:sz w:val="28"/>
            <w:szCs w:val="28"/>
            <w:u w:val="single"/>
            <w:rtl/>
          </w:rPr>
          <w:t>פקודת</w:t>
        </w:r>
        <w:r w:rsidRPr="00170413">
          <w:rPr>
            <w:rFonts w:eastAsia="Times New Roman" w:cs="David"/>
            <w:color w:val="0000FF"/>
            <w:sz w:val="28"/>
            <w:szCs w:val="28"/>
            <w:u w:val="single"/>
            <w:rtl/>
          </w:rPr>
          <w:t xml:space="preserve"> </w:t>
        </w:r>
        <w:r w:rsidRPr="00170413">
          <w:rPr>
            <w:rFonts w:eastAsia="Times New Roman" w:cs="David" w:hint="eastAsia"/>
            <w:color w:val="0000FF"/>
            <w:sz w:val="28"/>
            <w:szCs w:val="28"/>
            <w:u w:val="single"/>
            <w:rtl/>
          </w:rPr>
          <w:t>הסמים</w:t>
        </w:r>
        <w:r w:rsidRPr="00170413">
          <w:rPr>
            <w:rFonts w:eastAsia="Times New Roman" w:cs="David"/>
            <w:color w:val="0000FF"/>
            <w:sz w:val="28"/>
            <w:szCs w:val="28"/>
            <w:u w:val="single"/>
            <w:rtl/>
          </w:rPr>
          <w:t xml:space="preserve"> </w:t>
        </w:r>
        <w:r w:rsidRPr="00170413">
          <w:rPr>
            <w:rFonts w:eastAsia="Times New Roman" w:cs="David" w:hint="eastAsia"/>
            <w:color w:val="0000FF"/>
            <w:sz w:val="28"/>
            <w:szCs w:val="28"/>
            <w:u w:val="single"/>
            <w:rtl/>
          </w:rPr>
          <w:t>המסוכנים</w:t>
        </w:r>
      </w:hyperlink>
      <w:r>
        <w:rPr>
          <w:rFonts w:eastAsia="Times New Roman" w:cs="David" w:hint="cs"/>
          <w:sz w:val="28"/>
          <w:szCs w:val="28"/>
          <w:rtl/>
        </w:rPr>
        <w:t xml:space="preserve"> כסם.</w:t>
      </w:r>
      <w:r>
        <w:rPr>
          <w:rFonts w:cs="David" w:hint="cs"/>
          <w:sz w:val="28"/>
          <w:szCs w:val="28"/>
          <w:rtl/>
        </w:rPr>
        <w:t xml:space="preserve"> על פי חוות הדעת מקילו מימוזה מפיקים 5 גרם, אך תהליך ההפקה אינו פשוט והנאשם לא הפיק אותו. </w:t>
      </w:r>
    </w:p>
    <w:p w14:paraId="5561E92E" w14:textId="77777777" w:rsidR="00AC7FF0" w:rsidRDefault="00AC7FF0">
      <w:pPr>
        <w:spacing w:line="360" w:lineRule="auto"/>
        <w:ind w:left="720"/>
        <w:jc w:val="both"/>
        <w:rPr>
          <w:rFonts w:ascii="Calibri" w:hAnsi="Calibri"/>
          <w:sz w:val="28"/>
          <w:szCs w:val="28"/>
          <w:rtl/>
        </w:rPr>
      </w:pPr>
    </w:p>
    <w:p w14:paraId="283B6ABF"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 xml:space="preserve">ב"כ הנאשם הדגיש כי התשתית לאישום השני היא בדברי הנאשם עצמו, שפתח בפני החוקרים את סגור ליבו ואת קורות חייו. הנאשם הודה מיד בייבוא ה </w:t>
      </w:r>
      <w:r>
        <w:rPr>
          <w:rFonts w:ascii="Calibri" w:hAnsi="Calibri"/>
          <w:sz w:val="28"/>
          <w:szCs w:val="28"/>
        </w:rPr>
        <w:t>DMT</w:t>
      </w:r>
      <w:r>
        <w:rPr>
          <w:rFonts w:ascii="Calibri" w:hAnsi="Calibri" w:hint="cs"/>
          <w:sz w:val="28"/>
          <w:szCs w:val="28"/>
          <w:rtl/>
        </w:rPr>
        <w:t xml:space="preserve"> ולאחר שעות ספורות הודה ברקע והסביר את התהליך בו הוא נמצא.</w:t>
      </w:r>
    </w:p>
    <w:p w14:paraId="0A7ADD7C" w14:textId="77777777" w:rsidR="00AC7FF0" w:rsidRDefault="00AC7FF0">
      <w:pPr>
        <w:spacing w:line="360" w:lineRule="auto"/>
        <w:ind w:left="720"/>
        <w:jc w:val="both"/>
        <w:rPr>
          <w:rFonts w:ascii="Calibri" w:hAnsi="Calibri"/>
          <w:sz w:val="28"/>
          <w:szCs w:val="28"/>
          <w:rtl/>
        </w:rPr>
      </w:pPr>
    </w:p>
    <w:p w14:paraId="268F8516"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ב"כ הנאשם ציין כי הוא מצפה מהתביעה שתושיט יד לנאשם, שהתוודה ומסר אינפורמציה שבעזרתה יש הליך מקביל בעניינו של אחר, נגדו הוא מופיע כעד תביעה.</w:t>
      </w:r>
    </w:p>
    <w:p w14:paraId="6AF168D1" w14:textId="77777777" w:rsidR="00AC7FF0" w:rsidRDefault="00AC7FF0">
      <w:pPr>
        <w:spacing w:line="360" w:lineRule="auto"/>
        <w:ind w:left="720"/>
        <w:jc w:val="both"/>
        <w:rPr>
          <w:rFonts w:ascii="Calibri" w:hAnsi="Calibri"/>
          <w:sz w:val="28"/>
          <w:szCs w:val="28"/>
          <w:rtl/>
        </w:rPr>
      </w:pPr>
    </w:p>
    <w:p w14:paraId="4A4F133C"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עוד הדגיש ב"כ הנאשם כי הנאשם נותן את הדין היום על מעשים שהתרחשו בשנת 2011, אירועים שלמשטרה לא היה כל מידע לגביהם והוא חשף אותם בעצמו.</w:t>
      </w:r>
    </w:p>
    <w:p w14:paraId="56A1C1A2" w14:textId="77777777" w:rsidR="00AC7FF0" w:rsidRDefault="00AC7FF0">
      <w:pPr>
        <w:spacing w:line="360" w:lineRule="auto"/>
        <w:ind w:left="720"/>
        <w:jc w:val="both"/>
        <w:rPr>
          <w:rFonts w:ascii="Calibri" w:hAnsi="Calibri"/>
          <w:sz w:val="28"/>
          <w:szCs w:val="28"/>
          <w:rtl/>
        </w:rPr>
      </w:pPr>
    </w:p>
    <w:p w14:paraId="168E3FB7"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 xml:space="preserve">ב"כ הנאשם טען כי הנאשם שהה חודש במעצר באבו כביר, למרות שהחקירה נגמרה תוך ימים ספורים, ובסופו של יום הוא שוחרר והיה נתון במעצר בית עד 10.2.14 רק לאחר שהנאשם הודה בבית המשפט ולאחר שהיה תחת פיקוח שירות המבחן והוכן תסקיר הוקלו תנאי מעצר הבית כך שהוא יכול לשהות עד לשעה 21:00 מחוץ לבית, ללא כל הפרה, כאשר היה בתהליך טיפולי. </w:t>
      </w:r>
    </w:p>
    <w:p w14:paraId="6A2F1D7B" w14:textId="77777777" w:rsidR="00AC7FF0" w:rsidRDefault="00AC7FF0">
      <w:pPr>
        <w:spacing w:line="360" w:lineRule="auto"/>
        <w:ind w:left="720"/>
        <w:jc w:val="both"/>
        <w:rPr>
          <w:rFonts w:ascii="Calibri" w:hAnsi="Calibri"/>
          <w:sz w:val="28"/>
          <w:szCs w:val="28"/>
          <w:rtl/>
        </w:rPr>
      </w:pPr>
    </w:p>
    <w:p w14:paraId="2C8AD4E5"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ב"כ הנאשם הדגיש כי הנאשם נמצא תחת עיניים מאבחנות ובוחנות של ארבעה אנשי מקצוע ממכון גרין ושירות המבחן שהגיעו למסקנה שלא מדובר בעבריין או באדם בעל דפוסי עבריינות אלא במי שעשה את מה שעשה ממקום של דיכאון.</w:t>
      </w:r>
    </w:p>
    <w:p w14:paraId="65162D88" w14:textId="77777777" w:rsidR="00AC7FF0" w:rsidRDefault="00AC7FF0">
      <w:pPr>
        <w:spacing w:line="360" w:lineRule="auto"/>
        <w:ind w:left="720"/>
        <w:jc w:val="both"/>
        <w:rPr>
          <w:rFonts w:ascii="Calibri" w:hAnsi="Calibri"/>
          <w:sz w:val="28"/>
          <w:szCs w:val="28"/>
          <w:rtl/>
        </w:rPr>
      </w:pPr>
    </w:p>
    <w:p w14:paraId="1EDD9A2B"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 xml:space="preserve">ב"כ הנאשם ציין כי האירוע הראשון מתוך שלושת האירועים באישום השני, הוא מעשה שנעשה כדי לאפשר את השימוש העצמי שלו במריחואנה ומדובר באלמנט של אחזקה בלבד. עוד ציין כי מדובר בסחר בסם שהוא תולדה של שימוש שהנאשם לא רצה להפיק ממנו רווח. </w:t>
      </w:r>
    </w:p>
    <w:p w14:paraId="36701C58" w14:textId="77777777" w:rsidR="00AC7FF0" w:rsidRDefault="00AC7FF0">
      <w:pPr>
        <w:spacing w:line="360" w:lineRule="auto"/>
        <w:ind w:left="720"/>
        <w:jc w:val="both"/>
        <w:rPr>
          <w:rFonts w:ascii="Calibri" w:hAnsi="Calibri"/>
          <w:sz w:val="28"/>
          <w:szCs w:val="28"/>
          <w:rtl/>
        </w:rPr>
      </w:pPr>
    </w:p>
    <w:p w14:paraId="05FC22B4"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לבסוף טען ב"כ הנאשם כי נושא השיקום בעבירות סם הוא מאד דומיננטי ומכריע, ביקש להתייחס לנתוניו האישים של הנאשם ולשיקולי השיקום, וטען כי המתחם המוצע על ידו הולם גם את המלצות אנשי המקצוע ושירות המבחן.</w:t>
      </w:r>
    </w:p>
    <w:p w14:paraId="34CC18DA" w14:textId="77777777" w:rsidR="00AC7FF0" w:rsidRDefault="00AC7FF0">
      <w:pPr>
        <w:spacing w:line="360" w:lineRule="auto"/>
        <w:jc w:val="both"/>
        <w:rPr>
          <w:rFonts w:ascii="Calibri" w:hAnsi="Calibri"/>
          <w:sz w:val="28"/>
          <w:szCs w:val="28"/>
          <w:rtl/>
        </w:rPr>
      </w:pPr>
    </w:p>
    <w:p w14:paraId="14E22549"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 xml:space="preserve">באשר לבקשת הפסילה, ביקש ב"כ הנאשם להסתפק בפסילה על תנאי בלבד. לטענתו רישיון הנהיגה חיוני עבור הנאשם, שכן הוא משמש אותו למפגשים עם מומחים ממכון גרין. הוא ציין כי העבירות המיוחסות לנאשם הן עבירות שנעברו לפני שנתיים </w:t>
      </w:r>
      <w:r>
        <w:rPr>
          <w:rFonts w:ascii="Calibri" w:hAnsi="Calibri"/>
          <w:sz w:val="28"/>
          <w:szCs w:val="28"/>
          <w:rtl/>
        </w:rPr>
        <w:t>–</w:t>
      </w:r>
      <w:r>
        <w:rPr>
          <w:rFonts w:ascii="Calibri" w:hAnsi="Calibri" w:hint="cs"/>
          <w:sz w:val="28"/>
          <w:szCs w:val="28"/>
          <w:rtl/>
        </w:rPr>
        <w:t xml:space="preserve"> שלוש שנים, ואין כל רבותא בשלילת הרישיון כעת. </w:t>
      </w:r>
    </w:p>
    <w:p w14:paraId="42BD1CF0"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הנאשם נבדק על ידי שירות המבחן ונמצא נקי מסם, וכאשר שהה במעצר ובמעצר בית במשך חצי שנה נמנע מלנהוג.</w:t>
      </w:r>
    </w:p>
    <w:p w14:paraId="6C0BFE99" w14:textId="77777777" w:rsidR="00AC7FF0" w:rsidRDefault="00AC7FF0">
      <w:pPr>
        <w:spacing w:line="360" w:lineRule="auto"/>
        <w:ind w:left="720"/>
        <w:jc w:val="both"/>
        <w:rPr>
          <w:rFonts w:ascii="Calibri" w:hAnsi="Calibri"/>
          <w:sz w:val="28"/>
          <w:szCs w:val="28"/>
          <w:rtl/>
        </w:rPr>
      </w:pPr>
    </w:p>
    <w:p w14:paraId="23332480" w14:textId="77777777" w:rsidR="00AC7FF0" w:rsidRDefault="00170413">
      <w:pPr>
        <w:spacing w:line="360" w:lineRule="auto"/>
        <w:ind w:left="720" w:hanging="720"/>
        <w:jc w:val="both"/>
        <w:rPr>
          <w:rFonts w:ascii="Calibri" w:hAnsi="Calibri"/>
          <w:sz w:val="28"/>
          <w:szCs w:val="28"/>
          <w:rtl/>
        </w:rPr>
      </w:pPr>
      <w:r>
        <w:rPr>
          <w:rFonts w:ascii="Calibri" w:hAnsi="Calibri" w:hint="cs"/>
          <w:sz w:val="28"/>
          <w:szCs w:val="28"/>
          <w:rtl/>
        </w:rPr>
        <w:t>3.</w:t>
      </w:r>
      <w:r>
        <w:rPr>
          <w:rFonts w:ascii="Calibri" w:hAnsi="Calibri" w:hint="cs"/>
          <w:sz w:val="28"/>
          <w:szCs w:val="28"/>
          <w:rtl/>
        </w:rPr>
        <w:tab/>
        <w:t xml:space="preserve">הנאשם, בטיעוניו לעונש, הדגיש שמעולם הוא לא סחר בסם למטרת רווח. </w:t>
      </w:r>
    </w:p>
    <w:p w14:paraId="7C0C1225" w14:textId="77777777" w:rsidR="00AC7FF0" w:rsidRDefault="00170413">
      <w:pPr>
        <w:spacing w:line="360" w:lineRule="auto"/>
        <w:ind w:left="720"/>
        <w:jc w:val="both"/>
        <w:rPr>
          <w:rFonts w:ascii="Calibri" w:hAnsi="Calibri"/>
          <w:sz w:val="28"/>
          <w:szCs w:val="28"/>
          <w:rtl/>
        </w:rPr>
      </w:pPr>
      <w:r>
        <w:rPr>
          <w:rFonts w:ascii="Calibri" w:hAnsi="Calibri" w:hint="cs"/>
          <w:sz w:val="28"/>
          <w:szCs w:val="28"/>
          <w:rtl/>
        </w:rPr>
        <w:t xml:space="preserve">לדבריו הזמן שהעביר במעצר היה בשבילו גיהינום, הוא נקי מסמים ונמצא בטיפול שעוזר לו לשקם את חייו מחדש. </w:t>
      </w:r>
    </w:p>
    <w:p w14:paraId="762118DD" w14:textId="77777777" w:rsidR="00AC7FF0" w:rsidRDefault="00AC7FF0">
      <w:pPr>
        <w:rPr>
          <w:rFonts w:ascii="Calibri" w:eastAsia="Calibri" w:hAnsi="Calibri" w:cs="Arial"/>
          <w:sz w:val="28"/>
          <w:szCs w:val="28"/>
          <w:rtl/>
        </w:rPr>
      </w:pPr>
    </w:p>
    <w:p w14:paraId="6EC3C733" w14:textId="77777777" w:rsidR="00AC7FF0" w:rsidRDefault="00170413">
      <w:pPr>
        <w:spacing w:line="360" w:lineRule="auto"/>
        <w:jc w:val="both"/>
        <w:rPr>
          <w:sz w:val="28"/>
          <w:szCs w:val="28"/>
          <w:rtl/>
        </w:rPr>
      </w:pPr>
      <w:r>
        <w:rPr>
          <w:rFonts w:hint="cs"/>
          <w:b/>
          <w:bCs/>
          <w:sz w:val="28"/>
          <w:szCs w:val="28"/>
          <w:rtl/>
        </w:rPr>
        <w:t>דיון והכרעה</w:t>
      </w:r>
    </w:p>
    <w:p w14:paraId="67BDE58A" w14:textId="77777777" w:rsidR="00AC7FF0" w:rsidRDefault="00170413">
      <w:pPr>
        <w:spacing w:line="360" w:lineRule="auto"/>
        <w:ind w:left="720" w:hanging="720"/>
        <w:contextualSpacing/>
        <w:jc w:val="both"/>
        <w:rPr>
          <w:rFonts w:ascii="Calibri" w:eastAsia="Calibri" w:hAnsi="Calibri"/>
          <w:sz w:val="28"/>
          <w:szCs w:val="28"/>
          <w:rtl/>
        </w:rPr>
      </w:pPr>
      <w:r>
        <w:rPr>
          <w:rFonts w:ascii="Calibri" w:eastAsia="Calibri" w:hAnsi="Calibri" w:hint="cs"/>
          <w:sz w:val="28"/>
          <w:szCs w:val="28"/>
          <w:rtl/>
        </w:rPr>
        <w:t>1.</w:t>
      </w:r>
      <w:r>
        <w:rPr>
          <w:rFonts w:ascii="Calibri" w:eastAsia="Calibri" w:hAnsi="Calibri" w:hint="cs"/>
          <w:sz w:val="28"/>
          <w:szCs w:val="28"/>
          <w:rtl/>
        </w:rPr>
        <w:tab/>
        <w:t xml:space="preserve">בקביעת מתחם העונש ההולם בהתאם לעקרון ההלימה יש להתחשב בערך החברתי שנפגע מביצוע העבירות, במידת הפגיעה בו, במדיניות הענישה הנהוגה ובנסיבות הקשורות בביצוען. </w:t>
      </w:r>
    </w:p>
    <w:p w14:paraId="7B1BBC44" w14:textId="77777777" w:rsidR="00AC7FF0" w:rsidRDefault="00AC7FF0">
      <w:pPr>
        <w:spacing w:line="360" w:lineRule="auto"/>
        <w:ind w:left="360"/>
        <w:contextualSpacing/>
        <w:jc w:val="both"/>
        <w:rPr>
          <w:rFonts w:ascii="Calibri" w:eastAsia="Calibri" w:hAnsi="Calibri"/>
          <w:sz w:val="28"/>
          <w:szCs w:val="28"/>
        </w:rPr>
      </w:pPr>
    </w:p>
    <w:p w14:paraId="72127470" w14:textId="77777777" w:rsidR="00AC7FF0" w:rsidRDefault="00170413">
      <w:pPr>
        <w:spacing w:line="360" w:lineRule="auto"/>
        <w:ind w:left="720"/>
        <w:contextualSpacing/>
        <w:jc w:val="both"/>
        <w:rPr>
          <w:rFonts w:ascii="Calibri" w:eastAsia="Calibri" w:hAnsi="Calibri"/>
          <w:sz w:val="28"/>
          <w:szCs w:val="28"/>
        </w:rPr>
      </w:pPr>
      <w:r>
        <w:rPr>
          <w:rFonts w:ascii="Arial" w:hAnsi="Arial" w:hint="cs"/>
          <w:sz w:val="28"/>
          <w:szCs w:val="28"/>
          <w:rtl/>
        </w:rPr>
        <w:t xml:space="preserve">הערך החברתי הנפגע מביצוע העבירות נושא הרשעתו של הנאשם והעומד בבסיס עבירות הסמים הינו הצורך בשמירה על בריאות הציבור. עבירות אלה מלוות לרוב, ואף יוצרות, עבירות נוספות ובתי המשפט חזרו רבות על הצורך במיגור עבירות אלה בכל שלבי מערך הפצת הסם, החל בשימוש עצמי וכלה בסחר ובייבוא. </w:t>
      </w:r>
    </w:p>
    <w:p w14:paraId="4909D0B7" w14:textId="77777777" w:rsidR="00AC7FF0" w:rsidRDefault="00AC7FF0">
      <w:pPr>
        <w:spacing w:line="360" w:lineRule="auto"/>
        <w:ind w:left="720"/>
        <w:contextualSpacing/>
        <w:jc w:val="both"/>
        <w:rPr>
          <w:rFonts w:ascii="Calibri" w:eastAsia="Calibri" w:hAnsi="Calibri"/>
          <w:sz w:val="28"/>
          <w:szCs w:val="28"/>
          <w:rtl/>
        </w:rPr>
      </w:pPr>
    </w:p>
    <w:p w14:paraId="1898E934" w14:textId="77777777" w:rsidR="00AC7FF0" w:rsidRDefault="00170413">
      <w:pPr>
        <w:spacing w:line="360" w:lineRule="auto"/>
        <w:ind w:left="651"/>
        <w:contextualSpacing/>
        <w:jc w:val="both"/>
        <w:rPr>
          <w:rFonts w:ascii="Arial" w:hAnsi="Arial"/>
          <w:b/>
          <w:bCs/>
          <w:sz w:val="28"/>
          <w:szCs w:val="28"/>
          <w:rtl/>
        </w:rPr>
      </w:pPr>
      <w:r>
        <w:rPr>
          <w:rFonts w:ascii="Arial" w:hAnsi="Arial" w:hint="cs"/>
          <w:sz w:val="28"/>
          <w:szCs w:val="28"/>
          <w:rtl/>
        </w:rPr>
        <w:t>כבוד השופט שוהם כתב על הנזקים שנגרמים בעקבות עבירות הסמים ב</w:t>
      </w:r>
      <w:hyperlink r:id="rId28" w:history="1">
        <w:r w:rsidRPr="00170413">
          <w:rPr>
            <w:rFonts w:ascii="Arial" w:hAnsi="Arial"/>
            <w:color w:val="0000FF"/>
            <w:sz w:val="28"/>
            <w:szCs w:val="28"/>
            <w:u w:val="single"/>
            <w:rtl/>
          </w:rPr>
          <w:t>ע"פ 3117/12</w:t>
        </w:r>
      </w:hyperlink>
      <w:r>
        <w:rPr>
          <w:rFonts w:ascii="Arial" w:hAnsi="Arial" w:hint="cs"/>
          <w:sz w:val="28"/>
          <w:szCs w:val="28"/>
          <w:rtl/>
        </w:rPr>
        <w:t xml:space="preserve"> </w:t>
      </w:r>
      <w:r>
        <w:rPr>
          <w:rFonts w:ascii="Arial" w:hAnsi="Arial" w:hint="cs"/>
          <w:b/>
          <w:bCs/>
          <w:sz w:val="28"/>
          <w:szCs w:val="28"/>
          <w:rtl/>
        </w:rPr>
        <w:t>ארביב נ' מדינת ישראל</w:t>
      </w:r>
      <w:r>
        <w:rPr>
          <w:rFonts w:ascii="Arial" w:hAnsi="Arial" w:hint="cs"/>
          <w:sz w:val="28"/>
          <w:szCs w:val="28"/>
          <w:rtl/>
        </w:rPr>
        <w:t xml:space="preserve"> (ניתן ביום 6.9.12), כדלקמן: </w:t>
      </w:r>
      <w:r>
        <w:rPr>
          <w:rFonts w:ascii="Arial" w:hAnsi="Arial" w:hint="cs"/>
          <w:sz w:val="28"/>
          <w:szCs w:val="28"/>
          <w:rtl/>
        </w:rPr>
        <w:br/>
      </w:r>
    </w:p>
    <w:p w14:paraId="3D3738DF" w14:textId="77777777" w:rsidR="00AC7FF0" w:rsidRDefault="00170413">
      <w:pPr>
        <w:spacing w:line="360" w:lineRule="auto"/>
        <w:ind w:left="1643" w:right="1701"/>
        <w:contextualSpacing/>
        <w:jc w:val="both"/>
        <w:rPr>
          <w:rFonts w:ascii="Calibri" w:eastAsia="Calibri" w:hAnsi="Calibri"/>
          <w:sz w:val="28"/>
          <w:szCs w:val="28"/>
          <w:rtl/>
        </w:rPr>
      </w:pPr>
      <w:r>
        <w:rPr>
          <w:rFonts w:ascii="Arial" w:hAnsi="Arial" w:hint="cs"/>
          <w:b/>
          <w:bCs/>
          <w:sz w:val="28"/>
          <w:szCs w:val="28"/>
          <w:rtl/>
        </w:rPr>
        <w:t>"בית משפט זה עמד, לא אחת, על חומרתן היתירה של עבירות הסמים, ועל ההשלכות הקשות שיש לשימוש בסם על גופו ועל נפשו של המשתמש".</w:t>
      </w:r>
    </w:p>
    <w:p w14:paraId="0A8D99B5" w14:textId="77777777" w:rsidR="00AC7FF0" w:rsidRDefault="00AC7FF0">
      <w:pPr>
        <w:spacing w:line="360" w:lineRule="auto"/>
        <w:ind w:left="720"/>
        <w:contextualSpacing/>
        <w:jc w:val="both"/>
        <w:rPr>
          <w:rFonts w:ascii="Arial" w:eastAsia="David" w:hAnsi="Arial" w:cs="Arial"/>
          <w:sz w:val="28"/>
          <w:szCs w:val="28"/>
          <w:rtl/>
          <w:lang w:eastAsia="he-IL"/>
        </w:rPr>
      </w:pPr>
    </w:p>
    <w:p w14:paraId="754E6E4C" w14:textId="77777777" w:rsidR="00AC7FF0" w:rsidRDefault="00170413">
      <w:pPr>
        <w:spacing w:line="360" w:lineRule="auto"/>
        <w:ind w:left="720" w:hanging="720"/>
        <w:contextualSpacing/>
        <w:jc w:val="both"/>
        <w:outlineLvl w:val="0"/>
        <w:rPr>
          <w:rFonts w:ascii="Calibri" w:eastAsia="Calibri" w:hAnsi="Calibri"/>
          <w:sz w:val="28"/>
          <w:szCs w:val="28"/>
          <w:rtl/>
        </w:rPr>
      </w:pPr>
      <w:r>
        <w:rPr>
          <w:rFonts w:hint="cs"/>
          <w:sz w:val="28"/>
          <w:szCs w:val="28"/>
          <w:rtl/>
        </w:rPr>
        <w:t>2.</w:t>
      </w:r>
      <w:r>
        <w:rPr>
          <w:rFonts w:hint="cs"/>
          <w:sz w:val="28"/>
          <w:szCs w:val="28"/>
          <w:rtl/>
        </w:rPr>
        <w:tab/>
        <w:t xml:space="preserve">בחינת מדיניות הענישה הנוהגת מעלה, כי הענישה בעבירות הסמים היא מגוונת. </w:t>
      </w:r>
    </w:p>
    <w:p w14:paraId="5CEA46A1" w14:textId="77777777" w:rsidR="00AC7FF0" w:rsidRDefault="00170413">
      <w:pPr>
        <w:spacing w:line="360" w:lineRule="auto"/>
        <w:ind w:left="720"/>
        <w:contextualSpacing/>
        <w:jc w:val="both"/>
        <w:outlineLvl w:val="0"/>
        <w:rPr>
          <w:sz w:val="28"/>
          <w:szCs w:val="28"/>
        </w:rPr>
      </w:pPr>
      <w:r>
        <w:rPr>
          <w:rFonts w:hint="cs"/>
          <w:sz w:val="28"/>
          <w:szCs w:val="28"/>
          <w:rtl/>
        </w:rPr>
        <w:t>כך, למשל, נגזרו על נאשמים העונשים הבאים:</w:t>
      </w:r>
    </w:p>
    <w:p w14:paraId="22A4736B" w14:textId="77777777" w:rsidR="00AC7FF0" w:rsidRDefault="00170413">
      <w:pPr>
        <w:pStyle w:val="ListParagraph"/>
        <w:numPr>
          <w:ilvl w:val="0"/>
          <w:numId w:val="1"/>
        </w:numPr>
        <w:spacing w:line="360" w:lineRule="auto"/>
        <w:jc w:val="both"/>
        <w:rPr>
          <w:rFonts w:cs="David"/>
          <w:sz w:val="28"/>
          <w:szCs w:val="28"/>
          <w:rtl/>
          <w:lang w:eastAsia="he-IL"/>
        </w:rPr>
      </w:pPr>
      <w:r>
        <w:rPr>
          <w:rFonts w:cs="David" w:hint="cs"/>
          <w:sz w:val="28"/>
          <w:szCs w:val="28"/>
          <w:rtl/>
          <w:lang w:eastAsia="he-IL"/>
        </w:rPr>
        <w:t>ב</w:t>
      </w:r>
      <w:hyperlink r:id="rId29" w:history="1">
        <w:r w:rsidRPr="00170413">
          <w:rPr>
            <w:rFonts w:cs="David" w:hint="cs"/>
            <w:color w:val="0000FF"/>
            <w:sz w:val="28"/>
            <w:szCs w:val="28"/>
            <w:u w:val="single"/>
            <w:rtl/>
            <w:lang w:eastAsia="he-IL"/>
          </w:rPr>
          <w:t>ת</w:t>
        </w:r>
        <w:r w:rsidRPr="00170413">
          <w:rPr>
            <w:rFonts w:cs="David"/>
            <w:color w:val="0000FF"/>
            <w:sz w:val="28"/>
            <w:szCs w:val="28"/>
            <w:u w:val="single"/>
            <w:rtl/>
            <w:lang w:eastAsia="he-IL"/>
          </w:rPr>
          <w:t>"</w:t>
        </w:r>
        <w:r w:rsidRPr="00170413">
          <w:rPr>
            <w:rFonts w:cs="David" w:hint="cs"/>
            <w:color w:val="0000FF"/>
            <w:sz w:val="28"/>
            <w:szCs w:val="28"/>
            <w:u w:val="single"/>
            <w:rtl/>
            <w:lang w:eastAsia="he-IL"/>
          </w:rPr>
          <w:t>פ</w:t>
        </w:r>
        <w:r w:rsidRPr="00170413">
          <w:rPr>
            <w:rFonts w:cs="David"/>
            <w:color w:val="0000FF"/>
            <w:sz w:val="28"/>
            <w:szCs w:val="28"/>
            <w:u w:val="single"/>
            <w:rtl/>
            <w:lang w:eastAsia="he-IL"/>
          </w:rPr>
          <w:t xml:space="preserve"> 33804-01-12</w:t>
        </w:r>
      </w:hyperlink>
      <w:r>
        <w:rPr>
          <w:rFonts w:cs="David" w:hint="cs"/>
          <w:sz w:val="28"/>
          <w:szCs w:val="28"/>
          <w:rtl/>
          <w:lang w:eastAsia="he-IL"/>
        </w:rPr>
        <w:t xml:space="preserve"> </w:t>
      </w:r>
      <w:r>
        <w:rPr>
          <w:rFonts w:cs="David" w:hint="cs"/>
          <w:b/>
          <w:bCs/>
          <w:sz w:val="28"/>
          <w:szCs w:val="28"/>
          <w:rtl/>
          <w:lang w:eastAsia="he-IL"/>
        </w:rPr>
        <w:t>מדינת ישראל נ' חביב עזרן ואח'</w:t>
      </w:r>
      <w:r>
        <w:rPr>
          <w:rFonts w:cs="David" w:hint="cs"/>
          <w:sz w:val="28"/>
          <w:szCs w:val="28"/>
          <w:rtl/>
          <w:lang w:eastAsia="he-IL"/>
        </w:rPr>
        <w:t xml:space="preserve"> בימ"ש שלום, 13.11.12)- כב' השופט קובו קבע בגין עבירה בודדת של סחר בסם מסוכן מתחם בין 6 ל-12 חודשי מאסר. כמו כן, בגין עבירה בודדת של החזקת סם מסוכן שלא לצריכה עצמית קבע מתחם בין 9-18 חודשי  מאסר בפועל.</w:t>
      </w:r>
    </w:p>
    <w:p w14:paraId="19EC9D0D" w14:textId="77777777" w:rsidR="00AC7FF0" w:rsidRDefault="00170413">
      <w:pPr>
        <w:pStyle w:val="ListParagraph"/>
        <w:numPr>
          <w:ilvl w:val="0"/>
          <w:numId w:val="1"/>
        </w:numPr>
        <w:spacing w:line="360" w:lineRule="auto"/>
        <w:jc w:val="both"/>
        <w:rPr>
          <w:rFonts w:cs="David"/>
          <w:sz w:val="28"/>
          <w:szCs w:val="28"/>
          <w:lang w:eastAsia="he-IL"/>
        </w:rPr>
      </w:pPr>
      <w:r>
        <w:rPr>
          <w:rFonts w:cs="David" w:hint="cs"/>
          <w:sz w:val="28"/>
          <w:szCs w:val="28"/>
          <w:rtl/>
          <w:lang w:eastAsia="he-IL"/>
        </w:rPr>
        <w:t>ב</w:t>
      </w:r>
      <w:hyperlink r:id="rId30" w:history="1">
        <w:r w:rsidRPr="00170413">
          <w:rPr>
            <w:rFonts w:cs="David" w:hint="cs"/>
            <w:color w:val="0000FF"/>
            <w:sz w:val="28"/>
            <w:szCs w:val="28"/>
            <w:u w:val="single"/>
            <w:rtl/>
            <w:lang w:eastAsia="he-IL"/>
          </w:rPr>
          <w:t>ע</w:t>
        </w:r>
        <w:r w:rsidRPr="00170413">
          <w:rPr>
            <w:rFonts w:cs="David"/>
            <w:color w:val="0000FF"/>
            <w:sz w:val="28"/>
            <w:szCs w:val="28"/>
            <w:u w:val="single"/>
            <w:rtl/>
            <w:lang w:eastAsia="he-IL"/>
          </w:rPr>
          <w:t>"</w:t>
        </w:r>
        <w:r w:rsidRPr="00170413">
          <w:rPr>
            <w:rFonts w:cs="David" w:hint="cs"/>
            <w:color w:val="0000FF"/>
            <w:sz w:val="28"/>
            <w:szCs w:val="28"/>
            <w:u w:val="single"/>
            <w:rtl/>
            <w:lang w:eastAsia="he-IL"/>
          </w:rPr>
          <w:t>פ</w:t>
        </w:r>
        <w:r w:rsidRPr="00170413">
          <w:rPr>
            <w:rFonts w:cs="David"/>
            <w:color w:val="0000FF"/>
            <w:sz w:val="28"/>
            <w:szCs w:val="28"/>
            <w:u w:val="single"/>
            <w:rtl/>
            <w:lang w:eastAsia="he-IL"/>
          </w:rPr>
          <w:t xml:space="preserve"> 7319-08-12</w:t>
        </w:r>
      </w:hyperlink>
      <w:r>
        <w:rPr>
          <w:rFonts w:cs="David" w:hint="cs"/>
          <w:sz w:val="28"/>
          <w:szCs w:val="28"/>
          <w:rtl/>
          <w:lang w:eastAsia="he-IL"/>
        </w:rPr>
        <w:t xml:space="preserve"> </w:t>
      </w:r>
      <w:r>
        <w:rPr>
          <w:rFonts w:cs="David" w:hint="cs"/>
          <w:b/>
          <w:bCs/>
          <w:sz w:val="28"/>
          <w:szCs w:val="28"/>
          <w:rtl/>
          <w:lang w:eastAsia="he-IL"/>
        </w:rPr>
        <w:t>סבח נ' מדינת ישראל</w:t>
      </w:r>
      <w:r>
        <w:rPr>
          <w:rFonts w:cs="David" w:hint="cs"/>
          <w:sz w:val="28"/>
          <w:szCs w:val="28"/>
          <w:rtl/>
          <w:lang w:eastAsia="he-IL"/>
        </w:rPr>
        <w:t xml:space="preserve"> (25.10.12)- נדחה ערעור על חומרת העונש לפיו הוטל על הנאשם 18 חודשי מאסר בפועל בגין שתי עבירות של סחר בחשיש. </w:t>
      </w:r>
    </w:p>
    <w:p w14:paraId="2551B2A6" w14:textId="77777777" w:rsidR="00AC7FF0" w:rsidRDefault="00170413">
      <w:pPr>
        <w:pStyle w:val="ListParagraph"/>
        <w:numPr>
          <w:ilvl w:val="0"/>
          <w:numId w:val="1"/>
        </w:numPr>
        <w:spacing w:line="360" w:lineRule="auto"/>
        <w:jc w:val="both"/>
        <w:rPr>
          <w:rFonts w:cs="David"/>
          <w:sz w:val="28"/>
          <w:szCs w:val="28"/>
          <w:rtl/>
          <w:lang w:eastAsia="he-IL"/>
        </w:rPr>
      </w:pPr>
      <w:r>
        <w:rPr>
          <w:rFonts w:cs="David" w:hint="cs"/>
          <w:sz w:val="28"/>
          <w:szCs w:val="28"/>
          <w:rtl/>
          <w:lang w:eastAsia="he-IL"/>
        </w:rPr>
        <w:t>ב</w:t>
      </w:r>
      <w:hyperlink r:id="rId31" w:history="1">
        <w:r w:rsidRPr="00170413">
          <w:rPr>
            <w:rFonts w:cs="David" w:hint="cs"/>
            <w:color w:val="0000FF"/>
            <w:sz w:val="28"/>
            <w:szCs w:val="28"/>
            <w:u w:val="single"/>
            <w:rtl/>
            <w:lang w:eastAsia="he-IL"/>
          </w:rPr>
          <w:t>ת</w:t>
        </w:r>
        <w:r w:rsidRPr="00170413">
          <w:rPr>
            <w:rFonts w:cs="David"/>
            <w:color w:val="0000FF"/>
            <w:sz w:val="28"/>
            <w:szCs w:val="28"/>
            <w:u w:val="single"/>
            <w:rtl/>
            <w:lang w:eastAsia="he-IL"/>
          </w:rPr>
          <w:t>"</w:t>
        </w:r>
        <w:r w:rsidRPr="00170413">
          <w:rPr>
            <w:rFonts w:cs="David" w:hint="cs"/>
            <w:color w:val="0000FF"/>
            <w:sz w:val="28"/>
            <w:szCs w:val="28"/>
            <w:u w:val="single"/>
            <w:rtl/>
            <w:lang w:eastAsia="he-IL"/>
          </w:rPr>
          <w:t>פ</w:t>
        </w:r>
        <w:r w:rsidRPr="00170413">
          <w:rPr>
            <w:rFonts w:cs="David"/>
            <w:color w:val="0000FF"/>
            <w:sz w:val="28"/>
            <w:szCs w:val="28"/>
            <w:u w:val="single"/>
            <w:rtl/>
            <w:lang w:eastAsia="he-IL"/>
          </w:rPr>
          <w:t xml:space="preserve"> 20876-01-13</w:t>
        </w:r>
      </w:hyperlink>
      <w:r>
        <w:rPr>
          <w:rFonts w:cs="David" w:hint="cs"/>
          <w:sz w:val="28"/>
          <w:szCs w:val="28"/>
          <w:rtl/>
          <w:lang w:eastAsia="he-IL"/>
        </w:rPr>
        <w:t xml:space="preserve"> </w:t>
      </w:r>
      <w:r>
        <w:rPr>
          <w:rFonts w:cs="David" w:hint="cs"/>
          <w:b/>
          <w:bCs/>
          <w:sz w:val="28"/>
          <w:szCs w:val="28"/>
          <w:rtl/>
          <w:lang w:eastAsia="he-IL"/>
        </w:rPr>
        <w:t>מדינת ישראל נ' אבו ג'ודה</w:t>
      </w:r>
      <w:r>
        <w:rPr>
          <w:rFonts w:cs="David" w:hint="cs"/>
          <w:sz w:val="28"/>
          <w:szCs w:val="28"/>
          <w:rtl/>
          <w:lang w:eastAsia="he-IL"/>
        </w:rPr>
        <w:t xml:space="preserve"> (14.4.13) - קבע כב' השופט עדן מתחם בין 6- 24 חודשים בגין עבירות של סחר בסם מסוכן, נהיגה בזמן פסילה וללא פוליסת ביטוח.</w:t>
      </w:r>
    </w:p>
    <w:p w14:paraId="4A3F4340" w14:textId="77777777" w:rsidR="00AC7FF0" w:rsidRDefault="00170413">
      <w:pPr>
        <w:pStyle w:val="ListParagraph"/>
        <w:numPr>
          <w:ilvl w:val="0"/>
          <w:numId w:val="1"/>
        </w:numPr>
        <w:spacing w:line="360" w:lineRule="auto"/>
        <w:jc w:val="both"/>
        <w:rPr>
          <w:rFonts w:cs="David"/>
          <w:sz w:val="28"/>
          <w:szCs w:val="28"/>
          <w:rtl/>
          <w:lang w:eastAsia="he-IL"/>
        </w:rPr>
      </w:pPr>
      <w:r>
        <w:rPr>
          <w:rFonts w:cs="David" w:hint="cs"/>
          <w:sz w:val="28"/>
          <w:szCs w:val="28"/>
          <w:rtl/>
          <w:lang w:eastAsia="he-IL"/>
        </w:rPr>
        <w:t>ב</w:t>
      </w:r>
      <w:r w:rsidRPr="00170413">
        <w:rPr>
          <w:rFonts w:cs="David" w:hint="cs"/>
          <w:color w:val="000000"/>
          <w:sz w:val="28"/>
          <w:szCs w:val="28"/>
          <w:rtl/>
          <w:lang w:eastAsia="he-IL"/>
        </w:rPr>
        <w:t>ת"פ 19968-12-12</w:t>
      </w:r>
      <w:r>
        <w:rPr>
          <w:rFonts w:cs="David" w:hint="cs"/>
          <w:sz w:val="28"/>
          <w:szCs w:val="28"/>
          <w:rtl/>
          <w:lang w:eastAsia="he-IL"/>
        </w:rPr>
        <w:t xml:space="preserve"> </w:t>
      </w:r>
      <w:r>
        <w:rPr>
          <w:rFonts w:cs="David" w:hint="cs"/>
          <w:b/>
          <w:bCs/>
          <w:sz w:val="28"/>
          <w:szCs w:val="28"/>
          <w:rtl/>
          <w:lang w:eastAsia="he-IL"/>
        </w:rPr>
        <w:t>מדינת ישראל נ' סלימאן אלדלעה</w:t>
      </w:r>
      <w:r>
        <w:rPr>
          <w:rFonts w:cs="David" w:hint="cs"/>
          <w:sz w:val="28"/>
          <w:szCs w:val="28"/>
          <w:rtl/>
          <w:lang w:eastAsia="he-IL"/>
        </w:rPr>
        <w:t xml:space="preserve"> (6.6.13) – כב' השופט עדן קבע מתחם בין 6 ל- 9 חודשים וזאת בגין סיוע לסחר בסם מסוכן וסחר בסם מסוכן. </w:t>
      </w:r>
    </w:p>
    <w:p w14:paraId="7803C9E2" w14:textId="77777777" w:rsidR="00AC7FF0" w:rsidRDefault="00170413">
      <w:pPr>
        <w:pStyle w:val="ListParagraph"/>
        <w:numPr>
          <w:ilvl w:val="0"/>
          <w:numId w:val="1"/>
        </w:numPr>
        <w:spacing w:line="360" w:lineRule="auto"/>
        <w:jc w:val="both"/>
        <w:rPr>
          <w:rFonts w:cs="David"/>
          <w:sz w:val="28"/>
          <w:szCs w:val="28"/>
          <w:rtl/>
          <w:lang w:eastAsia="he-IL"/>
        </w:rPr>
      </w:pPr>
      <w:r>
        <w:rPr>
          <w:rFonts w:cs="David" w:hint="cs"/>
          <w:sz w:val="28"/>
          <w:szCs w:val="28"/>
          <w:rtl/>
          <w:lang w:eastAsia="he-IL"/>
        </w:rPr>
        <w:t>ב</w:t>
      </w:r>
      <w:hyperlink r:id="rId32" w:history="1">
        <w:r w:rsidRPr="00170413">
          <w:rPr>
            <w:rFonts w:cs="David" w:hint="cs"/>
            <w:color w:val="0000FF"/>
            <w:sz w:val="28"/>
            <w:szCs w:val="28"/>
            <w:u w:val="single"/>
            <w:rtl/>
            <w:lang w:eastAsia="he-IL"/>
          </w:rPr>
          <w:t>ת</w:t>
        </w:r>
        <w:r w:rsidRPr="00170413">
          <w:rPr>
            <w:rFonts w:cs="David"/>
            <w:color w:val="0000FF"/>
            <w:sz w:val="28"/>
            <w:szCs w:val="28"/>
            <w:u w:val="single"/>
            <w:rtl/>
            <w:lang w:eastAsia="he-IL"/>
          </w:rPr>
          <w:t>"</w:t>
        </w:r>
        <w:r w:rsidRPr="00170413">
          <w:rPr>
            <w:rFonts w:cs="David" w:hint="cs"/>
            <w:color w:val="0000FF"/>
            <w:sz w:val="28"/>
            <w:szCs w:val="28"/>
            <w:u w:val="single"/>
            <w:rtl/>
            <w:lang w:eastAsia="he-IL"/>
          </w:rPr>
          <w:t>פ</w:t>
        </w:r>
        <w:r w:rsidRPr="00170413">
          <w:rPr>
            <w:rFonts w:cs="David"/>
            <w:color w:val="0000FF"/>
            <w:sz w:val="28"/>
            <w:szCs w:val="28"/>
            <w:u w:val="single"/>
            <w:rtl/>
            <w:lang w:eastAsia="he-IL"/>
          </w:rPr>
          <w:t xml:space="preserve"> 4310-12-11</w:t>
        </w:r>
      </w:hyperlink>
      <w:r>
        <w:rPr>
          <w:rFonts w:cs="David" w:hint="cs"/>
          <w:sz w:val="28"/>
          <w:szCs w:val="28"/>
          <w:rtl/>
          <w:lang w:eastAsia="he-IL"/>
        </w:rPr>
        <w:t xml:space="preserve"> </w:t>
      </w:r>
      <w:r>
        <w:rPr>
          <w:rFonts w:cs="David" w:hint="cs"/>
          <w:b/>
          <w:bCs/>
          <w:sz w:val="28"/>
          <w:szCs w:val="28"/>
          <w:rtl/>
          <w:lang w:eastAsia="he-IL"/>
        </w:rPr>
        <w:t>מדינת ישראל נ' חנניה דהן</w:t>
      </w:r>
      <w:r>
        <w:rPr>
          <w:rFonts w:cs="David" w:hint="cs"/>
          <w:sz w:val="28"/>
          <w:szCs w:val="28"/>
          <w:rtl/>
          <w:lang w:eastAsia="he-IL"/>
        </w:rPr>
        <w:t xml:space="preserve">  (4.12.12)- נקבע מתחם בין 6-18 חודשי מאסר בפועל בגין סחר בהרואין והפרעה לשוטר בעת מילוי תפקידו.</w:t>
      </w:r>
    </w:p>
    <w:p w14:paraId="4464E8EC" w14:textId="77777777" w:rsidR="00AC7FF0" w:rsidRDefault="00170413">
      <w:pPr>
        <w:spacing w:line="360" w:lineRule="auto"/>
        <w:ind w:left="720" w:hanging="720"/>
        <w:contextualSpacing/>
        <w:jc w:val="both"/>
        <w:rPr>
          <w:rFonts w:ascii="Calibri" w:eastAsia="Calibri" w:hAnsi="Calibri"/>
          <w:sz w:val="28"/>
          <w:szCs w:val="28"/>
          <w:rtl/>
        </w:rPr>
      </w:pPr>
      <w:r>
        <w:rPr>
          <w:rFonts w:ascii="Calibri" w:eastAsia="Calibri" w:hAnsi="Calibri" w:hint="cs"/>
          <w:sz w:val="28"/>
          <w:szCs w:val="28"/>
          <w:rtl/>
        </w:rPr>
        <w:t>3.</w:t>
      </w:r>
      <w:r>
        <w:rPr>
          <w:rFonts w:ascii="Calibri" w:eastAsia="Calibri" w:hAnsi="Calibri" w:hint="cs"/>
          <w:sz w:val="28"/>
          <w:szCs w:val="28"/>
          <w:rtl/>
        </w:rPr>
        <w:tab/>
        <w:t>לצד הענישה המחמירה, המתחייבת משיקולים של גמול והוקעת המעשים, מטעמים של הגנה על ביטחון הציבור, וכן מהצורך בהרתעה אפקטיבית אינדיבידואלית וכללית, והגם שככלל, בעבירות הסמים האינטרס הציבורי שבהחמרה בענישה גובר על השיקולים הנובעים מנסיבותיו האישיות של הנאשם, ועל שיקולים של טיפול ושיקום, במקרים המתאימים יגבר הפן השיקומי על פני שיקול ההרתעה.</w:t>
      </w:r>
    </w:p>
    <w:p w14:paraId="6E488F75" w14:textId="77777777" w:rsidR="00AC7FF0" w:rsidRDefault="00AC7FF0">
      <w:pPr>
        <w:spacing w:line="360" w:lineRule="auto"/>
        <w:ind w:left="720"/>
        <w:contextualSpacing/>
        <w:jc w:val="both"/>
        <w:rPr>
          <w:rFonts w:ascii="David" w:eastAsia="Calibri" w:hAnsi="David"/>
          <w:sz w:val="28"/>
          <w:szCs w:val="28"/>
          <w:highlight w:val="yellow"/>
        </w:rPr>
      </w:pPr>
    </w:p>
    <w:p w14:paraId="70B460A8" w14:textId="77777777" w:rsidR="00AC7FF0" w:rsidRDefault="00170413">
      <w:pPr>
        <w:spacing w:line="360" w:lineRule="auto"/>
        <w:ind w:left="720" w:hanging="720"/>
        <w:contextualSpacing/>
        <w:jc w:val="both"/>
        <w:rPr>
          <w:rFonts w:ascii="David" w:eastAsia="Calibri" w:hAnsi="David"/>
          <w:sz w:val="28"/>
          <w:szCs w:val="28"/>
        </w:rPr>
      </w:pPr>
      <w:r>
        <w:rPr>
          <w:rFonts w:ascii="David" w:eastAsia="Calibri" w:hAnsi="David" w:hint="cs"/>
          <w:sz w:val="28"/>
          <w:szCs w:val="28"/>
          <w:rtl/>
        </w:rPr>
        <w:t>4.</w:t>
      </w:r>
      <w:r>
        <w:rPr>
          <w:rFonts w:ascii="David" w:eastAsia="Calibri" w:hAnsi="David" w:hint="cs"/>
          <w:sz w:val="28"/>
          <w:szCs w:val="28"/>
          <w:rtl/>
        </w:rPr>
        <w:tab/>
        <w:t xml:space="preserve">עם זאת, הגם ששיקולי שיקום הם בעלי מעמד חשוב באיזון שבין שיקולי הענישה, הגמול וההרתעה, והם עשויים אף לגבור על האחרונים, הרי שההתחשבות בשיקולים אלה נתונה לשיקול דעתו של בית המשפט. </w:t>
      </w:r>
    </w:p>
    <w:p w14:paraId="52ECEF43" w14:textId="77777777" w:rsidR="00AC7FF0" w:rsidRDefault="00AC7FF0">
      <w:pPr>
        <w:spacing w:line="360" w:lineRule="auto"/>
        <w:ind w:left="720"/>
        <w:contextualSpacing/>
        <w:jc w:val="both"/>
        <w:rPr>
          <w:rFonts w:ascii="David" w:eastAsia="Calibri" w:hAnsi="David"/>
          <w:sz w:val="28"/>
          <w:szCs w:val="28"/>
          <w:rtl/>
        </w:rPr>
      </w:pPr>
    </w:p>
    <w:p w14:paraId="66A3BC46" w14:textId="77777777" w:rsidR="00AC7FF0" w:rsidRDefault="00170413">
      <w:pPr>
        <w:spacing w:line="360" w:lineRule="auto"/>
        <w:ind w:left="720"/>
        <w:contextualSpacing/>
        <w:jc w:val="both"/>
        <w:rPr>
          <w:rFonts w:ascii="David" w:eastAsia="Calibri" w:hAnsi="David"/>
          <w:sz w:val="28"/>
          <w:szCs w:val="28"/>
          <w:rtl/>
        </w:rPr>
      </w:pPr>
      <w:r>
        <w:rPr>
          <w:rFonts w:ascii="David" w:eastAsia="Calibri" w:hAnsi="David" w:hint="cs"/>
          <w:sz w:val="28"/>
          <w:szCs w:val="28"/>
          <w:rtl/>
        </w:rPr>
        <w:t>זה לא מכבר התייחס לכך כב' השופט מלצר ב</w:t>
      </w:r>
      <w:hyperlink r:id="rId33" w:history="1">
        <w:r w:rsidRPr="00170413">
          <w:rPr>
            <w:rFonts w:ascii="David" w:eastAsia="Calibri" w:hAnsi="David"/>
            <w:color w:val="0000FF"/>
            <w:sz w:val="28"/>
            <w:szCs w:val="28"/>
            <w:u w:val="single"/>
            <w:rtl/>
          </w:rPr>
          <w:t>רע"פ 262/14</w:t>
        </w:r>
      </w:hyperlink>
      <w:r>
        <w:rPr>
          <w:rFonts w:ascii="David" w:eastAsia="Calibri" w:hAnsi="David" w:hint="cs"/>
          <w:sz w:val="28"/>
          <w:szCs w:val="28"/>
          <w:rtl/>
        </w:rPr>
        <w:t xml:space="preserve"> </w:t>
      </w:r>
      <w:r>
        <w:rPr>
          <w:rFonts w:ascii="David" w:eastAsia="Calibri" w:hAnsi="David" w:hint="cs"/>
          <w:b/>
          <w:bCs/>
          <w:sz w:val="28"/>
          <w:szCs w:val="28"/>
          <w:rtl/>
        </w:rPr>
        <w:t>מוחמד נאשף נ' מדינת ישראל</w:t>
      </w:r>
      <w:r>
        <w:rPr>
          <w:rFonts w:ascii="David" w:eastAsia="Calibri" w:hAnsi="David" w:hint="cs"/>
          <w:sz w:val="28"/>
          <w:szCs w:val="28"/>
          <w:rtl/>
        </w:rPr>
        <w:t xml:space="preserve"> </w:t>
      </w:r>
      <w:r>
        <w:rPr>
          <w:rFonts w:eastAsia="Calibri" w:hint="cs"/>
          <w:sz w:val="28"/>
          <w:szCs w:val="28"/>
          <w:rtl/>
        </w:rPr>
        <w:t xml:space="preserve">[פורסם בנבו] </w:t>
      </w:r>
      <w:r>
        <w:rPr>
          <w:rFonts w:ascii="David" w:eastAsia="Calibri" w:hAnsi="David" w:hint="cs"/>
          <w:sz w:val="28"/>
          <w:szCs w:val="28"/>
          <w:rtl/>
        </w:rPr>
        <w:t xml:space="preserve">(ניתן ביום 22.1.14), כאשר קבע כי </w:t>
      </w:r>
    </w:p>
    <w:p w14:paraId="327AA897" w14:textId="77777777" w:rsidR="00AC7FF0" w:rsidRDefault="00AC7FF0">
      <w:pPr>
        <w:spacing w:line="360" w:lineRule="auto"/>
        <w:ind w:left="720"/>
        <w:contextualSpacing/>
        <w:jc w:val="both"/>
        <w:rPr>
          <w:rFonts w:ascii="David" w:eastAsia="Calibri" w:hAnsi="David"/>
          <w:sz w:val="28"/>
          <w:szCs w:val="28"/>
          <w:rtl/>
        </w:rPr>
      </w:pPr>
    </w:p>
    <w:p w14:paraId="26A2768F" w14:textId="77777777" w:rsidR="00AC7FF0" w:rsidRDefault="00170413">
      <w:pPr>
        <w:tabs>
          <w:tab w:val="left" w:pos="800"/>
        </w:tabs>
        <w:overflowPunct w:val="0"/>
        <w:autoSpaceDE w:val="0"/>
        <w:autoSpaceDN w:val="0"/>
        <w:adjustRightInd w:val="0"/>
        <w:spacing w:line="360" w:lineRule="auto"/>
        <w:ind w:left="1644" w:right="1758"/>
        <w:jc w:val="both"/>
        <w:rPr>
          <w:b/>
          <w:bCs/>
          <w:spacing w:val="10"/>
          <w:sz w:val="28"/>
          <w:szCs w:val="28"/>
          <w:rtl/>
        </w:rPr>
      </w:pPr>
      <w:r>
        <w:rPr>
          <w:rFonts w:hint="cs"/>
          <w:sz w:val="28"/>
          <w:szCs w:val="28"/>
          <w:rtl/>
        </w:rPr>
        <w:t xml:space="preserve"> "</w:t>
      </w:r>
      <w:r>
        <w:rPr>
          <w:rFonts w:hint="cs"/>
          <w:b/>
          <w:bCs/>
          <w:spacing w:val="10"/>
          <w:sz w:val="28"/>
          <w:szCs w:val="28"/>
          <w:rtl/>
        </w:rPr>
        <w:t>במקרים שבהם נרתם הנאשם להליך שיקומי, או מראה נכונות כנה לעשות כן – עשויים שיקולי השיקום אף לגבור על שיקולי ההרתעה והגמול (ראו: דברי חברי, השופט א' שהם, ב-</w:t>
      </w:r>
      <w:hyperlink r:id="rId34" w:history="1">
        <w:r w:rsidRPr="00170413">
          <w:rPr>
            <w:b/>
            <w:bCs/>
            <w:color w:val="0000FF"/>
            <w:spacing w:val="10"/>
            <w:sz w:val="28"/>
            <w:szCs w:val="28"/>
            <w:u w:val="single"/>
            <w:rtl/>
          </w:rPr>
          <w:t>רע"פ 3711/13</w:t>
        </w:r>
      </w:hyperlink>
      <w:r>
        <w:rPr>
          <w:rFonts w:hint="cs"/>
          <w:b/>
          <w:bCs/>
          <w:spacing w:val="10"/>
          <w:sz w:val="28"/>
          <w:szCs w:val="28"/>
          <w:rtl/>
        </w:rPr>
        <w:t xml:space="preserve"> הושיאר נ' מדינת ישראל [פורסם בנבו] (16.7.2013) (להלן: עניין הושיאר)). ואולם, ההתחשבות בשיקולים אלה נתונה לשיקול דעתו של בית המשפט והיא איננה בגדר חובה, גם לאחר תיקון 113 ל</w:t>
      </w:r>
      <w:hyperlink r:id="rId35" w:history="1">
        <w:r w:rsidRPr="00170413">
          <w:rPr>
            <w:b/>
            <w:bCs/>
            <w:color w:val="0000FF"/>
            <w:spacing w:val="10"/>
            <w:sz w:val="28"/>
            <w:szCs w:val="28"/>
            <w:u w:val="single"/>
            <w:rtl/>
          </w:rPr>
          <w:t>חוק העונשין</w:t>
        </w:r>
      </w:hyperlink>
      <w:r>
        <w:rPr>
          <w:rFonts w:hint="cs"/>
          <w:b/>
          <w:bCs/>
          <w:spacing w:val="10"/>
          <w:sz w:val="28"/>
          <w:szCs w:val="28"/>
          <w:rtl/>
        </w:rPr>
        <w:t xml:space="preserve"> (ראו למשל: עניין הושיאר, בפיסקה 8 והאסמכתא המובאת שם). לתסקיר שירות המבחן בעניין זה (כמו בעניינים אחרים) "משקל של המלצה בלבד" (עיינו: </w:t>
      </w:r>
      <w:hyperlink r:id="rId36" w:history="1">
        <w:r w:rsidRPr="00170413">
          <w:rPr>
            <w:b/>
            <w:bCs/>
            <w:color w:val="0000FF"/>
            <w:spacing w:val="10"/>
            <w:sz w:val="28"/>
            <w:szCs w:val="28"/>
            <w:u w:val="single"/>
            <w:rtl/>
          </w:rPr>
          <w:t>רע"פ 8176/12</w:t>
        </w:r>
      </w:hyperlink>
      <w:r>
        <w:rPr>
          <w:rFonts w:hint="cs"/>
          <w:b/>
          <w:bCs/>
          <w:spacing w:val="10"/>
          <w:sz w:val="28"/>
          <w:szCs w:val="28"/>
          <w:rtl/>
        </w:rPr>
        <w:t xml:space="preserve"> ראהב נ' מדינת ישראל, [פורסם בנבו] בפיסקה 10 (15.11.2012</w:t>
      </w:r>
      <w:r>
        <w:rPr>
          <w:b/>
          <w:bCs/>
          <w:spacing w:val="10"/>
          <w:sz w:val="28"/>
          <w:szCs w:val="28"/>
        </w:rPr>
        <w:t>(</w:t>
      </w:r>
      <w:r>
        <w:rPr>
          <w:rFonts w:hint="cs"/>
          <w:b/>
          <w:bCs/>
          <w:spacing w:val="10"/>
          <w:sz w:val="28"/>
          <w:szCs w:val="28"/>
          <w:rtl/>
        </w:rPr>
        <w:t xml:space="preserve">).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 (ראו: </w:t>
      </w:r>
      <w:hyperlink r:id="rId37" w:history="1">
        <w:r w:rsidRPr="00170413">
          <w:rPr>
            <w:b/>
            <w:bCs/>
            <w:color w:val="0000FF"/>
            <w:spacing w:val="10"/>
            <w:sz w:val="28"/>
            <w:szCs w:val="28"/>
            <w:u w:val="single"/>
            <w:rtl/>
          </w:rPr>
          <w:t>רע"פ 8665/12</w:t>
        </w:r>
      </w:hyperlink>
      <w:r>
        <w:rPr>
          <w:rFonts w:hint="cs"/>
          <w:b/>
          <w:bCs/>
          <w:spacing w:val="10"/>
          <w:sz w:val="28"/>
          <w:szCs w:val="28"/>
          <w:rtl/>
        </w:rPr>
        <w:t xml:space="preserve"> </w:t>
      </w:r>
      <w:r>
        <w:rPr>
          <w:rFonts w:hint="cs"/>
          <w:b/>
          <w:bCs/>
          <w:sz w:val="28"/>
          <w:szCs w:val="28"/>
          <w:rtl/>
        </w:rPr>
        <w:t xml:space="preserve">ברהנה נ' מדינת ישראל [פורסם בנבו] </w:t>
      </w:r>
      <w:r>
        <w:rPr>
          <w:rFonts w:hint="cs"/>
          <w:b/>
          <w:bCs/>
          <w:spacing w:val="10"/>
          <w:sz w:val="28"/>
          <w:szCs w:val="28"/>
          <w:rtl/>
        </w:rPr>
        <w:t xml:space="preserve">(2.5.2013)) – ואילו השמתו של הנידון מאחורי סורג ובריח עלולה לאיין את ההליך השיקומי, או לפגוע בו באופן ניכר". </w:t>
      </w:r>
    </w:p>
    <w:p w14:paraId="41AB0D49" w14:textId="77777777" w:rsidR="00AC7FF0" w:rsidRDefault="00AC7FF0">
      <w:pPr>
        <w:tabs>
          <w:tab w:val="left" w:pos="800"/>
        </w:tabs>
        <w:overflowPunct w:val="0"/>
        <w:autoSpaceDE w:val="0"/>
        <w:autoSpaceDN w:val="0"/>
        <w:adjustRightInd w:val="0"/>
        <w:spacing w:line="360" w:lineRule="auto"/>
        <w:jc w:val="both"/>
        <w:rPr>
          <w:rFonts w:ascii="Arial TUR" w:eastAsia="Calibri" w:hAnsi="Arial TUR" w:cs="Arial"/>
          <w:spacing w:val="10"/>
          <w:sz w:val="28"/>
          <w:szCs w:val="28"/>
        </w:rPr>
      </w:pPr>
    </w:p>
    <w:p w14:paraId="5A299258" w14:textId="77777777" w:rsidR="00AC7FF0" w:rsidRDefault="00170413">
      <w:pPr>
        <w:tabs>
          <w:tab w:val="left" w:pos="800"/>
        </w:tabs>
        <w:overflowPunct w:val="0"/>
        <w:autoSpaceDE w:val="0"/>
        <w:autoSpaceDN w:val="0"/>
        <w:adjustRightInd w:val="0"/>
        <w:spacing w:line="360" w:lineRule="auto"/>
        <w:ind w:left="800" w:hanging="800"/>
        <w:jc w:val="both"/>
        <w:rPr>
          <w:rFonts w:ascii="David" w:hAnsi="David"/>
          <w:spacing w:val="10"/>
          <w:sz w:val="28"/>
          <w:szCs w:val="28"/>
          <w:rtl/>
        </w:rPr>
      </w:pPr>
      <w:r>
        <w:rPr>
          <w:rFonts w:ascii="Calibri" w:hAnsi="Calibri" w:hint="cs"/>
          <w:sz w:val="28"/>
          <w:szCs w:val="28"/>
          <w:rtl/>
        </w:rPr>
        <w:t>5.</w:t>
      </w:r>
      <w:r>
        <w:rPr>
          <w:rFonts w:ascii="Calibri" w:hAnsi="Calibri" w:hint="cs"/>
          <w:sz w:val="28"/>
          <w:szCs w:val="28"/>
          <w:rtl/>
        </w:rPr>
        <w:tab/>
        <w:t xml:space="preserve">על פי </w:t>
      </w:r>
      <w:r w:rsidRPr="00170413">
        <w:rPr>
          <w:rFonts w:ascii="Calibri" w:hAnsi="Calibri" w:hint="cs"/>
          <w:color w:val="000000"/>
          <w:sz w:val="28"/>
          <w:szCs w:val="28"/>
          <w:rtl/>
        </w:rPr>
        <w:t xml:space="preserve">סעיף </w:t>
      </w:r>
      <w:hyperlink r:id="rId38" w:history="1">
        <w:r w:rsidR="00641F5B" w:rsidRPr="00641F5B">
          <w:rPr>
            <w:rFonts w:ascii="Calibri" w:hAnsi="Calibri"/>
            <w:color w:val="0000FF"/>
            <w:sz w:val="28"/>
            <w:szCs w:val="28"/>
            <w:u w:val="single"/>
            <w:rtl/>
          </w:rPr>
          <w:t xml:space="preserve">40 </w:t>
        </w:r>
        <w:r w:rsidR="00641F5B" w:rsidRPr="00641F5B">
          <w:rPr>
            <w:rFonts w:ascii="Calibri" w:hAnsi="Calibri" w:hint="eastAsia"/>
            <w:color w:val="0000FF"/>
            <w:sz w:val="28"/>
            <w:szCs w:val="28"/>
            <w:u w:val="single"/>
            <w:rtl/>
          </w:rPr>
          <w:t>ט</w:t>
        </w:r>
        <w:r w:rsidR="00641F5B" w:rsidRPr="00641F5B">
          <w:rPr>
            <w:rFonts w:ascii="Calibri" w:hAnsi="Calibri"/>
            <w:color w:val="0000FF"/>
            <w:sz w:val="28"/>
            <w:szCs w:val="28"/>
            <w:u w:val="single"/>
            <w:rtl/>
          </w:rPr>
          <w:t>'</w:t>
        </w:r>
      </w:hyperlink>
      <w:r>
        <w:rPr>
          <w:rFonts w:ascii="Calibri" w:hAnsi="Calibri" w:hint="cs"/>
          <w:sz w:val="28"/>
          <w:szCs w:val="28"/>
          <w:rtl/>
        </w:rPr>
        <w:t xml:space="preserve"> לחוק, במסגרת הנסיבות הקשורות בביצוע העבירה יש לשקול את השיקולים הבאים:</w:t>
      </w:r>
    </w:p>
    <w:p w14:paraId="07E0183B" w14:textId="77777777" w:rsidR="00AC7FF0" w:rsidRDefault="00170413">
      <w:pPr>
        <w:numPr>
          <w:ilvl w:val="0"/>
          <w:numId w:val="2"/>
        </w:numPr>
        <w:spacing w:line="360" w:lineRule="auto"/>
        <w:contextualSpacing/>
        <w:jc w:val="both"/>
        <w:rPr>
          <w:rFonts w:ascii="David" w:eastAsia="Calibri" w:hAnsi="David"/>
          <w:sz w:val="28"/>
          <w:szCs w:val="28"/>
        </w:rPr>
      </w:pPr>
      <w:r>
        <w:rPr>
          <w:rFonts w:ascii="David" w:eastAsia="Calibri" w:hAnsi="David" w:hint="cs"/>
          <w:b/>
          <w:bCs/>
          <w:sz w:val="28"/>
          <w:szCs w:val="28"/>
          <w:rtl/>
        </w:rPr>
        <w:t>התכנון שקדם לביצוע העבירה</w:t>
      </w:r>
      <w:r>
        <w:rPr>
          <w:rFonts w:ascii="David" w:eastAsia="Calibri" w:hAnsi="David" w:hint="cs"/>
          <w:sz w:val="28"/>
          <w:szCs w:val="28"/>
          <w:rtl/>
        </w:rPr>
        <w:t xml:space="preserve">: למעשיו של הנאשם קדם תכנון. מהאישום הראשון עולה כי הנאשם הזמין מהולנד </w:t>
      </w:r>
      <w:r>
        <w:rPr>
          <w:rFonts w:ascii="Calibri" w:eastAsia="Calibri" w:hAnsi="Calibri"/>
          <w:sz w:val="28"/>
          <w:szCs w:val="28"/>
        </w:rPr>
        <w:t>DMT</w:t>
      </w:r>
      <w:r>
        <w:rPr>
          <w:rFonts w:ascii="David" w:eastAsia="Calibri" w:hAnsi="David" w:hint="cs"/>
          <w:sz w:val="28"/>
          <w:szCs w:val="28"/>
          <w:rtl/>
        </w:rPr>
        <w:t xml:space="preserve"> באמצעות אינטרנט, ושילם בכרטיס אשראי. מהאישום השני עולה כי הנאשם נפגש עם אסף במספר הזדמנויות ורכש ממנו קנבוס, ובהמשך מכר אותו לאחרים.   </w:t>
      </w:r>
    </w:p>
    <w:p w14:paraId="3B0E563E" w14:textId="77777777" w:rsidR="00AC7FF0" w:rsidRDefault="00170413">
      <w:pPr>
        <w:numPr>
          <w:ilvl w:val="0"/>
          <w:numId w:val="2"/>
        </w:numPr>
        <w:spacing w:line="360" w:lineRule="auto"/>
        <w:contextualSpacing/>
        <w:jc w:val="both"/>
        <w:rPr>
          <w:rFonts w:ascii="David" w:eastAsia="Calibri" w:hAnsi="David"/>
          <w:sz w:val="28"/>
          <w:szCs w:val="28"/>
        </w:rPr>
      </w:pPr>
      <w:r>
        <w:rPr>
          <w:rFonts w:ascii="David" w:eastAsia="Calibri" w:hAnsi="David" w:hint="cs"/>
          <w:b/>
          <w:bCs/>
          <w:sz w:val="28"/>
          <w:szCs w:val="28"/>
          <w:rtl/>
        </w:rPr>
        <w:t>הנזק שנגרם או היה צפוי להיגרם כתוצאה מהעבירה</w:t>
      </w:r>
      <w:r>
        <w:rPr>
          <w:rFonts w:ascii="David" w:eastAsia="Calibri" w:hAnsi="David" w:hint="cs"/>
          <w:sz w:val="28"/>
          <w:szCs w:val="28"/>
          <w:rtl/>
        </w:rPr>
        <w:t xml:space="preserve">: בחוות הדעת הנוגעת לסם </w:t>
      </w:r>
      <w:r>
        <w:rPr>
          <w:rFonts w:ascii="Calibri" w:eastAsia="Calibri" w:hAnsi="Calibri"/>
          <w:sz w:val="28"/>
          <w:szCs w:val="28"/>
        </w:rPr>
        <w:t>DMT</w:t>
      </w:r>
      <w:r>
        <w:rPr>
          <w:rFonts w:ascii="Calibri" w:eastAsia="Calibri" w:hAnsi="Calibri" w:hint="cs"/>
          <w:sz w:val="28"/>
          <w:szCs w:val="28"/>
          <w:rtl/>
        </w:rPr>
        <w:t xml:space="preserve"> נושא האישום הראשון מפורטים הנזקים שצפויים לבריאותו של המשתמש בהם אך מדובר בסם חדש, שדרך הפקתו קשה ואין ראייה שהנאשם הפיק אותו ומכר אותו. כך גם אין ראייה שהנאשם מכר את ה- </w:t>
      </w:r>
      <w:r>
        <w:rPr>
          <w:rFonts w:ascii="Calibri" w:eastAsia="Calibri" w:hAnsi="Calibri"/>
          <w:sz w:val="28"/>
          <w:szCs w:val="28"/>
        </w:rPr>
        <w:t>LSD</w:t>
      </w:r>
      <w:r>
        <w:rPr>
          <w:rFonts w:ascii="Calibri" w:eastAsia="Calibri" w:hAnsi="Calibri" w:hint="cs"/>
          <w:sz w:val="28"/>
          <w:szCs w:val="28"/>
          <w:rtl/>
        </w:rPr>
        <w:t xml:space="preserve"> נושא עובדה 2 באישום השני ואת הקנבוס נושא עובדה 3 לאישום השני. </w:t>
      </w:r>
    </w:p>
    <w:p w14:paraId="300F54F4" w14:textId="77777777" w:rsidR="00AC7FF0" w:rsidRDefault="00170413">
      <w:pPr>
        <w:spacing w:line="360" w:lineRule="auto"/>
        <w:ind w:left="1080"/>
        <w:contextualSpacing/>
        <w:jc w:val="both"/>
        <w:rPr>
          <w:rFonts w:ascii="David" w:eastAsia="Calibri" w:hAnsi="David"/>
          <w:sz w:val="28"/>
          <w:szCs w:val="28"/>
        </w:rPr>
      </w:pPr>
      <w:r>
        <w:rPr>
          <w:rFonts w:hint="cs"/>
          <w:sz w:val="28"/>
          <w:szCs w:val="28"/>
          <w:rtl/>
        </w:rPr>
        <w:t>לעבירות הסמים יכולת השפעה הרסנית לא רק על מי שצורך אותם כי אם גם על הסובבים אותו ועל החברה כולה.</w:t>
      </w:r>
    </w:p>
    <w:p w14:paraId="573AD29B" w14:textId="77777777" w:rsidR="00AC7FF0" w:rsidRDefault="00170413">
      <w:pPr>
        <w:numPr>
          <w:ilvl w:val="0"/>
          <w:numId w:val="2"/>
        </w:numPr>
        <w:spacing w:line="360" w:lineRule="auto"/>
        <w:contextualSpacing/>
        <w:jc w:val="both"/>
        <w:rPr>
          <w:rFonts w:ascii="David" w:eastAsia="Calibri" w:hAnsi="David"/>
          <w:sz w:val="28"/>
          <w:szCs w:val="28"/>
        </w:rPr>
      </w:pPr>
      <w:r>
        <w:rPr>
          <w:rFonts w:ascii="David" w:eastAsia="Calibri" w:hAnsi="David" w:hint="cs"/>
          <w:b/>
          <w:bCs/>
          <w:sz w:val="28"/>
          <w:szCs w:val="28"/>
          <w:rtl/>
        </w:rPr>
        <w:t>הסיבות שהביאו את הנאשם לבצע את העבירה</w:t>
      </w:r>
      <w:r>
        <w:rPr>
          <w:rFonts w:ascii="David" w:eastAsia="Calibri" w:hAnsi="David" w:hint="cs"/>
          <w:sz w:val="28"/>
          <w:szCs w:val="28"/>
          <w:rtl/>
        </w:rPr>
        <w:t>: מדבריהם של הורי הנאשם, מתסקיר שירות המבחן ומדברי העו"ס טלי עדן עולה</w:t>
      </w:r>
      <w:r>
        <w:rPr>
          <w:rFonts w:ascii="Calibri" w:eastAsia="Calibri" w:hAnsi="Calibri" w:hint="cs"/>
          <w:sz w:val="28"/>
          <w:szCs w:val="28"/>
          <w:rtl/>
        </w:rPr>
        <w:t xml:space="preserve"> כי הנאשם פעל מתוך מניע רגשי, בעקבות הגירושים שעבר. כמו כן, צויין כי לנאשם לא היה כל מניע רווחי במעשיו והוא מכר את הקנבוס נושא העובדה 1 באישום השני כדי לממן את קניית הסמים שצרך. </w:t>
      </w:r>
    </w:p>
    <w:p w14:paraId="06AE6678" w14:textId="77777777" w:rsidR="00AC7FF0" w:rsidRDefault="00AC7FF0">
      <w:pPr>
        <w:spacing w:line="360" w:lineRule="auto"/>
        <w:ind w:left="1080"/>
        <w:contextualSpacing/>
        <w:jc w:val="both"/>
        <w:rPr>
          <w:rFonts w:ascii="David" w:eastAsia="Calibri" w:hAnsi="David"/>
          <w:sz w:val="28"/>
          <w:szCs w:val="28"/>
        </w:rPr>
      </w:pPr>
    </w:p>
    <w:p w14:paraId="6B9DBB1E" w14:textId="77777777" w:rsidR="00AC7FF0" w:rsidRDefault="00170413">
      <w:pPr>
        <w:spacing w:line="360" w:lineRule="auto"/>
        <w:ind w:left="720" w:hanging="720"/>
        <w:contextualSpacing/>
        <w:jc w:val="both"/>
        <w:rPr>
          <w:rFonts w:ascii="David" w:eastAsia="Calibri" w:hAnsi="David"/>
          <w:sz w:val="28"/>
          <w:szCs w:val="28"/>
        </w:rPr>
      </w:pPr>
      <w:r>
        <w:rPr>
          <w:rFonts w:hint="cs"/>
          <w:sz w:val="28"/>
          <w:szCs w:val="28"/>
          <w:rtl/>
        </w:rPr>
        <w:t>6.</w:t>
      </w:r>
      <w:r>
        <w:rPr>
          <w:rFonts w:hint="cs"/>
          <w:sz w:val="28"/>
          <w:szCs w:val="28"/>
          <w:rtl/>
        </w:rPr>
        <w:tab/>
        <w:t xml:space="preserve">אני מקבל את מתחם הענישה שהציעה המאשימה לעבירת ייבוא ה- </w:t>
      </w:r>
      <w:r>
        <w:rPr>
          <w:sz w:val="28"/>
          <w:szCs w:val="28"/>
        </w:rPr>
        <w:t xml:space="preserve">DMT </w:t>
      </w:r>
      <w:r>
        <w:rPr>
          <w:rFonts w:hint="cs"/>
          <w:sz w:val="28"/>
          <w:szCs w:val="28"/>
          <w:rtl/>
        </w:rPr>
        <w:t xml:space="preserve">, מתחם שנע בין עבודות שירות למאסר קצר בפועל. </w:t>
      </w:r>
    </w:p>
    <w:p w14:paraId="1D207093" w14:textId="77777777" w:rsidR="00AC7FF0" w:rsidRDefault="00AC7FF0">
      <w:pPr>
        <w:spacing w:line="360" w:lineRule="auto"/>
        <w:ind w:left="720"/>
        <w:contextualSpacing/>
        <w:jc w:val="both"/>
        <w:rPr>
          <w:rFonts w:ascii="Calibri" w:eastAsia="Calibri" w:hAnsi="Calibri"/>
          <w:sz w:val="28"/>
          <w:szCs w:val="28"/>
        </w:rPr>
      </w:pPr>
    </w:p>
    <w:p w14:paraId="008B88DB" w14:textId="77777777" w:rsidR="00AC7FF0" w:rsidRDefault="00170413">
      <w:pPr>
        <w:spacing w:line="360" w:lineRule="auto"/>
        <w:ind w:left="720"/>
        <w:contextualSpacing/>
        <w:jc w:val="both"/>
        <w:rPr>
          <w:rFonts w:ascii="David" w:hAnsi="David"/>
          <w:sz w:val="28"/>
          <w:szCs w:val="28"/>
          <w:rtl/>
        </w:rPr>
      </w:pPr>
      <w:r>
        <w:rPr>
          <w:rFonts w:hint="cs"/>
          <w:sz w:val="28"/>
          <w:szCs w:val="28"/>
          <w:rtl/>
        </w:rPr>
        <w:t xml:space="preserve">באשר למתחם הענישה בקשר לסחר בקנבוס – אני קובע כי מתחם הענישה ההולם נע בין </w:t>
      </w:r>
      <w:r>
        <w:rPr>
          <w:rFonts w:ascii="David" w:hAnsi="David" w:hint="cs"/>
          <w:sz w:val="28"/>
          <w:szCs w:val="28"/>
          <w:rtl/>
        </w:rPr>
        <w:t xml:space="preserve">9 לבין 18 חודשי מאסר בפועל. </w:t>
      </w:r>
    </w:p>
    <w:p w14:paraId="040DD7AF" w14:textId="77777777" w:rsidR="00AC7FF0" w:rsidRDefault="00170413">
      <w:pPr>
        <w:spacing w:line="360" w:lineRule="auto"/>
        <w:ind w:left="720"/>
        <w:contextualSpacing/>
        <w:jc w:val="both"/>
        <w:rPr>
          <w:rFonts w:ascii="David" w:eastAsia="Calibri" w:hAnsi="David"/>
          <w:sz w:val="28"/>
          <w:szCs w:val="28"/>
          <w:rtl/>
        </w:rPr>
      </w:pPr>
      <w:r>
        <w:rPr>
          <w:rFonts w:ascii="David" w:hAnsi="David" w:hint="cs"/>
          <w:sz w:val="28"/>
          <w:szCs w:val="28"/>
          <w:rtl/>
        </w:rPr>
        <w:t>באשר למתחם הענישה בקשר להחזקת הקנבוס וה-</w:t>
      </w:r>
      <w:r>
        <w:rPr>
          <w:rFonts w:ascii="Calibri" w:hAnsi="Calibri"/>
          <w:sz w:val="28"/>
          <w:szCs w:val="28"/>
        </w:rPr>
        <w:t xml:space="preserve">LSD </w:t>
      </w:r>
      <w:r>
        <w:rPr>
          <w:rFonts w:ascii="David" w:hAnsi="David" w:hint="cs"/>
          <w:sz w:val="28"/>
          <w:szCs w:val="28"/>
          <w:rtl/>
        </w:rPr>
        <w:t xml:space="preserve"> שלא לצריכה עצמית </w:t>
      </w:r>
      <w:r>
        <w:rPr>
          <w:rFonts w:hint="cs"/>
          <w:sz w:val="28"/>
          <w:szCs w:val="28"/>
          <w:rtl/>
        </w:rPr>
        <w:t>–</w:t>
      </w:r>
      <w:r>
        <w:rPr>
          <w:rFonts w:ascii="David" w:hAnsi="David" w:hint="cs"/>
          <w:sz w:val="28"/>
          <w:szCs w:val="28"/>
          <w:rtl/>
        </w:rPr>
        <w:t xml:space="preserve"> </w:t>
      </w:r>
      <w:r>
        <w:rPr>
          <w:rFonts w:hint="cs"/>
          <w:sz w:val="28"/>
          <w:szCs w:val="28"/>
          <w:rtl/>
        </w:rPr>
        <w:t xml:space="preserve">אני קובע כי מתחם הענישה ההולם נע </w:t>
      </w:r>
      <w:r>
        <w:rPr>
          <w:rFonts w:ascii="David" w:hAnsi="David" w:hint="cs"/>
          <w:sz w:val="28"/>
          <w:szCs w:val="28"/>
          <w:rtl/>
        </w:rPr>
        <w:t>בין 6 לבין 12 חודשי מאסר בפועל.</w:t>
      </w:r>
    </w:p>
    <w:p w14:paraId="221808CD" w14:textId="77777777" w:rsidR="00AC7FF0" w:rsidRDefault="00AC7FF0">
      <w:pPr>
        <w:spacing w:line="360" w:lineRule="auto"/>
        <w:ind w:left="720"/>
        <w:contextualSpacing/>
        <w:jc w:val="both"/>
        <w:rPr>
          <w:rFonts w:ascii="David" w:eastAsia="Calibri" w:hAnsi="David"/>
          <w:sz w:val="28"/>
          <w:szCs w:val="28"/>
        </w:rPr>
      </w:pPr>
    </w:p>
    <w:p w14:paraId="0F16769A" w14:textId="77777777" w:rsidR="00AC7FF0" w:rsidRDefault="00170413">
      <w:pPr>
        <w:spacing w:line="360" w:lineRule="auto"/>
        <w:ind w:left="720"/>
        <w:contextualSpacing/>
        <w:jc w:val="both"/>
        <w:rPr>
          <w:rFonts w:ascii="David" w:eastAsia="Calibri" w:hAnsi="David"/>
          <w:sz w:val="28"/>
          <w:szCs w:val="28"/>
          <w:rtl/>
        </w:rPr>
      </w:pPr>
      <w:r>
        <w:rPr>
          <w:rFonts w:ascii="David" w:eastAsia="Calibri" w:hAnsi="David" w:hint="cs"/>
          <w:sz w:val="28"/>
          <w:szCs w:val="28"/>
          <w:rtl/>
        </w:rPr>
        <w:t>לאור הנסיבות שקשורות בביצוע העבירות, פגיעתו של הנאשם בערכים המוגנים ומדיניות הענישה הנוהגת,</w:t>
      </w:r>
      <w:r>
        <w:rPr>
          <w:rFonts w:hint="cs"/>
          <w:sz w:val="28"/>
          <w:szCs w:val="28"/>
          <w:rtl/>
        </w:rPr>
        <w:t xml:space="preserve"> אני סבור כי יש לחפוף בין מתחמי הענישה שקבעתי לעיל, </w:t>
      </w:r>
      <w:r>
        <w:rPr>
          <w:rFonts w:ascii="David" w:eastAsia="Calibri" w:hAnsi="David" w:hint="cs"/>
          <w:sz w:val="28"/>
          <w:szCs w:val="28"/>
          <w:rtl/>
        </w:rPr>
        <w:t xml:space="preserve"> וקובע כי מתחם הענישה ההולם נע בין 9 חודשים לבין 18 חודשי מאסר בפועל. </w:t>
      </w:r>
    </w:p>
    <w:p w14:paraId="6BD0A921" w14:textId="77777777" w:rsidR="00AC7FF0" w:rsidRDefault="00AC7FF0">
      <w:pPr>
        <w:spacing w:line="360" w:lineRule="auto"/>
        <w:ind w:left="720"/>
        <w:contextualSpacing/>
        <w:jc w:val="both"/>
        <w:rPr>
          <w:rFonts w:ascii="David" w:eastAsia="Calibri" w:hAnsi="David"/>
          <w:sz w:val="28"/>
          <w:szCs w:val="28"/>
        </w:rPr>
      </w:pPr>
    </w:p>
    <w:p w14:paraId="3EF53B81" w14:textId="77777777" w:rsidR="00AC7FF0" w:rsidRDefault="00170413">
      <w:pPr>
        <w:spacing w:line="360" w:lineRule="auto"/>
        <w:ind w:left="720" w:hanging="720"/>
        <w:contextualSpacing/>
        <w:jc w:val="both"/>
        <w:rPr>
          <w:rFonts w:ascii="David" w:eastAsia="Calibri" w:hAnsi="David"/>
          <w:sz w:val="28"/>
          <w:szCs w:val="28"/>
        </w:rPr>
      </w:pPr>
      <w:r>
        <w:rPr>
          <w:rFonts w:ascii="David" w:eastAsia="Calibri" w:hAnsi="David" w:hint="cs"/>
          <w:sz w:val="28"/>
          <w:szCs w:val="28"/>
          <w:rtl/>
        </w:rPr>
        <w:t>7.</w:t>
      </w:r>
      <w:r>
        <w:rPr>
          <w:rFonts w:ascii="David" w:eastAsia="Calibri" w:hAnsi="David" w:hint="cs"/>
          <w:sz w:val="28"/>
          <w:szCs w:val="28"/>
          <w:rtl/>
        </w:rPr>
        <w:tab/>
        <w:t>באשר לענישה במסגרת המתחם, אני מתחשב בנסיבות שאינן קשורות בביצוע העבירה כדלקמן:</w:t>
      </w:r>
    </w:p>
    <w:p w14:paraId="60F8A44B" w14:textId="77777777" w:rsidR="00AC7FF0" w:rsidRDefault="00AC7FF0">
      <w:pPr>
        <w:spacing w:line="360" w:lineRule="auto"/>
        <w:ind w:left="720"/>
        <w:contextualSpacing/>
        <w:rPr>
          <w:rFonts w:ascii="David" w:eastAsia="Calibri" w:hAnsi="David"/>
          <w:sz w:val="28"/>
          <w:szCs w:val="28"/>
          <w:rtl/>
        </w:rPr>
      </w:pPr>
    </w:p>
    <w:p w14:paraId="3DC3C8AF" w14:textId="77777777" w:rsidR="00AC7FF0" w:rsidRDefault="00170413">
      <w:pPr>
        <w:numPr>
          <w:ilvl w:val="0"/>
          <w:numId w:val="3"/>
        </w:numPr>
        <w:spacing w:line="360" w:lineRule="auto"/>
        <w:contextualSpacing/>
        <w:jc w:val="both"/>
        <w:rPr>
          <w:rFonts w:ascii="Calibri" w:eastAsia="Calibri" w:hAnsi="Calibri"/>
          <w:sz w:val="28"/>
          <w:szCs w:val="28"/>
        </w:rPr>
      </w:pPr>
      <w:r>
        <w:rPr>
          <w:rFonts w:ascii="Calibri" w:eastAsia="Calibri" w:hAnsi="Calibri" w:hint="cs"/>
          <w:b/>
          <w:bCs/>
          <w:sz w:val="28"/>
          <w:szCs w:val="28"/>
          <w:rtl/>
        </w:rPr>
        <w:t>הפגיעה של העונש בנאשם</w:t>
      </w:r>
      <w:r>
        <w:rPr>
          <w:rFonts w:ascii="Calibri" w:eastAsia="Calibri" w:hAnsi="Calibri" w:hint="cs"/>
          <w:sz w:val="28"/>
          <w:szCs w:val="28"/>
          <w:rtl/>
        </w:rPr>
        <w:t xml:space="preserve">: הנאשם בן 31, גרוש, סטודנט למשפטים, אשר בשל מעצרו החל ללמוד תואר במדעי החיים באוניברסיטה הפתוחה.  </w:t>
      </w:r>
    </w:p>
    <w:p w14:paraId="1AF6A995" w14:textId="77777777" w:rsidR="00AC7FF0" w:rsidRDefault="00170413">
      <w:pPr>
        <w:spacing w:line="360" w:lineRule="auto"/>
        <w:ind w:left="1080"/>
        <w:contextualSpacing/>
        <w:jc w:val="both"/>
        <w:rPr>
          <w:rFonts w:ascii="Calibri" w:eastAsia="Calibri" w:hAnsi="Calibri"/>
          <w:b/>
          <w:bCs/>
          <w:sz w:val="28"/>
          <w:szCs w:val="28"/>
          <w:rtl/>
        </w:rPr>
      </w:pPr>
      <w:r>
        <w:rPr>
          <w:rFonts w:hint="cs"/>
          <w:sz w:val="28"/>
          <w:szCs w:val="28"/>
          <w:rtl/>
        </w:rPr>
        <w:t xml:space="preserve">לדעת שרות המבחן והמטפלים בו במכון גרין, שליחת הנאשם למאסר מאחורי סורג ובריח תקשה עליו מאוד </w:t>
      </w:r>
      <w:r>
        <w:rPr>
          <w:rFonts w:ascii="Calibri" w:eastAsia="Calibri" w:hAnsi="Calibri" w:hint="cs"/>
          <w:sz w:val="28"/>
          <w:szCs w:val="28"/>
          <w:rtl/>
        </w:rPr>
        <w:t xml:space="preserve">ותפגע בהישגיו הנוכחיים, לאחר שהחל בהליך טיפולי משמעותי ועלולה לגרום להידרדרות נוספת. </w:t>
      </w:r>
    </w:p>
    <w:p w14:paraId="03D481F7" w14:textId="77777777" w:rsidR="00AC7FF0" w:rsidRDefault="00170413">
      <w:pPr>
        <w:spacing w:line="360" w:lineRule="auto"/>
        <w:ind w:left="1134" w:hanging="414"/>
        <w:contextualSpacing/>
        <w:jc w:val="both"/>
        <w:rPr>
          <w:rFonts w:ascii="Calibri" w:eastAsia="Calibri" w:hAnsi="Calibri"/>
          <w:sz w:val="28"/>
          <w:szCs w:val="28"/>
          <w:rtl/>
        </w:rPr>
      </w:pPr>
      <w:r>
        <w:rPr>
          <w:rFonts w:ascii="Calibri" w:eastAsia="Calibri" w:hAnsi="Calibri" w:hint="cs"/>
          <w:b/>
          <w:bCs/>
          <w:sz w:val="28"/>
          <w:szCs w:val="28"/>
          <w:rtl/>
        </w:rPr>
        <w:t>ב.</w:t>
      </w:r>
      <w:r>
        <w:rPr>
          <w:rFonts w:ascii="Calibri" w:eastAsia="Calibri" w:hAnsi="Calibri" w:hint="cs"/>
          <w:b/>
          <w:bCs/>
          <w:sz w:val="28"/>
          <w:szCs w:val="28"/>
          <w:rtl/>
        </w:rPr>
        <w:tab/>
        <w:t>הפגיעה של העונש במשפחתו של הנאשם</w:t>
      </w:r>
      <w:r>
        <w:rPr>
          <w:rFonts w:ascii="Calibri" w:eastAsia="Calibri" w:hAnsi="Calibri" w:hint="cs"/>
          <w:sz w:val="28"/>
          <w:szCs w:val="28"/>
          <w:rtl/>
        </w:rPr>
        <w:t xml:space="preserve">: מדברי הוריו של הנאשם, שהוא בן מאומץ מגיל צעיר, ומדברי הגורמים המטפלים בו עולה ששליחתו למאסר תגרור פגיעה במשפחתו, שתומכת בו בכל הקשור להליך הטיפולי שהוא עובר. </w:t>
      </w:r>
    </w:p>
    <w:p w14:paraId="0A8A8320" w14:textId="77777777" w:rsidR="00AC7FF0" w:rsidRDefault="00170413">
      <w:pPr>
        <w:spacing w:line="360" w:lineRule="auto"/>
        <w:ind w:left="1134" w:hanging="414"/>
        <w:contextualSpacing/>
        <w:jc w:val="both"/>
        <w:rPr>
          <w:rFonts w:ascii="Calibri" w:eastAsia="Calibri" w:hAnsi="Calibri"/>
          <w:sz w:val="28"/>
          <w:szCs w:val="28"/>
          <w:rtl/>
        </w:rPr>
      </w:pPr>
      <w:r>
        <w:rPr>
          <w:rFonts w:ascii="Calibri" w:eastAsia="Calibri" w:hAnsi="Calibri" w:hint="cs"/>
          <w:b/>
          <w:bCs/>
          <w:sz w:val="28"/>
          <w:szCs w:val="28"/>
          <w:rtl/>
        </w:rPr>
        <w:t>ג.</w:t>
      </w:r>
      <w:r>
        <w:rPr>
          <w:rFonts w:ascii="Calibri" w:eastAsia="Calibri" w:hAnsi="Calibri" w:hint="cs"/>
          <w:b/>
          <w:bCs/>
          <w:sz w:val="28"/>
          <w:szCs w:val="28"/>
          <w:rtl/>
        </w:rPr>
        <w:tab/>
        <w:t>הנאשם נטל אחריות למעשיו, הודה והביע חרטה</w:t>
      </w:r>
      <w:r>
        <w:rPr>
          <w:rFonts w:ascii="Calibri" w:eastAsia="Calibri" w:hAnsi="Calibri" w:hint="cs"/>
          <w:sz w:val="28"/>
          <w:szCs w:val="28"/>
          <w:rtl/>
        </w:rPr>
        <w:t xml:space="preserve">: הנאשם נעצר והודה מיד בעבירה בה נחשד, נושא האישום הראשון, וחשף מיוזמתו מידע ועבירות שהתרחשו בשנת 2011, נושא האישום השני. </w:t>
      </w:r>
    </w:p>
    <w:p w14:paraId="7ED52469" w14:textId="77777777" w:rsidR="00AC7FF0" w:rsidRDefault="00170413">
      <w:pPr>
        <w:spacing w:line="360" w:lineRule="auto"/>
        <w:ind w:left="1134" w:hanging="142"/>
        <w:contextualSpacing/>
        <w:jc w:val="both"/>
        <w:rPr>
          <w:rFonts w:ascii="Calibri" w:eastAsia="Calibri" w:hAnsi="Calibri"/>
          <w:sz w:val="28"/>
          <w:szCs w:val="28"/>
        </w:rPr>
      </w:pPr>
      <w:r>
        <w:rPr>
          <w:rFonts w:ascii="Calibri" w:eastAsia="Calibri" w:hAnsi="Calibri" w:hint="cs"/>
          <w:sz w:val="28"/>
          <w:szCs w:val="28"/>
          <w:rtl/>
        </w:rPr>
        <w:t xml:space="preserve">גם בבית המשפט הנאשם הודה בהזדמנות הראשונה, לקח אחריות על מעשיו, חסך מזמנם של עדים והוא אמור להעיד נגד אחר. גם מתסקיר שירות המבחן ומחוות הדעת של מכון גרין, עולה כי הנאשם לוקח אחריות מלאה על מעשיו, מביע חרטה כנה ומשתלב בהליכים הטיפוליים. </w:t>
      </w:r>
    </w:p>
    <w:p w14:paraId="51E2BC6A" w14:textId="77777777" w:rsidR="00AC7FF0" w:rsidRDefault="00170413">
      <w:pPr>
        <w:spacing w:line="360" w:lineRule="auto"/>
        <w:ind w:left="992" w:hanging="272"/>
        <w:contextualSpacing/>
        <w:jc w:val="both"/>
        <w:rPr>
          <w:rFonts w:ascii="Calibri" w:eastAsia="Calibri" w:hAnsi="Calibri"/>
          <w:sz w:val="28"/>
          <w:szCs w:val="28"/>
        </w:rPr>
      </w:pPr>
      <w:r>
        <w:rPr>
          <w:rFonts w:ascii="Calibri" w:eastAsia="Calibri" w:hAnsi="Calibri" w:hint="cs"/>
          <w:b/>
          <w:bCs/>
          <w:sz w:val="28"/>
          <w:szCs w:val="28"/>
          <w:rtl/>
        </w:rPr>
        <w:t>ד.</w:t>
      </w:r>
      <w:r>
        <w:rPr>
          <w:rFonts w:ascii="Calibri" w:eastAsia="Calibri" w:hAnsi="Calibri" w:hint="cs"/>
          <w:b/>
          <w:bCs/>
          <w:sz w:val="28"/>
          <w:szCs w:val="28"/>
          <w:rtl/>
        </w:rPr>
        <w:tab/>
        <w:t>נסיבות חיים קשות של הנאשם</w:t>
      </w:r>
      <w:r>
        <w:rPr>
          <w:rFonts w:ascii="Calibri" w:eastAsia="Calibri" w:hAnsi="Calibri" w:hint="cs"/>
          <w:sz w:val="28"/>
          <w:szCs w:val="28"/>
          <w:rtl/>
        </w:rPr>
        <w:t xml:space="preserve">: הנאשם מאומץ מגיל פעוט, גרוש זה כשלוש שנים ונתפס כאדם ביישן ומופנם. </w:t>
      </w:r>
      <w:r>
        <w:rPr>
          <w:rFonts w:hint="cs"/>
          <w:sz w:val="28"/>
          <w:szCs w:val="28"/>
          <w:rtl/>
        </w:rPr>
        <w:t>ההתרשמות של שירות המבחן ושל מומחי מכון גרין היא כי אורח החיים שניהל הנאשם משקף קשיים רגשיים עמם התקשה להתמודד ולא מבטא סגנון עברייני.</w:t>
      </w:r>
      <w:r>
        <w:rPr>
          <w:rFonts w:ascii="Calibri" w:eastAsia="Calibri" w:hAnsi="Calibri" w:hint="cs"/>
          <w:sz w:val="28"/>
          <w:szCs w:val="28"/>
          <w:rtl/>
        </w:rPr>
        <w:t xml:space="preserve"> </w:t>
      </w:r>
    </w:p>
    <w:p w14:paraId="02631A7C" w14:textId="77777777" w:rsidR="00AC7FF0" w:rsidRDefault="00170413">
      <w:pPr>
        <w:spacing w:line="360" w:lineRule="auto"/>
        <w:ind w:firstLine="720"/>
        <w:contextualSpacing/>
        <w:jc w:val="both"/>
        <w:rPr>
          <w:rFonts w:ascii="Calibri" w:eastAsia="Calibri" w:hAnsi="Calibri"/>
          <w:sz w:val="28"/>
          <w:szCs w:val="28"/>
          <w:rtl/>
        </w:rPr>
      </w:pPr>
      <w:r>
        <w:rPr>
          <w:rFonts w:ascii="Calibri" w:eastAsia="Calibri" w:hAnsi="Calibri" w:hint="cs"/>
          <w:b/>
          <w:bCs/>
          <w:sz w:val="28"/>
          <w:szCs w:val="28"/>
          <w:rtl/>
        </w:rPr>
        <w:t>ה. עבר פלילי של הנאשם</w:t>
      </w:r>
      <w:r>
        <w:rPr>
          <w:rFonts w:ascii="Calibri" w:eastAsia="Calibri" w:hAnsi="Calibri" w:hint="cs"/>
          <w:sz w:val="28"/>
          <w:szCs w:val="28"/>
          <w:rtl/>
        </w:rPr>
        <w:t>: הנאשם נעדר עבר פלילי.</w:t>
      </w:r>
    </w:p>
    <w:p w14:paraId="2EFBB0B5" w14:textId="77777777" w:rsidR="00AC7FF0" w:rsidRDefault="00170413">
      <w:pPr>
        <w:spacing w:line="360" w:lineRule="auto"/>
        <w:ind w:left="1080"/>
        <w:contextualSpacing/>
        <w:jc w:val="both"/>
        <w:rPr>
          <w:rFonts w:ascii="Calibri" w:eastAsia="Calibri" w:hAnsi="Calibri"/>
          <w:sz w:val="28"/>
          <w:szCs w:val="28"/>
        </w:rPr>
      </w:pPr>
      <w:r>
        <w:rPr>
          <w:rFonts w:ascii="Calibri" w:eastAsia="Calibri" w:hAnsi="Calibri" w:hint="cs"/>
          <w:sz w:val="28"/>
          <w:szCs w:val="28"/>
          <w:rtl/>
        </w:rPr>
        <w:t xml:space="preserve"> </w:t>
      </w:r>
    </w:p>
    <w:p w14:paraId="08B6E94D" w14:textId="77777777" w:rsidR="00AC7FF0" w:rsidRDefault="00170413">
      <w:pPr>
        <w:spacing w:line="360" w:lineRule="auto"/>
        <w:ind w:left="720" w:hanging="720"/>
        <w:jc w:val="both"/>
        <w:rPr>
          <w:rFonts w:ascii="Calibri" w:eastAsia="Calibri" w:hAnsi="Calibri"/>
          <w:sz w:val="28"/>
          <w:szCs w:val="28"/>
          <w:rtl/>
        </w:rPr>
      </w:pPr>
      <w:r>
        <w:rPr>
          <w:rFonts w:ascii="Arial" w:hAnsi="Arial" w:hint="cs"/>
          <w:sz w:val="28"/>
          <w:szCs w:val="28"/>
          <w:rtl/>
        </w:rPr>
        <w:t>8.</w:t>
      </w:r>
      <w:r>
        <w:rPr>
          <w:rFonts w:ascii="Arial" w:hAnsi="Arial" w:hint="cs"/>
          <w:sz w:val="28"/>
          <w:szCs w:val="28"/>
          <w:rtl/>
        </w:rPr>
        <w:tab/>
        <w:t xml:space="preserve">אינני מתעלם מהצורך להגן על ביטחון הציבור ובריאותו אך אני מקבל את התרשמות שירות המבחן והמטפלים בנאשם כי הסיכון להתנהגות חסרת גבולות נוספת שלו פחת, שכן </w:t>
      </w:r>
      <w:r>
        <w:rPr>
          <w:rFonts w:ascii="Calibri" w:eastAsia="Calibri" w:hAnsi="Calibri" w:hint="cs"/>
          <w:sz w:val="28"/>
          <w:szCs w:val="28"/>
          <w:rtl/>
        </w:rPr>
        <w:t xml:space="preserve">הנאשם אינו מחזיק בדפוסי התנהגות או חשיבה עברייניים, ומשכך מאסר עלול לפגוע בהישגיו הנוכחיים, בטיפול שעבר וימשיך לעבור ולגרום להידרדרות נוספת. </w:t>
      </w:r>
    </w:p>
    <w:p w14:paraId="6C20D569" w14:textId="77777777" w:rsidR="00AC7FF0" w:rsidRDefault="00170413">
      <w:pPr>
        <w:spacing w:line="360" w:lineRule="auto"/>
        <w:ind w:left="720"/>
        <w:jc w:val="both"/>
        <w:rPr>
          <w:rFonts w:ascii="Calibri" w:eastAsia="Calibri" w:hAnsi="Calibri"/>
          <w:sz w:val="28"/>
          <w:szCs w:val="28"/>
          <w:rtl/>
        </w:rPr>
      </w:pPr>
      <w:r>
        <w:rPr>
          <w:rFonts w:ascii="Calibri" w:eastAsia="Calibri" w:hAnsi="Calibri" w:hint="cs"/>
          <w:sz w:val="28"/>
          <w:szCs w:val="28"/>
          <w:rtl/>
        </w:rPr>
        <w:t xml:space="preserve">לאור האמור בתסקיר שרות המבחן, בחוות הדעת של מכון גרין ובדברי העו"ס טלי עדן, אני סבור כי שיקולי השיקום במקרה דנן מצדיקים סטייה לקולא ממתחם הענישה. </w:t>
      </w:r>
    </w:p>
    <w:p w14:paraId="42A7FDF4" w14:textId="77777777" w:rsidR="00AC7FF0" w:rsidRDefault="00170413">
      <w:pPr>
        <w:spacing w:line="360" w:lineRule="auto"/>
        <w:ind w:left="720"/>
        <w:jc w:val="both"/>
        <w:rPr>
          <w:rFonts w:ascii="Calibri" w:eastAsia="Calibri" w:hAnsi="Calibri"/>
          <w:sz w:val="28"/>
          <w:szCs w:val="28"/>
        </w:rPr>
      </w:pPr>
      <w:r>
        <w:rPr>
          <w:rFonts w:ascii="Calibri" w:eastAsia="Calibri" w:hAnsi="Calibri" w:hint="cs"/>
          <w:sz w:val="28"/>
          <w:szCs w:val="28"/>
          <w:rtl/>
        </w:rPr>
        <w:t xml:space="preserve">מדובר בנאשם צעיר, נעדר עבר פלילי, אשר הידרדר לסם בעקבות משבר גירושין אישי אליו הגיע. הנאשם לוקח אחריות על מעשיו ועל חייו ונרתם לטיפול אותו החל ברגע ששוחרר ממעצר. מתסקיר שירות המבחן, כמו גם מחוות הדעת של מכון גרין, עולה כי הנאשם השתקם ושינה דרכיו ומכל מקום קיים סיכוי של ממש לשיקומו. הטלת מאסר מאחורי סורג ובריח על הנאשם תפגע בהליך השיקומי בו הוא דבק ועלולה לגרום להידרדרות במצבו. </w:t>
      </w:r>
    </w:p>
    <w:p w14:paraId="41C64731" w14:textId="77777777" w:rsidR="00AC7FF0" w:rsidRDefault="00AC7FF0">
      <w:pPr>
        <w:spacing w:line="360" w:lineRule="auto"/>
        <w:ind w:left="720"/>
        <w:contextualSpacing/>
        <w:jc w:val="both"/>
        <w:rPr>
          <w:rFonts w:ascii="Calibri" w:eastAsia="Calibri" w:hAnsi="Calibri"/>
          <w:sz w:val="28"/>
          <w:szCs w:val="28"/>
        </w:rPr>
      </w:pPr>
    </w:p>
    <w:p w14:paraId="6EA5FC90" w14:textId="77777777" w:rsidR="00AC7FF0" w:rsidRDefault="00170413">
      <w:pPr>
        <w:spacing w:line="360" w:lineRule="auto"/>
        <w:ind w:left="720" w:hanging="720"/>
        <w:jc w:val="both"/>
        <w:rPr>
          <w:rFonts w:ascii="Calibri" w:eastAsia="Calibri" w:hAnsi="Calibri"/>
          <w:sz w:val="28"/>
          <w:szCs w:val="28"/>
        </w:rPr>
      </w:pPr>
      <w:r>
        <w:rPr>
          <w:rFonts w:hint="cs"/>
          <w:sz w:val="28"/>
          <w:szCs w:val="28"/>
          <w:rtl/>
        </w:rPr>
        <w:t>8.</w:t>
      </w:r>
      <w:r>
        <w:rPr>
          <w:rFonts w:hint="cs"/>
          <w:sz w:val="28"/>
          <w:szCs w:val="28"/>
          <w:rtl/>
        </w:rPr>
        <w:tab/>
        <w:t>לאור כל האמור לעיל, אני מטיל על הנאשם את העונשים הבאים:</w:t>
      </w:r>
    </w:p>
    <w:p w14:paraId="70D71160" w14:textId="77777777" w:rsidR="00AC7FF0" w:rsidRDefault="00AC7FF0">
      <w:pPr>
        <w:pStyle w:val="ListParagraph"/>
        <w:spacing w:line="360" w:lineRule="auto"/>
        <w:jc w:val="both"/>
        <w:rPr>
          <w:rFonts w:cs="David"/>
          <w:sz w:val="28"/>
          <w:szCs w:val="28"/>
          <w:rtl/>
        </w:rPr>
      </w:pPr>
    </w:p>
    <w:p w14:paraId="05C293D4" w14:textId="77777777" w:rsidR="00AC7FF0" w:rsidRDefault="00170413">
      <w:pPr>
        <w:pStyle w:val="ListParagraph"/>
        <w:numPr>
          <w:ilvl w:val="0"/>
          <w:numId w:val="4"/>
        </w:numPr>
        <w:spacing w:line="360" w:lineRule="auto"/>
        <w:jc w:val="both"/>
        <w:rPr>
          <w:rFonts w:cs="David"/>
          <w:sz w:val="28"/>
          <w:szCs w:val="28"/>
          <w:rtl/>
        </w:rPr>
      </w:pPr>
      <w:r>
        <w:rPr>
          <w:rFonts w:cs="David" w:hint="cs"/>
          <w:sz w:val="28"/>
          <w:szCs w:val="28"/>
          <w:rtl/>
        </w:rPr>
        <w:t xml:space="preserve">6 חודשי מאסר שירוצו בדרך של עבודות שירות בכפוף לחוות דעת הממונה על עבודות שירות. </w:t>
      </w:r>
    </w:p>
    <w:p w14:paraId="14ADDA8D" w14:textId="77777777" w:rsidR="00AC7FF0" w:rsidRDefault="00170413">
      <w:pPr>
        <w:pStyle w:val="1"/>
        <w:numPr>
          <w:ilvl w:val="0"/>
          <w:numId w:val="4"/>
        </w:numPr>
        <w:spacing w:line="360" w:lineRule="auto"/>
        <w:jc w:val="both"/>
        <w:rPr>
          <w:rFonts w:cs="David"/>
          <w:sz w:val="28"/>
          <w:szCs w:val="28"/>
        </w:rPr>
      </w:pPr>
      <w:r>
        <w:rPr>
          <w:rFonts w:cs="David" w:hint="cs"/>
          <w:sz w:val="28"/>
          <w:szCs w:val="28"/>
          <w:rtl/>
        </w:rPr>
        <w:t xml:space="preserve">שנת מאסר על תנאי למשך 3 שנים מהיום, שלא יעבור עבירה לפי </w:t>
      </w:r>
      <w:hyperlink r:id="rId39" w:history="1">
        <w:r w:rsidRPr="00170413">
          <w:rPr>
            <w:rFonts w:cs="David" w:hint="cs"/>
            <w:color w:val="0000FF"/>
            <w:sz w:val="28"/>
            <w:szCs w:val="28"/>
            <w:u w:val="single"/>
            <w:rtl/>
          </w:rPr>
          <w:t>פקודת</w:t>
        </w:r>
        <w:r w:rsidRPr="00170413">
          <w:rPr>
            <w:rFonts w:cs="David"/>
            <w:color w:val="0000FF"/>
            <w:sz w:val="28"/>
            <w:szCs w:val="28"/>
            <w:u w:val="single"/>
            <w:rtl/>
          </w:rPr>
          <w:t xml:space="preserve"> </w:t>
        </w:r>
        <w:r w:rsidRPr="00170413">
          <w:rPr>
            <w:rFonts w:cs="David" w:hint="cs"/>
            <w:color w:val="0000FF"/>
            <w:sz w:val="28"/>
            <w:szCs w:val="28"/>
            <w:u w:val="single"/>
            <w:rtl/>
          </w:rPr>
          <w:t>הסמים</w:t>
        </w:r>
        <w:r w:rsidRPr="00170413">
          <w:rPr>
            <w:rFonts w:cs="David"/>
            <w:color w:val="0000FF"/>
            <w:sz w:val="28"/>
            <w:szCs w:val="28"/>
            <w:u w:val="single"/>
            <w:rtl/>
          </w:rPr>
          <w:t xml:space="preserve"> </w:t>
        </w:r>
        <w:r w:rsidRPr="00170413">
          <w:rPr>
            <w:rFonts w:cs="David" w:hint="cs"/>
            <w:color w:val="0000FF"/>
            <w:sz w:val="28"/>
            <w:szCs w:val="28"/>
            <w:u w:val="single"/>
            <w:rtl/>
          </w:rPr>
          <w:t>המסוכנים</w:t>
        </w:r>
      </w:hyperlink>
      <w:r>
        <w:rPr>
          <w:rFonts w:cs="David" w:hint="cs"/>
          <w:sz w:val="28"/>
          <w:szCs w:val="28"/>
          <w:rtl/>
        </w:rPr>
        <w:t xml:space="preserve"> מסוג פשע.</w:t>
      </w:r>
    </w:p>
    <w:p w14:paraId="6CA5FEFA" w14:textId="77777777" w:rsidR="00AC7FF0" w:rsidRDefault="00AC7FF0">
      <w:pPr>
        <w:pStyle w:val="1"/>
        <w:spacing w:line="360" w:lineRule="auto"/>
        <w:jc w:val="both"/>
        <w:rPr>
          <w:rFonts w:cs="David"/>
          <w:sz w:val="28"/>
          <w:szCs w:val="28"/>
        </w:rPr>
      </w:pPr>
    </w:p>
    <w:p w14:paraId="3733C005" w14:textId="77777777" w:rsidR="00AC7FF0" w:rsidRDefault="00170413">
      <w:pPr>
        <w:pStyle w:val="1"/>
        <w:numPr>
          <w:ilvl w:val="0"/>
          <w:numId w:val="4"/>
        </w:numPr>
        <w:spacing w:line="360" w:lineRule="auto"/>
        <w:jc w:val="both"/>
        <w:rPr>
          <w:rFonts w:cs="David"/>
          <w:sz w:val="28"/>
          <w:szCs w:val="28"/>
        </w:rPr>
      </w:pPr>
      <w:r>
        <w:rPr>
          <w:rFonts w:cs="David" w:hint="cs"/>
          <w:sz w:val="28"/>
          <w:szCs w:val="28"/>
          <w:rtl/>
        </w:rPr>
        <w:t xml:space="preserve">6 חודשי מאסר על תנאי למשך שלוש שנים מהיום שלא יעבור עבירה על </w:t>
      </w:r>
      <w:hyperlink r:id="rId40" w:history="1">
        <w:r w:rsidRPr="00170413">
          <w:rPr>
            <w:rFonts w:cs="David" w:hint="cs"/>
            <w:color w:val="0000FF"/>
            <w:sz w:val="28"/>
            <w:szCs w:val="28"/>
            <w:u w:val="single"/>
            <w:rtl/>
          </w:rPr>
          <w:t>פקודת</w:t>
        </w:r>
        <w:r w:rsidRPr="00170413">
          <w:rPr>
            <w:rFonts w:cs="David"/>
            <w:color w:val="0000FF"/>
            <w:sz w:val="28"/>
            <w:szCs w:val="28"/>
            <w:u w:val="single"/>
            <w:rtl/>
          </w:rPr>
          <w:t xml:space="preserve"> </w:t>
        </w:r>
        <w:r w:rsidRPr="00170413">
          <w:rPr>
            <w:rFonts w:cs="David" w:hint="cs"/>
            <w:color w:val="0000FF"/>
            <w:sz w:val="28"/>
            <w:szCs w:val="28"/>
            <w:u w:val="single"/>
            <w:rtl/>
          </w:rPr>
          <w:t>הסמים</w:t>
        </w:r>
        <w:r w:rsidRPr="00170413">
          <w:rPr>
            <w:rFonts w:cs="David"/>
            <w:color w:val="0000FF"/>
            <w:sz w:val="28"/>
            <w:szCs w:val="28"/>
            <w:u w:val="single"/>
            <w:rtl/>
          </w:rPr>
          <w:t xml:space="preserve"> </w:t>
        </w:r>
        <w:r w:rsidRPr="00170413">
          <w:rPr>
            <w:rFonts w:cs="David" w:hint="cs"/>
            <w:color w:val="0000FF"/>
            <w:sz w:val="28"/>
            <w:szCs w:val="28"/>
            <w:u w:val="single"/>
            <w:rtl/>
          </w:rPr>
          <w:t>המסוכנים</w:t>
        </w:r>
      </w:hyperlink>
      <w:r>
        <w:rPr>
          <w:rFonts w:cs="David" w:hint="cs"/>
          <w:sz w:val="28"/>
          <w:szCs w:val="28"/>
          <w:rtl/>
        </w:rPr>
        <w:t xml:space="preserve"> מסוג עוון. </w:t>
      </w:r>
    </w:p>
    <w:p w14:paraId="575A5BC1" w14:textId="77777777" w:rsidR="00AC7FF0" w:rsidRDefault="00170413">
      <w:pPr>
        <w:pStyle w:val="ListParagraph"/>
        <w:numPr>
          <w:ilvl w:val="0"/>
          <w:numId w:val="4"/>
        </w:numPr>
        <w:spacing w:line="360" w:lineRule="auto"/>
        <w:jc w:val="both"/>
        <w:rPr>
          <w:rFonts w:cs="David"/>
          <w:sz w:val="28"/>
          <w:szCs w:val="28"/>
        </w:rPr>
      </w:pPr>
      <w:r>
        <w:rPr>
          <w:rFonts w:cs="David" w:hint="cs"/>
          <w:sz w:val="28"/>
          <w:szCs w:val="28"/>
          <w:rtl/>
          <w:lang w:eastAsia="he-IL"/>
        </w:rPr>
        <w:t xml:space="preserve">אני מטיל על הנאשם קנס בסכום של 5,000 ₪ או 3 חודשי מאסר תמורתם. </w:t>
      </w:r>
    </w:p>
    <w:p w14:paraId="407ED015" w14:textId="77777777" w:rsidR="00AC7FF0" w:rsidRDefault="00170413">
      <w:pPr>
        <w:pStyle w:val="ListParagraph"/>
        <w:spacing w:line="360" w:lineRule="auto"/>
        <w:ind w:left="1440"/>
        <w:jc w:val="both"/>
        <w:rPr>
          <w:rFonts w:cs="David"/>
          <w:sz w:val="28"/>
          <w:szCs w:val="28"/>
          <w:rtl/>
          <w:lang w:eastAsia="he-IL"/>
        </w:rPr>
      </w:pPr>
      <w:r>
        <w:rPr>
          <w:rFonts w:cs="David" w:hint="cs"/>
          <w:sz w:val="28"/>
          <w:szCs w:val="28"/>
          <w:rtl/>
          <w:lang w:eastAsia="he-IL"/>
        </w:rPr>
        <w:t xml:space="preserve">הקנס ישולם תוך 90 יום. </w:t>
      </w:r>
    </w:p>
    <w:p w14:paraId="5C018EB8" w14:textId="77777777" w:rsidR="00AC7FF0" w:rsidRDefault="00170413">
      <w:pPr>
        <w:spacing w:line="360" w:lineRule="auto"/>
        <w:ind w:left="1440" w:hanging="720"/>
        <w:jc w:val="both"/>
        <w:rPr>
          <w:sz w:val="28"/>
          <w:szCs w:val="28"/>
          <w:rtl/>
        </w:rPr>
      </w:pPr>
      <w:r>
        <w:rPr>
          <w:rFonts w:hint="cs"/>
          <w:sz w:val="28"/>
          <w:szCs w:val="28"/>
          <w:rtl/>
        </w:rPr>
        <w:t xml:space="preserve">     ה.  אני פוסל את הנאשם מלהחזיק או לקבל רישיון נהיגה למשך 6 חודשים בפועל החל מיום 3.8.14 ולמשך 6 חודשים על תנאי שבמשך שנתיים מהיום לא יעבור עבירה על </w:t>
      </w:r>
      <w:hyperlink r:id="rId41" w:history="1">
        <w:r w:rsidRPr="00170413">
          <w:rPr>
            <w:color w:val="0000FF"/>
            <w:sz w:val="28"/>
            <w:szCs w:val="28"/>
            <w:u w:val="single"/>
            <w:rtl/>
          </w:rPr>
          <w:t>פקודת הסמים המסוכנים</w:t>
        </w:r>
      </w:hyperlink>
      <w:r>
        <w:rPr>
          <w:rFonts w:hint="cs"/>
          <w:sz w:val="28"/>
          <w:szCs w:val="28"/>
          <w:rtl/>
        </w:rPr>
        <w:t xml:space="preserve"> [נוסח חדש] תשל"ג-1973 או נהיגה ללא רישיון נהיגה, ללא פוליסת ביטוח או בזמן פסילה. </w:t>
      </w:r>
    </w:p>
    <w:p w14:paraId="42CD018F" w14:textId="77777777" w:rsidR="00AC7FF0" w:rsidRDefault="00AC7FF0">
      <w:pPr>
        <w:spacing w:line="360" w:lineRule="auto"/>
        <w:ind w:left="1440" w:hanging="720"/>
        <w:jc w:val="both"/>
        <w:rPr>
          <w:sz w:val="28"/>
          <w:szCs w:val="28"/>
          <w:rtl/>
        </w:rPr>
      </w:pPr>
    </w:p>
    <w:p w14:paraId="4DC1A72F" w14:textId="77777777" w:rsidR="00AC7FF0" w:rsidRDefault="00170413">
      <w:pPr>
        <w:spacing w:line="360" w:lineRule="auto"/>
        <w:ind w:left="1440" w:hanging="448"/>
        <w:jc w:val="both"/>
        <w:rPr>
          <w:sz w:val="28"/>
          <w:szCs w:val="28"/>
          <w:rtl/>
        </w:rPr>
      </w:pPr>
      <w:r>
        <w:rPr>
          <w:rFonts w:hint="cs"/>
          <w:sz w:val="28"/>
          <w:szCs w:val="28"/>
          <w:rtl/>
        </w:rPr>
        <w:t>ו.</w:t>
      </w:r>
      <w:r>
        <w:rPr>
          <w:rFonts w:hint="cs"/>
          <w:sz w:val="28"/>
          <w:szCs w:val="28"/>
          <w:rtl/>
        </w:rPr>
        <w:tab/>
        <w:t xml:space="preserve">אני מעמיד את הנאשם בפיקוח שרות המבחן למשך 18 חודש מיום 1.7.14. </w:t>
      </w:r>
    </w:p>
    <w:p w14:paraId="1937A6EB" w14:textId="77777777" w:rsidR="00AC7FF0" w:rsidRDefault="00170413">
      <w:pPr>
        <w:spacing w:line="360" w:lineRule="auto"/>
        <w:ind w:left="1440" w:hanging="448"/>
        <w:jc w:val="both"/>
        <w:rPr>
          <w:sz w:val="28"/>
          <w:szCs w:val="28"/>
          <w:rtl/>
        </w:rPr>
      </w:pPr>
      <w:r>
        <w:rPr>
          <w:rFonts w:hint="cs"/>
          <w:sz w:val="28"/>
          <w:szCs w:val="28"/>
          <w:rtl/>
        </w:rPr>
        <w:tab/>
        <w:t xml:space="preserve">תנאי מתנאי הפיקוח שהנאשם יהיה בטיפול במכון "גרין" או בכל מוסד אחר לפי קביעת שרות המבחן. </w:t>
      </w:r>
    </w:p>
    <w:p w14:paraId="070B4DFB" w14:textId="77777777" w:rsidR="00AC7FF0" w:rsidRDefault="00170413">
      <w:pPr>
        <w:spacing w:line="360" w:lineRule="auto"/>
        <w:ind w:left="1440"/>
        <w:rPr>
          <w:sz w:val="28"/>
          <w:szCs w:val="28"/>
          <w:rtl/>
        </w:rPr>
      </w:pPr>
      <w:r>
        <w:rPr>
          <w:rFonts w:hint="cs"/>
          <w:sz w:val="28"/>
          <w:szCs w:val="28"/>
          <w:rtl/>
        </w:rPr>
        <w:t>הנאשם יתייצב בפני קצינת המבחן, גב' דקלה שוקרון, בשירות המבחן בראשל"צ מחר, 1.7.14 בשעה 08:00 על מנת לחתום על צו המבחן ויציג בפניה את גזר הדין.</w:t>
      </w:r>
    </w:p>
    <w:p w14:paraId="57BB4A08" w14:textId="77777777" w:rsidR="00AC7FF0" w:rsidRDefault="00170413">
      <w:pPr>
        <w:rPr>
          <w:sz w:val="28"/>
          <w:szCs w:val="28"/>
          <w:rtl/>
        </w:rPr>
      </w:pPr>
      <w:r>
        <w:rPr>
          <w:rFonts w:hint="cs"/>
          <w:sz w:val="28"/>
          <w:szCs w:val="28"/>
          <w:rtl/>
        </w:rPr>
        <w:tab/>
      </w:r>
    </w:p>
    <w:p w14:paraId="4714096B" w14:textId="77777777" w:rsidR="00AC7FF0" w:rsidRDefault="00170413">
      <w:pPr>
        <w:pStyle w:val="a3"/>
        <w:jc w:val="center"/>
        <w:rPr>
          <w:sz w:val="28"/>
          <w:szCs w:val="28"/>
          <w:rtl/>
        </w:rPr>
      </w:pPr>
      <w:r w:rsidRPr="00170413">
        <w:rPr>
          <w:rFonts w:ascii="Arial" w:hAnsi="Arial"/>
          <w:b/>
          <w:bCs/>
          <w:color w:val="FFFFFF"/>
          <w:sz w:val="2"/>
          <w:szCs w:val="2"/>
          <w:rtl/>
        </w:rPr>
        <w:t>5129371</w:t>
      </w:r>
      <w:r>
        <w:rPr>
          <w:rFonts w:ascii="Arial" w:hAnsi="Arial"/>
          <w:b/>
          <w:bCs/>
          <w:sz w:val="28"/>
          <w:szCs w:val="28"/>
          <w:rtl/>
        </w:rPr>
        <w:t xml:space="preserve">ניתן והודע היום,ב' תמוז תשע"ד, 30 יוני 2014, במעמד ב"כ הצדדים והנאשם.  </w:t>
      </w:r>
    </w:p>
    <w:tbl>
      <w:tblPr>
        <w:bidiVisual/>
        <w:tblW w:w="0" w:type="auto"/>
        <w:tblInd w:w="5740" w:type="dxa"/>
        <w:tblLook w:val="01E0" w:firstRow="1" w:lastRow="1" w:firstColumn="1" w:lastColumn="1" w:noHBand="0" w:noVBand="0"/>
      </w:tblPr>
      <w:tblGrid>
        <w:gridCol w:w="2585"/>
      </w:tblGrid>
      <w:tr w:rsidR="00AC7FF0" w14:paraId="112A44EB" w14:textId="77777777">
        <w:tc>
          <w:tcPr>
            <w:tcW w:w="2585" w:type="dxa"/>
            <w:tcBorders>
              <w:bottom w:val="single" w:sz="4" w:space="0" w:color="auto"/>
            </w:tcBorders>
          </w:tcPr>
          <w:p w14:paraId="66BA3904" w14:textId="77777777" w:rsidR="00AC7FF0" w:rsidRPr="00170413" w:rsidRDefault="00170413">
            <w:pPr>
              <w:rPr>
                <w:color w:val="FFFFFF"/>
                <w:sz w:val="2"/>
                <w:szCs w:val="2"/>
              </w:rPr>
            </w:pPr>
            <w:r w:rsidRPr="00170413">
              <w:rPr>
                <w:color w:val="FFFFFF"/>
                <w:sz w:val="2"/>
                <w:szCs w:val="2"/>
                <w:rtl/>
              </w:rPr>
              <w:t>54678313</w:t>
            </w:r>
          </w:p>
        </w:tc>
      </w:tr>
      <w:tr w:rsidR="00AC7FF0" w14:paraId="34D6BFE3" w14:textId="77777777">
        <w:tc>
          <w:tcPr>
            <w:tcW w:w="2585" w:type="dxa"/>
            <w:tcBorders>
              <w:top w:val="single" w:sz="4" w:space="0" w:color="auto"/>
            </w:tcBorders>
            <w:vAlign w:val="bottom"/>
          </w:tcPr>
          <w:p w14:paraId="1DA2A585" w14:textId="77777777" w:rsidR="00AC7FF0" w:rsidRDefault="00170413">
            <w:pPr>
              <w:jc w:val="center"/>
              <w:rPr>
                <w:rFonts w:ascii="Courier New" w:hAnsi="Courier New"/>
                <w:b/>
                <w:bCs/>
                <w:sz w:val="28"/>
                <w:szCs w:val="28"/>
                <w:rtl/>
              </w:rPr>
            </w:pPr>
            <w:r>
              <w:rPr>
                <w:rFonts w:ascii="Courier New" w:hAnsi="Courier New" w:hint="cs"/>
                <w:b/>
                <w:bCs/>
                <w:sz w:val="28"/>
                <w:szCs w:val="28"/>
                <w:rtl/>
              </w:rPr>
              <w:t>אברהם טל</w:t>
            </w:r>
            <w:r>
              <w:rPr>
                <w:rFonts w:ascii="Courier New" w:hAnsi="Courier New"/>
                <w:b/>
                <w:bCs/>
                <w:sz w:val="28"/>
                <w:szCs w:val="28"/>
                <w:rtl/>
              </w:rPr>
              <w:t xml:space="preserve">, </w:t>
            </w:r>
            <w:r>
              <w:rPr>
                <w:rFonts w:ascii="Courier New" w:hAnsi="Courier New" w:hint="cs"/>
                <w:b/>
                <w:bCs/>
                <w:sz w:val="28"/>
                <w:szCs w:val="28"/>
                <w:rtl/>
              </w:rPr>
              <w:t xml:space="preserve">שופט, </w:t>
            </w:r>
          </w:p>
          <w:p w14:paraId="03B490FF" w14:textId="77777777" w:rsidR="00AC7FF0" w:rsidRDefault="00170413">
            <w:pPr>
              <w:jc w:val="center"/>
              <w:rPr>
                <w:rFonts w:ascii="Courier New" w:hAnsi="Courier New"/>
                <w:b/>
                <w:bCs/>
                <w:sz w:val="28"/>
                <w:szCs w:val="28"/>
                <w:rtl/>
              </w:rPr>
            </w:pPr>
            <w:r>
              <w:rPr>
                <w:rFonts w:ascii="Courier New" w:hAnsi="Courier New" w:hint="cs"/>
                <w:b/>
                <w:bCs/>
                <w:sz w:val="28"/>
                <w:szCs w:val="28"/>
                <w:rtl/>
              </w:rPr>
              <w:t>נשיא</w:t>
            </w:r>
          </w:p>
          <w:p w14:paraId="412B4A86" w14:textId="77777777" w:rsidR="00AC7FF0" w:rsidRDefault="00AC7FF0">
            <w:pPr>
              <w:jc w:val="center"/>
              <w:rPr>
                <w:rFonts w:ascii="Courier New" w:hAnsi="Courier New"/>
                <w:b/>
                <w:bCs/>
                <w:rtl/>
              </w:rPr>
            </w:pPr>
          </w:p>
        </w:tc>
      </w:tr>
    </w:tbl>
    <w:p w14:paraId="2D8C2CB3" w14:textId="77777777" w:rsidR="00AC7FF0" w:rsidRDefault="00AC7FF0">
      <w:pPr>
        <w:pStyle w:val="a3"/>
        <w:jc w:val="center"/>
        <w:rPr>
          <w:sz w:val="28"/>
          <w:szCs w:val="28"/>
          <w:rtl/>
        </w:rPr>
      </w:pPr>
    </w:p>
    <w:p w14:paraId="759BA292" w14:textId="77777777" w:rsidR="00170413" w:rsidRPr="00170413" w:rsidRDefault="00170413" w:rsidP="00170413">
      <w:pPr>
        <w:keepNext/>
        <w:rPr>
          <w:rFonts w:ascii="David" w:hAnsi="David"/>
          <w:color w:val="000000"/>
          <w:sz w:val="22"/>
          <w:szCs w:val="22"/>
          <w:rtl/>
        </w:rPr>
      </w:pPr>
    </w:p>
    <w:p w14:paraId="6EB8A92E" w14:textId="77777777" w:rsidR="00170413" w:rsidRPr="00170413" w:rsidRDefault="00170413" w:rsidP="00170413">
      <w:pPr>
        <w:keepNext/>
        <w:rPr>
          <w:rFonts w:ascii="David" w:hAnsi="David"/>
          <w:color w:val="000000"/>
          <w:sz w:val="22"/>
          <w:szCs w:val="22"/>
          <w:rtl/>
        </w:rPr>
      </w:pPr>
      <w:r w:rsidRPr="00170413">
        <w:rPr>
          <w:rFonts w:ascii="David" w:hAnsi="David"/>
          <w:color w:val="000000"/>
          <w:sz w:val="22"/>
          <w:szCs w:val="22"/>
          <w:rtl/>
        </w:rPr>
        <w:t>אברהם טל 54678313</w:t>
      </w:r>
    </w:p>
    <w:p w14:paraId="3D3F4A83" w14:textId="77777777" w:rsidR="00170413" w:rsidRDefault="00170413" w:rsidP="00170413">
      <w:r w:rsidRPr="00170413">
        <w:rPr>
          <w:color w:val="000000"/>
          <w:rtl/>
        </w:rPr>
        <w:t>נוסח מסמך זה כפוף לשינויי ניסוח ועריכה</w:t>
      </w:r>
    </w:p>
    <w:p w14:paraId="401A66B8" w14:textId="77777777" w:rsidR="00170413" w:rsidRDefault="00170413" w:rsidP="00170413">
      <w:pPr>
        <w:rPr>
          <w:rtl/>
        </w:rPr>
      </w:pPr>
    </w:p>
    <w:p w14:paraId="4FE38699" w14:textId="77777777" w:rsidR="00170413" w:rsidRDefault="00170413" w:rsidP="00170413">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6AF68AE" w14:textId="77777777" w:rsidR="00AC7FF0" w:rsidRPr="00170413" w:rsidRDefault="00AC7FF0" w:rsidP="00170413">
      <w:pPr>
        <w:jc w:val="center"/>
        <w:rPr>
          <w:color w:val="0000FF"/>
          <w:u w:val="single"/>
        </w:rPr>
      </w:pPr>
    </w:p>
    <w:sectPr w:rsidR="00AC7FF0" w:rsidRPr="00170413" w:rsidSect="00170413">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45FA2" w14:textId="77777777" w:rsidR="00FE7DFC" w:rsidRPr="0025508A" w:rsidRDefault="00FE7DFC">
      <w:pPr>
        <w:rPr>
          <w:rFonts w:cs="Arial"/>
          <w:szCs w:val="20"/>
        </w:rPr>
      </w:pPr>
      <w:r>
        <w:separator/>
      </w:r>
    </w:p>
  </w:endnote>
  <w:endnote w:type="continuationSeparator" w:id="0">
    <w:p w14:paraId="15593DFE" w14:textId="77777777" w:rsidR="00FE7DFC" w:rsidRPr="0025508A" w:rsidRDefault="00FE7DF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210" w14:textId="77777777" w:rsidR="00170413" w:rsidRDefault="00170413" w:rsidP="001704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9A5802" w14:textId="77777777" w:rsidR="00AC7FF0" w:rsidRPr="00170413" w:rsidRDefault="00170413" w:rsidP="00170413">
    <w:pPr>
      <w:pStyle w:val="a4"/>
      <w:pBdr>
        <w:top w:val="single" w:sz="4" w:space="1" w:color="auto"/>
        <w:between w:val="single" w:sz="4" w:space="0" w:color="auto"/>
      </w:pBdr>
      <w:spacing w:after="60"/>
      <w:jc w:val="center"/>
      <w:rPr>
        <w:rFonts w:ascii="FrankRuehl" w:hAnsi="FrankRuehl" w:cs="FrankRuehl"/>
        <w:color w:val="000000"/>
      </w:rPr>
    </w:pPr>
    <w:r w:rsidRPr="001704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7A329" w14:textId="77777777" w:rsidR="00170413" w:rsidRDefault="00170413" w:rsidP="001704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6067">
      <w:rPr>
        <w:rFonts w:ascii="FrankRuehl" w:hAnsi="FrankRuehl" w:cs="FrankRuehl"/>
        <w:noProof/>
        <w:rtl/>
      </w:rPr>
      <w:t>1</w:t>
    </w:r>
    <w:r>
      <w:rPr>
        <w:rFonts w:ascii="FrankRuehl" w:hAnsi="FrankRuehl" w:cs="FrankRuehl"/>
        <w:rtl/>
      </w:rPr>
      <w:fldChar w:fldCharType="end"/>
    </w:r>
  </w:p>
  <w:p w14:paraId="7E0B48B0" w14:textId="77777777" w:rsidR="00AC7FF0" w:rsidRPr="00170413" w:rsidRDefault="00170413" w:rsidP="00170413">
    <w:pPr>
      <w:pStyle w:val="a4"/>
      <w:pBdr>
        <w:top w:val="single" w:sz="4" w:space="1" w:color="auto"/>
        <w:between w:val="single" w:sz="4" w:space="0" w:color="auto"/>
      </w:pBdr>
      <w:spacing w:after="60"/>
      <w:jc w:val="center"/>
      <w:rPr>
        <w:rFonts w:ascii="FrankRuehl" w:hAnsi="FrankRuehl" w:cs="FrankRuehl"/>
        <w:color w:val="000000"/>
      </w:rPr>
    </w:pPr>
    <w:r w:rsidRPr="00170413">
      <w:rPr>
        <w:rFonts w:ascii="FrankRuehl" w:hAnsi="FrankRuehl" w:cs="FrankRuehl"/>
        <w:color w:val="000000"/>
      </w:rPr>
      <w:pict w14:anchorId="6AC24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A2941" w14:textId="77777777" w:rsidR="00FE7DFC" w:rsidRPr="0025508A" w:rsidRDefault="00FE7DFC">
      <w:pPr>
        <w:rPr>
          <w:rFonts w:cs="Arial"/>
          <w:szCs w:val="20"/>
        </w:rPr>
      </w:pPr>
      <w:r>
        <w:separator/>
      </w:r>
    </w:p>
  </w:footnote>
  <w:footnote w:type="continuationSeparator" w:id="0">
    <w:p w14:paraId="2A857B16" w14:textId="77777777" w:rsidR="00FE7DFC" w:rsidRPr="0025508A" w:rsidRDefault="00FE7DF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B4A2B" w14:textId="77777777" w:rsidR="00170413" w:rsidRPr="00170413" w:rsidRDefault="00170413" w:rsidP="001704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17410-08-13</w:t>
    </w:r>
    <w:r>
      <w:rPr>
        <w:rFonts w:ascii="David" w:hAnsi="David"/>
        <w:color w:val="000000"/>
        <w:sz w:val="22"/>
        <w:szCs w:val="22"/>
        <w:rtl/>
      </w:rPr>
      <w:tab/>
      <w:t xml:space="preserve"> מדינת ישראל נ' תום אלקלעי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6CC08" w14:textId="77777777" w:rsidR="00170413" w:rsidRPr="00170413" w:rsidRDefault="00170413" w:rsidP="001704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17410-08-13</w:t>
    </w:r>
    <w:r>
      <w:rPr>
        <w:rFonts w:ascii="David" w:hAnsi="David"/>
        <w:color w:val="000000"/>
        <w:sz w:val="22"/>
        <w:szCs w:val="22"/>
        <w:rtl/>
      </w:rPr>
      <w:tab/>
      <w:t xml:space="preserve"> מדינת ישראל נ' תום אלקלעי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5542F"/>
    <w:multiLevelType w:val="hybridMultilevel"/>
    <w:tmpl w:val="B5F870E8"/>
    <w:lvl w:ilvl="0" w:tplc="5080C964">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F3C04FB"/>
    <w:multiLevelType w:val="hybridMultilevel"/>
    <w:tmpl w:val="4698944E"/>
    <w:lvl w:ilvl="0" w:tplc="11B23D4C">
      <w:start w:val="1"/>
      <w:numFmt w:val="hebrew1"/>
      <w:lvlText w:val="%1."/>
      <w:lvlJc w:val="left"/>
      <w:pPr>
        <w:ind w:left="1080" w:hanging="360"/>
      </w:pPr>
      <w:rPr>
        <w:rFonts w:cs="David"/>
        <w:b w:val="0"/>
        <w:bCs w:val="0"/>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5F13CAA"/>
    <w:multiLevelType w:val="hybridMultilevel"/>
    <w:tmpl w:val="D58E5C20"/>
    <w:lvl w:ilvl="0" w:tplc="A3BCEDC6">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AF22F49"/>
    <w:multiLevelType w:val="hybridMultilevel"/>
    <w:tmpl w:val="9E06B684"/>
    <w:lvl w:ilvl="0" w:tplc="5A3ACF9A">
      <w:start w:val="1"/>
      <w:numFmt w:val="hebrew1"/>
      <w:lvlText w:val="%1."/>
      <w:lvlJc w:val="left"/>
      <w:pPr>
        <w:ind w:left="1080" w:hanging="360"/>
      </w:pPr>
      <w:rPr>
        <w:rFonts w:cs="David"/>
        <w:b w:val="0"/>
        <w:bCs w:val="0"/>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96411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0300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7723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30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7FF0"/>
    <w:rsid w:val="00081E38"/>
    <w:rsid w:val="00170413"/>
    <w:rsid w:val="00641F5B"/>
    <w:rsid w:val="00666067"/>
    <w:rsid w:val="007D6EE6"/>
    <w:rsid w:val="00AC7FF0"/>
    <w:rsid w:val="00FE7D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573396"/>
  <w15:chartTrackingRefBased/>
  <w15:docId w15:val="{C2AE0811-D56F-4895-916F-59896C6B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FF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C7FF0"/>
    <w:pPr>
      <w:tabs>
        <w:tab w:val="center" w:pos="4153"/>
        <w:tab w:val="right" w:pos="8306"/>
      </w:tabs>
    </w:pPr>
  </w:style>
  <w:style w:type="paragraph" w:styleId="a4">
    <w:name w:val="footer"/>
    <w:basedOn w:val="a"/>
    <w:rsid w:val="00AC7FF0"/>
    <w:pPr>
      <w:tabs>
        <w:tab w:val="center" w:pos="4153"/>
        <w:tab w:val="right" w:pos="8306"/>
      </w:tabs>
    </w:pPr>
  </w:style>
  <w:style w:type="character" w:styleId="a5">
    <w:name w:val="page number"/>
    <w:basedOn w:val="a0"/>
    <w:rsid w:val="00AC7FF0"/>
  </w:style>
  <w:style w:type="paragraph" w:customStyle="1" w:styleId="ListParagraph">
    <w:name w:val="List Paragraph"/>
    <w:basedOn w:val="a"/>
    <w:rsid w:val="00AC7FF0"/>
    <w:pPr>
      <w:spacing w:after="200" w:line="276" w:lineRule="auto"/>
      <w:ind w:left="720"/>
      <w:contextualSpacing/>
    </w:pPr>
    <w:rPr>
      <w:rFonts w:ascii="Calibri" w:eastAsia="Calibri" w:hAnsi="Calibri" w:cs="Arial"/>
      <w:sz w:val="22"/>
      <w:szCs w:val="22"/>
    </w:rPr>
  </w:style>
  <w:style w:type="paragraph" w:customStyle="1" w:styleId="1">
    <w:name w:val="פיסקת רשימה1"/>
    <w:basedOn w:val="a"/>
    <w:rsid w:val="00AC7FF0"/>
    <w:pPr>
      <w:spacing w:after="200" w:line="276" w:lineRule="auto"/>
      <w:ind w:left="720"/>
      <w:contextualSpacing/>
    </w:pPr>
    <w:rPr>
      <w:rFonts w:ascii="Calibri" w:eastAsia="Calibri" w:hAnsi="Calibri" w:cs="Arial"/>
      <w:sz w:val="22"/>
      <w:szCs w:val="22"/>
    </w:rPr>
  </w:style>
  <w:style w:type="character" w:styleId="Hyperlink">
    <w:name w:val="Hyperlink"/>
    <w:basedOn w:val="a0"/>
    <w:rsid w:val="00AC7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4216"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1700094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49227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611973" TargetMode="External"/><Relationship Id="rId37" Type="http://schemas.openxmlformats.org/officeDocument/2006/relationships/hyperlink" Target="http://www.nevo.co.il/case/5608601"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5601703"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4170626"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 TargetMode="External"/><Relationship Id="rId30" Type="http://schemas.openxmlformats.org/officeDocument/2006/relationships/hyperlink" Target="http://www.nevo.co.il/case/3892678" TargetMode="External"/><Relationship Id="rId35" Type="http://schemas.openxmlformats.org/officeDocument/2006/relationships/hyperlink" Target="http://www.nevo.co.il/law/7030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1269647" TargetMode="External"/><Relationship Id="rId38" Type="http://schemas.openxmlformats.org/officeDocument/2006/relationships/hyperlink" Target="http://www.nevo.co.il/law/70301/40i" TargetMode="External"/><Relationship Id="rId46" Type="http://schemas.openxmlformats.org/officeDocument/2006/relationships/footer" Target="footer2.xml"/><Relationship Id="rId20" Type="http://schemas.openxmlformats.org/officeDocument/2006/relationships/hyperlink" Target="http://www.nevo.co.il/law/4216/19a"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4501</Words>
  <Characters>22509</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26957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3276922</vt:i4>
      </vt:variant>
      <vt:variant>
        <vt:i4>90</vt:i4>
      </vt:variant>
      <vt:variant>
        <vt:i4>0</vt:i4>
      </vt:variant>
      <vt:variant>
        <vt:i4>5</vt:i4>
      </vt:variant>
      <vt:variant>
        <vt:lpwstr>http://www.nevo.co.il/case/5608601</vt:lpwstr>
      </vt:variant>
      <vt:variant>
        <vt:lpwstr/>
      </vt:variant>
      <vt:variant>
        <vt:i4>3211379</vt:i4>
      </vt:variant>
      <vt:variant>
        <vt:i4>87</vt:i4>
      </vt:variant>
      <vt:variant>
        <vt:i4>0</vt:i4>
      </vt:variant>
      <vt:variant>
        <vt:i4>5</vt:i4>
      </vt:variant>
      <vt:variant>
        <vt:lpwstr>http://www.nevo.co.il/case/5601703</vt:lpwstr>
      </vt:variant>
      <vt:variant>
        <vt:lpwstr/>
      </vt:variant>
      <vt:variant>
        <vt:i4>7995492</vt:i4>
      </vt:variant>
      <vt:variant>
        <vt:i4>84</vt:i4>
      </vt:variant>
      <vt:variant>
        <vt:i4>0</vt:i4>
      </vt:variant>
      <vt:variant>
        <vt:i4>5</vt:i4>
      </vt:variant>
      <vt:variant>
        <vt:lpwstr>http://www.nevo.co.il/law/70301</vt:lpwstr>
      </vt:variant>
      <vt:variant>
        <vt:lpwstr/>
      </vt:variant>
      <vt:variant>
        <vt:i4>3473530</vt:i4>
      </vt:variant>
      <vt:variant>
        <vt:i4>81</vt:i4>
      </vt:variant>
      <vt:variant>
        <vt:i4>0</vt:i4>
      </vt:variant>
      <vt:variant>
        <vt:i4>5</vt:i4>
      </vt:variant>
      <vt:variant>
        <vt:lpwstr>http://www.nevo.co.il/case/17000947</vt:lpwstr>
      </vt:variant>
      <vt:variant>
        <vt:lpwstr/>
      </vt:variant>
      <vt:variant>
        <vt:i4>4063349</vt:i4>
      </vt:variant>
      <vt:variant>
        <vt:i4>78</vt:i4>
      </vt:variant>
      <vt:variant>
        <vt:i4>0</vt:i4>
      </vt:variant>
      <vt:variant>
        <vt:i4>5</vt:i4>
      </vt:variant>
      <vt:variant>
        <vt:lpwstr>http://www.nevo.co.il/case/11269647</vt:lpwstr>
      </vt:variant>
      <vt:variant>
        <vt:lpwstr/>
      </vt:variant>
      <vt:variant>
        <vt:i4>3735668</vt:i4>
      </vt:variant>
      <vt:variant>
        <vt:i4>75</vt:i4>
      </vt:variant>
      <vt:variant>
        <vt:i4>0</vt:i4>
      </vt:variant>
      <vt:variant>
        <vt:i4>5</vt:i4>
      </vt:variant>
      <vt:variant>
        <vt:lpwstr>http://www.nevo.co.il/case/2611973</vt:lpwstr>
      </vt:variant>
      <vt:variant>
        <vt:lpwstr/>
      </vt:variant>
      <vt:variant>
        <vt:i4>3342455</vt:i4>
      </vt:variant>
      <vt:variant>
        <vt:i4>72</vt:i4>
      </vt:variant>
      <vt:variant>
        <vt:i4>0</vt:i4>
      </vt:variant>
      <vt:variant>
        <vt:i4>5</vt:i4>
      </vt:variant>
      <vt:variant>
        <vt:lpwstr>http://www.nevo.co.il/case/4170626</vt:lpwstr>
      </vt:variant>
      <vt:variant>
        <vt:lpwstr/>
      </vt:variant>
      <vt:variant>
        <vt:i4>3407993</vt:i4>
      </vt:variant>
      <vt:variant>
        <vt:i4>69</vt:i4>
      </vt:variant>
      <vt:variant>
        <vt:i4>0</vt:i4>
      </vt:variant>
      <vt:variant>
        <vt:i4>5</vt:i4>
      </vt:variant>
      <vt:variant>
        <vt:lpwstr>http://www.nevo.co.il/case/3892678</vt:lpwstr>
      </vt:variant>
      <vt:variant>
        <vt:lpwstr/>
      </vt:variant>
      <vt:variant>
        <vt:i4>3604599</vt:i4>
      </vt:variant>
      <vt:variant>
        <vt:i4>66</vt:i4>
      </vt:variant>
      <vt:variant>
        <vt:i4>0</vt:i4>
      </vt:variant>
      <vt:variant>
        <vt:i4>5</vt:i4>
      </vt:variant>
      <vt:variant>
        <vt:lpwstr>http://www.nevo.co.il/case/4922786</vt:lpwstr>
      </vt:variant>
      <vt:variant>
        <vt:lpwstr/>
      </vt:variant>
      <vt:variant>
        <vt:i4>3997809</vt:i4>
      </vt:variant>
      <vt:variant>
        <vt:i4>63</vt:i4>
      </vt:variant>
      <vt:variant>
        <vt:i4>0</vt:i4>
      </vt:variant>
      <vt:variant>
        <vt:i4>5</vt:i4>
      </vt:variant>
      <vt:variant>
        <vt:lpwstr>http://www.nevo.co.il/case/5583030</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2025-04-22T20:30:00Z</dcterms:created>
  <dcterms:modified xsi:type="dcterms:W3CDTF">2025-04-22T20:30:00Z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17410</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תום אלקלעי</vt:lpwstr>
  </property>
  <property fmtid="{D5CDD505-2E9C-101B-9397-08002B2CF9AE}" pid="10" name="JUDGE">
    <vt:lpwstr>אברהם טל</vt:lpwstr>
  </property>
  <property fmtid="{D5CDD505-2E9C-101B-9397-08002B2CF9AE}" pid="11" name="CITY">
    <vt:lpwstr>מרכז</vt:lpwstr>
  </property>
  <property fmtid="{D5CDD505-2E9C-101B-9397-08002B2CF9AE}" pid="12" name="DATE">
    <vt:lpwstr>20140630</vt:lpwstr>
  </property>
  <property fmtid="{D5CDD505-2E9C-101B-9397-08002B2CF9AE}" pid="13" name="TYPE_N_DATE">
    <vt:lpwstr>39020140630</vt:lpwstr>
  </property>
  <property fmtid="{D5CDD505-2E9C-101B-9397-08002B2CF9AE}" pid="14" name="CASESLISTTMP1">
    <vt:lpwstr>5583030;4922786;3892678;4170626;2611973;11269647;17000947;5601703;5608601</vt:lpwstr>
  </property>
  <property fmtid="{D5CDD505-2E9C-101B-9397-08002B2CF9AE}" pid="15" name="CASENOTES1">
    <vt:lpwstr>ProcID=209&amp;PartA=19968&amp;PartB=12&amp;PartC=12</vt:lpwstr>
  </property>
  <property fmtid="{D5CDD505-2E9C-101B-9397-08002B2CF9AE}" pid="16" name="WORDNUMPAGES">
    <vt:lpwstr>20</vt:lpwstr>
  </property>
  <property fmtid="{D5CDD505-2E9C-101B-9397-08002B2CF9AE}" pid="17" name="TYPE_ABS_DATE">
    <vt:lpwstr>390020140630</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4216/013:2;019a:2;007.a:3;007.c:3</vt:lpwstr>
  </property>
  <property fmtid="{D5CDD505-2E9C-101B-9397-08002B2CF9AE}" pid="38" name="LAWLISTTMP2">
    <vt:lpwstr>70301/040i</vt:lpwstr>
  </property>
</Properties>
</file>