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94B40" w:rsidRPr="0045348D" w14:paraId="54FB1C22" w14:textId="77777777">
        <w:trPr>
          <w:trHeight w:hRule="exact" w:val="418"/>
          <w:jc w:val="center"/>
        </w:trPr>
        <w:tc>
          <w:tcPr>
            <w:tcW w:w="8721" w:type="dxa"/>
            <w:gridSpan w:val="2"/>
          </w:tcPr>
          <w:p w14:paraId="22BA0268" w14:textId="77777777" w:rsidR="00394B40" w:rsidRPr="0045348D" w:rsidRDefault="0045348D">
            <w:pPr>
              <w:pStyle w:val="a3"/>
              <w:jc w:val="center"/>
              <w:rPr>
                <w:rFonts w:ascii="Tahoma" w:hAnsi="Tahoma" w:cs="Tahoma"/>
                <w:color w:val="000080"/>
                <w:rtl/>
              </w:rPr>
            </w:pPr>
            <w:r w:rsidRPr="0045348D">
              <w:rPr>
                <w:rFonts w:ascii="Tahoma" w:hAnsi="Tahoma" w:cs="Tahoma"/>
                <w:b/>
                <w:bCs/>
                <w:color w:val="000080"/>
                <w:rtl/>
              </w:rPr>
              <w:t>בית המשפט המחוזי בתל אביב - יפו</w:t>
            </w:r>
          </w:p>
        </w:tc>
      </w:tr>
      <w:tr w:rsidR="00394B40" w:rsidRPr="0045348D" w14:paraId="5168D416" w14:textId="77777777">
        <w:trPr>
          <w:trHeight w:val="337"/>
          <w:jc w:val="center"/>
        </w:trPr>
        <w:tc>
          <w:tcPr>
            <w:tcW w:w="5054" w:type="dxa"/>
          </w:tcPr>
          <w:p w14:paraId="407321B6" w14:textId="77777777" w:rsidR="00394B40" w:rsidRPr="0045348D" w:rsidRDefault="0045348D">
            <w:pPr>
              <w:rPr>
                <w:rFonts w:cs="FrankRuehl"/>
                <w:sz w:val="28"/>
                <w:szCs w:val="28"/>
                <w:rtl/>
              </w:rPr>
            </w:pPr>
            <w:r w:rsidRPr="0045348D">
              <w:rPr>
                <w:rFonts w:cs="FrankRuehl"/>
                <w:sz w:val="28"/>
                <w:szCs w:val="28"/>
                <w:rtl/>
              </w:rPr>
              <w:t>ת"פ</w:t>
            </w:r>
            <w:r w:rsidRPr="0045348D">
              <w:rPr>
                <w:rFonts w:cs="FrankRuehl" w:hint="cs"/>
                <w:sz w:val="28"/>
                <w:szCs w:val="28"/>
                <w:rtl/>
              </w:rPr>
              <w:t xml:space="preserve"> </w:t>
            </w:r>
            <w:r w:rsidRPr="0045348D">
              <w:rPr>
                <w:rFonts w:cs="FrankRuehl"/>
                <w:sz w:val="28"/>
                <w:szCs w:val="28"/>
                <w:rtl/>
              </w:rPr>
              <w:t>44882-08-13</w:t>
            </w:r>
            <w:r w:rsidRPr="0045348D">
              <w:rPr>
                <w:rFonts w:cs="FrankRuehl" w:hint="cs"/>
                <w:sz w:val="28"/>
                <w:szCs w:val="28"/>
                <w:rtl/>
              </w:rPr>
              <w:t xml:space="preserve"> </w:t>
            </w:r>
            <w:r w:rsidRPr="0045348D">
              <w:rPr>
                <w:rFonts w:cs="FrankRuehl"/>
                <w:sz w:val="28"/>
                <w:szCs w:val="28"/>
                <w:rtl/>
              </w:rPr>
              <w:t>מדינת ישראל נ' עובדיה</w:t>
            </w:r>
          </w:p>
          <w:p w14:paraId="1BE12966" w14:textId="77777777" w:rsidR="00394B40" w:rsidRPr="0045348D" w:rsidRDefault="00394B40">
            <w:pPr>
              <w:pStyle w:val="a3"/>
              <w:rPr>
                <w:rFonts w:cs="FrankRuehl"/>
                <w:sz w:val="28"/>
                <w:szCs w:val="28"/>
                <w:rtl/>
              </w:rPr>
            </w:pPr>
          </w:p>
        </w:tc>
        <w:tc>
          <w:tcPr>
            <w:tcW w:w="3667" w:type="dxa"/>
          </w:tcPr>
          <w:p w14:paraId="27FDDF36" w14:textId="77777777" w:rsidR="00394B40" w:rsidRPr="0045348D" w:rsidRDefault="00394B40">
            <w:pPr>
              <w:pStyle w:val="a3"/>
              <w:jc w:val="right"/>
              <w:rPr>
                <w:rFonts w:cs="FrankRuehl"/>
                <w:sz w:val="28"/>
                <w:szCs w:val="28"/>
                <w:rtl/>
              </w:rPr>
            </w:pPr>
          </w:p>
        </w:tc>
      </w:tr>
    </w:tbl>
    <w:p w14:paraId="3D9D360C" w14:textId="77777777" w:rsidR="00394B40" w:rsidRPr="0045348D" w:rsidRDefault="0045348D">
      <w:pPr>
        <w:pStyle w:val="a3"/>
        <w:rPr>
          <w:rtl/>
        </w:rPr>
      </w:pPr>
      <w:r w:rsidRPr="0045348D">
        <w:rPr>
          <w:rFonts w:hint="cs"/>
          <w:rtl/>
        </w:rPr>
        <w:t xml:space="preserve"> </w:t>
      </w:r>
    </w:p>
    <w:p w14:paraId="532F2CF8" w14:textId="77777777" w:rsidR="00394B40" w:rsidRPr="0045348D" w:rsidRDefault="00394B40">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94B40" w:rsidRPr="0045348D" w14:paraId="3808874C" w14:textId="77777777">
        <w:trPr>
          <w:trHeight w:val="295"/>
          <w:jc w:val="center"/>
        </w:trPr>
        <w:tc>
          <w:tcPr>
            <w:tcW w:w="923" w:type="dxa"/>
            <w:tcBorders>
              <w:top w:val="nil"/>
              <w:left w:val="nil"/>
              <w:bottom w:val="nil"/>
              <w:right w:val="nil"/>
            </w:tcBorders>
          </w:tcPr>
          <w:p w14:paraId="53DD124A" w14:textId="77777777" w:rsidR="00394B40" w:rsidRPr="0045348D" w:rsidRDefault="0045348D">
            <w:pPr>
              <w:jc w:val="both"/>
              <w:rPr>
                <w:rFonts w:ascii="Arial" w:hAnsi="Arial" w:cs="FrankRuehl"/>
                <w:sz w:val="28"/>
                <w:szCs w:val="28"/>
              </w:rPr>
            </w:pPr>
            <w:bookmarkStart w:id="0" w:name="_GoBack"/>
            <w:bookmarkEnd w:id="0"/>
            <w:r w:rsidRPr="0045348D">
              <w:rPr>
                <w:rFonts w:ascii="Arial" w:hAnsi="Arial" w:cs="FrankRuehl" w:hint="cs"/>
                <w:sz w:val="28"/>
                <w:szCs w:val="28"/>
                <w:rtl/>
              </w:rPr>
              <w:t>ב</w:t>
            </w:r>
            <w:r w:rsidRPr="0045348D">
              <w:rPr>
                <w:rFonts w:ascii="Arial" w:hAnsi="Arial" w:cs="FrankRuehl"/>
                <w:sz w:val="28"/>
                <w:szCs w:val="28"/>
                <w:rtl/>
              </w:rPr>
              <w:t xml:space="preserve">פני </w:t>
            </w:r>
          </w:p>
        </w:tc>
        <w:tc>
          <w:tcPr>
            <w:tcW w:w="7897" w:type="dxa"/>
            <w:gridSpan w:val="2"/>
            <w:tcBorders>
              <w:top w:val="nil"/>
              <w:left w:val="nil"/>
              <w:bottom w:val="nil"/>
              <w:right w:val="nil"/>
            </w:tcBorders>
          </w:tcPr>
          <w:p w14:paraId="631385CF" w14:textId="77777777" w:rsidR="00394B40" w:rsidRPr="0045348D" w:rsidRDefault="0045348D" w:rsidP="003473CE">
            <w:pPr>
              <w:rPr>
                <w:rFonts w:ascii="Arial" w:hAnsi="Arial"/>
                <w:b/>
                <w:bCs/>
                <w:rtl/>
              </w:rPr>
            </w:pPr>
            <w:r w:rsidRPr="0045348D">
              <w:rPr>
                <w:rFonts w:ascii="Arial" w:hAnsi="Arial" w:hint="cs"/>
                <w:b/>
                <w:bCs/>
                <w:rtl/>
              </w:rPr>
              <w:t>כב</w:t>
            </w:r>
            <w:r w:rsidR="003473CE">
              <w:rPr>
                <w:rFonts w:ascii="Arial" w:hAnsi="Arial" w:hint="cs"/>
                <w:b/>
                <w:bCs/>
                <w:rtl/>
              </w:rPr>
              <w:t>וד</w:t>
            </w:r>
            <w:r w:rsidRPr="0045348D">
              <w:rPr>
                <w:rFonts w:ascii="Arial" w:hAnsi="Arial" w:hint="cs"/>
                <w:b/>
                <w:bCs/>
                <w:rtl/>
              </w:rPr>
              <w:t xml:space="preserve"> ה</w:t>
            </w:r>
            <w:r w:rsidRPr="0045348D">
              <w:rPr>
                <w:rFonts w:hint="cs"/>
                <w:rtl/>
              </w:rPr>
              <w:t>שופט, סגן נשיאה</w:t>
            </w:r>
            <w:r w:rsidRPr="0045348D">
              <w:rPr>
                <w:rFonts w:ascii="Arial" w:hAnsi="Arial" w:hint="cs"/>
                <w:b/>
                <w:bCs/>
                <w:rtl/>
              </w:rPr>
              <w:t xml:space="preserve">  </w:t>
            </w:r>
            <w:r w:rsidRPr="0045348D">
              <w:rPr>
                <w:rFonts w:hint="cs"/>
                <w:rtl/>
              </w:rPr>
              <w:t>ג'ורג' קרא</w:t>
            </w:r>
          </w:p>
          <w:p w14:paraId="7F0149BC" w14:textId="77777777" w:rsidR="00394B40" w:rsidRPr="0045348D" w:rsidRDefault="00394B40">
            <w:pPr>
              <w:rPr>
                <w:rtl/>
              </w:rPr>
            </w:pPr>
          </w:p>
          <w:p w14:paraId="6F76B4F1" w14:textId="77777777" w:rsidR="00394B40" w:rsidRPr="0045348D" w:rsidRDefault="00394B40">
            <w:pPr>
              <w:jc w:val="both"/>
              <w:rPr>
                <w:rFonts w:ascii="Arial" w:hAnsi="Arial" w:cs="FrankRuehl"/>
                <w:sz w:val="28"/>
                <w:szCs w:val="28"/>
              </w:rPr>
            </w:pPr>
          </w:p>
        </w:tc>
      </w:tr>
      <w:tr w:rsidR="00394B40" w:rsidRPr="0045348D" w14:paraId="69E575C5" w14:textId="77777777">
        <w:trPr>
          <w:trHeight w:val="355"/>
          <w:jc w:val="center"/>
        </w:trPr>
        <w:tc>
          <w:tcPr>
            <w:tcW w:w="923" w:type="dxa"/>
            <w:tcBorders>
              <w:top w:val="nil"/>
              <w:left w:val="nil"/>
              <w:bottom w:val="nil"/>
              <w:right w:val="nil"/>
            </w:tcBorders>
          </w:tcPr>
          <w:p w14:paraId="3A3B514A" w14:textId="77777777" w:rsidR="00394B40" w:rsidRPr="0045348D" w:rsidRDefault="0045348D">
            <w:pPr>
              <w:jc w:val="both"/>
              <w:rPr>
                <w:rFonts w:ascii="Arial" w:hAnsi="Arial" w:cs="FrankRuehl"/>
                <w:b/>
                <w:bCs/>
                <w:sz w:val="28"/>
                <w:szCs w:val="28"/>
              </w:rPr>
            </w:pPr>
            <w:bookmarkStart w:id="1" w:name="FirstAppellant"/>
            <w:bookmarkStart w:id="2" w:name="LastJudge"/>
            <w:bookmarkEnd w:id="2"/>
            <w:r w:rsidRPr="0045348D">
              <w:rPr>
                <w:rFonts w:ascii="Arial" w:hAnsi="Arial" w:cs="FrankRuehl" w:hint="cs"/>
                <w:b/>
                <w:bCs/>
                <w:sz w:val="28"/>
                <w:szCs w:val="28"/>
                <w:rtl/>
              </w:rPr>
              <w:t>בעניין:</w:t>
            </w:r>
          </w:p>
        </w:tc>
        <w:tc>
          <w:tcPr>
            <w:tcW w:w="4126" w:type="dxa"/>
            <w:tcBorders>
              <w:top w:val="nil"/>
              <w:left w:val="nil"/>
              <w:bottom w:val="nil"/>
              <w:right w:val="nil"/>
            </w:tcBorders>
          </w:tcPr>
          <w:p w14:paraId="10AA6631" w14:textId="77777777" w:rsidR="00394B40" w:rsidRPr="0045348D" w:rsidRDefault="0045348D">
            <w:pPr>
              <w:rPr>
                <w:b/>
                <w:bCs/>
              </w:rPr>
            </w:pPr>
            <w:r w:rsidRPr="0045348D">
              <w:rPr>
                <w:rFonts w:hint="cs"/>
                <w:b/>
                <w:bCs/>
                <w:rtl/>
              </w:rPr>
              <w:t>מדינת ישראל</w:t>
            </w:r>
          </w:p>
        </w:tc>
        <w:tc>
          <w:tcPr>
            <w:tcW w:w="3771" w:type="dxa"/>
            <w:tcBorders>
              <w:top w:val="nil"/>
              <w:left w:val="nil"/>
              <w:bottom w:val="nil"/>
              <w:right w:val="nil"/>
            </w:tcBorders>
          </w:tcPr>
          <w:p w14:paraId="741F2543" w14:textId="77777777" w:rsidR="00394B40" w:rsidRPr="0045348D" w:rsidRDefault="00394B40">
            <w:pPr>
              <w:jc w:val="both"/>
              <w:rPr>
                <w:rFonts w:ascii="Arial" w:hAnsi="Arial" w:cs="FrankRuehl"/>
                <w:b/>
                <w:bCs/>
                <w:sz w:val="28"/>
                <w:szCs w:val="28"/>
              </w:rPr>
            </w:pPr>
          </w:p>
        </w:tc>
      </w:tr>
      <w:bookmarkEnd w:id="1"/>
      <w:tr w:rsidR="00394B40" w:rsidRPr="0045348D" w14:paraId="307AF12C" w14:textId="77777777">
        <w:trPr>
          <w:trHeight w:val="355"/>
          <w:jc w:val="center"/>
        </w:trPr>
        <w:tc>
          <w:tcPr>
            <w:tcW w:w="923" w:type="dxa"/>
            <w:tcBorders>
              <w:top w:val="nil"/>
              <w:left w:val="nil"/>
              <w:bottom w:val="nil"/>
              <w:right w:val="nil"/>
            </w:tcBorders>
          </w:tcPr>
          <w:p w14:paraId="22E3FF47" w14:textId="77777777" w:rsidR="00394B40" w:rsidRPr="0045348D" w:rsidRDefault="00394B40">
            <w:pPr>
              <w:jc w:val="both"/>
              <w:rPr>
                <w:rFonts w:ascii="Arial" w:hAnsi="Arial" w:cs="FrankRuehl"/>
                <w:b/>
                <w:bCs/>
                <w:sz w:val="28"/>
                <w:szCs w:val="28"/>
                <w:rtl/>
              </w:rPr>
            </w:pPr>
          </w:p>
        </w:tc>
        <w:tc>
          <w:tcPr>
            <w:tcW w:w="4126" w:type="dxa"/>
            <w:tcBorders>
              <w:top w:val="nil"/>
              <w:left w:val="nil"/>
              <w:bottom w:val="nil"/>
              <w:right w:val="nil"/>
            </w:tcBorders>
          </w:tcPr>
          <w:p w14:paraId="1FC5122C" w14:textId="77777777" w:rsidR="00394B40" w:rsidRPr="0045348D" w:rsidRDefault="00394B40">
            <w:pPr>
              <w:jc w:val="both"/>
              <w:rPr>
                <w:b/>
                <w:bCs/>
                <w:rtl/>
              </w:rPr>
            </w:pPr>
          </w:p>
        </w:tc>
        <w:tc>
          <w:tcPr>
            <w:tcW w:w="3771" w:type="dxa"/>
            <w:tcBorders>
              <w:top w:val="nil"/>
              <w:left w:val="nil"/>
              <w:bottom w:val="nil"/>
              <w:right w:val="nil"/>
            </w:tcBorders>
          </w:tcPr>
          <w:p w14:paraId="6656F17B" w14:textId="77777777" w:rsidR="00394B40" w:rsidRPr="0045348D" w:rsidRDefault="0045348D">
            <w:pPr>
              <w:jc w:val="right"/>
              <w:rPr>
                <w:rFonts w:ascii="Arial" w:hAnsi="Arial" w:cs="FrankRuehl"/>
                <w:b/>
                <w:bCs/>
                <w:sz w:val="28"/>
                <w:szCs w:val="28"/>
                <w:rtl/>
              </w:rPr>
            </w:pPr>
            <w:r w:rsidRPr="0045348D">
              <w:rPr>
                <w:rFonts w:ascii="Arial" w:hAnsi="Arial" w:cs="FrankRuehl" w:hint="cs"/>
                <w:b/>
                <w:bCs/>
                <w:sz w:val="28"/>
                <w:szCs w:val="28"/>
                <w:rtl/>
              </w:rPr>
              <w:t>ה</w:t>
            </w:r>
            <w:r w:rsidRPr="0045348D">
              <w:rPr>
                <w:rFonts w:hint="cs"/>
                <w:b/>
                <w:bCs/>
                <w:rtl/>
              </w:rPr>
              <w:t>מאשימה</w:t>
            </w:r>
          </w:p>
        </w:tc>
      </w:tr>
      <w:tr w:rsidR="00394B40" w:rsidRPr="0045348D" w14:paraId="52EC2E30" w14:textId="77777777">
        <w:trPr>
          <w:trHeight w:val="355"/>
          <w:jc w:val="center"/>
        </w:trPr>
        <w:tc>
          <w:tcPr>
            <w:tcW w:w="923" w:type="dxa"/>
            <w:tcBorders>
              <w:top w:val="nil"/>
              <w:left w:val="nil"/>
              <w:bottom w:val="nil"/>
              <w:right w:val="nil"/>
            </w:tcBorders>
          </w:tcPr>
          <w:p w14:paraId="7782F7A1" w14:textId="77777777" w:rsidR="00394B40" w:rsidRPr="0045348D" w:rsidRDefault="00394B40">
            <w:pPr>
              <w:jc w:val="both"/>
              <w:rPr>
                <w:rFonts w:ascii="Arial" w:hAnsi="Arial" w:cs="FrankRuehl"/>
                <w:b/>
                <w:bCs/>
                <w:sz w:val="28"/>
                <w:szCs w:val="28"/>
                <w:rtl/>
              </w:rPr>
            </w:pPr>
          </w:p>
        </w:tc>
        <w:tc>
          <w:tcPr>
            <w:tcW w:w="7897" w:type="dxa"/>
            <w:gridSpan w:val="2"/>
            <w:tcBorders>
              <w:top w:val="nil"/>
              <w:left w:val="nil"/>
              <w:bottom w:val="nil"/>
              <w:right w:val="nil"/>
            </w:tcBorders>
          </w:tcPr>
          <w:p w14:paraId="7662C2BD" w14:textId="77777777" w:rsidR="00394B40" w:rsidRPr="0045348D" w:rsidRDefault="00394B40">
            <w:pPr>
              <w:jc w:val="center"/>
              <w:rPr>
                <w:rFonts w:ascii="Arial" w:hAnsi="Arial" w:cs="FrankRuehl"/>
                <w:b/>
                <w:bCs/>
                <w:sz w:val="28"/>
                <w:szCs w:val="28"/>
                <w:rtl/>
              </w:rPr>
            </w:pPr>
          </w:p>
          <w:p w14:paraId="45D5B230" w14:textId="77777777" w:rsidR="00394B40" w:rsidRPr="0045348D" w:rsidRDefault="0045348D">
            <w:pPr>
              <w:jc w:val="center"/>
              <w:rPr>
                <w:rFonts w:ascii="Arial" w:hAnsi="Arial" w:cs="FrankRuehl"/>
                <w:b/>
                <w:bCs/>
                <w:sz w:val="28"/>
                <w:szCs w:val="28"/>
                <w:rtl/>
              </w:rPr>
            </w:pPr>
            <w:r w:rsidRPr="0045348D">
              <w:rPr>
                <w:rFonts w:ascii="Arial" w:hAnsi="Arial" w:cs="FrankRuehl"/>
                <w:b/>
                <w:bCs/>
                <w:sz w:val="28"/>
                <w:szCs w:val="28"/>
                <w:rtl/>
              </w:rPr>
              <w:t>נגד</w:t>
            </w:r>
          </w:p>
          <w:p w14:paraId="3221BA13" w14:textId="77777777" w:rsidR="00394B40" w:rsidRPr="0045348D" w:rsidRDefault="00394B40">
            <w:pPr>
              <w:jc w:val="both"/>
              <w:rPr>
                <w:rFonts w:ascii="Arial" w:hAnsi="Arial" w:cs="FrankRuehl"/>
                <w:b/>
                <w:bCs/>
                <w:sz w:val="28"/>
                <w:szCs w:val="28"/>
              </w:rPr>
            </w:pPr>
          </w:p>
        </w:tc>
      </w:tr>
      <w:tr w:rsidR="00394B40" w:rsidRPr="0045348D" w14:paraId="5E83A5BF" w14:textId="77777777">
        <w:trPr>
          <w:trHeight w:val="355"/>
          <w:jc w:val="center"/>
        </w:trPr>
        <w:tc>
          <w:tcPr>
            <w:tcW w:w="923" w:type="dxa"/>
            <w:tcBorders>
              <w:top w:val="nil"/>
              <w:left w:val="nil"/>
              <w:bottom w:val="nil"/>
              <w:right w:val="nil"/>
            </w:tcBorders>
          </w:tcPr>
          <w:p w14:paraId="49B4C59F" w14:textId="77777777" w:rsidR="00394B40" w:rsidRPr="0045348D" w:rsidRDefault="00394B40">
            <w:pPr>
              <w:rPr>
                <w:rFonts w:ascii="Arial" w:hAnsi="Arial" w:cs="FrankRuehl"/>
                <w:b/>
                <w:bCs/>
                <w:sz w:val="28"/>
                <w:szCs w:val="28"/>
                <w:rtl/>
              </w:rPr>
            </w:pPr>
          </w:p>
        </w:tc>
        <w:tc>
          <w:tcPr>
            <w:tcW w:w="4126" w:type="dxa"/>
            <w:tcBorders>
              <w:top w:val="nil"/>
              <w:left w:val="nil"/>
              <w:bottom w:val="nil"/>
              <w:right w:val="nil"/>
            </w:tcBorders>
          </w:tcPr>
          <w:p w14:paraId="370E4AF7" w14:textId="77777777" w:rsidR="00394B40" w:rsidRPr="0045348D" w:rsidRDefault="0045348D">
            <w:pPr>
              <w:rPr>
                <w:b/>
                <w:bCs/>
                <w:rtl/>
              </w:rPr>
            </w:pPr>
            <w:r w:rsidRPr="0045348D">
              <w:rPr>
                <w:rFonts w:hint="cs"/>
                <w:b/>
                <w:bCs/>
                <w:rtl/>
              </w:rPr>
              <w:t>לביא עובדיה</w:t>
            </w:r>
          </w:p>
        </w:tc>
        <w:tc>
          <w:tcPr>
            <w:tcW w:w="3771" w:type="dxa"/>
            <w:tcBorders>
              <w:top w:val="nil"/>
              <w:left w:val="nil"/>
              <w:bottom w:val="nil"/>
              <w:right w:val="nil"/>
            </w:tcBorders>
          </w:tcPr>
          <w:p w14:paraId="3A5EB647" w14:textId="77777777" w:rsidR="00394B40" w:rsidRPr="0045348D" w:rsidRDefault="00394B40">
            <w:pPr>
              <w:jc w:val="right"/>
              <w:rPr>
                <w:rFonts w:ascii="Arial" w:hAnsi="Arial" w:cs="FrankRuehl"/>
                <w:b/>
                <w:bCs/>
                <w:sz w:val="28"/>
                <w:szCs w:val="28"/>
              </w:rPr>
            </w:pPr>
          </w:p>
        </w:tc>
      </w:tr>
      <w:tr w:rsidR="00394B40" w:rsidRPr="0045348D" w14:paraId="31761EC5" w14:textId="77777777">
        <w:trPr>
          <w:trHeight w:val="355"/>
          <w:jc w:val="center"/>
        </w:trPr>
        <w:tc>
          <w:tcPr>
            <w:tcW w:w="923" w:type="dxa"/>
            <w:tcBorders>
              <w:top w:val="nil"/>
              <w:left w:val="nil"/>
              <w:bottom w:val="nil"/>
              <w:right w:val="nil"/>
            </w:tcBorders>
          </w:tcPr>
          <w:p w14:paraId="7B7A7610" w14:textId="77777777" w:rsidR="00394B40" w:rsidRPr="0045348D" w:rsidRDefault="00394B40">
            <w:pPr>
              <w:jc w:val="both"/>
              <w:rPr>
                <w:rFonts w:ascii="Arial" w:hAnsi="Arial" w:cs="FrankRuehl"/>
                <w:b/>
                <w:bCs/>
                <w:sz w:val="28"/>
                <w:szCs w:val="28"/>
                <w:rtl/>
              </w:rPr>
            </w:pPr>
          </w:p>
        </w:tc>
        <w:tc>
          <w:tcPr>
            <w:tcW w:w="4126" w:type="dxa"/>
            <w:tcBorders>
              <w:top w:val="nil"/>
              <w:left w:val="nil"/>
              <w:bottom w:val="nil"/>
              <w:right w:val="nil"/>
            </w:tcBorders>
          </w:tcPr>
          <w:p w14:paraId="24103050" w14:textId="77777777" w:rsidR="00394B40" w:rsidRPr="0045348D" w:rsidRDefault="00394B40">
            <w:pPr>
              <w:jc w:val="both"/>
              <w:rPr>
                <w:b/>
                <w:bCs/>
                <w:rtl/>
              </w:rPr>
            </w:pPr>
          </w:p>
        </w:tc>
        <w:tc>
          <w:tcPr>
            <w:tcW w:w="3771" w:type="dxa"/>
            <w:tcBorders>
              <w:top w:val="nil"/>
              <w:left w:val="nil"/>
              <w:bottom w:val="nil"/>
              <w:right w:val="nil"/>
            </w:tcBorders>
          </w:tcPr>
          <w:p w14:paraId="1C1A2124" w14:textId="77777777" w:rsidR="00394B40" w:rsidRPr="0045348D" w:rsidRDefault="0045348D">
            <w:pPr>
              <w:jc w:val="right"/>
              <w:rPr>
                <w:rFonts w:ascii="Arial" w:hAnsi="Arial" w:cs="FrankRuehl"/>
                <w:b/>
                <w:bCs/>
                <w:sz w:val="28"/>
                <w:szCs w:val="28"/>
              </w:rPr>
            </w:pPr>
            <w:r w:rsidRPr="0045348D">
              <w:rPr>
                <w:rFonts w:ascii="Arial" w:hAnsi="Arial" w:cs="FrankRuehl" w:hint="cs"/>
                <w:b/>
                <w:bCs/>
                <w:sz w:val="28"/>
                <w:szCs w:val="28"/>
                <w:rtl/>
              </w:rPr>
              <w:t>ה</w:t>
            </w:r>
            <w:r w:rsidRPr="0045348D">
              <w:rPr>
                <w:rFonts w:hint="cs"/>
                <w:b/>
                <w:bCs/>
                <w:rtl/>
              </w:rPr>
              <w:t>נאשמים</w:t>
            </w:r>
          </w:p>
        </w:tc>
      </w:tr>
    </w:tbl>
    <w:p w14:paraId="1B874A5A" w14:textId="77777777" w:rsidR="00394B40" w:rsidRPr="0045348D" w:rsidRDefault="00394B40">
      <w:pPr>
        <w:rPr>
          <w:b/>
          <w:bCs/>
          <w:rtl/>
        </w:rPr>
      </w:pPr>
    </w:p>
    <w:p w14:paraId="303C2FEB" w14:textId="77777777" w:rsidR="00394B40" w:rsidRPr="0045348D" w:rsidRDefault="0045348D">
      <w:pPr>
        <w:rPr>
          <w:b/>
          <w:bCs/>
          <w:rtl/>
        </w:rPr>
      </w:pPr>
      <w:r w:rsidRPr="0045348D">
        <w:rPr>
          <w:rFonts w:hint="cs"/>
          <w:b/>
          <w:bCs/>
          <w:rtl/>
        </w:rPr>
        <w:t>נוכחים:</w:t>
      </w:r>
    </w:p>
    <w:p w14:paraId="10072051" w14:textId="77777777" w:rsidR="00394B40" w:rsidRPr="0045348D" w:rsidRDefault="0045348D">
      <w:pPr>
        <w:rPr>
          <w:b/>
          <w:bCs/>
          <w:rtl/>
        </w:rPr>
      </w:pPr>
      <w:bookmarkStart w:id="3" w:name="FirstLawyer"/>
      <w:r w:rsidRPr="0045348D">
        <w:rPr>
          <w:rFonts w:hint="cs"/>
          <w:b/>
          <w:bCs/>
          <w:rtl/>
        </w:rPr>
        <w:t>ב"כ</w:t>
      </w:r>
      <w:bookmarkEnd w:id="3"/>
      <w:r w:rsidRPr="0045348D">
        <w:rPr>
          <w:rFonts w:hint="cs"/>
          <w:b/>
          <w:bCs/>
          <w:rtl/>
        </w:rPr>
        <w:t xml:space="preserve"> המאשימה עו"ד כנרת מור</w:t>
      </w:r>
    </w:p>
    <w:p w14:paraId="7C6F8403" w14:textId="77777777" w:rsidR="00394B40" w:rsidRPr="0045348D" w:rsidRDefault="0045348D">
      <w:pPr>
        <w:rPr>
          <w:b/>
          <w:bCs/>
          <w:rtl/>
        </w:rPr>
      </w:pPr>
      <w:r w:rsidRPr="0045348D">
        <w:rPr>
          <w:rFonts w:hint="cs"/>
          <w:b/>
          <w:bCs/>
          <w:rtl/>
        </w:rPr>
        <w:t>ב"כ הנאשם עו"ד שי נודל</w:t>
      </w:r>
    </w:p>
    <w:p w14:paraId="5D2856F5" w14:textId="77777777" w:rsidR="00F87B38" w:rsidRDefault="0045348D">
      <w:r w:rsidRPr="0045348D">
        <w:rPr>
          <w:rFonts w:hint="cs"/>
          <w:b/>
          <w:bCs/>
          <w:rtl/>
        </w:rPr>
        <w:t>הנאשם בעצמו</w:t>
      </w:r>
      <w:bookmarkStart w:id="4" w:name="LawTable"/>
      <w:bookmarkEnd w:id="4"/>
    </w:p>
    <w:p w14:paraId="6F9CD62F" w14:textId="77777777" w:rsidR="00F87B38" w:rsidRPr="00F87B38" w:rsidRDefault="00F87B38" w:rsidP="00F87B38">
      <w:pPr>
        <w:spacing w:after="120" w:line="240" w:lineRule="exact"/>
        <w:ind w:left="283" w:hanging="283"/>
        <w:jc w:val="both"/>
        <w:rPr>
          <w:rFonts w:ascii="FrankRuehl" w:hAnsi="FrankRuehl" w:cs="FrankRuehl"/>
        </w:rPr>
      </w:pPr>
    </w:p>
    <w:p w14:paraId="6ED1B977" w14:textId="77777777" w:rsidR="00F87B38" w:rsidRPr="00F87B38" w:rsidRDefault="00F87B38" w:rsidP="00F87B38">
      <w:pPr>
        <w:spacing w:after="120" w:line="240" w:lineRule="exact"/>
        <w:ind w:left="283" w:hanging="283"/>
        <w:jc w:val="both"/>
        <w:rPr>
          <w:rFonts w:ascii="FrankRuehl" w:hAnsi="FrankRuehl" w:cs="FrankRuehl"/>
        </w:rPr>
      </w:pPr>
      <w:r w:rsidRPr="00F87B38">
        <w:rPr>
          <w:rFonts w:ascii="FrankRuehl" w:hAnsi="FrankRuehl" w:cs="FrankRuehl"/>
          <w:rtl/>
        </w:rPr>
        <w:t xml:space="preserve">חקיקה שאוזכרה: </w:t>
      </w:r>
    </w:p>
    <w:p w14:paraId="7EC4F5C0" w14:textId="77777777" w:rsidR="00F87B38" w:rsidRPr="00F87B38" w:rsidRDefault="00F87B38" w:rsidP="00C207A2">
      <w:pPr>
        <w:spacing w:after="120" w:line="240" w:lineRule="exact"/>
        <w:ind w:left="283" w:hanging="283"/>
        <w:jc w:val="both"/>
        <w:rPr>
          <w:rFonts w:ascii="FrankRuehl" w:hAnsi="FrankRuehl" w:cs="FrankRuehl"/>
        </w:rPr>
      </w:pPr>
      <w:hyperlink r:id="rId7" w:history="1">
        <w:r w:rsidRPr="00F87B38">
          <w:rPr>
            <w:rFonts w:ascii="FrankRuehl" w:hAnsi="FrankRuehl" w:cs="FrankRuehl"/>
            <w:color w:val="0000FF"/>
            <w:u w:val="single"/>
            <w:rtl/>
          </w:rPr>
          <w:t>פקודת הסמים המסוכנים [נוסח חדש], תשל"ג-1973</w:t>
        </w:r>
      </w:hyperlink>
      <w:r w:rsidRPr="00F87B38">
        <w:rPr>
          <w:rFonts w:ascii="FrankRuehl" w:hAnsi="FrankRuehl" w:cs="FrankRuehl"/>
        </w:rPr>
        <w:t xml:space="preserve">: </w:t>
      </w:r>
      <w:r w:rsidRPr="00F87B38">
        <w:rPr>
          <w:rFonts w:ascii="FrankRuehl" w:hAnsi="FrankRuehl" w:cs="FrankRuehl"/>
          <w:rtl/>
        </w:rPr>
        <w:t>סע</w:t>
      </w:r>
      <w:r w:rsidR="003473CE">
        <w:rPr>
          <w:rFonts w:ascii="FrankRuehl" w:hAnsi="FrankRuehl" w:cs="FrankRuehl" w:hint="cs"/>
          <w:rtl/>
        </w:rPr>
        <w:t xml:space="preserve">' </w:t>
      </w:r>
      <w:r w:rsidRPr="00F87B38">
        <w:rPr>
          <w:rFonts w:ascii="FrankRuehl" w:hAnsi="FrankRuehl" w:cs="FrankRuehl"/>
        </w:rPr>
        <w:t xml:space="preserve">  </w:t>
      </w:r>
      <w:hyperlink r:id="rId8" w:history="1">
        <w:r w:rsidRPr="00F87B38">
          <w:rPr>
            <w:rFonts w:ascii="FrankRuehl" w:hAnsi="FrankRuehl" w:cs="FrankRuehl"/>
            <w:color w:val="0000FF"/>
            <w:u w:val="single"/>
          </w:rPr>
          <w:t>13</w:t>
        </w:r>
      </w:hyperlink>
    </w:p>
    <w:p w14:paraId="6514B9C3" w14:textId="77777777" w:rsidR="00F87B38" w:rsidRPr="00F87B38" w:rsidRDefault="00F87B38" w:rsidP="00C207A2">
      <w:pPr>
        <w:spacing w:after="120" w:line="240" w:lineRule="exact"/>
        <w:ind w:left="283" w:hanging="283"/>
        <w:jc w:val="both"/>
        <w:rPr>
          <w:rFonts w:ascii="FrankRuehl" w:hAnsi="FrankRuehl" w:cs="FrankRuehl"/>
        </w:rPr>
      </w:pPr>
      <w:hyperlink r:id="rId9" w:history="1">
        <w:r w:rsidRPr="00F87B38">
          <w:rPr>
            <w:rFonts w:ascii="FrankRuehl" w:hAnsi="FrankRuehl" w:cs="FrankRuehl"/>
            <w:color w:val="0000FF"/>
            <w:u w:val="single"/>
            <w:rtl/>
          </w:rPr>
          <w:t>חוק העונשין, תשל"ז-1977</w:t>
        </w:r>
      </w:hyperlink>
      <w:r w:rsidRPr="00F87B38">
        <w:rPr>
          <w:rFonts w:ascii="FrankRuehl" w:hAnsi="FrankRuehl" w:cs="FrankRuehl"/>
        </w:rPr>
        <w:t xml:space="preserve">: </w:t>
      </w:r>
      <w:r w:rsidRPr="00F87B38">
        <w:rPr>
          <w:rFonts w:ascii="FrankRuehl" w:hAnsi="FrankRuehl" w:cs="FrankRuehl"/>
          <w:rtl/>
        </w:rPr>
        <w:t>סע</w:t>
      </w:r>
      <w:r w:rsidR="003473CE">
        <w:rPr>
          <w:rFonts w:ascii="FrankRuehl" w:hAnsi="FrankRuehl" w:cs="FrankRuehl" w:hint="cs"/>
          <w:rtl/>
        </w:rPr>
        <w:t xml:space="preserve">' </w:t>
      </w:r>
      <w:r w:rsidRPr="00F87B38">
        <w:rPr>
          <w:rFonts w:ascii="FrankRuehl" w:hAnsi="FrankRuehl" w:cs="FrankRuehl"/>
        </w:rPr>
        <w:t xml:space="preserve">  </w:t>
      </w:r>
      <w:hyperlink r:id="rId10" w:history="1">
        <w:r w:rsidRPr="00F87B38">
          <w:rPr>
            <w:rFonts w:ascii="FrankRuehl" w:hAnsi="FrankRuehl" w:cs="FrankRuehl"/>
            <w:color w:val="0000FF"/>
            <w:u w:val="single"/>
          </w:rPr>
          <w:t>40</w:t>
        </w:r>
        <w:r w:rsidRPr="00F87B38">
          <w:rPr>
            <w:rFonts w:ascii="FrankRuehl" w:hAnsi="FrankRuehl" w:cs="FrankRuehl"/>
            <w:color w:val="0000FF"/>
            <w:u w:val="single"/>
            <w:rtl/>
          </w:rPr>
          <w:t>ד(א</w:t>
        </w:r>
        <w:r w:rsidRPr="00F87B38">
          <w:rPr>
            <w:rFonts w:ascii="FrankRuehl" w:hAnsi="FrankRuehl" w:cs="FrankRuehl"/>
            <w:color w:val="0000FF"/>
            <w:u w:val="single"/>
          </w:rPr>
          <w:t>)</w:t>
        </w:r>
      </w:hyperlink>
      <w:r w:rsidRPr="00F87B38">
        <w:rPr>
          <w:rFonts w:ascii="FrankRuehl" w:hAnsi="FrankRuehl" w:cs="FrankRuehl"/>
        </w:rPr>
        <w:t xml:space="preserve">, </w:t>
      </w:r>
      <w:hyperlink r:id="rId11" w:history="1">
        <w:r w:rsidRPr="00F87B38">
          <w:rPr>
            <w:rFonts w:ascii="FrankRuehl" w:hAnsi="FrankRuehl" w:cs="FrankRuehl"/>
            <w:color w:val="0000FF"/>
            <w:u w:val="single"/>
          </w:rPr>
          <w:t>40</w:t>
        </w:r>
        <w:r w:rsidRPr="00F87B38">
          <w:rPr>
            <w:rFonts w:ascii="FrankRuehl" w:hAnsi="FrankRuehl" w:cs="FrankRuehl"/>
            <w:color w:val="0000FF"/>
            <w:u w:val="single"/>
            <w:rtl/>
          </w:rPr>
          <w:t>יג</w:t>
        </w:r>
      </w:hyperlink>
      <w:r w:rsidRPr="00F87B38">
        <w:rPr>
          <w:rFonts w:ascii="FrankRuehl" w:hAnsi="FrankRuehl" w:cs="FrankRuehl"/>
        </w:rPr>
        <w:t xml:space="preserve">, </w:t>
      </w:r>
      <w:hyperlink r:id="rId12" w:history="1">
        <w:r w:rsidRPr="00F87B38">
          <w:rPr>
            <w:rFonts w:ascii="FrankRuehl" w:hAnsi="FrankRuehl" w:cs="FrankRuehl"/>
            <w:color w:val="0000FF"/>
            <w:u w:val="single"/>
          </w:rPr>
          <w:t>40</w:t>
        </w:r>
        <w:r w:rsidRPr="00F87B38">
          <w:rPr>
            <w:rFonts w:ascii="FrankRuehl" w:hAnsi="FrankRuehl" w:cs="FrankRuehl"/>
            <w:color w:val="0000FF"/>
            <w:u w:val="single"/>
            <w:rtl/>
          </w:rPr>
          <w:t>יג(ג</w:t>
        </w:r>
        <w:r w:rsidRPr="00F87B38">
          <w:rPr>
            <w:rFonts w:ascii="FrankRuehl" w:hAnsi="FrankRuehl" w:cs="FrankRuehl"/>
            <w:color w:val="0000FF"/>
            <w:u w:val="single"/>
          </w:rPr>
          <w:t>)</w:t>
        </w:r>
      </w:hyperlink>
      <w:r w:rsidRPr="00F87B38">
        <w:rPr>
          <w:rFonts w:ascii="FrankRuehl" w:hAnsi="FrankRuehl" w:cs="FrankRuehl"/>
        </w:rPr>
        <w:t xml:space="preserve">, </w:t>
      </w:r>
      <w:hyperlink r:id="rId13" w:history="1">
        <w:r w:rsidRPr="00F87B38">
          <w:rPr>
            <w:rFonts w:ascii="FrankRuehl" w:hAnsi="FrankRuehl" w:cs="FrankRuehl"/>
            <w:color w:val="0000FF"/>
            <w:u w:val="single"/>
          </w:rPr>
          <w:t>499(</w:t>
        </w:r>
        <w:r w:rsidRPr="00F87B38">
          <w:rPr>
            <w:rFonts w:ascii="FrankRuehl" w:hAnsi="FrankRuehl" w:cs="FrankRuehl"/>
            <w:color w:val="0000FF"/>
            <w:u w:val="single"/>
            <w:rtl/>
          </w:rPr>
          <w:t>א)(1</w:t>
        </w:r>
        <w:r w:rsidRPr="00F87B38">
          <w:rPr>
            <w:rFonts w:ascii="FrankRuehl" w:hAnsi="FrankRuehl" w:cs="FrankRuehl"/>
            <w:color w:val="0000FF"/>
            <w:u w:val="single"/>
          </w:rPr>
          <w:t>)</w:t>
        </w:r>
      </w:hyperlink>
    </w:p>
    <w:p w14:paraId="67276726" w14:textId="77777777" w:rsidR="0045348D" w:rsidRPr="0045348D" w:rsidRDefault="003473CE">
      <w:pPr>
        <w:rPr>
          <w:rFonts w:ascii="Arial" w:hAnsi="Arial"/>
          <w:rtl/>
        </w:rPr>
      </w:pPr>
      <w:bookmarkStart w:id="5" w:name="LawTable_End"/>
      <w:bookmarkEnd w:id="5"/>
      <w:r w:rsidRPr="003473CE">
        <w:rPr>
          <w:rFonts w:ascii="FrankRuehl" w:hAnsi="FrankRuehl" w:cs="FrankRuehl"/>
          <w:color w:val="FFFFFF"/>
          <w:sz w:val="2"/>
          <w:szCs w:val="2"/>
          <w:rtl/>
        </w:rPr>
        <w:t>חוק ההתיישבות העותמנית  [נוסח ישן] 1916</w:t>
      </w:r>
    </w:p>
    <w:p w14:paraId="6DACF990" w14:textId="77777777" w:rsidR="0045348D" w:rsidRPr="0045348D" w:rsidRDefault="0045348D">
      <w:pPr>
        <w:rPr>
          <w:rFonts w:ascii="Arial" w:hAnsi="Arial"/>
          <w:rtl/>
        </w:rPr>
      </w:pPr>
    </w:p>
    <w:p w14:paraId="1FEF0492" w14:textId="77777777" w:rsidR="00394B40" w:rsidRPr="0045348D" w:rsidRDefault="00394B40">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94B40" w14:paraId="51AD47B0" w14:textId="77777777">
        <w:trPr>
          <w:trHeight w:val="355"/>
          <w:jc w:val="center"/>
        </w:trPr>
        <w:tc>
          <w:tcPr>
            <w:tcW w:w="8820" w:type="dxa"/>
            <w:tcBorders>
              <w:top w:val="nil"/>
              <w:left w:val="nil"/>
              <w:bottom w:val="nil"/>
              <w:right w:val="nil"/>
            </w:tcBorders>
          </w:tcPr>
          <w:p w14:paraId="2F8F273D" w14:textId="77777777" w:rsidR="0045348D" w:rsidRPr="0045348D" w:rsidRDefault="0045348D" w:rsidP="0045348D">
            <w:pPr>
              <w:jc w:val="center"/>
              <w:rPr>
                <w:rFonts w:ascii="Arial" w:hAnsi="Arial" w:cs="FrankRuehl"/>
                <w:b/>
                <w:bCs/>
                <w:sz w:val="32"/>
                <w:szCs w:val="32"/>
                <w:u w:val="single"/>
                <w:rtl/>
              </w:rPr>
            </w:pPr>
            <w:bookmarkStart w:id="6" w:name="PsakDin" w:colFirst="0" w:colLast="0"/>
            <w:r w:rsidRPr="0045348D">
              <w:rPr>
                <w:rFonts w:ascii="Arial" w:hAnsi="Arial" w:cs="FrankRuehl"/>
                <w:b/>
                <w:bCs/>
                <w:sz w:val="32"/>
                <w:szCs w:val="32"/>
                <w:u w:val="single"/>
                <w:rtl/>
              </w:rPr>
              <w:t>גזר דין</w:t>
            </w:r>
          </w:p>
          <w:p w14:paraId="21E10C9B" w14:textId="77777777" w:rsidR="00394B40" w:rsidRPr="0045348D" w:rsidRDefault="00394B40" w:rsidP="0045348D">
            <w:pPr>
              <w:jc w:val="center"/>
              <w:rPr>
                <w:rFonts w:ascii="Arial" w:hAnsi="Arial" w:cs="FrankRuehl"/>
                <w:bCs/>
                <w:sz w:val="32"/>
                <w:szCs w:val="32"/>
                <w:u w:val="single"/>
                <w:rtl/>
              </w:rPr>
            </w:pPr>
          </w:p>
        </w:tc>
      </w:tr>
      <w:bookmarkEnd w:id="6"/>
    </w:tbl>
    <w:p w14:paraId="7FA3F94F" w14:textId="77777777" w:rsidR="00394B40" w:rsidRDefault="00394B40">
      <w:pPr>
        <w:rPr>
          <w:rFonts w:ascii="Arial" w:hAnsi="Arial"/>
          <w:rtl/>
        </w:rPr>
      </w:pPr>
    </w:p>
    <w:p w14:paraId="50A04BC0" w14:textId="77777777" w:rsidR="00394B40" w:rsidRDefault="00394B40">
      <w:pPr>
        <w:rPr>
          <w:rFonts w:ascii="Arial" w:hAnsi="Arial"/>
          <w:rtl/>
        </w:rPr>
      </w:pPr>
    </w:p>
    <w:p w14:paraId="3086EEED" w14:textId="77777777" w:rsidR="00394B40" w:rsidRDefault="0045348D">
      <w:pPr>
        <w:spacing w:line="360" w:lineRule="auto"/>
        <w:jc w:val="both"/>
        <w:rPr>
          <w:rFonts w:ascii="Arial" w:hAnsi="Arial"/>
          <w:b/>
          <w:bCs/>
          <w:rtl/>
        </w:rPr>
      </w:pPr>
      <w:r>
        <w:rPr>
          <w:rFonts w:ascii="Arial" w:hAnsi="Arial"/>
          <w:b/>
          <w:bCs/>
          <w:rtl/>
        </w:rPr>
        <w:t>פרטי ההרשעה והסדר הטיעון</w:t>
      </w:r>
    </w:p>
    <w:p w14:paraId="4388BC56" w14:textId="77777777" w:rsidR="00394B40" w:rsidRDefault="0045348D" w:rsidP="00C207A2">
      <w:pPr>
        <w:pStyle w:val="a6"/>
        <w:numPr>
          <w:ilvl w:val="0"/>
          <w:numId w:val="1"/>
        </w:numPr>
        <w:spacing w:line="360" w:lineRule="auto"/>
        <w:jc w:val="both"/>
        <w:rPr>
          <w:rFonts w:ascii="Arial" w:hAnsi="Arial" w:cs="David"/>
          <w:sz w:val="24"/>
          <w:szCs w:val="24"/>
        </w:rPr>
      </w:pPr>
      <w:bookmarkStart w:id="7" w:name="ABSTRACT_START"/>
      <w:bookmarkEnd w:id="7"/>
      <w:r>
        <w:rPr>
          <w:rFonts w:ascii="Arial" w:hAnsi="Arial" w:cs="David"/>
          <w:sz w:val="24"/>
          <w:szCs w:val="24"/>
          <w:rtl/>
        </w:rPr>
        <w:t xml:space="preserve">הנאשם הורשע על פי הודאתו בכתב האישום המתוקן בשנית (להלן: "כתב האישום"), במסגרת הסדר טיעון, בשתי עבירות של ייבוא סמים מסוכנים ובעבירה אחת של סחר בסמים מסוכנים (עבירות לפי </w:t>
      </w:r>
      <w:hyperlink r:id="rId14" w:history="1">
        <w:r w:rsidR="000F01AD" w:rsidRPr="000F01AD">
          <w:rPr>
            <w:rFonts w:ascii="Arial" w:hAnsi="Arial" w:cs="David"/>
            <w:color w:val="0000FF"/>
            <w:sz w:val="24"/>
            <w:szCs w:val="24"/>
            <w:u w:val="single"/>
            <w:rtl/>
          </w:rPr>
          <w:t>סעיף 13</w:t>
        </w:r>
      </w:hyperlink>
      <w:r>
        <w:rPr>
          <w:rFonts w:ascii="Arial" w:hAnsi="Arial" w:cs="David"/>
          <w:sz w:val="24"/>
          <w:szCs w:val="24"/>
          <w:rtl/>
        </w:rPr>
        <w:t xml:space="preserve"> ל</w:t>
      </w:r>
      <w:hyperlink r:id="rId15" w:history="1">
        <w:r w:rsidRPr="0045348D">
          <w:rPr>
            <w:rFonts w:ascii="Arial" w:hAnsi="Arial" w:cs="David"/>
            <w:color w:val="0000FF"/>
            <w:sz w:val="24"/>
            <w:szCs w:val="24"/>
            <w:u w:val="single"/>
            <w:rtl/>
          </w:rPr>
          <w:t>פקודת הסמים המסוכנים</w:t>
        </w:r>
      </w:hyperlink>
      <w:r>
        <w:rPr>
          <w:rFonts w:ascii="Arial" w:hAnsi="Arial" w:cs="David"/>
          <w:sz w:val="24"/>
          <w:szCs w:val="24"/>
          <w:rtl/>
        </w:rPr>
        <w:t xml:space="preserve"> [נוסח חדש], התשל"ג–1973; להלן: "הפקודה").</w:t>
      </w:r>
    </w:p>
    <w:p w14:paraId="6FADF898" w14:textId="77777777" w:rsidR="00394B40" w:rsidRDefault="0045348D">
      <w:pPr>
        <w:pStyle w:val="a6"/>
        <w:spacing w:line="360" w:lineRule="auto"/>
        <w:ind w:left="360"/>
        <w:jc w:val="both"/>
        <w:rPr>
          <w:rFonts w:ascii="Arial" w:hAnsi="Arial" w:cs="David"/>
          <w:sz w:val="24"/>
          <w:szCs w:val="24"/>
          <w:rtl/>
        </w:rPr>
      </w:pPr>
      <w:r>
        <w:rPr>
          <w:rFonts w:ascii="Arial" w:hAnsi="Arial" w:cs="David"/>
          <w:sz w:val="24"/>
          <w:szCs w:val="24"/>
          <w:rtl/>
        </w:rPr>
        <w:t>לבקשת המאשימה הוכרז הנאשם כסוחר סמים.</w:t>
      </w:r>
    </w:p>
    <w:p w14:paraId="0026D8C2" w14:textId="77777777" w:rsidR="00394B40" w:rsidRDefault="00394B40">
      <w:pPr>
        <w:pStyle w:val="a6"/>
        <w:spacing w:line="360" w:lineRule="auto"/>
        <w:jc w:val="both"/>
        <w:rPr>
          <w:rFonts w:ascii="Arial" w:hAnsi="Arial" w:cs="David"/>
          <w:sz w:val="24"/>
          <w:szCs w:val="24"/>
          <w:rtl/>
        </w:rPr>
      </w:pPr>
      <w:bookmarkStart w:id="8" w:name="ABSTRACT_END"/>
      <w:bookmarkEnd w:id="8"/>
    </w:p>
    <w:p w14:paraId="6D562F90" w14:textId="77777777" w:rsidR="00394B40" w:rsidRDefault="0045348D">
      <w:pPr>
        <w:pStyle w:val="a6"/>
        <w:numPr>
          <w:ilvl w:val="0"/>
          <w:numId w:val="1"/>
        </w:numPr>
        <w:spacing w:line="360" w:lineRule="auto"/>
        <w:jc w:val="both"/>
        <w:rPr>
          <w:rFonts w:ascii="Arial" w:hAnsi="Arial" w:cs="David"/>
          <w:sz w:val="24"/>
          <w:szCs w:val="24"/>
        </w:rPr>
      </w:pPr>
      <w:r>
        <w:rPr>
          <w:rFonts w:ascii="Arial" w:hAnsi="Arial" w:cs="David"/>
          <w:sz w:val="24"/>
          <w:szCs w:val="24"/>
          <w:rtl/>
        </w:rPr>
        <w:t>על פי עובדות האישום הראשון בכתב האישום, הנאשם יצר קשר עם אחר, שהוא אזרח אמריקאי (להלן: "האחר") לייבא לישראל ולהפיץ בה סם מסוכן. ביום 7.5.</w:t>
      </w:r>
      <w:r w:rsidR="003473CE">
        <w:rPr>
          <w:rFonts w:ascii="Arial" w:hAnsi="Arial" w:cs="David" w:hint="cs"/>
          <w:sz w:val="24"/>
          <w:szCs w:val="24"/>
          <w:rtl/>
        </w:rPr>
        <w:t>20</w:t>
      </w:r>
      <w:r>
        <w:rPr>
          <w:rFonts w:ascii="Arial" w:hAnsi="Arial" w:cs="David"/>
          <w:sz w:val="24"/>
          <w:szCs w:val="24"/>
          <w:rtl/>
        </w:rPr>
        <w:t xml:space="preserve">13 קיבל הנאשם בדואר מעטפה מחו"ל ובה 53 טבליות סם מסוכן מסוג </w:t>
      </w:r>
      <w:r>
        <w:rPr>
          <w:rFonts w:ascii="Arial" w:hAnsi="Arial" w:cs="David"/>
          <w:sz w:val="24"/>
          <w:szCs w:val="24"/>
        </w:rPr>
        <w:t>MDMA</w:t>
      </w:r>
      <w:r>
        <w:rPr>
          <w:rFonts w:ascii="Arial" w:hAnsi="Arial" w:cs="David"/>
          <w:sz w:val="24"/>
          <w:szCs w:val="24"/>
          <w:rtl/>
        </w:rPr>
        <w:t xml:space="preserve"> (להלן: "טבליות הסם"). </w:t>
      </w:r>
      <w:r>
        <w:rPr>
          <w:rFonts w:ascii="Arial" w:hAnsi="Arial" w:cs="David"/>
          <w:sz w:val="24"/>
          <w:szCs w:val="24"/>
          <w:rtl/>
        </w:rPr>
        <w:lastRenderedPageBreak/>
        <w:t>הנאשם החזיק את החבילה ברשותו ובמועד מאוחר יותר העביר את הטבליות לאחר על מנת שיבצע בהן עסקאות וכן רכש בעצמו 5 טבליות.</w:t>
      </w:r>
    </w:p>
    <w:p w14:paraId="1E6BA426" w14:textId="77777777" w:rsidR="00394B40" w:rsidRDefault="0045348D">
      <w:pPr>
        <w:pStyle w:val="a6"/>
        <w:spacing w:line="360" w:lineRule="auto"/>
        <w:ind w:left="360"/>
        <w:jc w:val="both"/>
        <w:rPr>
          <w:rFonts w:ascii="Arial" w:hAnsi="Arial" w:cs="David"/>
          <w:sz w:val="24"/>
          <w:szCs w:val="24"/>
          <w:rtl/>
        </w:rPr>
      </w:pPr>
      <w:r>
        <w:rPr>
          <w:rFonts w:ascii="Arial" w:hAnsi="Arial" w:cs="David"/>
          <w:sz w:val="24"/>
          <w:szCs w:val="24"/>
          <w:rtl/>
        </w:rPr>
        <w:t>על פי האישום השני, ביום 9.5.</w:t>
      </w:r>
      <w:r w:rsidR="003473CE">
        <w:rPr>
          <w:rFonts w:ascii="Arial" w:hAnsi="Arial" w:cs="David" w:hint="cs"/>
          <w:sz w:val="24"/>
          <w:szCs w:val="24"/>
          <w:rtl/>
        </w:rPr>
        <w:t>20</w:t>
      </w:r>
      <w:r>
        <w:rPr>
          <w:rFonts w:ascii="Arial" w:hAnsi="Arial" w:cs="David"/>
          <w:sz w:val="24"/>
          <w:szCs w:val="24"/>
          <w:rtl/>
        </w:rPr>
        <w:t>13 רכש הנאשם באמצעות האחר 100 טבליות סם נוספות בעלות של 1,000 דולר וסוכם כי הסם יישלח לנאשם בדואר מחו"ל. מעטפה ובה 152 טבליות סם, שמוענה אל הנאשם, התקבלה בדואר וביום 20.8.</w:t>
      </w:r>
      <w:r w:rsidR="003473CE">
        <w:rPr>
          <w:rFonts w:ascii="Arial" w:hAnsi="Arial" w:cs="David" w:hint="cs"/>
          <w:sz w:val="24"/>
          <w:szCs w:val="24"/>
          <w:rtl/>
        </w:rPr>
        <w:t>20</w:t>
      </w:r>
      <w:r>
        <w:rPr>
          <w:rFonts w:ascii="Arial" w:hAnsi="Arial" w:cs="David"/>
          <w:sz w:val="24"/>
          <w:szCs w:val="24"/>
          <w:rtl/>
        </w:rPr>
        <w:t>13 התייצב הנאשם בדואר וקיבל את המעטפה לידיו.</w:t>
      </w:r>
    </w:p>
    <w:p w14:paraId="2284F8D5" w14:textId="77777777" w:rsidR="00394B40" w:rsidRDefault="0045348D">
      <w:pPr>
        <w:pStyle w:val="a6"/>
        <w:spacing w:line="360" w:lineRule="auto"/>
        <w:ind w:left="360"/>
        <w:jc w:val="both"/>
        <w:rPr>
          <w:rFonts w:ascii="Arial" w:hAnsi="Arial" w:cs="David"/>
          <w:sz w:val="24"/>
          <w:szCs w:val="24"/>
          <w:rtl/>
        </w:rPr>
      </w:pPr>
      <w:r>
        <w:rPr>
          <w:rFonts w:ascii="Arial" w:hAnsi="Arial" w:cs="David"/>
          <w:sz w:val="24"/>
          <w:szCs w:val="24"/>
          <w:rtl/>
        </w:rPr>
        <w:t>על פי האישום השלישי, כשלושה חודשים לפני מעצרו ביום 20.8.</w:t>
      </w:r>
      <w:r w:rsidR="003473CE">
        <w:rPr>
          <w:rFonts w:ascii="Arial" w:hAnsi="Arial" w:cs="David" w:hint="cs"/>
          <w:sz w:val="24"/>
          <w:szCs w:val="24"/>
          <w:rtl/>
        </w:rPr>
        <w:t>20</w:t>
      </w:r>
      <w:r>
        <w:rPr>
          <w:rFonts w:ascii="Arial" w:hAnsi="Arial" w:cs="David"/>
          <w:sz w:val="24"/>
          <w:szCs w:val="24"/>
          <w:rtl/>
        </w:rPr>
        <w:t xml:space="preserve">13 מכר הנאשם 36 טבליות סם לשבעה אנשים במחיר של 100 ש"ח </w:t>
      </w:r>
      <w:r w:rsidR="003473CE">
        <w:rPr>
          <w:rFonts w:ascii="Arial" w:hAnsi="Arial" w:cs="David" w:hint="cs"/>
          <w:sz w:val="24"/>
          <w:szCs w:val="24"/>
          <w:rtl/>
        </w:rPr>
        <w:t>לטבליי</w:t>
      </w:r>
      <w:r w:rsidR="003473CE">
        <w:rPr>
          <w:rFonts w:ascii="Arial" w:hAnsi="Arial" w:cs="David" w:hint="eastAsia"/>
          <w:sz w:val="24"/>
          <w:szCs w:val="24"/>
          <w:rtl/>
        </w:rPr>
        <w:t>ה</w:t>
      </w:r>
      <w:r>
        <w:rPr>
          <w:rFonts w:ascii="Arial" w:hAnsi="Arial" w:cs="David"/>
          <w:sz w:val="24"/>
          <w:szCs w:val="24"/>
          <w:rtl/>
        </w:rPr>
        <w:t>.</w:t>
      </w:r>
    </w:p>
    <w:p w14:paraId="624AD19A" w14:textId="77777777" w:rsidR="00394B40" w:rsidRDefault="0045348D">
      <w:pPr>
        <w:pStyle w:val="a6"/>
        <w:numPr>
          <w:ilvl w:val="0"/>
          <w:numId w:val="1"/>
        </w:numPr>
        <w:spacing w:line="360" w:lineRule="auto"/>
        <w:jc w:val="both"/>
        <w:rPr>
          <w:rFonts w:ascii="Arial" w:hAnsi="Arial" w:cs="David"/>
          <w:sz w:val="24"/>
          <w:szCs w:val="24"/>
        </w:rPr>
      </w:pPr>
      <w:r>
        <w:rPr>
          <w:rFonts w:ascii="Arial" w:hAnsi="Arial" w:cs="David"/>
          <w:sz w:val="24"/>
          <w:szCs w:val="24"/>
          <w:rtl/>
        </w:rPr>
        <w:t>הסדר הטיעון בין הצדדים לא כלל הסכמה עונשית כלשהי. הצדדים הסכימו כי הנאשם ישלח  לשירות המבחן לקבלת תסקיר בעניינו והמאשימה הודיעה, כי בכל מקרה, תעתור להטלת עונש מאסר בפועל לריצוי מאחורי סורג ובריח.</w:t>
      </w:r>
      <w:r w:rsidR="003473CE" w:rsidRPr="008C02C7">
        <w:rPr>
          <w:rFonts w:cs="David"/>
          <w:color w:val="FFFFFF"/>
          <w:sz w:val="2"/>
          <w:szCs w:val="2"/>
          <w:rtl/>
        </w:rPr>
        <w:t xml:space="preserve"> </w:t>
      </w:r>
      <w:r w:rsidR="003473CE" w:rsidRPr="003473CE">
        <w:rPr>
          <w:rFonts w:cs="David"/>
          <w:color w:val="FFFFFF"/>
          <w:sz w:val="2"/>
          <w:szCs w:val="2"/>
          <w:rtl/>
        </w:rPr>
        <w:t>9992099</w:t>
      </w:r>
    </w:p>
    <w:p w14:paraId="6B57F30F" w14:textId="77777777" w:rsidR="00394B40" w:rsidRDefault="0045348D">
      <w:pPr>
        <w:spacing w:line="360" w:lineRule="auto"/>
        <w:jc w:val="both"/>
        <w:rPr>
          <w:rFonts w:ascii="Arial" w:hAnsi="Arial"/>
          <w:b/>
          <w:bCs/>
        </w:rPr>
      </w:pPr>
      <w:r>
        <w:rPr>
          <w:rFonts w:ascii="Arial" w:hAnsi="Arial"/>
          <w:b/>
          <w:bCs/>
          <w:rtl/>
        </w:rPr>
        <w:t>הראיות לעונש</w:t>
      </w:r>
    </w:p>
    <w:p w14:paraId="281478CB" w14:textId="77777777" w:rsidR="00394B40" w:rsidRDefault="0045348D">
      <w:pPr>
        <w:pStyle w:val="a6"/>
        <w:numPr>
          <w:ilvl w:val="0"/>
          <w:numId w:val="1"/>
        </w:numPr>
        <w:spacing w:line="360" w:lineRule="auto"/>
        <w:jc w:val="both"/>
        <w:rPr>
          <w:rFonts w:ascii="Arial" w:hAnsi="Arial" w:cs="David"/>
          <w:sz w:val="24"/>
          <w:szCs w:val="24"/>
        </w:rPr>
      </w:pPr>
      <w:r>
        <w:rPr>
          <w:rFonts w:ascii="Arial" w:hAnsi="Arial" w:cs="David"/>
          <w:sz w:val="24"/>
          <w:szCs w:val="24"/>
          <w:rtl/>
        </w:rPr>
        <w:t>ביום 19.10.</w:t>
      </w:r>
      <w:r w:rsidR="003473CE">
        <w:rPr>
          <w:rFonts w:ascii="Arial" w:hAnsi="Arial" w:cs="David" w:hint="cs"/>
          <w:sz w:val="24"/>
          <w:szCs w:val="24"/>
          <w:rtl/>
        </w:rPr>
        <w:t>20</w:t>
      </w:r>
      <w:r>
        <w:rPr>
          <w:rFonts w:ascii="Arial" w:hAnsi="Arial" w:cs="David"/>
          <w:sz w:val="24"/>
          <w:szCs w:val="24"/>
          <w:rtl/>
        </w:rPr>
        <w:t>14 הוגש תסקיר שירות המבחן (להלן: "התסקיר") ובו הומלץ על העדפת הפן השיקומי, כך שגם אם יוטל עונש מאסר ניתן יהיה לרצותו בעבודות שירות ובנוסף יועמד הנאשם בפיקוח שירות המבחן למשך שנה וחצי, במסגרת זו ישולב בהמשך טיפול בהתמכרות לסמים.</w:t>
      </w:r>
    </w:p>
    <w:p w14:paraId="346ABE6A" w14:textId="77777777" w:rsidR="00394B40" w:rsidRDefault="0045348D" w:rsidP="00C207A2">
      <w:pPr>
        <w:pStyle w:val="a6"/>
        <w:numPr>
          <w:ilvl w:val="0"/>
          <w:numId w:val="1"/>
        </w:numPr>
        <w:spacing w:line="360" w:lineRule="auto"/>
        <w:jc w:val="both"/>
        <w:rPr>
          <w:rFonts w:ascii="Arial" w:hAnsi="Arial" w:cs="David"/>
          <w:sz w:val="24"/>
          <w:szCs w:val="24"/>
        </w:rPr>
      </w:pPr>
      <w:r>
        <w:rPr>
          <w:rFonts w:ascii="Arial" w:hAnsi="Arial" w:cs="David"/>
          <w:sz w:val="24"/>
          <w:szCs w:val="24"/>
          <w:rtl/>
        </w:rPr>
        <w:t>במסגרת ראיות ההגנה לעונש העיד אביו של הנאשם, שסיפר עד כמה הופתעה המשפחה מהסתבכותו של הנאשם, על התגייסותם לשיקומו, על התקדמותו של הנאשם בתהליך השיקום ועל חזרתו לאורח חיים נורמטיבי, לרבות השתלבותו בעבודה עמו ותחת פיקוחו. האב הביע שאט נפשו מהעבירות שביצע בנו וציין כי ברצונו לסייע לו לכפר על מעשיו ולחזור למוטב.</w:t>
      </w:r>
    </w:p>
    <w:p w14:paraId="7E17CAF6" w14:textId="77777777" w:rsidR="00394B40" w:rsidRDefault="0045348D">
      <w:pPr>
        <w:spacing w:line="360" w:lineRule="auto"/>
        <w:jc w:val="both"/>
        <w:rPr>
          <w:rFonts w:ascii="Arial" w:hAnsi="Arial"/>
          <w:b/>
          <w:bCs/>
        </w:rPr>
      </w:pPr>
      <w:r>
        <w:rPr>
          <w:rFonts w:ascii="Arial" w:hAnsi="Arial"/>
          <w:b/>
          <w:bCs/>
          <w:rtl/>
        </w:rPr>
        <w:t xml:space="preserve">טיעוני הצדדים </w:t>
      </w:r>
    </w:p>
    <w:p w14:paraId="71D23321" w14:textId="77777777" w:rsidR="00394B40" w:rsidRDefault="0045348D">
      <w:pPr>
        <w:pStyle w:val="a6"/>
        <w:numPr>
          <w:ilvl w:val="0"/>
          <w:numId w:val="1"/>
        </w:numPr>
        <w:spacing w:line="360" w:lineRule="auto"/>
        <w:jc w:val="both"/>
        <w:rPr>
          <w:rFonts w:ascii="Arial" w:hAnsi="Arial" w:cs="David"/>
          <w:sz w:val="24"/>
          <w:szCs w:val="24"/>
        </w:rPr>
      </w:pPr>
      <w:r>
        <w:rPr>
          <w:rFonts w:ascii="Arial" w:hAnsi="Arial" w:cs="David"/>
          <w:sz w:val="24"/>
          <w:szCs w:val="24"/>
          <w:rtl/>
        </w:rPr>
        <w:t xml:space="preserve">ב"כ המאשימה ביקשה לדחות את המלצת שירות המבחן ולהטיל על הנאשם עונש מאסר בפועל, מאסר מותנה וקנס כבד וכן להורות על חילוט 460 ש"ח שנתפסו ברשות הנאשם. </w:t>
      </w:r>
    </w:p>
    <w:p w14:paraId="28006B41" w14:textId="77777777" w:rsidR="00394B40" w:rsidRDefault="0045348D">
      <w:pPr>
        <w:pStyle w:val="a6"/>
        <w:spacing w:line="360" w:lineRule="auto"/>
        <w:ind w:left="360"/>
        <w:jc w:val="both"/>
        <w:rPr>
          <w:rFonts w:ascii="Arial" w:hAnsi="Arial" w:cs="David"/>
          <w:sz w:val="24"/>
          <w:szCs w:val="24"/>
        </w:rPr>
      </w:pPr>
      <w:r>
        <w:rPr>
          <w:rFonts w:ascii="Arial" w:hAnsi="Arial" w:cs="David"/>
          <w:sz w:val="24"/>
          <w:szCs w:val="24"/>
          <w:rtl/>
        </w:rPr>
        <w:t>לשיטתה, בגזירת דינו של הנאשם יש לקבוע שני מתחמי ענישה נפרדים: מתחם לשתי עבירות ייבוא הסמים, שנע בין 18 עד 36 חודשי מאסר, ומתחם לעבירת הסחר בסמים, שנע בין 12 עד 24 חודשי מאסר. חרף העובדה שלעבירות הייבוא והסחר תכליות נפרדות, ביקשה ב"כ המאשימה לחפוף בין המתחמים ולקבוע מתחם כולל לכל העבירות שנע בין 18 חודשים ל-36 חודשים.</w:t>
      </w:r>
    </w:p>
    <w:p w14:paraId="331F769A" w14:textId="77777777" w:rsidR="00394B40" w:rsidRDefault="0045348D">
      <w:pPr>
        <w:pStyle w:val="a6"/>
        <w:spacing w:line="360" w:lineRule="auto"/>
        <w:ind w:left="360"/>
        <w:jc w:val="both"/>
        <w:rPr>
          <w:rFonts w:ascii="Arial" w:hAnsi="Arial" w:cs="David"/>
          <w:sz w:val="24"/>
          <w:szCs w:val="24"/>
        </w:rPr>
      </w:pPr>
      <w:r>
        <w:rPr>
          <w:rFonts w:ascii="Arial" w:hAnsi="Arial" w:cs="David"/>
          <w:sz w:val="24"/>
          <w:szCs w:val="24"/>
          <w:rtl/>
        </w:rPr>
        <w:t>ואלו נימוקיה:</w:t>
      </w:r>
    </w:p>
    <w:p w14:paraId="5915D18D" w14:textId="77777777" w:rsidR="00394B40" w:rsidRDefault="0045348D">
      <w:pPr>
        <w:pStyle w:val="a6"/>
        <w:numPr>
          <w:ilvl w:val="0"/>
          <w:numId w:val="2"/>
        </w:numPr>
        <w:spacing w:line="360" w:lineRule="auto"/>
        <w:ind w:left="720"/>
        <w:jc w:val="both"/>
        <w:rPr>
          <w:rFonts w:ascii="Arial" w:hAnsi="Arial" w:cs="David"/>
          <w:sz w:val="24"/>
          <w:szCs w:val="24"/>
        </w:rPr>
      </w:pPr>
      <w:r>
        <w:rPr>
          <w:rFonts w:ascii="Arial" w:hAnsi="Arial" w:cs="David"/>
          <w:sz w:val="24"/>
          <w:szCs w:val="24"/>
          <w:rtl/>
        </w:rPr>
        <w:t>על העונש לשקף את חומרת מעשיו, מבחינת סוג הסמים, היקף העבירות ומשך ביצוען.</w:t>
      </w:r>
    </w:p>
    <w:p w14:paraId="351505BC" w14:textId="77777777" w:rsidR="00394B40" w:rsidRDefault="0045348D" w:rsidP="00C207A2">
      <w:pPr>
        <w:pStyle w:val="a6"/>
        <w:numPr>
          <w:ilvl w:val="0"/>
          <w:numId w:val="2"/>
        </w:numPr>
        <w:spacing w:line="360" w:lineRule="auto"/>
        <w:ind w:left="720"/>
        <w:jc w:val="both"/>
        <w:rPr>
          <w:rFonts w:ascii="Arial" w:hAnsi="Arial" w:cs="David"/>
          <w:sz w:val="24"/>
          <w:szCs w:val="24"/>
        </w:rPr>
      </w:pPr>
      <w:r>
        <w:rPr>
          <w:rFonts w:ascii="Arial" w:hAnsi="Arial" w:cs="David"/>
          <w:sz w:val="24"/>
          <w:szCs w:val="24"/>
          <w:rtl/>
        </w:rPr>
        <w:t xml:space="preserve">חומרת המעשים נלמדת מהערכים המוגנים, שעניינים שמירה על בריאות הציבור וביטחונו, מהעונש המרבי הכבד שנקבע בפקודת הסמים לעבירות הייבוא והסחר ומכך שעל פי רוב מלוות עבירות אלו בביצוע עבירות נוספות. </w:t>
      </w:r>
    </w:p>
    <w:p w14:paraId="0289CC46" w14:textId="77777777" w:rsidR="00394B40" w:rsidRDefault="0045348D">
      <w:pPr>
        <w:pStyle w:val="a6"/>
        <w:numPr>
          <w:ilvl w:val="0"/>
          <w:numId w:val="2"/>
        </w:numPr>
        <w:spacing w:line="360" w:lineRule="auto"/>
        <w:ind w:left="720"/>
        <w:jc w:val="both"/>
        <w:rPr>
          <w:rFonts w:ascii="Arial" w:hAnsi="Arial" w:cs="David"/>
          <w:sz w:val="24"/>
          <w:szCs w:val="24"/>
        </w:rPr>
      </w:pPr>
      <w:r>
        <w:rPr>
          <w:rFonts w:ascii="Arial" w:hAnsi="Arial" w:cs="David"/>
          <w:sz w:val="24"/>
          <w:szCs w:val="24"/>
          <w:rtl/>
        </w:rPr>
        <w:lastRenderedPageBreak/>
        <w:t xml:space="preserve">הנאשם סחר בסם האקסטזי, סם הנפוץ בקרב צעירים, משאלו סבורים בטעות כי מדובר בסם קל, כאשר לאמיתו של דבר הוא עלול להביא לפגיעה קשה במערכת העצבים ולידי התמכרות קשה בקרב המשתמשים בו. </w:t>
      </w:r>
    </w:p>
    <w:p w14:paraId="7B6E5E23" w14:textId="77777777" w:rsidR="00394B40" w:rsidRDefault="0045348D" w:rsidP="00C207A2">
      <w:pPr>
        <w:pStyle w:val="a6"/>
        <w:numPr>
          <w:ilvl w:val="0"/>
          <w:numId w:val="2"/>
        </w:numPr>
        <w:spacing w:line="360" w:lineRule="auto"/>
        <w:ind w:left="720"/>
        <w:jc w:val="both"/>
        <w:rPr>
          <w:rFonts w:ascii="Arial" w:hAnsi="Arial" w:cs="David"/>
          <w:sz w:val="24"/>
          <w:szCs w:val="24"/>
        </w:rPr>
      </w:pPr>
      <w:r>
        <w:rPr>
          <w:rFonts w:ascii="Arial" w:hAnsi="Arial" w:cs="David"/>
          <w:sz w:val="24"/>
          <w:szCs w:val="24"/>
          <w:rtl/>
        </w:rPr>
        <w:t>אף כי הנאשם אינו סחור סמים "קלסי", אין מקום להמעיט מחומרת מעשיו ולכן על נסיבותיו האישיות לסגת מפני הצורך בענישה מחמירה.</w:t>
      </w:r>
    </w:p>
    <w:p w14:paraId="541E5436" w14:textId="77777777" w:rsidR="00394B40" w:rsidRDefault="0045348D">
      <w:pPr>
        <w:pStyle w:val="a6"/>
        <w:numPr>
          <w:ilvl w:val="0"/>
          <w:numId w:val="2"/>
        </w:numPr>
        <w:spacing w:line="360" w:lineRule="auto"/>
        <w:jc w:val="both"/>
        <w:rPr>
          <w:rFonts w:ascii="Arial" w:hAnsi="Arial" w:cs="David"/>
          <w:sz w:val="24"/>
          <w:szCs w:val="24"/>
        </w:rPr>
      </w:pPr>
      <w:r>
        <w:rPr>
          <w:rFonts w:ascii="Arial" w:hAnsi="Arial" w:cs="David"/>
          <w:sz w:val="24"/>
          <w:szCs w:val="24"/>
          <w:rtl/>
        </w:rPr>
        <w:t>הנסיבות הכרוכות בביצוע העבירות: יוזמת הנאשם בביצוע העבירות ותכנונן; ביצוע העבירה בשתי הזדמנויות שונות ולא באופן חד פעמי; הנזק המשמעותי מהפצת סם מסוכן מסוג זה; הנזק המשמעותי שצפוי היה להיגרם אלמלא מעצרו של הנאשם.</w:t>
      </w:r>
    </w:p>
    <w:p w14:paraId="2A9170F6" w14:textId="77777777" w:rsidR="00394B40" w:rsidRDefault="0045348D">
      <w:pPr>
        <w:pStyle w:val="a6"/>
        <w:numPr>
          <w:ilvl w:val="0"/>
          <w:numId w:val="2"/>
        </w:numPr>
        <w:spacing w:line="360" w:lineRule="auto"/>
        <w:jc w:val="both"/>
        <w:rPr>
          <w:rFonts w:ascii="Arial" w:hAnsi="Arial" w:cs="David"/>
          <w:sz w:val="24"/>
          <w:szCs w:val="24"/>
        </w:rPr>
      </w:pPr>
      <w:r>
        <w:rPr>
          <w:rFonts w:ascii="Arial" w:hAnsi="Arial" w:cs="David"/>
          <w:sz w:val="24"/>
          <w:szCs w:val="24"/>
          <w:rtl/>
        </w:rPr>
        <w:t xml:space="preserve">אין מקום לחריגה ממתחם הענישה משיקולי שיקום לנוכח הערכת שירות המבחן כי הנאשם עלול לשוב ולהשתמש בחומרים פסיכואקטיביים וקשייו בוויסות דחפיו. </w:t>
      </w:r>
    </w:p>
    <w:p w14:paraId="28A762F0" w14:textId="77777777" w:rsidR="00394B40" w:rsidRDefault="0045348D">
      <w:pPr>
        <w:pStyle w:val="a6"/>
        <w:numPr>
          <w:ilvl w:val="0"/>
          <w:numId w:val="2"/>
        </w:numPr>
        <w:spacing w:line="360" w:lineRule="auto"/>
        <w:jc w:val="both"/>
        <w:rPr>
          <w:rFonts w:ascii="Arial" w:hAnsi="Arial" w:cs="David"/>
          <w:sz w:val="24"/>
          <w:szCs w:val="24"/>
        </w:rPr>
      </w:pPr>
      <w:r>
        <w:rPr>
          <w:rFonts w:ascii="Arial" w:hAnsi="Arial" w:cs="David"/>
          <w:sz w:val="24"/>
          <w:szCs w:val="24"/>
          <w:rtl/>
        </w:rPr>
        <w:t>הצורך בהרתעת הנאשם ובהרתעת הרבים.</w:t>
      </w:r>
    </w:p>
    <w:p w14:paraId="388B554C" w14:textId="77777777" w:rsidR="00394B40" w:rsidRDefault="0045348D">
      <w:pPr>
        <w:pStyle w:val="a6"/>
        <w:numPr>
          <w:ilvl w:val="0"/>
          <w:numId w:val="2"/>
        </w:numPr>
        <w:spacing w:line="360" w:lineRule="auto"/>
        <w:jc w:val="both"/>
        <w:rPr>
          <w:rFonts w:ascii="Arial" w:hAnsi="Arial" w:cs="David"/>
          <w:sz w:val="24"/>
          <w:szCs w:val="24"/>
        </w:rPr>
      </w:pPr>
      <w:r>
        <w:rPr>
          <w:rFonts w:ascii="Arial" w:hAnsi="Arial" w:cs="David"/>
          <w:sz w:val="24"/>
          <w:szCs w:val="24"/>
          <w:rtl/>
        </w:rPr>
        <w:t xml:space="preserve"> מדיניות הענישה הנהוגה בפסיקה אליה הפנתה. </w:t>
      </w:r>
    </w:p>
    <w:p w14:paraId="545422B8" w14:textId="77777777" w:rsidR="00394B40" w:rsidRDefault="0045348D">
      <w:pPr>
        <w:spacing w:line="360" w:lineRule="auto"/>
        <w:ind w:left="720"/>
        <w:jc w:val="both"/>
        <w:rPr>
          <w:rFonts w:ascii="Arial" w:hAnsi="Arial"/>
          <w:rtl/>
        </w:rPr>
      </w:pPr>
      <w:r>
        <w:rPr>
          <w:rFonts w:ascii="Arial" w:hAnsi="Arial"/>
          <w:rtl/>
        </w:rPr>
        <w:t>באשר למידת העונש בתוך מתחם הענישה עתרה להטלת עונש מאסר ברף התחתון של מתחמי הענישה (קרי: 18 חודשי מאסר לריצוי בפועל), לנוכח הודאת הנאשם במשטרה ובבית המשפט ולאור גילו, היעדר עבר פלילי, השתתפותו בהליך טיפולי והבעת החרטה.</w:t>
      </w:r>
      <w:r w:rsidR="003473CE" w:rsidRPr="008C02C7">
        <w:rPr>
          <w:rFonts w:ascii="Arial" w:hAnsi="Arial"/>
          <w:color w:val="FFFFFF"/>
          <w:sz w:val="2"/>
          <w:szCs w:val="2"/>
          <w:rtl/>
        </w:rPr>
        <w:t xml:space="preserve"> </w:t>
      </w:r>
      <w:r w:rsidR="003473CE" w:rsidRPr="003473CE">
        <w:rPr>
          <w:rFonts w:ascii="Arial" w:hAnsi="Arial"/>
          <w:color w:val="FFFFFF"/>
          <w:sz w:val="2"/>
          <w:szCs w:val="2"/>
          <w:rtl/>
        </w:rPr>
        <w:t>54678313</w:t>
      </w:r>
    </w:p>
    <w:p w14:paraId="3AC4CC14" w14:textId="77777777" w:rsidR="00394B40" w:rsidRDefault="00394B40">
      <w:pPr>
        <w:spacing w:line="360" w:lineRule="auto"/>
        <w:ind w:left="720"/>
        <w:jc w:val="both"/>
        <w:rPr>
          <w:rFonts w:ascii="Arial" w:hAnsi="Arial"/>
        </w:rPr>
      </w:pPr>
    </w:p>
    <w:p w14:paraId="2AD5EFF0" w14:textId="77777777" w:rsidR="00394B40" w:rsidRDefault="0045348D">
      <w:pPr>
        <w:pStyle w:val="a6"/>
        <w:numPr>
          <w:ilvl w:val="0"/>
          <w:numId w:val="1"/>
        </w:numPr>
        <w:spacing w:line="360" w:lineRule="auto"/>
        <w:jc w:val="both"/>
        <w:rPr>
          <w:rFonts w:ascii="Arial" w:hAnsi="Arial" w:cs="David"/>
          <w:sz w:val="24"/>
          <w:szCs w:val="24"/>
        </w:rPr>
      </w:pPr>
      <w:r>
        <w:rPr>
          <w:rFonts w:ascii="Arial" w:hAnsi="Arial" w:cs="David"/>
          <w:sz w:val="24"/>
          <w:szCs w:val="24"/>
          <w:rtl/>
        </w:rPr>
        <w:t>ב"כ הנאשם ביקש לאמץ את עמדת שירות המבחן ולהורות על עונש מאסר שניתן לריצוי בעבודות שירות במקביל להעמדת הנאשם בפיקוח שירות המבחן. ואלו נימוקיו:</w:t>
      </w:r>
    </w:p>
    <w:p w14:paraId="6C628767" w14:textId="77777777" w:rsidR="00394B40" w:rsidRDefault="0045348D" w:rsidP="00C207A2">
      <w:pPr>
        <w:pStyle w:val="a6"/>
        <w:numPr>
          <w:ilvl w:val="0"/>
          <w:numId w:val="3"/>
        </w:numPr>
        <w:spacing w:line="360" w:lineRule="auto"/>
        <w:jc w:val="both"/>
        <w:rPr>
          <w:rFonts w:ascii="Arial" w:hAnsi="Arial" w:cs="David"/>
          <w:sz w:val="24"/>
          <w:szCs w:val="24"/>
        </w:rPr>
      </w:pPr>
      <w:r>
        <w:rPr>
          <w:rFonts w:ascii="Arial" w:hAnsi="Arial" w:cs="David"/>
          <w:sz w:val="24"/>
          <w:szCs w:val="24"/>
          <w:rtl/>
        </w:rPr>
        <w:t>הודאתו המידית של הנאשם במשטרה תוך שכלל מסירת פרטים שלא היו בידיעת השוטרים, כך שכתב האישום כולו מבוסס על הודאותיו.</w:t>
      </w:r>
    </w:p>
    <w:p w14:paraId="1AF1639F" w14:textId="77777777" w:rsidR="00394B40" w:rsidRDefault="0045348D" w:rsidP="00C207A2">
      <w:pPr>
        <w:pStyle w:val="a6"/>
        <w:numPr>
          <w:ilvl w:val="0"/>
          <w:numId w:val="3"/>
        </w:numPr>
        <w:spacing w:line="360" w:lineRule="auto"/>
        <w:jc w:val="both"/>
        <w:rPr>
          <w:rFonts w:ascii="Arial" w:hAnsi="Arial" w:cs="David"/>
          <w:sz w:val="24"/>
          <w:szCs w:val="24"/>
        </w:rPr>
      </w:pPr>
      <w:r>
        <w:rPr>
          <w:rFonts w:ascii="Arial" w:hAnsi="Arial" w:cs="David"/>
          <w:sz w:val="24"/>
          <w:szCs w:val="24"/>
          <w:rtl/>
        </w:rPr>
        <w:t xml:space="preserve">הנאשם בן 25, בן למשפחה נורמטיבית, סיים את לימודיו עם תעודת בגרות מלאה, שירת כלוחם בצבא וניהל אורח חיים נורמטיבי. בגיל 22, לאחר שעזב את בית הוריו ועבר לגור בתל אביב, החל להשתמש בסמים מסוג מריחואנה, אקסטזי וקוקאין, וכך פגש את אותו 'אחר' עמו בוצעו העבירות. הרקע לביצוע העבירות הוא המעבר לעיר הגדולה </w:t>
      </w:r>
      <w:r w:rsidR="003473CE">
        <w:rPr>
          <w:rFonts w:ascii="Arial" w:hAnsi="Arial" w:cs="David" w:hint="cs"/>
          <w:sz w:val="24"/>
          <w:szCs w:val="24"/>
          <w:rtl/>
        </w:rPr>
        <w:t>וניסיונותי</w:t>
      </w:r>
      <w:r w:rsidR="003473CE">
        <w:rPr>
          <w:rFonts w:ascii="Arial" w:hAnsi="Arial" w:cs="David" w:hint="eastAsia"/>
          <w:sz w:val="24"/>
          <w:szCs w:val="24"/>
          <w:rtl/>
        </w:rPr>
        <w:t>ו</w:t>
      </w:r>
      <w:r>
        <w:rPr>
          <w:rFonts w:ascii="Arial" w:hAnsi="Arial" w:cs="David"/>
          <w:sz w:val="24"/>
          <w:szCs w:val="24"/>
          <w:rtl/>
        </w:rPr>
        <w:t xml:space="preserve"> למצוא שייכות על רקע המתואר בעמ' 2 ו-3 לתסקיר. </w:t>
      </w:r>
    </w:p>
    <w:p w14:paraId="39877F23" w14:textId="77777777" w:rsidR="00394B40" w:rsidRDefault="0045348D">
      <w:pPr>
        <w:pStyle w:val="a6"/>
        <w:numPr>
          <w:ilvl w:val="0"/>
          <w:numId w:val="3"/>
        </w:numPr>
        <w:spacing w:line="360" w:lineRule="auto"/>
        <w:jc w:val="both"/>
        <w:rPr>
          <w:rFonts w:ascii="Arial" w:hAnsi="Arial" w:cs="David"/>
          <w:sz w:val="24"/>
          <w:szCs w:val="24"/>
        </w:rPr>
      </w:pPr>
      <w:r>
        <w:rPr>
          <w:rFonts w:ascii="Arial" w:hAnsi="Arial" w:cs="David"/>
          <w:sz w:val="24"/>
          <w:szCs w:val="24"/>
          <w:rtl/>
        </w:rPr>
        <w:t>הסמים באישום הראשון לא היו מיועדים לנאשם והוא עצמו רכש מאותו 'אחר' 5 טבליות בלבד מתוכם.</w:t>
      </w:r>
    </w:p>
    <w:p w14:paraId="1E253A48" w14:textId="77777777" w:rsidR="00394B40" w:rsidRDefault="0045348D">
      <w:pPr>
        <w:pStyle w:val="a6"/>
        <w:numPr>
          <w:ilvl w:val="0"/>
          <w:numId w:val="3"/>
        </w:numPr>
        <w:spacing w:line="360" w:lineRule="auto"/>
        <w:jc w:val="both"/>
        <w:rPr>
          <w:rFonts w:ascii="Arial" w:hAnsi="Arial" w:cs="David"/>
          <w:sz w:val="24"/>
          <w:szCs w:val="24"/>
        </w:rPr>
      </w:pPr>
      <w:r>
        <w:rPr>
          <w:rFonts w:ascii="Arial" w:hAnsi="Arial" w:cs="David"/>
          <w:sz w:val="24"/>
          <w:szCs w:val="24"/>
          <w:rtl/>
        </w:rPr>
        <w:t>אין המדובר במי שהינו סוחר סמים 'קלאסי' ואף את מכירת הטבליות ביצע בנסיבות חברתיות ולא לשם הפקת רווח כספי.</w:t>
      </w:r>
    </w:p>
    <w:p w14:paraId="1539AA76" w14:textId="77777777" w:rsidR="00394B40" w:rsidRDefault="0045348D">
      <w:pPr>
        <w:pStyle w:val="a6"/>
        <w:numPr>
          <w:ilvl w:val="0"/>
          <w:numId w:val="3"/>
        </w:numPr>
        <w:spacing w:line="360" w:lineRule="auto"/>
        <w:jc w:val="both"/>
        <w:rPr>
          <w:rFonts w:ascii="Arial" w:hAnsi="Arial" w:cs="David"/>
          <w:sz w:val="24"/>
          <w:szCs w:val="24"/>
        </w:rPr>
      </w:pPr>
      <w:r>
        <w:rPr>
          <w:rFonts w:ascii="Arial" w:hAnsi="Arial" w:cs="David"/>
          <w:sz w:val="24"/>
          <w:szCs w:val="24"/>
          <w:rtl/>
        </w:rPr>
        <w:t>שהייתו במעצר במשך חודשיים ולאחר מכן תקופה ארוכה במעצר בית, שהוא נתון לפיקוחו ולטיפולו של שירות המבחן ויחידת הטיפול העירונית לנפגעי סמים.</w:t>
      </w:r>
    </w:p>
    <w:p w14:paraId="604D1D39" w14:textId="77777777" w:rsidR="00394B40" w:rsidRDefault="0045348D">
      <w:pPr>
        <w:pStyle w:val="a6"/>
        <w:numPr>
          <w:ilvl w:val="0"/>
          <w:numId w:val="3"/>
        </w:numPr>
        <w:spacing w:line="360" w:lineRule="auto"/>
        <w:jc w:val="both"/>
        <w:rPr>
          <w:rFonts w:ascii="Arial" w:hAnsi="Arial" w:cs="David"/>
          <w:sz w:val="24"/>
          <w:szCs w:val="24"/>
        </w:rPr>
      </w:pPr>
      <w:r>
        <w:rPr>
          <w:rFonts w:ascii="Arial" w:hAnsi="Arial" w:cs="David"/>
          <w:sz w:val="24"/>
          <w:szCs w:val="24"/>
          <w:rtl/>
        </w:rPr>
        <w:t>השתלבותו בהליך טיפולי תוך שיתוף פעולה מלא.</w:t>
      </w:r>
    </w:p>
    <w:p w14:paraId="096701EE" w14:textId="77777777" w:rsidR="00394B40" w:rsidRDefault="0045348D">
      <w:pPr>
        <w:pStyle w:val="a6"/>
        <w:numPr>
          <w:ilvl w:val="0"/>
          <w:numId w:val="3"/>
        </w:numPr>
        <w:spacing w:line="360" w:lineRule="auto"/>
        <w:jc w:val="both"/>
        <w:rPr>
          <w:rFonts w:ascii="Arial" w:hAnsi="Arial" w:cs="David"/>
          <w:sz w:val="24"/>
          <w:szCs w:val="24"/>
        </w:rPr>
      </w:pPr>
      <w:r>
        <w:rPr>
          <w:rFonts w:ascii="Arial" w:hAnsi="Arial" w:cs="David"/>
          <w:sz w:val="24"/>
          <w:szCs w:val="24"/>
          <w:rtl/>
        </w:rPr>
        <w:t xml:space="preserve">המלצת שירות המבחן על העדפת הפן השיקומי לנוכח התרשמותו מהעדר דפוסים עברייניים, מגילוי תובנה ביחס למצבו, הבנת חומרת העבירות, הבעת צער וחרטה ורגשות כעס כלפי עצמו ולאור ההערכה כי סיכויי שיקומו גבוהים, חרף הקביעה כי הוא מצוי בסיכון לשימוש בחומרים מסוכנים, כמו גם לנוכח החשש כי שליחתו למאסר תוריד לטמיון את התהליך השיקומי החיובי שעבר. </w:t>
      </w:r>
    </w:p>
    <w:p w14:paraId="4FC1C25B" w14:textId="77777777" w:rsidR="00394B40" w:rsidRDefault="0045348D">
      <w:pPr>
        <w:pStyle w:val="a6"/>
        <w:numPr>
          <w:ilvl w:val="0"/>
          <w:numId w:val="3"/>
        </w:numPr>
        <w:spacing w:line="360" w:lineRule="auto"/>
        <w:jc w:val="both"/>
        <w:rPr>
          <w:rFonts w:ascii="Arial" w:hAnsi="Arial" w:cs="David"/>
          <w:sz w:val="24"/>
          <w:szCs w:val="24"/>
        </w:rPr>
      </w:pPr>
      <w:r>
        <w:rPr>
          <w:rFonts w:ascii="Arial" w:hAnsi="Arial" w:cs="David"/>
          <w:sz w:val="24"/>
          <w:szCs w:val="24"/>
          <w:rtl/>
        </w:rPr>
        <w:t>תקופת ביצוע העבירות משתרעת על פני שלושה חודשים בלבד, ובעיקרו של דבר – במהלך חודש אחד.</w:t>
      </w:r>
    </w:p>
    <w:p w14:paraId="5749EE0E" w14:textId="77777777" w:rsidR="00394B40" w:rsidRDefault="0045348D">
      <w:pPr>
        <w:pStyle w:val="a6"/>
        <w:numPr>
          <w:ilvl w:val="0"/>
          <w:numId w:val="1"/>
        </w:numPr>
        <w:spacing w:line="360" w:lineRule="auto"/>
        <w:jc w:val="both"/>
        <w:rPr>
          <w:rFonts w:ascii="Arial" w:hAnsi="Arial" w:cs="David"/>
          <w:sz w:val="24"/>
          <w:szCs w:val="24"/>
        </w:rPr>
      </w:pPr>
      <w:r>
        <w:rPr>
          <w:rFonts w:ascii="Arial" w:hAnsi="Arial" w:cs="David"/>
          <w:sz w:val="24"/>
          <w:szCs w:val="24"/>
          <w:rtl/>
        </w:rPr>
        <w:t>כל אחד מהצדדים הגיש פסיקה לתמיכה בעמדתו.</w:t>
      </w:r>
    </w:p>
    <w:p w14:paraId="4A3E767D" w14:textId="77777777" w:rsidR="00394B40" w:rsidRDefault="0045348D">
      <w:pPr>
        <w:pStyle w:val="a6"/>
        <w:numPr>
          <w:ilvl w:val="0"/>
          <w:numId w:val="1"/>
        </w:numPr>
        <w:spacing w:line="360" w:lineRule="auto"/>
        <w:jc w:val="both"/>
        <w:rPr>
          <w:rFonts w:ascii="Arial" w:hAnsi="Arial" w:cs="David"/>
          <w:sz w:val="24"/>
          <w:szCs w:val="24"/>
        </w:rPr>
      </w:pPr>
      <w:r>
        <w:rPr>
          <w:rFonts w:ascii="Arial" w:hAnsi="Arial" w:cs="David"/>
          <w:sz w:val="24"/>
          <w:szCs w:val="24"/>
          <w:rtl/>
        </w:rPr>
        <w:t>הנאשם, בדברו האחרון בפני בית המשפט, אמר כי הוא מכיר בטעות שעשה וכי מאז הוא מנסה לתקן את מעשיו ואת הנזק שגרם. הנאשם ציין כי לאורך שנה וחצי מאז מעצרו עבר כברת דרך ארוכה. לדבריו, בחר לחזור למוטב והוא זוכה לתמיכת משפחתו. בתום דבריו ביקש הנאשם כי תינתן לו האפשרות לחזור ל"חיים נורמליים".</w:t>
      </w:r>
    </w:p>
    <w:p w14:paraId="5954665C" w14:textId="77777777" w:rsidR="00394B40" w:rsidRDefault="0045348D">
      <w:pPr>
        <w:spacing w:line="360" w:lineRule="auto"/>
        <w:jc w:val="both"/>
        <w:rPr>
          <w:rFonts w:ascii="Arial" w:hAnsi="Arial"/>
          <w:b/>
          <w:bCs/>
          <w:rtl/>
        </w:rPr>
      </w:pPr>
      <w:r>
        <w:rPr>
          <w:rFonts w:ascii="Arial" w:hAnsi="Arial"/>
          <w:b/>
          <w:bCs/>
          <w:rtl/>
        </w:rPr>
        <w:t>דיון והכרעה</w:t>
      </w:r>
    </w:p>
    <w:p w14:paraId="15E7C62B" w14:textId="77777777" w:rsidR="00394B40" w:rsidRDefault="0045348D">
      <w:pPr>
        <w:spacing w:line="360" w:lineRule="auto"/>
        <w:jc w:val="both"/>
        <w:rPr>
          <w:rFonts w:ascii="Arial" w:hAnsi="Arial"/>
        </w:rPr>
      </w:pPr>
      <w:r>
        <w:rPr>
          <w:rFonts w:ascii="Arial" w:hAnsi="Arial"/>
          <w:b/>
          <w:bCs/>
          <w:rtl/>
        </w:rPr>
        <w:t>ריבוי עבירות</w:t>
      </w:r>
    </w:p>
    <w:p w14:paraId="77AA24ED" w14:textId="77777777" w:rsidR="00394B40" w:rsidRDefault="0045348D">
      <w:pPr>
        <w:pStyle w:val="a6"/>
        <w:numPr>
          <w:ilvl w:val="0"/>
          <w:numId w:val="1"/>
        </w:numPr>
        <w:spacing w:line="360" w:lineRule="auto"/>
        <w:jc w:val="both"/>
        <w:rPr>
          <w:rFonts w:ascii="Arial" w:hAnsi="Arial" w:cs="David"/>
          <w:sz w:val="24"/>
          <w:szCs w:val="24"/>
        </w:rPr>
      </w:pPr>
      <w:r>
        <w:rPr>
          <w:rFonts w:ascii="Arial" w:hAnsi="Arial" w:cs="David"/>
          <w:sz w:val="24"/>
          <w:szCs w:val="24"/>
          <w:rtl/>
        </w:rPr>
        <w:t>שתי עבירות הייבוא שבביצוען הורשע הנאשם בוצעו בשיטה זהה: משלוח מעטפה מחו"ל וקבלתה בדואר על ידי הנאשם. בעבירת הייבוא הראשונה קיבל הנאשם 53 טבליות סם, מתוכן רכש 5 טבליות ואת היתר העביר לאחר, ובעבירה השנייה קיבל 152 טבליות. שתי העבירות בוצעו בפרק זמן של כשלושה חודשים. בשל הדמיון במאפיינים ולאור פרק הזמן הקצר שחלף בין ביצוע העבירה הראשונה לבין השנייה, ייקבע מתחם ענישה אחד לכל אחת משתי העבירות. מתחם נוסף ייקבע ביחס לעבירת הסחר.</w:t>
      </w:r>
    </w:p>
    <w:p w14:paraId="555798F9" w14:textId="77777777" w:rsidR="00394B40" w:rsidRDefault="0045348D" w:rsidP="00C207A2">
      <w:pPr>
        <w:pStyle w:val="a6"/>
        <w:spacing w:line="360" w:lineRule="auto"/>
        <w:ind w:left="360"/>
        <w:jc w:val="both"/>
        <w:rPr>
          <w:rFonts w:ascii="Arial" w:hAnsi="Arial" w:cs="David"/>
          <w:sz w:val="24"/>
          <w:szCs w:val="24"/>
        </w:rPr>
      </w:pPr>
      <w:r>
        <w:rPr>
          <w:rFonts w:ascii="Arial" w:hAnsi="Arial" w:cs="David"/>
          <w:sz w:val="24"/>
          <w:szCs w:val="24"/>
          <w:rtl/>
        </w:rPr>
        <w:t>לנוכח פרק הזמן הקצר לאורכו בוצעו העבירות בכללותן והעובדה כי הן קשורות למסכת עבריינית אחת מבחינת מבצעיה, דרכי הביצוע וטיב הסמים, ייגזר  על הנאשם – בסופו של דבר - עונש כולל (</w:t>
      </w:r>
      <w:hyperlink r:id="rId16" w:history="1">
        <w:r w:rsidR="000F01AD" w:rsidRPr="000F01AD">
          <w:rPr>
            <w:rFonts w:ascii="Arial" w:hAnsi="Arial" w:cs="David"/>
            <w:color w:val="0000FF"/>
            <w:sz w:val="24"/>
            <w:szCs w:val="24"/>
            <w:u w:val="single"/>
            <w:rtl/>
          </w:rPr>
          <w:t>סעיף 40יג</w:t>
        </w:r>
      </w:hyperlink>
      <w:r>
        <w:rPr>
          <w:rFonts w:ascii="Arial" w:hAnsi="Arial" w:cs="David"/>
          <w:sz w:val="24"/>
          <w:szCs w:val="24"/>
          <w:rtl/>
        </w:rPr>
        <w:t xml:space="preserve"> ל</w:t>
      </w:r>
      <w:hyperlink r:id="rId17" w:history="1">
        <w:r w:rsidRPr="0045348D">
          <w:rPr>
            <w:rFonts w:ascii="Arial" w:hAnsi="Arial" w:cs="David"/>
            <w:color w:val="0000FF"/>
            <w:sz w:val="24"/>
            <w:szCs w:val="24"/>
            <w:u w:val="single"/>
            <w:rtl/>
          </w:rPr>
          <w:t>חוק העונשין</w:t>
        </w:r>
      </w:hyperlink>
      <w:r>
        <w:rPr>
          <w:rFonts w:ascii="Arial" w:hAnsi="Arial" w:cs="David"/>
          <w:sz w:val="24"/>
          <w:szCs w:val="24"/>
          <w:rtl/>
        </w:rPr>
        <w:t>, התשל"ז–1997, להלן: "החוק").</w:t>
      </w:r>
    </w:p>
    <w:p w14:paraId="1C94727C" w14:textId="77777777" w:rsidR="00394B40" w:rsidRDefault="0045348D">
      <w:pPr>
        <w:spacing w:line="360" w:lineRule="auto"/>
        <w:jc w:val="both"/>
        <w:rPr>
          <w:rFonts w:ascii="Arial" w:hAnsi="Arial"/>
          <w:b/>
          <w:bCs/>
          <w:rtl/>
        </w:rPr>
      </w:pPr>
      <w:r>
        <w:rPr>
          <w:rFonts w:ascii="Arial" w:hAnsi="Arial"/>
          <w:b/>
          <w:bCs/>
          <w:rtl/>
        </w:rPr>
        <w:t>מתחם העונש ההולם</w:t>
      </w:r>
    </w:p>
    <w:p w14:paraId="05F8B35A" w14:textId="77777777" w:rsidR="00394B40" w:rsidRDefault="0045348D" w:rsidP="00C207A2">
      <w:pPr>
        <w:pStyle w:val="a6"/>
        <w:numPr>
          <w:ilvl w:val="0"/>
          <w:numId w:val="1"/>
        </w:numPr>
        <w:spacing w:line="360" w:lineRule="auto"/>
        <w:jc w:val="both"/>
        <w:rPr>
          <w:rFonts w:ascii="Arial" w:hAnsi="Arial" w:cs="David"/>
          <w:sz w:val="24"/>
          <w:szCs w:val="24"/>
        </w:rPr>
      </w:pPr>
      <w:r>
        <w:rPr>
          <w:rFonts w:ascii="Arial" w:hAnsi="Arial" w:cs="David"/>
          <w:sz w:val="24"/>
          <w:szCs w:val="24"/>
          <w:rtl/>
        </w:rPr>
        <w:t>מתחם העונש ההולם בכל אחת מעבירות ייבוא הסמים נע בין 14 ל-30 חודשי מאסר</w:t>
      </w:r>
      <w:r>
        <w:rPr>
          <w:rFonts w:ascii="Arial" w:hAnsi="Arial" w:cs="David"/>
          <w:sz w:val="24"/>
          <w:szCs w:val="24"/>
        </w:rPr>
        <w:t xml:space="preserve"> </w:t>
      </w:r>
      <w:r>
        <w:rPr>
          <w:rFonts w:ascii="Arial" w:hAnsi="Arial" w:cs="David"/>
          <w:sz w:val="24"/>
          <w:szCs w:val="24"/>
          <w:rtl/>
        </w:rPr>
        <w:t>ובעבירת הסחר נע מתחם העונש ההולם בין 7 ל-14 חודשי מאסר. בבסיס קביעה זו עומדים השיקולים הבאים:</w:t>
      </w:r>
    </w:p>
    <w:p w14:paraId="31052EEE" w14:textId="77777777" w:rsidR="00394B40" w:rsidRDefault="0045348D" w:rsidP="00C207A2">
      <w:pPr>
        <w:pStyle w:val="a6"/>
        <w:numPr>
          <w:ilvl w:val="0"/>
          <w:numId w:val="4"/>
        </w:numPr>
        <w:spacing w:line="360" w:lineRule="auto"/>
        <w:ind w:left="720"/>
        <w:jc w:val="both"/>
        <w:rPr>
          <w:rFonts w:ascii="Arial" w:hAnsi="Arial" w:cs="David"/>
          <w:sz w:val="24"/>
          <w:szCs w:val="24"/>
        </w:rPr>
      </w:pPr>
      <w:r>
        <w:rPr>
          <w:rFonts w:ascii="Arial" w:hAnsi="Arial" w:cs="David"/>
          <w:sz w:val="24"/>
          <w:szCs w:val="24"/>
          <w:rtl/>
        </w:rPr>
        <w:t xml:space="preserve">הערכים המוגנים בעבירות ייבוא וסחר בסמים הם שלום הציבור ובריאותו. מעשי הנאשם הביאו לפגיעה ממשית בהם, אף כי ברף הנמוך יחסית של מדרג פגיעה אפשרי וזאת לנוכח כמות הטבליות שייבא (53 בפעם הראשונה ו-152 בפעם השנייה) ומכירת 36 טבליות (לקביעה לפיה כמות הסמים שיובאה למטרות סחר משליכה על מהות העבירה ומידת החומרה ראו </w:t>
      </w:r>
      <w:hyperlink r:id="rId18" w:history="1">
        <w:r w:rsidRPr="0045348D">
          <w:rPr>
            <w:rFonts w:ascii="Arial" w:hAnsi="Arial" w:cs="David"/>
            <w:color w:val="0000FF"/>
            <w:sz w:val="24"/>
            <w:szCs w:val="24"/>
            <w:u w:val="single"/>
            <w:rtl/>
          </w:rPr>
          <w:t>ע"פ 8031/10</w:t>
        </w:r>
      </w:hyperlink>
      <w:r>
        <w:rPr>
          <w:rFonts w:ascii="Arial" w:hAnsi="Arial" w:cs="David"/>
          <w:sz w:val="24"/>
          <w:szCs w:val="24"/>
          <w:rtl/>
        </w:rPr>
        <w:t xml:space="preserve"> </w:t>
      </w:r>
      <w:r>
        <w:rPr>
          <w:rFonts w:ascii="Arial" w:hAnsi="Arial" w:cs="David"/>
          <w:b/>
          <w:bCs/>
          <w:sz w:val="24"/>
          <w:szCs w:val="24"/>
          <w:rtl/>
        </w:rPr>
        <w:t>אורסקו-צ'אבז נ' מדינת ישראל</w:t>
      </w:r>
      <w:r w:rsidR="003473CE">
        <w:rPr>
          <w:rFonts w:ascii="Arial" w:hAnsi="Arial" w:cs="David"/>
          <w:sz w:val="24"/>
          <w:szCs w:val="24"/>
          <w:rtl/>
        </w:rPr>
        <w:t>, בפיסקה 5</w:t>
      </w:r>
      <w:r>
        <w:rPr>
          <w:rFonts w:ascii="Arial" w:hAnsi="Arial" w:cs="David"/>
          <w:sz w:val="24"/>
          <w:szCs w:val="24"/>
          <w:rtl/>
        </w:rPr>
        <w:t xml:space="preserve"> (</w:t>
      </w:r>
      <w:r w:rsidR="003473CE">
        <w:rPr>
          <w:rFonts w:ascii="Arial" w:hAnsi="Arial" w:cs="David" w:hint="cs"/>
          <w:sz w:val="24"/>
          <w:szCs w:val="24"/>
          <w:rtl/>
        </w:rPr>
        <w:t xml:space="preserve">פורסם בנבו, </w:t>
      </w:r>
      <w:r>
        <w:rPr>
          <w:rFonts w:ascii="Arial" w:hAnsi="Arial" w:cs="David"/>
          <w:sz w:val="24"/>
          <w:szCs w:val="24"/>
          <w:rtl/>
        </w:rPr>
        <w:t>מיום 1.3.</w:t>
      </w:r>
      <w:r w:rsidR="003473CE">
        <w:rPr>
          <w:rFonts w:ascii="Arial" w:hAnsi="Arial" w:cs="David" w:hint="cs"/>
          <w:sz w:val="24"/>
          <w:szCs w:val="24"/>
          <w:rtl/>
        </w:rPr>
        <w:t>20</w:t>
      </w:r>
      <w:r>
        <w:rPr>
          <w:rFonts w:ascii="Arial" w:hAnsi="Arial" w:cs="David"/>
          <w:sz w:val="24"/>
          <w:szCs w:val="24"/>
          <w:rtl/>
        </w:rPr>
        <w:t>12).</w:t>
      </w:r>
    </w:p>
    <w:p w14:paraId="2EE632E2" w14:textId="77777777" w:rsidR="00394B40" w:rsidRDefault="0045348D">
      <w:pPr>
        <w:pStyle w:val="a6"/>
        <w:numPr>
          <w:ilvl w:val="0"/>
          <w:numId w:val="4"/>
        </w:numPr>
        <w:spacing w:line="360" w:lineRule="auto"/>
        <w:ind w:left="720"/>
        <w:jc w:val="both"/>
        <w:rPr>
          <w:rFonts w:ascii="Arial" w:hAnsi="Arial" w:cs="David"/>
          <w:sz w:val="24"/>
          <w:szCs w:val="24"/>
        </w:rPr>
      </w:pPr>
      <w:r>
        <w:rPr>
          <w:rFonts w:ascii="Arial" w:hAnsi="Arial" w:cs="David"/>
          <w:sz w:val="24"/>
          <w:szCs w:val="24"/>
          <w:rtl/>
        </w:rPr>
        <w:t>העונש המירבי הקבוע לעבירת הייבוא ולעבירת הסחר הוא עשרים שנות מאסר ומדיניות הענישה הנוהגת בעבירות אלו הינה מדיניות ענישה מחמירה, שמתבטאת בדרך כלל בעונשי מאסר מאחורי סורג ובריח. כך, למשל, נקבע ב</w:t>
      </w:r>
      <w:hyperlink r:id="rId19" w:history="1">
        <w:r w:rsidRPr="0045348D">
          <w:rPr>
            <w:rFonts w:ascii="Arial" w:hAnsi="Arial" w:cs="David"/>
            <w:color w:val="0000FF"/>
            <w:sz w:val="24"/>
            <w:szCs w:val="24"/>
            <w:u w:val="single"/>
            <w:rtl/>
          </w:rPr>
          <w:t>ע"פ 211/09</w:t>
        </w:r>
      </w:hyperlink>
      <w:r>
        <w:rPr>
          <w:rFonts w:ascii="Arial" w:hAnsi="Arial" w:cs="David"/>
          <w:sz w:val="24"/>
          <w:szCs w:val="24"/>
          <w:rtl/>
        </w:rPr>
        <w:t xml:space="preserve"> </w:t>
      </w:r>
      <w:r>
        <w:rPr>
          <w:rFonts w:ascii="Arial" w:hAnsi="Arial" w:cs="David"/>
          <w:b/>
          <w:bCs/>
          <w:sz w:val="24"/>
          <w:szCs w:val="24"/>
          <w:rtl/>
        </w:rPr>
        <w:t>אזולאי נ' מדינת ישראל</w:t>
      </w:r>
      <w:r>
        <w:rPr>
          <w:rFonts w:ascii="Arial" w:hAnsi="Arial" w:cs="David"/>
          <w:sz w:val="24"/>
          <w:szCs w:val="24"/>
          <w:rtl/>
        </w:rPr>
        <w:t xml:space="preserve"> (</w:t>
      </w:r>
      <w:r w:rsidR="003473CE">
        <w:rPr>
          <w:rFonts w:ascii="Arial" w:hAnsi="Arial" w:cs="David" w:hint="cs"/>
          <w:sz w:val="24"/>
          <w:szCs w:val="24"/>
          <w:rtl/>
        </w:rPr>
        <w:t xml:space="preserve">פורסם בנבו, </w:t>
      </w:r>
      <w:r>
        <w:rPr>
          <w:rFonts w:ascii="Arial" w:hAnsi="Arial" w:cs="David"/>
          <w:sz w:val="24"/>
          <w:szCs w:val="24"/>
          <w:rtl/>
        </w:rPr>
        <w:t>ניתן ביום 22.6.</w:t>
      </w:r>
      <w:r w:rsidR="003473CE">
        <w:rPr>
          <w:rFonts w:ascii="Arial" w:hAnsi="Arial" w:cs="David" w:hint="cs"/>
          <w:sz w:val="24"/>
          <w:szCs w:val="24"/>
          <w:rtl/>
        </w:rPr>
        <w:t>20</w:t>
      </w:r>
      <w:r>
        <w:rPr>
          <w:rFonts w:ascii="Arial" w:hAnsi="Arial" w:cs="David"/>
          <w:sz w:val="24"/>
          <w:szCs w:val="24"/>
          <w:rtl/>
        </w:rPr>
        <w:t>10), כי "</w:t>
      </w:r>
      <w:r>
        <w:rPr>
          <w:rFonts w:ascii="Arial" w:hAnsi="Arial" w:cs="David"/>
          <w:b/>
          <w:bCs/>
          <w:sz w:val="24"/>
          <w:szCs w:val="24"/>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503ADA72" w14:textId="77777777" w:rsidR="00394B40" w:rsidRDefault="0045348D">
      <w:pPr>
        <w:pStyle w:val="a6"/>
        <w:numPr>
          <w:ilvl w:val="0"/>
          <w:numId w:val="4"/>
        </w:numPr>
        <w:spacing w:line="360" w:lineRule="auto"/>
        <w:ind w:left="720"/>
        <w:jc w:val="both"/>
        <w:rPr>
          <w:rFonts w:ascii="Arial" w:hAnsi="Arial" w:cs="David"/>
          <w:sz w:val="24"/>
          <w:szCs w:val="24"/>
        </w:rPr>
      </w:pPr>
      <w:r>
        <w:rPr>
          <w:rFonts w:ascii="Arial" w:hAnsi="Arial" w:cs="David"/>
          <w:sz w:val="24"/>
          <w:szCs w:val="24"/>
          <w:rtl/>
        </w:rPr>
        <w:t>מדיניות הענישה משתקפת בפסקי דין הבאים:</w:t>
      </w:r>
    </w:p>
    <w:p w14:paraId="7CDB3927" w14:textId="77777777" w:rsidR="00394B40" w:rsidRDefault="0045348D">
      <w:pPr>
        <w:pStyle w:val="a6"/>
        <w:spacing w:line="360" w:lineRule="auto"/>
        <w:jc w:val="both"/>
        <w:rPr>
          <w:rFonts w:ascii="Arial" w:hAnsi="Arial" w:cs="David"/>
          <w:b/>
          <w:bCs/>
          <w:sz w:val="24"/>
          <w:szCs w:val="24"/>
          <w:rtl/>
        </w:rPr>
      </w:pPr>
      <w:r>
        <w:rPr>
          <w:rFonts w:ascii="Arial" w:hAnsi="Arial" w:cs="David"/>
          <w:sz w:val="24"/>
          <w:szCs w:val="24"/>
          <w:rtl/>
        </w:rPr>
        <w:t>ב</w:t>
      </w:r>
      <w:hyperlink r:id="rId20" w:history="1">
        <w:r w:rsidRPr="0045348D">
          <w:rPr>
            <w:rFonts w:ascii="Arial" w:hAnsi="Arial" w:cs="David"/>
            <w:color w:val="0000FF"/>
            <w:sz w:val="24"/>
            <w:szCs w:val="24"/>
            <w:u w:val="single"/>
            <w:rtl/>
          </w:rPr>
          <w:t>ע"פ 7776/05</w:t>
        </w:r>
      </w:hyperlink>
      <w:r>
        <w:rPr>
          <w:rFonts w:ascii="Arial" w:hAnsi="Arial" w:cs="David"/>
          <w:sz w:val="24"/>
          <w:szCs w:val="24"/>
          <w:rtl/>
        </w:rPr>
        <w:t xml:space="preserve"> </w:t>
      </w:r>
      <w:r>
        <w:rPr>
          <w:rFonts w:ascii="Arial" w:hAnsi="Arial" w:cs="David"/>
          <w:b/>
          <w:bCs/>
          <w:sz w:val="24"/>
          <w:szCs w:val="24"/>
          <w:rtl/>
        </w:rPr>
        <w:t xml:space="preserve">מדינת ישראל נ' רז נתן </w:t>
      </w:r>
      <w:r>
        <w:rPr>
          <w:rFonts w:ascii="Arial" w:hAnsi="Arial" w:cs="David"/>
          <w:sz w:val="24"/>
          <w:szCs w:val="24"/>
          <w:rtl/>
        </w:rPr>
        <w:t>(</w:t>
      </w:r>
      <w:r w:rsidR="003473CE">
        <w:rPr>
          <w:rFonts w:ascii="Arial" w:hAnsi="Arial" w:cs="David" w:hint="cs"/>
          <w:sz w:val="24"/>
          <w:szCs w:val="24"/>
          <w:rtl/>
        </w:rPr>
        <w:t xml:space="preserve">פורסם בנבו, </w:t>
      </w:r>
      <w:r>
        <w:rPr>
          <w:rFonts w:ascii="Arial" w:hAnsi="Arial" w:cs="David"/>
          <w:sz w:val="24"/>
          <w:szCs w:val="24"/>
          <w:rtl/>
        </w:rPr>
        <w:t>מיום 2.1.</w:t>
      </w:r>
      <w:r w:rsidR="003473CE">
        <w:rPr>
          <w:rFonts w:ascii="Arial" w:hAnsi="Arial" w:cs="David" w:hint="cs"/>
          <w:sz w:val="24"/>
          <w:szCs w:val="24"/>
          <w:rtl/>
        </w:rPr>
        <w:t>20</w:t>
      </w:r>
      <w:r>
        <w:rPr>
          <w:rFonts w:ascii="Arial" w:hAnsi="Arial" w:cs="David"/>
          <w:sz w:val="24"/>
          <w:szCs w:val="24"/>
          <w:rtl/>
        </w:rPr>
        <w:t>06) התקבל ערעור על קולת עונש של 6 חודשי מאסר לריצוי בעבודות שירות בגין הרשעה בהחזקת 1</w:t>
      </w:r>
      <w:r w:rsidR="003473CE">
        <w:rPr>
          <w:rFonts w:ascii="Arial" w:hAnsi="Arial" w:cs="David" w:hint="cs"/>
          <w:sz w:val="24"/>
          <w:szCs w:val="24"/>
          <w:rtl/>
        </w:rPr>
        <w:t>,</w:t>
      </w:r>
      <w:r>
        <w:rPr>
          <w:rFonts w:ascii="Arial" w:hAnsi="Arial" w:cs="David"/>
          <w:sz w:val="24"/>
          <w:szCs w:val="24"/>
          <w:rtl/>
        </w:rPr>
        <w:t>050 טבליות אקסטזי שלא לצריכה עצמית יחד עם 0.5 ג' חשיש. העונש הועמד על 18 חודשי מאסר לנוכח כמות הסם הגדולה, שכן כל טבליה היא מנה בפני עצמה, וייעודו לסחר  או להפצה. בית המשפט שב וחזר על הכלל לפיו "</w:t>
      </w:r>
      <w:r>
        <w:rPr>
          <w:rFonts w:ascii="Arial" w:hAnsi="Arial" w:cs="David"/>
          <w:b/>
          <w:bCs/>
          <w:sz w:val="24"/>
          <w:szCs w:val="24"/>
          <w:rtl/>
        </w:rPr>
        <w:t xml:space="preserve">בעבירות בתחום זה יהיה לנסיבות האישיות משקל מועט, ודינם של העוסקים בסחר בסם הוא, ככלל – מאסר ממש". </w:t>
      </w:r>
      <w:r>
        <w:rPr>
          <w:rFonts w:ascii="Arial" w:hAnsi="Arial" w:cs="David"/>
          <w:sz w:val="24"/>
          <w:szCs w:val="24"/>
          <w:rtl/>
        </w:rPr>
        <w:t>באותו עניין דובר בנאשם שבית המשפט המחוזי קבע לגביו כי יש סיכוי של ממש לשיקומו, אולם בית המשפט העליון קבע, כי למרות העניין הציבורי בשיקום העבריין, לא ניתן להשלים עם פנייתו לשיקום רק בעקבות עבירה נוספת בה חטא "</w:t>
      </w:r>
      <w:r>
        <w:rPr>
          <w:rFonts w:ascii="Arial" w:hAnsi="Arial" w:cs="David"/>
          <w:b/>
          <w:bCs/>
          <w:sz w:val="24"/>
          <w:szCs w:val="24"/>
          <w:rtl/>
        </w:rPr>
        <w:t>כאשר חרב המשפט מונפת על צווארו."</w:t>
      </w:r>
    </w:p>
    <w:p w14:paraId="012C8309" w14:textId="77777777" w:rsidR="00394B40" w:rsidRDefault="00394B40">
      <w:pPr>
        <w:pStyle w:val="a6"/>
        <w:spacing w:line="360" w:lineRule="auto"/>
        <w:ind w:left="1080"/>
        <w:jc w:val="both"/>
        <w:rPr>
          <w:rFonts w:ascii="Arial" w:hAnsi="Arial" w:cs="David"/>
          <w:sz w:val="24"/>
          <w:szCs w:val="24"/>
          <w:rtl/>
        </w:rPr>
      </w:pPr>
    </w:p>
    <w:p w14:paraId="23AB991C" w14:textId="77777777" w:rsidR="00394B40" w:rsidRDefault="0045348D">
      <w:pPr>
        <w:pStyle w:val="a6"/>
        <w:spacing w:line="360" w:lineRule="auto"/>
        <w:jc w:val="both"/>
        <w:rPr>
          <w:rFonts w:ascii="Arial" w:hAnsi="Arial" w:cs="David"/>
          <w:sz w:val="24"/>
          <w:szCs w:val="24"/>
          <w:rtl/>
        </w:rPr>
      </w:pPr>
      <w:r>
        <w:rPr>
          <w:rFonts w:ascii="Arial" w:hAnsi="Arial" w:cs="David"/>
          <w:sz w:val="24"/>
          <w:szCs w:val="24"/>
          <w:rtl/>
        </w:rPr>
        <w:t>ב</w:t>
      </w:r>
      <w:hyperlink r:id="rId21" w:history="1">
        <w:r w:rsidRPr="0045348D">
          <w:rPr>
            <w:rFonts w:ascii="Arial" w:hAnsi="Arial" w:cs="David"/>
            <w:color w:val="0000FF"/>
            <w:sz w:val="24"/>
            <w:szCs w:val="24"/>
            <w:u w:val="single"/>
            <w:rtl/>
          </w:rPr>
          <w:t>רע"פ 5170/09</w:t>
        </w:r>
      </w:hyperlink>
      <w:r>
        <w:rPr>
          <w:rFonts w:ascii="Arial" w:hAnsi="Arial" w:cs="David"/>
          <w:sz w:val="24"/>
          <w:szCs w:val="24"/>
          <w:rtl/>
        </w:rPr>
        <w:t xml:space="preserve"> </w:t>
      </w:r>
      <w:r>
        <w:rPr>
          <w:rFonts w:ascii="Arial" w:hAnsi="Arial" w:cs="David"/>
          <w:b/>
          <w:bCs/>
          <w:sz w:val="24"/>
          <w:szCs w:val="24"/>
          <w:rtl/>
        </w:rPr>
        <w:t xml:space="preserve">אבוטבול נ' מדינת ישראל </w:t>
      </w:r>
      <w:r>
        <w:rPr>
          <w:rFonts w:ascii="Arial" w:hAnsi="Arial" w:cs="David"/>
          <w:sz w:val="24"/>
          <w:szCs w:val="24"/>
          <w:rtl/>
        </w:rPr>
        <w:t>(</w:t>
      </w:r>
      <w:r w:rsidR="003473CE">
        <w:rPr>
          <w:rFonts w:ascii="Arial" w:hAnsi="Arial" w:cs="David" w:hint="cs"/>
          <w:sz w:val="24"/>
          <w:szCs w:val="24"/>
          <w:rtl/>
        </w:rPr>
        <w:t xml:space="preserve">פורסם בנבו, </w:t>
      </w:r>
      <w:r>
        <w:rPr>
          <w:rFonts w:ascii="Arial" w:hAnsi="Arial" w:cs="David"/>
          <w:sz w:val="24"/>
          <w:szCs w:val="24"/>
          <w:rtl/>
        </w:rPr>
        <w:t>מיום 6.9.</w:t>
      </w:r>
      <w:r w:rsidR="003473CE">
        <w:rPr>
          <w:rFonts w:ascii="Arial" w:hAnsi="Arial" w:cs="David" w:hint="cs"/>
          <w:sz w:val="24"/>
          <w:szCs w:val="24"/>
          <w:rtl/>
        </w:rPr>
        <w:t>20</w:t>
      </w:r>
      <w:r>
        <w:rPr>
          <w:rFonts w:ascii="Arial" w:hAnsi="Arial" w:cs="David"/>
          <w:sz w:val="24"/>
          <w:szCs w:val="24"/>
          <w:rtl/>
        </w:rPr>
        <w:t xml:space="preserve">09) סירב ביהמ"ש העליון להתערב בעונש של 9 חודשי מאסר בגין עבירה של החזקת סם מסוכן (150 טבליות </w:t>
      </w:r>
      <w:r>
        <w:rPr>
          <w:rFonts w:ascii="Arial" w:hAnsi="Arial" w:cs="David"/>
          <w:sz w:val="24"/>
          <w:szCs w:val="24"/>
        </w:rPr>
        <w:t>MDMA</w:t>
      </w:r>
      <w:r>
        <w:rPr>
          <w:rFonts w:ascii="Arial" w:hAnsi="Arial" w:cs="David"/>
          <w:sz w:val="24"/>
          <w:szCs w:val="24"/>
          <w:rtl/>
        </w:rPr>
        <w:t xml:space="preserve">), לאחר שביהמ"ש המחוזי קיבל ערעור על חומרת עונש של 12 חודשי מאסר שהטיל ביהמ"ש השלום. </w:t>
      </w:r>
    </w:p>
    <w:p w14:paraId="091D7A6D" w14:textId="77777777" w:rsidR="00394B40" w:rsidRDefault="00394B40">
      <w:pPr>
        <w:pStyle w:val="a6"/>
        <w:spacing w:line="360" w:lineRule="auto"/>
        <w:ind w:left="1080"/>
        <w:jc w:val="both"/>
        <w:rPr>
          <w:rFonts w:ascii="Arial" w:hAnsi="Arial" w:cs="David"/>
          <w:sz w:val="24"/>
          <w:szCs w:val="24"/>
          <w:rtl/>
        </w:rPr>
      </w:pPr>
    </w:p>
    <w:p w14:paraId="4AEE6FDE" w14:textId="77777777" w:rsidR="00394B40" w:rsidRDefault="0045348D">
      <w:pPr>
        <w:pStyle w:val="a6"/>
        <w:spacing w:line="360" w:lineRule="auto"/>
        <w:jc w:val="both"/>
        <w:rPr>
          <w:rFonts w:ascii="Arial" w:hAnsi="Arial" w:cs="David"/>
          <w:sz w:val="24"/>
          <w:szCs w:val="24"/>
          <w:rtl/>
        </w:rPr>
      </w:pPr>
      <w:r>
        <w:rPr>
          <w:rFonts w:ascii="Arial" w:hAnsi="Arial" w:cs="David"/>
          <w:sz w:val="24"/>
          <w:szCs w:val="24"/>
          <w:rtl/>
        </w:rPr>
        <w:t>ב</w:t>
      </w:r>
      <w:hyperlink r:id="rId22" w:history="1">
        <w:r w:rsidRPr="0045348D">
          <w:rPr>
            <w:rFonts w:ascii="Arial" w:hAnsi="Arial" w:cs="David"/>
            <w:color w:val="0000FF"/>
            <w:sz w:val="24"/>
            <w:szCs w:val="24"/>
            <w:u w:val="single"/>
            <w:rtl/>
          </w:rPr>
          <w:t>רע"פ 777/12</w:t>
        </w:r>
      </w:hyperlink>
      <w:r>
        <w:rPr>
          <w:rFonts w:ascii="Arial" w:hAnsi="Arial" w:cs="David"/>
          <w:sz w:val="24"/>
          <w:szCs w:val="24"/>
          <w:rtl/>
        </w:rPr>
        <w:t xml:space="preserve"> </w:t>
      </w:r>
      <w:r>
        <w:rPr>
          <w:rFonts w:ascii="Arial" w:hAnsi="Arial" w:cs="David"/>
          <w:b/>
          <w:bCs/>
          <w:sz w:val="24"/>
          <w:szCs w:val="24"/>
          <w:rtl/>
        </w:rPr>
        <w:t>מזרחי נ' מדינת ישראל</w:t>
      </w:r>
      <w:r>
        <w:rPr>
          <w:rFonts w:ascii="Arial" w:hAnsi="Arial" w:cs="David"/>
          <w:sz w:val="24"/>
          <w:szCs w:val="24"/>
          <w:rtl/>
        </w:rPr>
        <w:t xml:space="preserve"> (</w:t>
      </w:r>
      <w:r w:rsidR="003473CE">
        <w:rPr>
          <w:rFonts w:ascii="Arial" w:hAnsi="Arial" w:cs="David" w:hint="cs"/>
          <w:sz w:val="24"/>
          <w:szCs w:val="24"/>
          <w:rtl/>
        </w:rPr>
        <w:t xml:space="preserve">פורסם בנבו, </w:t>
      </w:r>
      <w:r>
        <w:rPr>
          <w:rFonts w:ascii="Arial" w:hAnsi="Arial" w:cs="David"/>
          <w:sz w:val="24"/>
          <w:szCs w:val="24"/>
          <w:rtl/>
        </w:rPr>
        <w:t>ניתן ביום 19.3.</w:t>
      </w:r>
      <w:r w:rsidR="003473CE">
        <w:rPr>
          <w:rFonts w:ascii="Arial" w:hAnsi="Arial" w:cs="David" w:hint="cs"/>
          <w:sz w:val="24"/>
          <w:szCs w:val="24"/>
          <w:rtl/>
        </w:rPr>
        <w:t>20</w:t>
      </w:r>
      <w:r>
        <w:rPr>
          <w:rFonts w:ascii="Arial" w:hAnsi="Arial" w:cs="David"/>
          <w:sz w:val="24"/>
          <w:szCs w:val="24"/>
          <w:rtl/>
        </w:rPr>
        <w:t xml:space="preserve">12) נדחתה בקשת רשות ערעור על חומרת עונש של 20 חודשי מאסר בגין עבירות של החזקת סם מסוכן שלא לצריכה עצמית והספקת סם (100 טבליות של </w:t>
      </w:r>
      <w:r>
        <w:rPr>
          <w:rFonts w:ascii="Arial" w:hAnsi="Arial" w:cs="David"/>
          <w:sz w:val="24"/>
          <w:szCs w:val="24"/>
        </w:rPr>
        <w:t>MDMA</w:t>
      </w:r>
      <w:r>
        <w:rPr>
          <w:rFonts w:ascii="Arial" w:hAnsi="Arial" w:cs="David"/>
          <w:sz w:val="24"/>
          <w:szCs w:val="24"/>
          <w:rtl/>
        </w:rPr>
        <w:t>) וכן החזקת חשיש לצריכה עצמית. נקבע כי אין מקום להתערב בקביעה כי חלקו של המבקש היה גדול יותר בהיותו זה שסיפק את הסמים לאחיו – שהורשע גם הוא ונדון לשנת מאסר – ובעל עבר פלילי ישן.</w:t>
      </w:r>
    </w:p>
    <w:p w14:paraId="384665B0" w14:textId="77777777" w:rsidR="00394B40" w:rsidRDefault="00394B40">
      <w:pPr>
        <w:pStyle w:val="a6"/>
        <w:spacing w:line="360" w:lineRule="auto"/>
        <w:ind w:left="1080"/>
        <w:jc w:val="both"/>
        <w:rPr>
          <w:rFonts w:ascii="Arial" w:hAnsi="Arial" w:cs="David"/>
          <w:sz w:val="24"/>
          <w:szCs w:val="24"/>
          <w:rtl/>
        </w:rPr>
      </w:pPr>
    </w:p>
    <w:p w14:paraId="7FB7DE69" w14:textId="77777777" w:rsidR="00394B40" w:rsidRDefault="0045348D" w:rsidP="00C207A2">
      <w:pPr>
        <w:pStyle w:val="a6"/>
        <w:spacing w:line="360" w:lineRule="auto"/>
        <w:jc w:val="both"/>
        <w:rPr>
          <w:rFonts w:ascii="Arial" w:hAnsi="Arial" w:cs="David"/>
          <w:sz w:val="24"/>
          <w:szCs w:val="24"/>
          <w:rtl/>
        </w:rPr>
      </w:pPr>
      <w:r>
        <w:rPr>
          <w:rFonts w:ascii="Arial" w:hAnsi="Arial" w:cs="David"/>
          <w:sz w:val="24"/>
          <w:szCs w:val="24"/>
          <w:rtl/>
        </w:rPr>
        <w:t>ב</w:t>
      </w:r>
      <w:hyperlink r:id="rId23" w:history="1">
        <w:r w:rsidRPr="0045348D">
          <w:rPr>
            <w:rFonts w:ascii="Arial" w:hAnsi="Arial" w:cs="David"/>
            <w:color w:val="0000FF"/>
            <w:sz w:val="24"/>
            <w:szCs w:val="24"/>
            <w:u w:val="single"/>
            <w:rtl/>
          </w:rPr>
          <w:t>ע"פ 9979/08</w:t>
        </w:r>
      </w:hyperlink>
      <w:r>
        <w:rPr>
          <w:rFonts w:ascii="Arial" w:hAnsi="Arial" w:cs="David"/>
          <w:sz w:val="24"/>
          <w:szCs w:val="24"/>
          <w:rtl/>
        </w:rPr>
        <w:t xml:space="preserve"> </w:t>
      </w:r>
      <w:r>
        <w:rPr>
          <w:rFonts w:ascii="Arial" w:hAnsi="Arial" w:cs="David"/>
          <w:b/>
          <w:bCs/>
          <w:sz w:val="24"/>
          <w:szCs w:val="24"/>
          <w:rtl/>
        </w:rPr>
        <w:t xml:space="preserve">בודרם נ' מדינת ישראל </w:t>
      </w:r>
      <w:r>
        <w:rPr>
          <w:rFonts w:ascii="Arial" w:hAnsi="Arial" w:cs="David"/>
          <w:sz w:val="24"/>
          <w:szCs w:val="24"/>
          <w:rtl/>
        </w:rPr>
        <w:t>(</w:t>
      </w:r>
      <w:r w:rsidR="003473CE">
        <w:rPr>
          <w:rFonts w:ascii="Arial" w:hAnsi="Arial" w:cs="David" w:hint="cs"/>
          <w:sz w:val="24"/>
          <w:szCs w:val="24"/>
          <w:rtl/>
        </w:rPr>
        <w:t xml:space="preserve">פורסם בנבו, </w:t>
      </w:r>
      <w:r>
        <w:rPr>
          <w:rFonts w:ascii="Arial" w:hAnsi="Arial" w:cs="David"/>
          <w:sz w:val="24"/>
          <w:szCs w:val="24"/>
          <w:rtl/>
        </w:rPr>
        <w:t>מיום 21.4.</w:t>
      </w:r>
      <w:r w:rsidR="003473CE">
        <w:rPr>
          <w:rFonts w:ascii="Arial" w:hAnsi="Arial" w:cs="David" w:hint="cs"/>
          <w:sz w:val="24"/>
          <w:szCs w:val="24"/>
          <w:rtl/>
        </w:rPr>
        <w:t>20</w:t>
      </w:r>
      <w:r>
        <w:rPr>
          <w:rFonts w:ascii="Arial" w:hAnsi="Arial" w:cs="David"/>
          <w:sz w:val="24"/>
          <w:szCs w:val="24"/>
          <w:rtl/>
        </w:rPr>
        <w:t xml:space="preserve">09) נדחה ערעור על חומרת עונש של 24 חודשי מאסר שהוטל בגין החזקת 242 טבליות </w:t>
      </w:r>
      <w:r>
        <w:rPr>
          <w:rFonts w:ascii="Arial" w:hAnsi="Arial" w:cs="David"/>
          <w:sz w:val="24"/>
          <w:szCs w:val="24"/>
        </w:rPr>
        <w:t>MDMA</w:t>
      </w:r>
      <w:r>
        <w:rPr>
          <w:rFonts w:ascii="Arial" w:hAnsi="Arial" w:cs="David"/>
          <w:sz w:val="24"/>
          <w:szCs w:val="24"/>
          <w:rtl/>
        </w:rPr>
        <w:t xml:space="preserve"> שלא לצריכה עצמית ו-1.98 גרם חשיש. שיקולי הענישה, כפי שעולים מגזר הדין בבית המשפט המחוזי (ת"פ (מחוזי ב"ש) 8113/08, </w:t>
      </w:r>
      <w:r w:rsidR="003473CE">
        <w:rPr>
          <w:rFonts w:ascii="Arial" w:hAnsi="Arial" w:cs="David" w:hint="cs"/>
          <w:sz w:val="24"/>
          <w:szCs w:val="24"/>
          <w:rtl/>
        </w:rPr>
        <w:t xml:space="preserve">פורסם בנבו, </w:t>
      </w:r>
      <w:r>
        <w:rPr>
          <w:rFonts w:ascii="Arial" w:hAnsi="Arial" w:cs="David"/>
          <w:sz w:val="24"/>
          <w:szCs w:val="24"/>
          <w:rtl/>
        </w:rPr>
        <w:t>מיום 19.11.08), היו חומרת העבירה, היותו של הסם מסוכן וקשה הנפוץ בקרב צעירים "נורמטיביים", גילו של הנאשם (27), עברו הפלילי הכולל עבירות אלימות שבוצעו לפני שנים), נסיבות חייו והימנעות שירות המבחן מהמלצה בעניינו.</w:t>
      </w:r>
    </w:p>
    <w:p w14:paraId="4BDC5B4E" w14:textId="77777777" w:rsidR="00394B40" w:rsidRDefault="00394B40">
      <w:pPr>
        <w:pStyle w:val="a6"/>
        <w:spacing w:line="360" w:lineRule="auto"/>
        <w:ind w:left="1080"/>
        <w:jc w:val="both"/>
        <w:rPr>
          <w:rFonts w:ascii="Arial" w:hAnsi="Arial" w:cs="David"/>
          <w:sz w:val="24"/>
          <w:szCs w:val="24"/>
          <w:rtl/>
        </w:rPr>
      </w:pPr>
    </w:p>
    <w:p w14:paraId="5FA78E3C" w14:textId="77777777" w:rsidR="00394B40" w:rsidRDefault="0045348D">
      <w:pPr>
        <w:pStyle w:val="a6"/>
        <w:spacing w:line="360" w:lineRule="auto"/>
        <w:jc w:val="both"/>
        <w:rPr>
          <w:rFonts w:ascii="Arial" w:hAnsi="Arial" w:cs="David"/>
          <w:sz w:val="24"/>
          <w:szCs w:val="24"/>
          <w:rtl/>
        </w:rPr>
      </w:pPr>
      <w:r>
        <w:rPr>
          <w:rFonts w:ascii="Arial" w:hAnsi="Arial" w:cs="David"/>
          <w:sz w:val="24"/>
          <w:szCs w:val="24"/>
          <w:rtl/>
        </w:rPr>
        <w:t>ב</w:t>
      </w:r>
      <w:hyperlink r:id="rId24" w:history="1">
        <w:r w:rsidRPr="0045348D">
          <w:rPr>
            <w:rFonts w:ascii="Arial" w:hAnsi="Arial" w:cs="David"/>
            <w:color w:val="0000FF"/>
            <w:sz w:val="24"/>
            <w:szCs w:val="24"/>
            <w:u w:val="single"/>
            <w:rtl/>
          </w:rPr>
          <w:t>ת"פ (מחוזי- חי) 341/03</w:t>
        </w:r>
      </w:hyperlink>
      <w:r>
        <w:rPr>
          <w:rFonts w:ascii="Arial" w:hAnsi="Arial" w:cs="David"/>
          <w:sz w:val="24"/>
          <w:szCs w:val="24"/>
          <w:rtl/>
        </w:rPr>
        <w:t xml:space="preserve"> </w:t>
      </w:r>
      <w:r>
        <w:rPr>
          <w:rFonts w:ascii="Arial" w:hAnsi="Arial" w:cs="David"/>
          <w:b/>
          <w:bCs/>
          <w:sz w:val="24"/>
          <w:szCs w:val="24"/>
          <w:rtl/>
        </w:rPr>
        <w:t>מדינת ישראל נ' בוגנים</w:t>
      </w:r>
      <w:r>
        <w:rPr>
          <w:rFonts w:ascii="Arial" w:hAnsi="Arial" w:cs="David"/>
          <w:sz w:val="24"/>
          <w:szCs w:val="24"/>
          <w:rtl/>
        </w:rPr>
        <w:t xml:space="preserve"> (</w:t>
      </w:r>
      <w:r w:rsidR="003473CE">
        <w:rPr>
          <w:rFonts w:ascii="Arial" w:hAnsi="Arial" w:cs="David" w:hint="cs"/>
          <w:sz w:val="24"/>
          <w:szCs w:val="24"/>
          <w:rtl/>
        </w:rPr>
        <w:t xml:space="preserve">פורסם בנבו, </w:t>
      </w:r>
      <w:r>
        <w:rPr>
          <w:rFonts w:ascii="Arial" w:hAnsi="Arial" w:cs="David"/>
          <w:sz w:val="24"/>
          <w:szCs w:val="24"/>
          <w:rtl/>
        </w:rPr>
        <w:t>מיום 26.11.03) נגזרו 27 חודשי מאסר על נאשם שהורשע על פי הודאתו בשתי עבירות של סחר ב-</w:t>
      </w:r>
      <w:r>
        <w:rPr>
          <w:rFonts w:ascii="Arial" w:hAnsi="Arial" w:cs="David"/>
          <w:sz w:val="24"/>
          <w:szCs w:val="24"/>
        </w:rPr>
        <w:t>MDMA</w:t>
      </w:r>
      <w:r>
        <w:rPr>
          <w:rFonts w:ascii="Arial" w:hAnsi="Arial" w:cs="David"/>
          <w:sz w:val="24"/>
          <w:szCs w:val="24"/>
          <w:rtl/>
        </w:rPr>
        <w:t>; האחת ב-57 כדורים והשנייה ב- 297 כדורים לאורך חודש אחד. בשיקולי הענישה נלקחו בחשבון גילו (23), נסיבותיו האישיות (תסמונת טורט ופיגור חלקי), עברו הפלילי בעבירות סמים. ערעור על חומרת העונש – נדחה (</w:t>
      </w:r>
      <w:hyperlink r:id="rId25" w:history="1">
        <w:r w:rsidRPr="0045348D">
          <w:rPr>
            <w:rFonts w:ascii="Arial" w:hAnsi="Arial" w:cs="David"/>
            <w:color w:val="0000FF"/>
            <w:sz w:val="24"/>
            <w:szCs w:val="24"/>
            <w:u w:val="single"/>
            <w:rtl/>
          </w:rPr>
          <w:t>ע"פ 259/04</w:t>
        </w:r>
      </w:hyperlink>
      <w:r>
        <w:rPr>
          <w:rFonts w:ascii="Arial" w:hAnsi="Arial" w:cs="David"/>
          <w:sz w:val="24"/>
          <w:szCs w:val="24"/>
          <w:rtl/>
        </w:rPr>
        <w:t>, מיום 1.9.</w:t>
      </w:r>
      <w:r w:rsidR="003473CE">
        <w:rPr>
          <w:rFonts w:ascii="Arial" w:hAnsi="Arial" w:cs="David" w:hint="cs"/>
          <w:sz w:val="24"/>
          <w:szCs w:val="24"/>
          <w:rtl/>
        </w:rPr>
        <w:t>20</w:t>
      </w:r>
      <w:r>
        <w:rPr>
          <w:rFonts w:ascii="Arial" w:hAnsi="Arial" w:cs="David"/>
          <w:sz w:val="24"/>
          <w:szCs w:val="24"/>
          <w:rtl/>
        </w:rPr>
        <w:t>04).</w:t>
      </w:r>
    </w:p>
    <w:p w14:paraId="3A0877E7" w14:textId="77777777" w:rsidR="00394B40" w:rsidRDefault="00394B40">
      <w:pPr>
        <w:pStyle w:val="a6"/>
        <w:spacing w:line="360" w:lineRule="auto"/>
        <w:ind w:left="1080"/>
        <w:jc w:val="both"/>
        <w:rPr>
          <w:rFonts w:ascii="Arial" w:hAnsi="Arial" w:cs="David"/>
          <w:sz w:val="24"/>
          <w:szCs w:val="24"/>
          <w:rtl/>
        </w:rPr>
      </w:pPr>
    </w:p>
    <w:p w14:paraId="71ECA62B" w14:textId="77777777" w:rsidR="00394B40" w:rsidRDefault="0045348D">
      <w:pPr>
        <w:pStyle w:val="a6"/>
        <w:spacing w:line="360" w:lineRule="auto"/>
        <w:jc w:val="both"/>
        <w:rPr>
          <w:rFonts w:ascii="Arial" w:hAnsi="Arial" w:cs="David"/>
          <w:sz w:val="24"/>
          <w:szCs w:val="24"/>
          <w:rtl/>
        </w:rPr>
      </w:pPr>
      <w:r>
        <w:rPr>
          <w:rFonts w:ascii="Arial" w:hAnsi="Arial" w:cs="David"/>
          <w:sz w:val="24"/>
          <w:szCs w:val="24"/>
          <w:rtl/>
        </w:rPr>
        <w:t>במספר תיקים שנדונו בבתי משפט השלום נגזרו עונשי מאסר לתקופות משמעותיות גם כאשר מספר טבליות הסמים בהן בוצעו העבירות היה קטן או דומה בהיקפו לזה בו הורשע הנאשם.</w:t>
      </w:r>
    </w:p>
    <w:p w14:paraId="1EAFA3E1" w14:textId="77777777" w:rsidR="00394B40" w:rsidRDefault="0045348D" w:rsidP="00C207A2">
      <w:pPr>
        <w:pStyle w:val="a6"/>
        <w:spacing w:line="360" w:lineRule="auto"/>
        <w:jc w:val="both"/>
        <w:rPr>
          <w:rFonts w:ascii="Arial" w:hAnsi="Arial" w:cs="David"/>
          <w:sz w:val="24"/>
          <w:szCs w:val="24"/>
          <w:rtl/>
        </w:rPr>
      </w:pPr>
      <w:r>
        <w:rPr>
          <w:rFonts w:ascii="Arial" w:hAnsi="Arial" w:cs="David"/>
          <w:sz w:val="24"/>
          <w:szCs w:val="24"/>
          <w:rtl/>
        </w:rPr>
        <w:t>ב</w:t>
      </w:r>
      <w:hyperlink r:id="rId26" w:history="1">
        <w:r w:rsidRPr="0045348D">
          <w:rPr>
            <w:rFonts w:ascii="Arial" w:hAnsi="Arial" w:cs="David"/>
            <w:color w:val="0000FF"/>
            <w:sz w:val="24"/>
            <w:szCs w:val="24"/>
            <w:u w:val="single"/>
            <w:rtl/>
          </w:rPr>
          <w:t>ת"פ 19356-05-09</w:t>
        </w:r>
      </w:hyperlink>
      <w:r>
        <w:rPr>
          <w:rFonts w:ascii="Arial" w:hAnsi="Arial" w:cs="David"/>
          <w:sz w:val="24"/>
          <w:szCs w:val="24"/>
          <w:rtl/>
        </w:rPr>
        <w:t xml:space="preserve"> (שלום חי') </w:t>
      </w:r>
      <w:r>
        <w:rPr>
          <w:rFonts w:ascii="Arial" w:hAnsi="Arial" w:cs="David"/>
          <w:b/>
          <w:bCs/>
          <w:sz w:val="24"/>
          <w:szCs w:val="24"/>
          <w:rtl/>
        </w:rPr>
        <w:t>מדינת ישראל נ' טאהא</w:t>
      </w:r>
      <w:r>
        <w:rPr>
          <w:rFonts w:ascii="Arial" w:hAnsi="Arial" w:cs="David"/>
          <w:sz w:val="24"/>
          <w:szCs w:val="24"/>
          <w:rtl/>
        </w:rPr>
        <w:t xml:space="preserve"> (</w:t>
      </w:r>
      <w:r w:rsidR="003473CE">
        <w:rPr>
          <w:rFonts w:ascii="Arial" w:hAnsi="Arial" w:cs="David" w:hint="cs"/>
          <w:sz w:val="24"/>
          <w:szCs w:val="24"/>
          <w:rtl/>
        </w:rPr>
        <w:t xml:space="preserve">פורסם בנבו, </w:t>
      </w:r>
      <w:r>
        <w:rPr>
          <w:rFonts w:ascii="Arial" w:hAnsi="Arial" w:cs="David"/>
          <w:sz w:val="24"/>
          <w:szCs w:val="24"/>
          <w:rtl/>
        </w:rPr>
        <w:t>מיום 4.1.10) נגזרו 10 חודשי מאסר על נאשם שהורשע בסחר לאחר שמכר 100 טבליות אקסטזי. לנאשם עבר פלילי שאינו מכביד.</w:t>
      </w:r>
    </w:p>
    <w:p w14:paraId="532EA3B6" w14:textId="77777777" w:rsidR="00394B40" w:rsidRDefault="0045348D" w:rsidP="00C207A2">
      <w:pPr>
        <w:pStyle w:val="a6"/>
        <w:spacing w:line="360" w:lineRule="auto"/>
        <w:jc w:val="both"/>
        <w:rPr>
          <w:rFonts w:ascii="Arial" w:hAnsi="Arial" w:cs="David"/>
          <w:sz w:val="24"/>
          <w:szCs w:val="24"/>
          <w:rtl/>
        </w:rPr>
      </w:pPr>
      <w:r>
        <w:rPr>
          <w:rFonts w:ascii="Arial" w:hAnsi="Arial" w:cs="David"/>
          <w:sz w:val="24"/>
          <w:szCs w:val="24"/>
          <w:rtl/>
        </w:rPr>
        <w:t xml:space="preserve">בת"פ (שלום י-ם) 5742/08 </w:t>
      </w:r>
      <w:r>
        <w:rPr>
          <w:rFonts w:ascii="Arial" w:hAnsi="Arial" w:cs="David"/>
          <w:b/>
          <w:bCs/>
          <w:sz w:val="24"/>
          <w:szCs w:val="24"/>
          <w:rtl/>
        </w:rPr>
        <w:t>מדינת ישראל נ' עז</w:t>
      </w:r>
      <w:r>
        <w:rPr>
          <w:rFonts w:ascii="Arial" w:hAnsi="Arial" w:cs="David"/>
          <w:sz w:val="24"/>
          <w:szCs w:val="24"/>
          <w:rtl/>
        </w:rPr>
        <w:t xml:space="preserve"> (</w:t>
      </w:r>
      <w:r w:rsidR="003473CE">
        <w:rPr>
          <w:rFonts w:ascii="Arial" w:hAnsi="Arial" w:cs="David" w:hint="cs"/>
          <w:sz w:val="24"/>
          <w:szCs w:val="24"/>
          <w:rtl/>
        </w:rPr>
        <w:t xml:space="preserve">פורסם בנבו, </w:t>
      </w:r>
      <w:r>
        <w:rPr>
          <w:rFonts w:ascii="Arial" w:hAnsi="Arial" w:cs="David"/>
          <w:sz w:val="24"/>
          <w:szCs w:val="24"/>
          <w:rtl/>
        </w:rPr>
        <w:t>מיום 3.4.</w:t>
      </w:r>
      <w:r w:rsidR="003473CE">
        <w:rPr>
          <w:rFonts w:ascii="Arial" w:hAnsi="Arial" w:cs="David" w:hint="cs"/>
          <w:sz w:val="24"/>
          <w:szCs w:val="24"/>
          <w:rtl/>
        </w:rPr>
        <w:t>20</w:t>
      </w:r>
      <w:r>
        <w:rPr>
          <w:rFonts w:ascii="Arial" w:hAnsi="Arial" w:cs="David"/>
          <w:sz w:val="24"/>
          <w:szCs w:val="24"/>
          <w:rtl/>
        </w:rPr>
        <w:t xml:space="preserve">08) נגזרו 30 חודשי מאסר על נאשם בן 28 ובעל עבר פלילי משמעותי, שהורשע בשלוש עבירות של סחר בטבליות אקסטזי במהלך תקופה של כחודש ימים. </w:t>
      </w:r>
    </w:p>
    <w:p w14:paraId="3F4B6711" w14:textId="77777777" w:rsidR="00394B40" w:rsidRDefault="0045348D" w:rsidP="00C207A2">
      <w:pPr>
        <w:pStyle w:val="a6"/>
        <w:spacing w:line="360" w:lineRule="auto"/>
        <w:jc w:val="both"/>
        <w:rPr>
          <w:rFonts w:ascii="Arial" w:hAnsi="Arial" w:cs="David"/>
          <w:sz w:val="24"/>
          <w:szCs w:val="24"/>
          <w:rtl/>
        </w:rPr>
      </w:pPr>
      <w:r>
        <w:rPr>
          <w:rFonts w:ascii="Arial" w:hAnsi="Arial" w:cs="David"/>
          <w:sz w:val="24"/>
          <w:szCs w:val="24"/>
          <w:rtl/>
        </w:rPr>
        <w:t xml:space="preserve">בת"פ (שלום י-ם) 1007/05 </w:t>
      </w:r>
      <w:r>
        <w:rPr>
          <w:rFonts w:ascii="Arial" w:hAnsi="Arial" w:cs="David"/>
          <w:b/>
          <w:bCs/>
          <w:sz w:val="24"/>
          <w:szCs w:val="24"/>
          <w:rtl/>
        </w:rPr>
        <w:t>מדינת ישראל נ' אבו אלהווא</w:t>
      </w:r>
      <w:r>
        <w:rPr>
          <w:rFonts w:ascii="Arial" w:hAnsi="Arial" w:cs="David"/>
          <w:sz w:val="24"/>
          <w:szCs w:val="24"/>
          <w:rtl/>
        </w:rPr>
        <w:t xml:space="preserve"> (</w:t>
      </w:r>
      <w:r w:rsidR="003473CE">
        <w:rPr>
          <w:rFonts w:ascii="Arial" w:hAnsi="Arial" w:cs="David" w:hint="cs"/>
          <w:sz w:val="24"/>
          <w:szCs w:val="24"/>
          <w:rtl/>
        </w:rPr>
        <w:t xml:space="preserve">פורסם בנבו, </w:t>
      </w:r>
      <w:r>
        <w:rPr>
          <w:rFonts w:ascii="Arial" w:hAnsi="Arial" w:cs="David"/>
          <w:sz w:val="24"/>
          <w:szCs w:val="24"/>
          <w:rtl/>
        </w:rPr>
        <w:t>מיום 27.2.</w:t>
      </w:r>
      <w:r w:rsidR="003473CE">
        <w:rPr>
          <w:rFonts w:ascii="Arial" w:hAnsi="Arial" w:cs="David" w:hint="cs"/>
          <w:sz w:val="24"/>
          <w:szCs w:val="24"/>
          <w:rtl/>
        </w:rPr>
        <w:t>20</w:t>
      </w:r>
      <w:r>
        <w:rPr>
          <w:rFonts w:ascii="Arial" w:hAnsi="Arial" w:cs="David"/>
          <w:sz w:val="24"/>
          <w:szCs w:val="24"/>
          <w:rtl/>
        </w:rPr>
        <w:t xml:space="preserve">06) נגזרו 7 חודשי מאסר על נאשם, בעל עבר פלילי, שהורשע בשתי עבירות של סחר ב-25 יחידות אקסטזי, זאת לאחר שנקבע כי בשל "הדחה מסויימת" שביצעה הסוכנת הסמויה באחד משני המקרים, מצא בית המשפט להקל בעונשו. </w:t>
      </w:r>
    </w:p>
    <w:p w14:paraId="4ABDCADF" w14:textId="77777777" w:rsidR="00394B40" w:rsidRDefault="0045348D" w:rsidP="00C207A2">
      <w:pPr>
        <w:pStyle w:val="a6"/>
        <w:spacing w:line="360" w:lineRule="auto"/>
        <w:jc w:val="both"/>
        <w:rPr>
          <w:rFonts w:ascii="Arial" w:hAnsi="Arial" w:cs="David"/>
          <w:sz w:val="24"/>
          <w:szCs w:val="24"/>
          <w:rtl/>
        </w:rPr>
      </w:pPr>
      <w:r>
        <w:rPr>
          <w:rFonts w:ascii="Arial" w:hAnsi="Arial" w:cs="David"/>
          <w:sz w:val="24"/>
          <w:szCs w:val="24"/>
          <w:rtl/>
        </w:rPr>
        <w:t xml:space="preserve">בת"פ (שלום י-ם) 1009/04 </w:t>
      </w:r>
      <w:r>
        <w:rPr>
          <w:rFonts w:ascii="Arial" w:hAnsi="Arial" w:cs="David"/>
          <w:b/>
          <w:bCs/>
          <w:sz w:val="24"/>
          <w:szCs w:val="24"/>
          <w:rtl/>
        </w:rPr>
        <w:t>מדינת ישראל נ' אבו גאנם</w:t>
      </w:r>
      <w:r>
        <w:rPr>
          <w:rFonts w:ascii="Arial" w:hAnsi="Arial" w:cs="David"/>
          <w:sz w:val="24"/>
          <w:szCs w:val="24"/>
          <w:rtl/>
        </w:rPr>
        <w:t xml:space="preserve"> (</w:t>
      </w:r>
      <w:r w:rsidR="003473CE">
        <w:rPr>
          <w:rFonts w:ascii="Arial" w:hAnsi="Arial" w:cs="David" w:hint="cs"/>
          <w:sz w:val="24"/>
          <w:szCs w:val="24"/>
          <w:rtl/>
        </w:rPr>
        <w:t xml:space="preserve">פורסם בנבו, </w:t>
      </w:r>
      <w:r>
        <w:rPr>
          <w:rFonts w:ascii="Arial" w:hAnsi="Arial" w:cs="David"/>
          <w:sz w:val="24"/>
          <w:szCs w:val="24"/>
          <w:rtl/>
        </w:rPr>
        <w:t>מיום 22.3.</w:t>
      </w:r>
      <w:r w:rsidR="003473CE">
        <w:rPr>
          <w:rFonts w:ascii="Arial" w:hAnsi="Arial" w:cs="David" w:hint="cs"/>
          <w:sz w:val="24"/>
          <w:szCs w:val="24"/>
          <w:rtl/>
        </w:rPr>
        <w:t>20</w:t>
      </w:r>
      <w:r>
        <w:rPr>
          <w:rFonts w:ascii="Arial" w:hAnsi="Arial" w:cs="David"/>
          <w:sz w:val="24"/>
          <w:szCs w:val="24"/>
          <w:rtl/>
        </w:rPr>
        <w:t>04) נגזרו 12 חודשי מאסר על נאשם שהורשע על פי הודאתו, במסגרת הסדר טיעון, בשתי עבירות של סחר ב-93 כדורי אקסטזי. הנאשם היה צעיר בן 21, לגביו המליץ שירות המבחן על מאסר קצר.</w:t>
      </w:r>
    </w:p>
    <w:p w14:paraId="6E1CA2BA" w14:textId="77777777" w:rsidR="00394B40" w:rsidRDefault="00394B40">
      <w:pPr>
        <w:pStyle w:val="a6"/>
        <w:spacing w:line="360" w:lineRule="auto"/>
        <w:ind w:left="1080"/>
        <w:jc w:val="both"/>
        <w:rPr>
          <w:rFonts w:ascii="Arial" w:hAnsi="Arial" w:cs="David"/>
          <w:sz w:val="24"/>
          <w:szCs w:val="24"/>
          <w:rtl/>
        </w:rPr>
      </w:pPr>
    </w:p>
    <w:p w14:paraId="5B9BB1FB" w14:textId="77777777" w:rsidR="00394B40" w:rsidRDefault="0045348D">
      <w:pPr>
        <w:pStyle w:val="a6"/>
        <w:spacing w:line="360" w:lineRule="auto"/>
        <w:jc w:val="both"/>
        <w:rPr>
          <w:rFonts w:ascii="Arial" w:hAnsi="Arial" w:cs="David"/>
          <w:sz w:val="24"/>
          <w:szCs w:val="24"/>
          <w:rtl/>
        </w:rPr>
      </w:pPr>
      <w:r>
        <w:rPr>
          <w:rFonts w:ascii="Arial" w:hAnsi="Arial" w:cs="David"/>
          <w:sz w:val="24"/>
          <w:szCs w:val="24"/>
          <w:rtl/>
        </w:rPr>
        <w:t>בסיכומו של דבר, מן הראוי לשוב ולהזכיר כי ההלכה הנוהגת בענישה בעבירות סמים היא כי יש להשית ענישה מחמירה מאחורי סורג ובריח לתקופה ארוכה (</w:t>
      </w:r>
      <w:hyperlink r:id="rId27" w:history="1">
        <w:r w:rsidRPr="0045348D">
          <w:rPr>
            <w:rFonts w:ascii="Arial" w:hAnsi="Arial" w:cs="David"/>
            <w:color w:val="0000FF"/>
            <w:sz w:val="24"/>
            <w:szCs w:val="24"/>
            <w:u w:val="single"/>
            <w:rtl/>
          </w:rPr>
          <w:t>ע"פ 7026/11</w:t>
        </w:r>
      </w:hyperlink>
      <w:r>
        <w:rPr>
          <w:rFonts w:ascii="Arial" w:hAnsi="Arial" w:cs="David"/>
          <w:sz w:val="24"/>
          <w:szCs w:val="24"/>
          <w:rtl/>
        </w:rPr>
        <w:t xml:space="preserve"> </w:t>
      </w:r>
      <w:r>
        <w:rPr>
          <w:rFonts w:ascii="Arial" w:hAnsi="Arial" w:cs="David"/>
          <w:b/>
          <w:bCs/>
          <w:sz w:val="24"/>
          <w:szCs w:val="24"/>
          <w:rtl/>
        </w:rPr>
        <w:t>מדינת ישראל נ' פלוני</w:t>
      </w:r>
      <w:r>
        <w:rPr>
          <w:rFonts w:ascii="Arial" w:hAnsi="Arial" w:cs="David"/>
          <w:sz w:val="24"/>
          <w:szCs w:val="24"/>
          <w:rtl/>
        </w:rPr>
        <w:t xml:space="preserve">, </w:t>
      </w:r>
      <w:r w:rsidR="003473CE">
        <w:rPr>
          <w:rFonts w:ascii="Arial" w:hAnsi="Arial" w:cs="David" w:hint="cs"/>
          <w:sz w:val="24"/>
          <w:szCs w:val="24"/>
          <w:rtl/>
        </w:rPr>
        <w:t xml:space="preserve">פורסם בנבו, </w:t>
      </w:r>
      <w:r>
        <w:rPr>
          <w:rFonts w:ascii="Arial" w:hAnsi="Arial" w:cs="David"/>
          <w:sz w:val="24"/>
          <w:szCs w:val="24"/>
          <w:rtl/>
        </w:rPr>
        <w:t>ניתן ביום 26.2.</w:t>
      </w:r>
      <w:r w:rsidR="003473CE">
        <w:rPr>
          <w:rFonts w:ascii="Arial" w:hAnsi="Arial" w:cs="David" w:hint="cs"/>
          <w:sz w:val="24"/>
          <w:szCs w:val="24"/>
          <w:rtl/>
        </w:rPr>
        <w:t>20</w:t>
      </w:r>
      <w:r>
        <w:rPr>
          <w:rFonts w:ascii="Arial" w:hAnsi="Arial" w:cs="David"/>
          <w:sz w:val="24"/>
          <w:szCs w:val="24"/>
          <w:rtl/>
        </w:rPr>
        <w:t>12) וכי ב</w:t>
      </w:r>
      <w:hyperlink r:id="rId28" w:history="1">
        <w:r w:rsidRPr="0045348D">
          <w:rPr>
            <w:rFonts w:ascii="Arial" w:hAnsi="Arial" w:cs="David"/>
            <w:color w:val="0000FF"/>
            <w:sz w:val="24"/>
            <w:szCs w:val="24"/>
            <w:u w:val="single"/>
            <w:rtl/>
          </w:rPr>
          <w:t>ע"פ 7714/11</w:t>
        </w:r>
      </w:hyperlink>
      <w:r>
        <w:rPr>
          <w:rFonts w:ascii="Arial" w:hAnsi="Arial" w:cs="David"/>
          <w:sz w:val="24"/>
          <w:szCs w:val="24"/>
          <w:rtl/>
        </w:rPr>
        <w:t xml:space="preserve"> </w:t>
      </w:r>
      <w:r>
        <w:rPr>
          <w:rFonts w:ascii="Arial" w:hAnsi="Arial" w:cs="David"/>
          <w:b/>
          <w:bCs/>
          <w:sz w:val="24"/>
          <w:szCs w:val="24"/>
          <w:rtl/>
        </w:rPr>
        <w:t>מדינת ישראל נ' דילן</w:t>
      </w:r>
      <w:r>
        <w:rPr>
          <w:rFonts w:ascii="Arial" w:hAnsi="Arial" w:cs="David"/>
          <w:sz w:val="24"/>
          <w:szCs w:val="24"/>
          <w:rtl/>
        </w:rPr>
        <w:t xml:space="preserve"> (</w:t>
      </w:r>
      <w:r w:rsidR="003473CE">
        <w:rPr>
          <w:rFonts w:ascii="Arial" w:hAnsi="Arial" w:cs="David" w:hint="cs"/>
          <w:sz w:val="24"/>
          <w:szCs w:val="24"/>
          <w:rtl/>
        </w:rPr>
        <w:t xml:space="preserve">פורסם בנבו, </w:t>
      </w:r>
      <w:r>
        <w:rPr>
          <w:rFonts w:ascii="Arial" w:hAnsi="Arial" w:cs="David"/>
          <w:sz w:val="24"/>
          <w:szCs w:val="24"/>
          <w:rtl/>
        </w:rPr>
        <w:t>מיום 17.5.12) נקבע כי "</w:t>
      </w:r>
      <w:r>
        <w:rPr>
          <w:rFonts w:ascii="Arial" w:hAnsi="Arial" w:cs="David"/>
          <w:b/>
          <w:bCs/>
          <w:sz w:val="24"/>
          <w:szCs w:val="24"/>
          <w:rtl/>
        </w:rPr>
        <w:t>ככלל על בתי המשפט להנחות עצמם לפי האמור ב</w:t>
      </w:r>
      <w:hyperlink r:id="rId29" w:history="1">
        <w:r w:rsidRPr="0045348D">
          <w:rPr>
            <w:rFonts w:ascii="Arial" w:hAnsi="Arial" w:cs="David"/>
            <w:b/>
            <w:bCs/>
            <w:color w:val="0000FF"/>
            <w:sz w:val="24"/>
            <w:szCs w:val="24"/>
            <w:u w:val="single"/>
            <w:rtl/>
          </w:rPr>
          <w:t>ע"פ 7026/11</w:t>
        </w:r>
      </w:hyperlink>
      <w:r>
        <w:rPr>
          <w:rFonts w:ascii="Arial" w:hAnsi="Arial" w:cs="David"/>
          <w:b/>
          <w:bCs/>
          <w:sz w:val="24"/>
          <w:szCs w:val="24"/>
          <w:rtl/>
        </w:rPr>
        <w:t xml:space="preserve"> הנ"ל)."</w:t>
      </w:r>
      <w:r>
        <w:rPr>
          <w:rFonts w:ascii="Arial" w:hAnsi="Arial" w:cs="David"/>
          <w:sz w:val="24"/>
          <w:szCs w:val="24"/>
          <w:rtl/>
        </w:rPr>
        <w:t xml:space="preserve"> באותם מקרים דובר בסם מסוג </w:t>
      </w:r>
      <w:r>
        <w:rPr>
          <w:rFonts w:ascii="Arial" w:hAnsi="Arial" w:cs="David"/>
          <w:sz w:val="24"/>
          <w:szCs w:val="24"/>
        </w:rPr>
        <w:t>GBL</w:t>
      </w:r>
      <w:r>
        <w:rPr>
          <w:rFonts w:ascii="Arial" w:hAnsi="Arial" w:cs="David"/>
          <w:sz w:val="24"/>
          <w:szCs w:val="24"/>
          <w:rtl/>
        </w:rPr>
        <w:t>, הידוע כ"סם האונס" ובית המשפט קבע את שקבע בשל נפיצותו וסכנותיו. במידה רבה, נכונים הדברים גם ביחס לטבליות האקסטזי לנוכח נפיצותן, השפעתם הקשה וקלות ייבואן והסחר בהן. אמנם, בשני המקרים הנ"ל, ובמקרים נוספים שהוגשו לעיוני ע"י ב"כ הנאשם, מצאו בתי המשפט לנכון שלא להטיל ענישה מחמירה, בין היתר, בשל ראשוניות הפסיקה בעבירות בסם מסוג זה ("סם האונס") וכן לנוכח קיומן של נסיבות קולא מצטברות שאינן קיימות במקרה זה.</w:t>
      </w:r>
    </w:p>
    <w:p w14:paraId="7F07C01F" w14:textId="77777777" w:rsidR="00394B40" w:rsidRDefault="0045348D">
      <w:pPr>
        <w:pStyle w:val="a6"/>
        <w:numPr>
          <w:ilvl w:val="0"/>
          <w:numId w:val="4"/>
        </w:numPr>
        <w:spacing w:line="360" w:lineRule="auto"/>
        <w:ind w:left="720"/>
        <w:jc w:val="both"/>
        <w:rPr>
          <w:rFonts w:ascii="Arial" w:hAnsi="Arial" w:cs="David"/>
          <w:sz w:val="24"/>
          <w:szCs w:val="24"/>
        </w:rPr>
      </w:pPr>
      <w:r>
        <w:rPr>
          <w:rFonts w:ascii="Arial" w:hAnsi="Arial" w:cs="David"/>
          <w:sz w:val="24"/>
          <w:szCs w:val="24"/>
          <w:rtl/>
        </w:rPr>
        <w:t>העובדה כי ביצוע העבירות הצריך תכנון, גם אם אין המדובר בתכנון מורכב לצד העובדה כי ביצוע עבירת הייבוא באמצעות הדואר – קלה מאוד בסמים המגיעים בטבליות. כך גם קל להפיץ טבליות אלו, בעיקר בקרב צעירים אשר אינם ערים לנזקים הכרוכים בשימוש בהן.</w:t>
      </w:r>
    </w:p>
    <w:p w14:paraId="67627293" w14:textId="77777777" w:rsidR="00394B40" w:rsidRDefault="0045348D">
      <w:pPr>
        <w:pStyle w:val="a6"/>
        <w:numPr>
          <w:ilvl w:val="0"/>
          <w:numId w:val="4"/>
        </w:numPr>
        <w:spacing w:line="360" w:lineRule="auto"/>
        <w:ind w:left="720"/>
        <w:jc w:val="both"/>
        <w:rPr>
          <w:rFonts w:ascii="Arial" w:hAnsi="Arial" w:cs="David"/>
          <w:sz w:val="24"/>
          <w:szCs w:val="24"/>
        </w:rPr>
      </w:pPr>
      <w:r>
        <w:rPr>
          <w:rFonts w:ascii="Arial" w:hAnsi="Arial" w:cs="David"/>
          <w:sz w:val="24"/>
          <w:szCs w:val="24"/>
          <w:rtl/>
        </w:rPr>
        <w:t>חלקו של הנאשם בעבירות הייבוא, אותן ביצע עם 'אחר', היה משמעותי. את עבירות הסחר ביצע הנאשם בעצמו והוא האחראי הבלעדי להן.</w:t>
      </w:r>
    </w:p>
    <w:p w14:paraId="46D2616C" w14:textId="77777777" w:rsidR="00394B40" w:rsidRDefault="0045348D">
      <w:pPr>
        <w:pStyle w:val="a6"/>
        <w:numPr>
          <w:ilvl w:val="0"/>
          <w:numId w:val="4"/>
        </w:numPr>
        <w:spacing w:line="360" w:lineRule="auto"/>
        <w:ind w:left="720"/>
        <w:jc w:val="both"/>
        <w:rPr>
          <w:rFonts w:ascii="Arial" w:hAnsi="Arial" w:cs="David"/>
          <w:sz w:val="24"/>
          <w:szCs w:val="24"/>
        </w:rPr>
      </w:pPr>
      <w:r>
        <w:rPr>
          <w:rFonts w:ascii="Arial" w:hAnsi="Arial" w:cs="David"/>
          <w:sz w:val="24"/>
          <w:szCs w:val="24"/>
          <w:rtl/>
        </w:rPr>
        <w:t xml:space="preserve">הנזק שנגרם מעצם הכנסתם לישראל של טבליות הסמים ומהעברתם הלאה והנזק שעלול היה להיגרם ממעשיו של הנאשם עלול היה להיות חמור יותר לו היה עולה בידיו למכור את כל הטבליות שהיו ברשותו. </w:t>
      </w:r>
    </w:p>
    <w:p w14:paraId="0FF034EB" w14:textId="77777777" w:rsidR="00394B40" w:rsidRDefault="0045348D">
      <w:pPr>
        <w:pStyle w:val="a6"/>
        <w:numPr>
          <w:ilvl w:val="0"/>
          <w:numId w:val="4"/>
        </w:numPr>
        <w:spacing w:line="360" w:lineRule="auto"/>
        <w:ind w:left="720"/>
        <w:jc w:val="both"/>
        <w:rPr>
          <w:rFonts w:ascii="Arial" w:hAnsi="Arial" w:cs="David"/>
          <w:sz w:val="24"/>
          <w:szCs w:val="24"/>
        </w:rPr>
      </w:pPr>
      <w:r>
        <w:rPr>
          <w:rFonts w:ascii="Arial" w:hAnsi="Arial" w:cs="David"/>
          <w:sz w:val="24"/>
          <w:szCs w:val="24"/>
          <w:rtl/>
        </w:rPr>
        <w:t xml:space="preserve">התרשמות שירות המבחן כי הסיבות שהביאו את הנאשם לביצוע עבירות הסמים היו הצורך בשייכות חברתית וקשיים רגשיים על רקע משבר זהות מגדרית שהובילו לשימוש בסמים ולסחר בהם. יודגש, כי גם ב"כ המאשימה הסכימה בטיעוניה כי אין המדובר במי שהינו סוחר סמים "קלאסי". </w:t>
      </w:r>
    </w:p>
    <w:p w14:paraId="0D2AD631" w14:textId="77777777" w:rsidR="00394B40" w:rsidRDefault="0045348D">
      <w:pPr>
        <w:spacing w:line="360" w:lineRule="auto"/>
        <w:jc w:val="both"/>
        <w:rPr>
          <w:rFonts w:ascii="Arial" w:hAnsi="Arial"/>
          <w:b/>
          <w:bCs/>
          <w:rtl/>
        </w:rPr>
      </w:pPr>
      <w:r>
        <w:rPr>
          <w:rFonts w:ascii="Arial" w:hAnsi="Arial"/>
          <w:b/>
          <w:bCs/>
          <w:rtl/>
        </w:rPr>
        <w:t>שיקולי שיקום וחריגה ממתחם העונש</w:t>
      </w:r>
    </w:p>
    <w:p w14:paraId="3F67DFD5" w14:textId="77777777" w:rsidR="00394B40" w:rsidRDefault="0045348D">
      <w:pPr>
        <w:pStyle w:val="a6"/>
        <w:numPr>
          <w:ilvl w:val="0"/>
          <w:numId w:val="1"/>
        </w:numPr>
        <w:spacing w:line="360" w:lineRule="auto"/>
        <w:jc w:val="both"/>
        <w:rPr>
          <w:rFonts w:ascii="Arial" w:hAnsi="Arial" w:cs="David"/>
          <w:sz w:val="24"/>
          <w:szCs w:val="24"/>
        </w:rPr>
      </w:pPr>
      <w:r>
        <w:rPr>
          <w:rFonts w:ascii="Arial" w:hAnsi="Arial" w:cs="David"/>
          <w:sz w:val="24"/>
          <w:szCs w:val="24"/>
          <w:rtl/>
        </w:rPr>
        <w:t>העיקרון המנחה לאחר תיקון 113 ל</w:t>
      </w:r>
      <w:hyperlink r:id="rId30" w:history="1">
        <w:r w:rsidRPr="0045348D">
          <w:rPr>
            <w:rFonts w:ascii="Arial" w:hAnsi="Arial" w:cs="David"/>
            <w:color w:val="0000FF"/>
            <w:sz w:val="24"/>
            <w:szCs w:val="24"/>
            <w:u w:val="single"/>
            <w:rtl/>
          </w:rPr>
          <w:t>חוק העונשין</w:t>
        </w:r>
      </w:hyperlink>
      <w:r>
        <w:rPr>
          <w:rFonts w:ascii="Arial" w:hAnsi="Arial" w:cs="David"/>
          <w:sz w:val="24"/>
          <w:szCs w:val="24"/>
          <w:rtl/>
        </w:rPr>
        <w:t xml:space="preserve"> הינו עקרון ההלימה "</w:t>
      </w:r>
      <w:r>
        <w:rPr>
          <w:rFonts w:ascii="Arial" w:hAnsi="Arial" w:cs="David"/>
          <w:b/>
          <w:bCs/>
          <w:sz w:val="24"/>
          <w:szCs w:val="24"/>
          <w:rtl/>
        </w:rPr>
        <w:t>בגדרו של התיקון לחוק ניתנה הבכורה לעקרון ההלימה, אשר נועד להבטיח כי סוג ומידת העונש שיושת על הנאשם יהלום את חומרת מעשה העבירה בנסיבותיו ואת מידת אשמו של הנאשם (סעיף 40ב לחוק)</w:t>
      </w:r>
      <w:r>
        <w:rPr>
          <w:rFonts w:ascii="Arial" w:hAnsi="Arial" w:cs="David"/>
          <w:sz w:val="24"/>
          <w:szCs w:val="24"/>
          <w:rtl/>
        </w:rPr>
        <w:t xml:space="preserve">" </w:t>
      </w:r>
      <w:hyperlink r:id="rId31" w:history="1">
        <w:r w:rsidRPr="0045348D">
          <w:rPr>
            <w:rFonts w:ascii="Arial" w:hAnsi="Arial" w:cs="David"/>
            <w:color w:val="0000FF"/>
            <w:sz w:val="24"/>
            <w:szCs w:val="24"/>
            <w:u w:val="single"/>
            <w:rtl/>
          </w:rPr>
          <w:t>ע"פ 2337/13</w:t>
        </w:r>
      </w:hyperlink>
      <w:r>
        <w:rPr>
          <w:rFonts w:ascii="Arial" w:hAnsi="Arial" w:cs="David"/>
          <w:sz w:val="24"/>
          <w:szCs w:val="24"/>
          <w:rtl/>
        </w:rPr>
        <w:t xml:space="preserve"> </w:t>
      </w:r>
      <w:r>
        <w:rPr>
          <w:rFonts w:ascii="Arial" w:hAnsi="Arial" w:cs="David"/>
          <w:b/>
          <w:bCs/>
          <w:sz w:val="24"/>
          <w:szCs w:val="24"/>
          <w:rtl/>
        </w:rPr>
        <w:t>קואסמה נ' מדינת ישראל</w:t>
      </w:r>
      <w:r>
        <w:rPr>
          <w:rFonts w:ascii="Arial" w:hAnsi="Arial" w:cs="David"/>
          <w:sz w:val="24"/>
          <w:szCs w:val="24"/>
          <w:rtl/>
        </w:rPr>
        <w:t xml:space="preserve"> (</w:t>
      </w:r>
      <w:r w:rsidR="003473CE">
        <w:rPr>
          <w:rFonts w:ascii="Arial" w:hAnsi="Arial" w:cs="David" w:hint="cs"/>
          <w:sz w:val="24"/>
          <w:szCs w:val="24"/>
          <w:rtl/>
        </w:rPr>
        <w:t xml:space="preserve">פורסם בנבו, </w:t>
      </w:r>
      <w:r>
        <w:rPr>
          <w:rFonts w:ascii="Arial" w:hAnsi="Arial" w:cs="David"/>
          <w:sz w:val="24"/>
          <w:szCs w:val="24"/>
          <w:rtl/>
        </w:rPr>
        <w:t>ניתן ביום 16.9.</w:t>
      </w:r>
      <w:r w:rsidR="003473CE">
        <w:rPr>
          <w:rFonts w:ascii="Arial" w:hAnsi="Arial" w:cs="David" w:hint="cs"/>
          <w:sz w:val="24"/>
          <w:szCs w:val="24"/>
          <w:rtl/>
        </w:rPr>
        <w:t>20</w:t>
      </w:r>
      <w:r>
        <w:rPr>
          <w:rFonts w:ascii="Arial" w:hAnsi="Arial" w:cs="David"/>
          <w:sz w:val="24"/>
          <w:szCs w:val="24"/>
          <w:rtl/>
        </w:rPr>
        <w:t>13).</w:t>
      </w:r>
    </w:p>
    <w:p w14:paraId="0F02B38B" w14:textId="77777777" w:rsidR="00394B40" w:rsidRDefault="0045348D">
      <w:pPr>
        <w:pStyle w:val="a6"/>
        <w:spacing w:line="360" w:lineRule="auto"/>
        <w:jc w:val="both"/>
        <w:rPr>
          <w:rFonts w:ascii="Arial" w:hAnsi="Arial" w:cs="David"/>
          <w:sz w:val="24"/>
          <w:szCs w:val="24"/>
        </w:rPr>
      </w:pPr>
      <w:r>
        <w:rPr>
          <w:rFonts w:ascii="Arial" w:hAnsi="Arial" w:cs="David"/>
          <w:sz w:val="24"/>
          <w:szCs w:val="24"/>
          <w:rtl/>
        </w:rPr>
        <w:t xml:space="preserve">על אף בכירותו של עקרון ההלימה, שיקול השיקום הינו עדיין ערך מרכזי בענישה ובמקרים המתאימים יכול אף לגבור על עקרון ההלימה תוך חריגה ממתחם העונש הראוי, אך העשייה בשיקול השיקום כנסיבה לסטייה מהמתחם תיעשה במשורה ובנסיבות מיוחדות וחריגות שיצדיקו זאת כעולה מתוך </w:t>
      </w:r>
      <w:hyperlink r:id="rId32" w:history="1">
        <w:r w:rsidRPr="0045348D">
          <w:rPr>
            <w:rFonts w:ascii="Arial" w:hAnsi="Arial" w:cs="David"/>
            <w:color w:val="0000FF"/>
            <w:sz w:val="24"/>
            <w:szCs w:val="24"/>
            <w:u w:val="single"/>
            <w:rtl/>
          </w:rPr>
          <w:t>ע"פ 452/14</w:t>
        </w:r>
      </w:hyperlink>
      <w:r>
        <w:rPr>
          <w:rFonts w:ascii="Arial" w:hAnsi="Arial" w:cs="David"/>
          <w:sz w:val="24"/>
          <w:szCs w:val="24"/>
          <w:rtl/>
        </w:rPr>
        <w:t xml:space="preserve"> </w:t>
      </w:r>
      <w:r>
        <w:rPr>
          <w:rFonts w:ascii="Arial" w:hAnsi="Arial" w:cs="David"/>
          <w:b/>
          <w:bCs/>
          <w:sz w:val="24"/>
          <w:szCs w:val="24"/>
          <w:rtl/>
        </w:rPr>
        <w:t>דבוש נ' מדינת ישראל</w:t>
      </w:r>
      <w:r>
        <w:rPr>
          <w:rFonts w:ascii="Arial" w:hAnsi="Arial" w:cs="David"/>
          <w:sz w:val="24"/>
          <w:szCs w:val="24"/>
          <w:rtl/>
        </w:rPr>
        <w:t xml:space="preserve"> (</w:t>
      </w:r>
      <w:r w:rsidR="003473CE">
        <w:rPr>
          <w:rFonts w:ascii="Arial" w:hAnsi="Arial" w:cs="David" w:hint="cs"/>
          <w:sz w:val="24"/>
          <w:szCs w:val="24"/>
          <w:rtl/>
        </w:rPr>
        <w:t xml:space="preserve">פורסם בנבו, </w:t>
      </w:r>
      <w:r>
        <w:rPr>
          <w:rFonts w:ascii="Arial" w:hAnsi="Arial" w:cs="David"/>
          <w:sz w:val="24"/>
          <w:szCs w:val="24"/>
          <w:rtl/>
        </w:rPr>
        <w:t>ניתן ביום 3.4.</w:t>
      </w:r>
      <w:r w:rsidR="003473CE">
        <w:rPr>
          <w:rFonts w:ascii="Arial" w:hAnsi="Arial" w:cs="David" w:hint="cs"/>
          <w:sz w:val="24"/>
          <w:szCs w:val="24"/>
          <w:rtl/>
        </w:rPr>
        <w:t>20</w:t>
      </w:r>
      <w:r>
        <w:rPr>
          <w:rFonts w:ascii="Arial" w:hAnsi="Arial" w:cs="David"/>
          <w:sz w:val="24"/>
          <w:szCs w:val="24"/>
          <w:rtl/>
        </w:rPr>
        <w:t xml:space="preserve">14): </w:t>
      </w:r>
    </w:p>
    <w:p w14:paraId="75AE81B5" w14:textId="77777777" w:rsidR="00394B40" w:rsidRDefault="0045348D">
      <w:pPr>
        <w:pStyle w:val="a6"/>
        <w:spacing w:line="360" w:lineRule="auto"/>
        <w:jc w:val="both"/>
        <w:rPr>
          <w:rFonts w:ascii="Arial" w:hAnsi="Arial" w:cs="David"/>
          <w:b/>
          <w:bCs/>
          <w:sz w:val="24"/>
          <w:szCs w:val="24"/>
          <w:rtl/>
        </w:rPr>
      </w:pPr>
      <w:r>
        <w:rPr>
          <w:rFonts w:ascii="Arial" w:hAnsi="Arial" w:cs="David"/>
          <w:sz w:val="24"/>
          <w:szCs w:val="24"/>
          <w:rtl/>
        </w:rPr>
        <w:t>"</w:t>
      </w:r>
      <w:r>
        <w:rPr>
          <w:rFonts w:ascii="Arial" w:hAnsi="Arial" w:cs="David"/>
          <w:b/>
          <w:bCs/>
          <w:sz w:val="24"/>
          <w:szCs w:val="24"/>
          <w:rtl/>
        </w:rPr>
        <w:t>לצד עיקרון זה, ניתן משקל משמעותי לשיקול השיקום, המאפשר חריגה מגדריו של מתחם הענישה (ראו: סעיף 40ד ל</w:t>
      </w:r>
      <w:hyperlink r:id="rId33" w:history="1">
        <w:r w:rsidRPr="0045348D">
          <w:rPr>
            <w:rFonts w:ascii="Arial" w:hAnsi="Arial" w:cs="David"/>
            <w:b/>
            <w:bCs/>
            <w:color w:val="0000FF"/>
            <w:sz w:val="24"/>
            <w:szCs w:val="24"/>
            <w:u w:val="single"/>
            <w:rtl/>
          </w:rPr>
          <w:t>חוק העונשין</w:t>
        </w:r>
      </w:hyperlink>
      <w:r>
        <w:rPr>
          <w:rFonts w:ascii="Arial" w:hAnsi="Arial" w:cs="David"/>
          <w:b/>
          <w:bCs/>
          <w:sz w:val="24"/>
          <w:szCs w:val="24"/>
          <w:rtl/>
        </w:rPr>
        <w:t xml:space="preserve">; </w:t>
      </w:r>
      <w:hyperlink r:id="rId34" w:history="1">
        <w:r w:rsidRPr="0045348D">
          <w:rPr>
            <w:rFonts w:ascii="Arial" w:hAnsi="Arial" w:cs="David"/>
            <w:b/>
            <w:bCs/>
            <w:color w:val="0000FF"/>
            <w:sz w:val="24"/>
            <w:szCs w:val="24"/>
            <w:u w:val="single"/>
            <w:rtl/>
          </w:rPr>
          <w:t>ע"פ7459/12</w:t>
        </w:r>
      </w:hyperlink>
      <w:r>
        <w:rPr>
          <w:rFonts w:ascii="Arial" w:hAnsi="Arial" w:cs="David"/>
          <w:b/>
          <w:bCs/>
          <w:sz w:val="24"/>
          <w:szCs w:val="24"/>
          <w:rtl/>
        </w:rPr>
        <w:t xml:space="preserve"> שיבר נ' מדינת ישראל, פסקה 6 לפסק דינה של חברתי השופטת א' חיות (20.6.2013) (להלן: עניין שיבר); </w:t>
      </w:r>
      <w:hyperlink r:id="rId35" w:history="1">
        <w:r w:rsidRPr="0045348D">
          <w:rPr>
            <w:rFonts w:ascii="Arial" w:hAnsi="Arial" w:cs="David"/>
            <w:b/>
            <w:bCs/>
            <w:color w:val="0000FF"/>
            <w:sz w:val="24"/>
            <w:szCs w:val="24"/>
            <w:u w:val="single"/>
            <w:rtl/>
          </w:rPr>
          <w:t>ע"פ2146/13</w:t>
        </w:r>
      </w:hyperlink>
      <w:r>
        <w:rPr>
          <w:rFonts w:ascii="Arial" w:hAnsi="Arial" w:cs="David"/>
          <w:b/>
          <w:bCs/>
          <w:sz w:val="24"/>
          <w:szCs w:val="24"/>
          <w:rtl/>
        </w:rPr>
        <w:t xml:space="preserve"> בן דלק נ' מדינת ישראל, פסקה 6 לפסק דינו של חברי השופט נ' סולברג (25.7.2013) (להלן: עניין בן דלק); עניין סעד, פסקה ט"ו לפסק דינו של השופט א' רובינשטיין). אך שיקול השיקום אינו בא להחליף את עיקרון ההלימה (עניין שיבר, בפסקה 6), ולא בכל מקרה ומקרה הוא יביא לחריגה לקולה ממתחם הענישה שנקבע... עולה כי לא בכל מקרה בו קיימים סיכויי שיקום, יוקל העונש שהוטל על הנאשם עד כדי חריגה ממתחם הענישה שנקבע לעבירה שנעברה, גם אם מדובר ב"בגיר צעיר", וגם אם המלצת שירות המבחן מצדדת בהקלה כזו."</w:t>
      </w:r>
    </w:p>
    <w:p w14:paraId="42B2EF05" w14:textId="77777777" w:rsidR="00394B40" w:rsidRDefault="00394B40">
      <w:pPr>
        <w:pStyle w:val="a6"/>
        <w:spacing w:line="360" w:lineRule="auto"/>
        <w:jc w:val="both"/>
        <w:rPr>
          <w:rFonts w:ascii="Arial" w:hAnsi="Arial" w:cs="David"/>
          <w:sz w:val="24"/>
          <w:szCs w:val="24"/>
          <w:rtl/>
        </w:rPr>
      </w:pPr>
    </w:p>
    <w:p w14:paraId="65886CCE" w14:textId="77777777" w:rsidR="00394B40" w:rsidRDefault="0045348D">
      <w:pPr>
        <w:pStyle w:val="a6"/>
        <w:numPr>
          <w:ilvl w:val="0"/>
          <w:numId w:val="1"/>
        </w:numPr>
        <w:spacing w:line="360" w:lineRule="auto"/>
        <w:jc w:val="both"/>
        <w:rPr>
          <w:rFonts w:ascii="Arial" w:hAnsi="Arial" w:cs="David"/>
          <w:sz w:val="24"/>
          <w:szCs w:val="24"/>
        </w:rPr>
      </w:pPr>
      <w:r>
        <w:rPr>
          <w:rFonts w:ascii="Arial" w:hAnsi="Arial" w:cs="David"/>
          <w:sz w:val="24"/>
          <w:szCs w:val="24"/>
          <w:rtl/>
        </w:rPr>
        <w:t>בבחינת תסקיר שירות המבחן (ולא רק בהמלצה הסופית שבו), לא התרשמתי כי הנאשם השתקם או כי יש סיכוי ממשי לשיקומו. כידוע, התרשמות בית המשפט כי הנאשם השתקם או כי יש סיכוי ממשי לשיקומו היא התנאי לחריגה ממתחם הענישה (</w:t>
      </w:r>
      <w:hyperlink r:id="rId36" w:history="1">
        <w:r w:rsidR="000F01AD" w:rsidRPr="000F01AD">
          <w:rPr>
            <w:rFonts w:ascii="Arial" w:hAnsi="Arial" w:cs="David"/>
            <w:color w:val="0000FF"/>
            <w:sz w:val="24"/>
            <w:szCs w:val="24"/>
            <w:u w:val="single"/>
            <w:rtl/>
          </w:rPr>
          <w:t>סע' 40ד(א)</w:t>
        </w:r>
      </w:hyperlink>
      <w:r>
        <w:rPr>
          <w:rFonts w:ascii="Arial" w:hAnsi="Arial" w:cs="David"/>
          <w:sz w:val="24"/>
          <w:szCs w:val="24"/>
          <w:rtl/>
        </w:rPr>
        <w:t xml:space="preserve"> לחוק). מתסקיר המבחן עולה כי אך לאחרונה, ביום 7.10.</w:t>
      </w:r>
      <w:r w:rsidR="003473CE">
        <w:rPr>
          <w:rFonts w:ascii="Arial" w:hAnsi="Arial" w:cs="David" w:hint="cs"/>
          <w:sz w:val="24"/>
          <w:szCs w:val="24"/>
          <w:rtl/>
        </w:rPr>
        <w:t>20</w:t>
      </w:r>
      <w:r>
        <w:rPr>
          <w:rFonts w:ascii="Arial" w:hAnsi="Arial" w:cs="David"/>
          <w:sz w:val="24"/>
          <w:szCs w:val="24"/>
          <w:rtl/>
        </w:rPr>
        <w:t>14, נמצאו שרידי תחליף סם בבדיקת שתן שנערכה לנאשם. הסברו של הנאשם ולפיו המדובר במשקה אלכוהולי, שייתכן שכלל מרכיב של סם פסיכואקטיבי אינו מקהה את החשש כי הנאשם חזר להשתמש בסמים או בתחליפיהם והדבר בא לידי ביטוי במסקנת קצין המבחן כי הנאשם עדיין נמצא בסיכון לשימוש בחומרים פסיכואקטיביים. בכך שונה עניינו של הנאשם מעניין אלקלעי אליו הפנה ב"כ הנאשם (</w:t>
      </w:r>
      <w:hyperlink r:id="rId37" w:history="1">
        <w:r w:rsidRPr="0045348D">
          <w:rPr>
            <w:rFonts w:ascii="Arial" w:hAnsi="Arial" w:cs="David"/>
            <w:color w:val="0000FF"/>
            <w:sz w:val="24"/>
            <w:szCs w:val="24"/>
            <w:u w:val="single"/>
            <w:rtl/>
          </w:rPr>
          <w:t>ת"פ (מחוזי-מרכז) 17410-08-13</w:t>
        </w:r>
      </w:hyperlink>
      <w:r>
        <w:rPr>
          <w:rFonts w:ascii="Arial" w:hAnsi="Arial" w:cs="David"/>
          <w:sz w:val="24"/>
          <w:szCs w:val="24"/>
          <w:rtl/>
        </w:rPr>
        <w:t xml:space="preserve">, </w:t>
      </w:r>
      <w:r w:rsidR="003473CE">
        <w:rPr>
          <w:rFonts w:ascii="Arial" w:hAnsi="Arial" w:cs="David" w:hint="cs"/>
          <w:sz w:val="24"/>
          <w:szCs w:val="24"/>
          <w:rtl/>
        </w:rPr>
        <w:t xml:space="preserve">פורסם בנבו, </w:t>
      </w:r>
      <w:r>
        <w:rPr>
          <w:rFonts w:ascii="Arial" w:hAnsi="Arial" w:cs="David"/>
          <w:sz w:val="24"/>
          <w:szCs w:val="24"/>
          <w:rtl/>
        </w:rPr>
        <w:t>ניתן ביום 30.6.</w:t>
      </w:r>
      <w:r w:rsidR="003473CE">
        <w:rPr>
          <w:rFonts w:ascii="Arial" w:hAnsi="Arial" w:cs="David" w:hint="cs"/>
          <w:sz w:val="24"/>
          <w:szCs w:val="24"/>
          <w:rtl/>
        </w:rPr>
        <w:t>20</w:t>
      </w:r>
      <w:r>
        <w:rPr>
          <w:rFonts w:ascii="Arial" w:hAnsi="Arial" w:cs="David"/>
          <w:sz w:val="24"/>
          <w:szCs w:val="24"/>
          <w:rtl/>
        </w:rPr>
        <w:t xml:space="preserve">14), שם חרג בית המשפט ממתחם הענישה משיקולי שיקום לאחר שהתרשם כי הנאשם שינה את דרכיו, שמר על נקיון מסמים וקיים סיכוי של ממש לשיקומו. בדומה, בע"פ 2992/11 </w:t>
      </w:r>
      <w:r>
        <w:rPr>
          <w:rFonts w:ascii="Arial" w:hAnsi="Arial" w:cs="David"/>
          <w:b/>
          <w:bCs/>
          <w:sz w:val="24"/>
          <w:szCs w:val="24"/>
          <w:rtl/>
        </w:rPr>
        <w:t>מזרחי נ' מדינת ישראל</w:t>
      </w:r>
      <w:r>
        <w:rPr>
          <w:rFonts w:ascii="Arial" w:hAnsi="Arial" w:cs="David"/>
          <w:sz w:val="24"/>
          <w:szCs w:val="24"/>
          <w:rtl/>
        </w:rPr>
        <w:t xml:space="preserve"> (</w:t>
      </w:r>
      <w:r w:rsidR="003473CE">
        <w:rPr>
          <w:rFonts w:ascii="Arial" w:hAnsi="Arial" w:cs="David" w:hint="cs"/>
          <w:sz w:val="24"/>
          <w:szCs w:val="24"/>
          <w:rtl/>
        </w:rPr>
        <w:t xml:space="preserve">פורסם בנבו, </w:t>
      </w:r>
      <w:r>
        <w:rPr>
          <w:rFonts w:ascii="Arial" w:hAnsi="Arial" w:cs="David"/>
          <w:sz w:val="24"/>
          <w:szCs w:val="24"/>
          <w:rtl/>
        </w:rPr>
        <w:t>מיום 14.8.</w:t>
      </w:r>
      <w:r w:rsidR="003473CE">
        <w:rPr>
          <w:rFonts w:ascii="Arial" w:hAnsi="Arial" w:cs="David" w:hint="cs"/>
          <w:sz w:val="24"/>
          <w:szCs w:val="24"/>
          <w:rtl/>
        </w:rPr>
        <w:t>20</w:t>
      </w:r>
      <w:r>
        <w:rPr>
          <w:rFonts w:ascii="Arial" w:hAnsi="Arial" w:cs="David"/>
          <w:sz w:val="24"/>
          <w:szCs w:val="24"/>
          <w:rtl/>
        </w:rPr>
        <w:t>12) הושתתה ההחלטה להקל בעונשו של המערער, שהורשע בעבירות ייבוא, הספקת סם והחזקת סם שלא לצריכה עצמית, על מכלול נסיבות – ובהן בדיקות שתן לסמים שנמצאו נקיות – המלמד כי הוא אינו חוזר לדפוסי פעולה עברייניים. מצב דברים זה אינו קיים בעניינו של הנאשם כאן.</w:t>
      </w:r>
    </w:p>
    <w:p w14:paraId="3DC2FA72" w14:textId="77777777" w:rsidR="00394B40" w:rsidRDefault="00394B40">
      <w:pPr>
        <w:pStyle w:val="a6"/>
        <w:spacing w:line="360" w:lineRule="auto"/>
        <w:jc w:val="both"/>
        <w:rPr>
          <w:rFonts w:ascii="Arial" w:hAnsi="Arial" w:cs="David"/>
          <w:sz w:val="24"/>
          <w:szCs w:val="24"/>
          <w:rtl/>
        </w:rPr>
      </w:pPr>
    </w:p>
    <w:p w14:paraId="7C0EB88F" w14:textId="77777777" w:rsidR="00394B40" w:rsidRDefault="0045348D">
      <w:pPr>
        <w:pStyle w:val="a6"/>
        <w:spacing w:line="360" w:lineRule="auto"/>
        <w:jc w:val="both"/>
        <w:rPr>
          <w:rFonts w:ascii="Arial" w:hAnsi="Arial" w:cs="David"/>
          <w:sz w:val="24"/>
          <w:szCs w:val="24"/>
          <w:rtl/>
        </w:rPr>
      </w:pPr>
      <w:r>
        <w:rPr>
          <w:rFonts w:ascii="Arial" w:hAnsi="Arial" w:cs="David"/>
          <w:sz w:val="24"/>
          <w:szCs w:val="24"/>
          <w:rtl/>
        </w:rPr>
        <w:t>חרף העובדה כי על פי האמור בתסקיר, התרחק הנאשם מסביבה שולית והוא זוכה לתמיכת משפחתו ומקבל טיפול לנפגעי סמים, לא ניתן לראות בתהליך שעבר כתהליך עקבי, שיש בו כדי להטות את הכף לעבר העדפת שיקולי השיקום (</w:t>
      </w:r>
      <w:hyperlink r:id="rId38" w:history="1">
        <w:r w:rsidRPr="0045348D">
          <w:rPr>
            <w:rFonts w:ascii="Arial" w:hAnsi="Arial" w:cs="David"/>
            <w:color w:val="0000FF"/>
            <w:sz w:val="24"/>
            <w:szCs w:val="24"/>
            <w:u w:val="single"/>
            <w:rtl/>
          </w:rPr>
          <w:t>רע"פ 262/14</w:t>
        </w:r>
      </w:hyperlink>
      <w:r>
        <w:rPr>
          <w:rFonts w:ascii="Arial" w:hAnsi="Arial" w:cs="David"/>
          <w:sz w:val="24"/>
          <w:szCs w:val="24"/>
          <w:rtl/>
        </w:rPr>
        <w:t xml:space="preserve"> </w:t>
      </w:r>
      <w:r>
        <w:rPr>
          <w:rFonts w:ascii="Arial" w:hAnsi="Arial" w:cs="David"/>
          <w:b/>
          <w:bCs/>
          <w:sz w:val="24"/>
          <w:szCs w:val="24"/>
          <w:rtl/>
        </w:rPr>
        <w:t xml:space="preserve">נאשף נ' מדינת ישראל, </w:t>
      </w:r>
      <w:r w:rsidR="003473CE">
        <w:rPr>
          <w:rFonts w:ascii="Arial" w:hAnsi="Arial" w:cs="David" w:hint="cs"/>
          <w:sz w:val="24"/>
          <w:szCs w:val="24"/>
          <w:rtl/>
        </w:rPr>
        <w:t xml:space="preserve">פורסם בנבו, </w:t>
      </w:r>
      <w:r>
        <w:rPr>
          <w:rFonts w:ascii="Arial" w:hAnsi="Arial" w:cs="David"/>
          <w:sz w:val="24"/>
          <w:szCs w:val="24"/>
          <w:rtl/>
        </w:rPr>
        <w:t xml:space="preserve">מיום 22.1.14). בדומה לעניין נאשף הנ"ל, גם בעניינו של הנאשם כאן, נראה כי הוא עלה על דרך שיקומית חיובית אולם זו טרם הושלמה ובדיקת השתן מהזמן האחרון ממש, בה נמצא שריד של תחליף סם, אינה מאפשרת לראות בו כמי שהשתקם ולקבל את המלצתו של שירות המבחן. </w:t>
      </w:r>
    </w:p>
    <w:p w14:paraId="5BCB3B49" w14:textId="77777777" w:rsidR="00394B40" w:rsidRDefault="00394B40">
      <w:pPr>
        <w:pStyle w:val="a6"/>
        <w:spacing w:line="360" w:lineRule="auto"/>
        <w:jc w:val="both"/>
        <w:rPr>
          <w:rFonts w:ascii="Arial" w:hAnsi="Arial" w:cs="David"/>
          <w:sz w:val="24"/>
          <w:szCs w:val="24"/>
          <w:rtl/>
        </w:rPr>
      </w:pPr>
    </w:p>
    <w:p w14:paraId="1EAE4ABF" w14:textId="77777777" w:rsidR="00394B40" w:rsidRDefault="0045348D">
      <w:pPr>
        <w:pStyle w:val="a6"/>
        <w:spacing w:line="360" w:lineRule="auto"/>
        <w:jc w:val="both"/>
        <w:rPr>
          <w:rFonts w:ascii="Arial" w:hAnsi="Arial" w:cs="David"/>
          <w:sz w:val="24"/>
          <w:szCs w:val="24"/>
        </w:rPr>
      </w:pPr>
      <w:r>
        <w:rPr>
          <w:rFonts w:ascii="Arial" w:hAnsi="Arial" w:cs="David"/>
          <w:sz w:val="24"/>
          <w:szCs w:val="24"/>
          <w:rtl/>
        </w:rPr>
        <w:t>יוער עוד כי לגישתו של קצין המבחן, תוצאות בדיקת הסמים האחרונה היא חלק מהתמודדות הנאשם עם ההליך הטיפולי. גם אם כך הדבר, הרי שבהינתן הערכת קצין המבחן עצמו כי הנאשם עדיין מצוי בסיכון לשימוש בחומרים פסיכואקטיביים, לא ניתן לקבוע, בנקודת זמן זו, כי יש סיכוי ממשי לשיקומו. בשל כך לא ניתן לסטות ממדיניות הענישה הנהוגה בעבירות סמים מסוג זה, שמחייבת הטלת עונש מאסר משמעותי מאחורי סורג ובריח (</w:t>
      </w:r>
      <w:hyperlink r:id="rId39" w:history="1">
        <w:r w:rsidRPr="0045348D">
          <w:rPr>
            <w:rFonts w:ascii="Arial" w:hAnsi="Arial" w:cs="David"/>
            <w:color w:val="0000FF"/>
            <w:sz w:val="24"/>
            <w:szCs w:val="24"/>
            <w:u w:val="single"/>
            <w:rtl/>
          </w:rPr>
          <w:t>רע"פ 5170/09</w:t>
        </w:r>
      </w:hyperlink>
      <w:r>
        <w:rPr>
          <w:rFonts w:ascii="Arial" w:hAnsi="Arial" w:cs="David"/>
          <w:sz w:val="24"/>
          <w:szCs w:val="24"/>
          <w:rtl/>
        </w:rPr>
        <w:t xml:space="preserve"> הנ"ל). </w:t>
      </w:r>
    </w:p>
    <w:p w14:paraId="1F763218" w14:textId="77777777" w:rsidR="00394B40" w:rsidRDefault="0045348D">
      <w:pPr>
        <w:spacing w:line="360" w:lineRule="auto"/>
        <w:jc w:val="both"/>
        <w:rPr>
          <w:rFonts w:ascii="Arial" w:hAnsi="Arial"/>
          <w:rtl/>
        </w:rPr>
      </w:pPr>
      <w:r>
        <w:rPr>
          <w:rFonts w:ascii="Arial" w:hAnsi="Arial"/>
          <w:rtl/>
        </w:rPr>
        <w:t>קביעת העונש במתחם הענישה</w:t>
      </w:r>
    </w:p>
    <w:p w14:paraId="146C78BF" w14:textId="77777777" w:rsidR="00394B40" w:rsidRDefault="0045348D">
      <w:pPr>
        <w:pStyle w:val="a6"/>
        <w:numPr>
          <w:ilvl w:val="0"/>
          <w:numId w:val="1"/>
        </w:numPr>
        <w:spacing w:line="360" w:lineRule="auto"/>
        <w:jc w:val="both"/>
        <w:rPr>
          <w:rFonts w:ascii="Arial" w:hAnsi="Arial" w:cs="David"/>
          <w:sz w:val="24"/>
          <w:szCs w:val="24"/>
        </w:rPr>
      </w:pPr>
      <w:r>
        <w:rPr>
          <w:rFonts w:ascii="Arial" w:hAnsi="Arial" w:cs="David"/>
          <w:sz w:val="24"/>
          <w:szCs w:val="24"/>
          <w:rtl/>
        </w:rPr>
        <w:t>בקביעת עונשו של הנאשם יילקחו בחשבון העניינים הבאים:</w:t>
      </w:r>
    </w:p>
    <w:p w14:paraId="2060E971" w14:textId="77777777" w:rsidR="00394B40" w:rsidRDefault="0045348D">
      <w:pPr>
        <w:pStyle w:val="a6"/>
        <w:numPr>
          <w:ilvl w:val="0"/>
          <w:numId w:val="5"/>
        </w:numPr>
        <w:spacing w:line="360" w:lineRule="auto"/>
        <w:ind w:left="720"/>
        <w:jc w:val="both"/>
        <w:rPr>
          <w:rFonts w:ascii="Arial" w:hAnsi="Arial" w:cs="David"/>
          <w:sz w:val="24"/>
          <w:szCs w:val="24"/>
        </w:rPr>
      </w:pPr>
      <w:r>
        <w:rPr>
          <w:rFonts w:ascii="Arial" w:hAnsi="Arial" w:cs="David"/>
          <w:sz w:val="24"/>
          <w:szCs w:val="24"/>
          <w:rtl/>
        </w:rPr>
        <w:t>פגיעת עונש מאסר בנאשם צפויה להיות קשה. הנאשם הוא צעיר בן 25, שלא הצליח לצאת לדרכו העצמאית לחיים נורמטיביים לאחר שעזב את בית הוריו. הנאשם אינו בעל עבר פלילי ולא ריצה עונש מאסר בעבר. יתרה מכך, וכפי שעולה מהתסקיר, נסיבותיו האישיות עלולות להקשות עליו את השהות בכלא.</w:t>
      </w:r>
    </w:p>
    <w:p w14:paraId="40E8546A" w14:textId="77777777" w:rsidR="00394B40" w:rsidRDefault="0045348D">
      <w:pPr>
        <w:pStyle w:val="a6"/>
        <w:numPr>
          <w:ilvl w:val="0"/>
          <w:numId w:val="5"/>
        </w:numPr>
        <w:spacing w:line="360" w:lineRule="auto"/>
        <w:ind w:left="720"/>
        <w:jc w:val="both"/>
        <w:rPr>
          <w:rFonts w:ascii="Arial" w:hAnsi="Arial" w:cs="David"/>
          <w:sz w:val="24"/>
          <w:szCs w:val="24"/>
        </w:rPr>
      </w:pPr>
      <w:r>
        <w:rPr>
          <w:rFonts w:ascii="Arial" w:hAnsi="Arial" w:cs="David"/>
          <w:sz w:val="24"/>
          <w:szCs w:val="24"/>
          <w:rtl/>
        </w:rPr>
        <w:t>הנאשם לקח אחריות על מעשיו ופעל למען חזרה למוטב, ובכלל זה נטל חלק בהליך טיפולי הן במסגרת שירות המבחן והן במסגרת עירונית. הנאשם חזר לגור בבית הוריו ומועסק בעסקו של אביו, תחת פיקוחו הצמוד.</w:t>
      </w:r>
    </w:p>
    <w:p w14:paraId="2BFB4179" w14:textId="77777777" w:rsidR="00394B40" w:rsidRDefault="0045348D">
      <w:pPr>
        <w:pStyle w:val="a6"/>
        <w:numPr>
          <w:ilvl w:val="0"/>
          <w:numId w:val="5"/>
        </w:numPr>
        <w:spacing w:line="360" w:lineRule="auto"/>
        <w:ind w:left="720"/>
        <w:jc w:val="both"/>
        <w:rPr>
          <w:rFonts w:ascii="Arial" w:hAnsi="Arial" w:cs="David"/>
          <w:sz w:val="24"/>
          <w:szCs w:val="24"/>
        </w:rPr>
      </w:pPr>
      <w:r>
        <w:rPr>
          <w:rFonts w:ascii="Arial" w:hAnsi="Arial" w:cs="David"/>
          <w:sz w:val="24"/>
          <w:szCs w:val="24"/>
          <w:rtl/>
        </w:rPr>
        <w:t>הנאשם הודה במיוחס לו בהזדמנות הראשונה, וכאמור בטיעוני בא כוחו, אף מסר לחוקריו פרטים שלא היו בידיעתם. הנאשם לא ניהל את משפטו וחסך מזמנו של בית המשפט.</w:t>
      </w:r>
    </w:p>
    <w:p w14:paraId="610B8610" w14:textId="77777777" w:rsidR="00394B40" w:rsidRDefault="0045348D" w:rsidP="00C207A2">
      <w:pPr>
        <w:pStyle w:val="a6"/>
        <w:numPr>
          <w:ilvl w:val="0"/>
          <w:numId w:val="5"/>
        </w:numPr>
        <w:spacing w:line="360" w:lineRule="auto"/>
        <w:ind w:left="720"/>
        <w:jc w:val="both"/>
        <w:rPr>
          <w:rFonts w:ascii="Arial" w:hAnsi="Arial" w:cs="David"/>
          <w:sz w:val="24"/>
          <w:szCs w:val="24"/>
        </w:rPr>
      </w:pPr>
      <w:r>
        <w:rPr>
          <w:rFonts w:ascii="Arial" w:hAnsi="Arial" w:cs="David"/>
          <w:sz w:val="24"/>
          <w:szCs w:val="24"/>
          <w:rtl/>
        </w:rPr>
        <w:t>הנאשם הביע חרטה על מעשיו.</w:t>
      </w:r>
    </w:p>
    <w:p w14:paraId="1222FC1E" w14:textId="77777777" w:rsidR="00394B40" w:rsidRDefault="0045348D">
      <w:pPr>
        <w:spacing w:line="360" w:lineRule="auto"/>
        <w:jc w:val="both"/>
        <w:rPr>
          <w:rFonts w:ascii="Arial" w:hAnsi="Arial"/>
        </w:rPr>
      </w:pPr>
      <w:r>
        <w:rPr>
          <w:rFonts w:ascii="Arial" w:hAnsi="Arial"/>
          <w:rtl/>
        </w:rPr>
        <w:t>קביעת העונש הכולל</w:t>
      </w:r>
    </w:p>
    <w:p w14:paraId="632EB861" w14:textId="77777777" w:rsidR="00394B40" w:rsidRDefault="0045348D">
      <w:pPr>
        <w:pStyle w:val="a6"/>
        <w:numPr>
          <w:ilvl w:val="0"/>
          <w:numId w:val="1"/>
        </w:numPr>
        <w:spacing w:line="360" w:lineRule="auto"/>
        <w:jc w:val="both"/>
        <w:rPr>
          <w:rFonts w:ascii="Arial" w:hAnsi="Arial" w:cs="David"/>
          <w:sz w:val="24"/>
          <w:szCs w:val="24"/>
        </w:rPr>
      </w:pPr>
      <w:r>
        <w:rPr>
          <w:rFonts w:ascii="Arial" w:hAnsi="Arial" w:cs="David"/>
          <w:sz w:val="24"/>
          <w:szCs w:val="24"/>
          <w:rtl/>
        </w:rPr>
        <w:t>בקביעת העונש הכולל, תילקח בחשבון העובדה כי הנאשם ביצע שתי עבירות ייבוא סמים וכן עבירת סחר (בריבוי עבירות) לאורך תקופה של שלושה חודשים. עבירות הייבוא בוצעו כולן עם אותו "אחר", כאשר הנאשם  – שקיבל את מעטפות הסמים שנשלחו אליו בדואר מחו"ל - לוקח חלק פעיל ומשמעותי שבלעדיו לא היו עבירות הייבוא מתממשות. חלקו בעבירת הסחר הוא בלעדי (</w:t>
      </w:r>
      <w:hyperlink r:id="rId40" w:history="1">
        <w:r w:rsidR="00F87B38" w:rsidRPr="00F87B38">
          <w:rPr>
            <w:rFonts w:ascii="Arial" w:hAnsi="Arial" w:cs="David"/>
            <w:color w:val="0000FF"/>
            <w:sz w:val="24"/>
            <w:szCs w:val="24"/>
            <w:u w:val="single"/>
            <w:rtl/>
          </w:rPr>
          <w:t>סע' 40יג(ג)</w:t>
        </w:r>
      </w:hyperlink>
      <w:r>
        <w:rPr>
          <w:rFonts w:ascii="Arial" w:hAnsi="Arial" w:cs="David"/>
          <w:sz w:val="24"/>
          <w:szCs w:val="24"/>
          <w:rtl/>
        </w:rPr>
        <w:t xml:space="preserve"> לחוק).</w:t>
      </w:r>
    </w:p>
    <w:p w14:paraId="126444E5" w14:textId="77777777" w:rsidR="00394B40" w:rsidRDefault="0045348D">
      <w:pPr>
        <w:pStyle w:val="a6"/>
        <w:spacing w:line="360" w:lineRule="auto"/>
        <w:jc w:val="both"/>
        <w:rPr>
          <w:rFonts w:ascii="Arial" w:hAnsi="Arial" w:cs="David"/>
          <w:sz w:val="24"/>
          <w:szCs w:val="24"/>
        </w:rPr>
      </w:pPr>
      <w:r>
        <w:rPr>
          <w:rFonts w:ascii="Arial" w:hAnsi="Arial" w:cs="David"/>
          <w:sz w:val="24"/>
          <w:szCs w:val="24"/>
          <w:rtl/>
        </w:rPr>
        <w:t>אל מול שיקולים אלו עומדת לזכות הנאשם התרשמותו החיובית של קצין המבחן משינוי אורחות חייו , מרצונו להשתקם ומן המאמצים שהשקיע בתהליך זה ממעצרו ועד היום, ובשל כך לא ימוצה עימו הדין ודינו יגזר על דרך הקולא בתוך מתחמי הענישה ובשקלולם.</w:t>
      </w:r>
    </w:p>
    <w:p w14:paraId="2BB3CEFF" w14:textId="77777777" w:rsidR="00394B40" w:rsidRDefault="00394B40">
      <w:pPr>
        <w:pStyle w:val="a6"/>
        <w:spacing w:line="360" w:lineRule="auto"/>
        <w:jc w:val="both"/>
        <w:rPr>
          <w:rFonts w:ascii="Arial" w:hAnsi="Arial" w:cs="David"/>
          <w:sz w:val="24"/>
          <w:szCs w:val="24"/>
        </w:rPr>
      </w:pPr>
    </w:p>
    <w:p w14:paraId="2C18E341" w14:textId="77777777" w:rsidR="00394B40" w:rsidRDefault="0045348D">
      <w:pPr>
        <w:pStyle w:val="a6"/>
        <w:numPr>
          <w:ilvl w:val="0"/>
          <w:numId w:val="1"/>
        </w:numPr>
        <w:spacing w:line="360" w:lineRule="auto"/>
        <w:jc w:val="both"/>
        <w:rPr>
          <w:rFonts w:ascii="Arial" w:hAnsi="Arial" w:cs="David"/>
          <w:sz w:val="24"/>
          <w:szCs w:val="24"/>
        </w:rPr>
      </w:pPr>
      <w:r>
        <w:rPr>
          <w:rFonts w:ascii="Arial" w:hAnsi="Arial" w:cs="David"/>
          <w:sz w:val="24"/>
          <w:szCs w:val="24"/>
          <w:rtl/>
        </w:rPr>
        <w:t>לאור האמור לעיל, אני דן את הנאשם לעונשים הבאים:</w:t>
      </w:r>
    </w:p>
    <w:p w14:paraId="51D30D8D" w14:textId="77777777" w:rsidR="00394B40" w:rsidRDefault="0045348D">
      <w:pPr>
        <w:pStyle w:val="a6"/>
        <w:numPr>
          <w:ilvl w:val="0"/>
          <w:numId w:val="6"/>
        </w:numPr>
        <w:spacing w:line="360" w:lineRule="auto"/>
        <w:ind w:left="720"/>
        <w:jc w:val="both"/>
        <w:rPr>
          <w:rFonts w:ascii="Arial" w:hAnsi="Arial" w:cs="David"/>
          <w:sz w:val="24"/>
          <w:szCs w:val="24"/>
        </w:rPr>
      </w:pPr>
      <w:r>
        <w:rPr>
          <w:rFonts w:ascii="Arial" w:hAnsi="Arial" w:cs="David"/>
          <w:sz w:val="24"/>
          <w:szCs w:val="24"/>
          <w:rtl/>
        </w:rPr>
        <w:t>15 חודשי מאסר לריצוי בפועל בניכוי ימי מעצרו מיום 20.8.</w:t>
      </w:r>
      <w:r w:rsidR="003473CE">
        <w:rPr>
          <w:rFonts w:ascii="Arial" w:hAnsi="Arial" w:cs="David" w:hint="cs"/>
          <w:sz w:val="24"/>
          <w:szCs w:val="24"/>
          <w:rtl/>
        </w:rPr>
        <w:t>20</w:t>
      </w:r>
      <w:r>
        <w:rPr>
          <w:rFonts w:ascii="Arial" w:hAnsi="Arial" w:cs="David"/>
          <w:sz w:val="24"/>
          <w:szCs w:val="24"/>
          <w:rtl/>
        </w:rPr>
        <w:t>13 ועד יום 24.10.</w:t>
      </w:r>
      <w:r w:rsidR="003473CE">
        <w:rPr>
          <w:rFonts w:ascii="Arial" w:hAnsi="Arial" w:cs="David" w:hint="cs"/>
          <w:sz w:val="24"/>
          <w:szCs w:val="24"/>
          <w:rtl/>
        </w:rPr>
        <w:t>20</w:t>
      </w:r>
      <w:r>
        <w:rPr>
          <w:rFonts w:ascii="Arial" w:hAnsi="Arial" w:cs="David"/>
          <w:sz w:val="24"/>
          <w:szCs w:val="24"/>
          <w:rtl/>
        </w:rPr>
        <w:t>13.</w:t>
      </w:r>
    </w:p>
    <w:p w14:paraId="28BBCB5E" w14:textId="77777777" w:rsidR="00394B40" w:rsidRDefault="0045348D">
      <w:pPr>
        <w:pStyle w:val="a6"/>
        <w:numPr>
          <w:ilvl w:val="0"/>
          <w:numId w:val="6"/>
        </w:numPr>
        <w:spacing w:line="360" w:lineRule="auto"/>
        <w:ind w:left="720"/>
        <w:jc w:val="both"/>
        <w:rPr>
          <w:rFonts w:ascii="Arial" w:hAnsi="Arial" w:cs="David"/>
          <w:sz w:val="24"/>
          <w:szCs w:val="24"/>
        </w:rPr>
      </w:pPr>
      <w:r>
        <w:rPr>
          <w:rFonts w:ascii="Arial" w:hAnsi="Arial" w:cs="David"/>
          <w:sz w:val="24"/>
          <w:szCs w:val="24"/>
          <w:rtl/>
        </w:rPr>
        <w:t xml:space="preserve">10 חודשי מאסר על תנאי והתנאי הוא כי במשך שלוש שנים מיום שחרורו ממאסר לא יעבור הנאשם עבירה מסוג פשע לפי פקודת הסמים או עבירה של קשירת קשר לביצוע פשע (עבירה לפי </w:t>
      </w:r>
      <w:hyperlink r:id="rId41" w:history="1">
        <w:r w:rsidR="00F87B38" w:rsidRPr="00F87B38">
          <w:rPr>
            <w:rFonts w:ascii="Arial" w:hAnsi="Arial" w:cs="David"/>
            <w:color w:val="0000FF"/>
            <w:sz w:val="24"/>
            <w:szCs w:val="24"/>
            <w:u w:val="single"/>
            <w:rtl/>
          </w:rPr>
          <w:t>סעיף 499(א)(1)</w:t>
        </w:r>
      </w:hyperlink>
      <w:r>
        <w:rPr>
          <w:rFonts w:ascii="Arial" w:hAnsi="Arial" w:cs="David"/>
          <w:sz w:val="24"/>
          <w:szCs w:val="24"/>
          <w:rtl/>
        </w:rPr>
        <w:t xml:space="preserve"> ל</w:t>
      </w:r>
      <w:hyperlink r:id="rId42" w:history="1">
        <w:r w:rsidRPr="0045348D">
          <w:rPr>
            <w:rFonts w:ascii="Arial" w:hAnsi="Arial" w:cs="David"/>
            <w:color w:val="0000FF"/>
            <w:sz w:val="24"/>
            <w:szCs w:val="24"/>
            <w:u w:val="single"/>
            <w:rtl/>
          </w:rPr>
          <w:t>חוק העונשין</w:t>
        </w:r>
      </w:hyperlink>
      <w:r>
        <w:rPr>
          <w:rFonts w:ascii="Arial" w:hAnsi="Arial" w:cs="David"/>
          <w:sz w:val="24"/>
          <w:szCs w:val="24"/>
          <w:rtl/>
        </w:rPr>
        <w:t>.</w:t>
      </w:r>
    </w:p>
    <w:p w14:paraId="47759344" w14:textId="77777777" w:rsidR="00394B40" w:rsidRDefault="0045348D">
      <w:pPr>
        <w:pStyle w:val="a6"/>
        <w:numPr>
          <w:ilvl w:val="0"/>
          <w:numId w:val="6"/>
        </w:numPr>
        <w:spacing w:line="360" w:lineRule="auto"/>
        <w:ind w:left="720"/>
        <w:jc w:val="both"/>
        <w:rPr>
          <w:rFonts w:ascii="Arial" w:hAnsi="Arial" w:cs="David"/>
          <w:sz w:val="24"/>
          <w:szCs w:val="24"/>
        </w:rPr>
      </w:pPr>
      <w:r>
        <w:rPr>
          <w:rFonts w:ascii="Arial" w:hAnsi="Arial" w:cs="David"/>
          <w:sz w:val="24"/>
          <w:szCs w:val="24"/>
          <w:rtl/>
        </w:rPr>
        <w:t>3 חודשי מאסר על תנאי והתנאי הוא כי במשך שלוש שנים מיום שחרורו ממאסר לא יעבור הנאשם עבירה מסוג עוון לפי פקודת הסמים.</w:t>
      </w:r>
    </w:p>
    <w:p w14:paraId="049F6170" w14:textId="77777777" w:rsidR="00394B40" w:rsidRDefault="0045348D">
      <w:pPr>
        <w:pStyle w:val="a6"/>
        <w:numPr>
          <w:ilvl w:val="0"/>
          <w:numId w:val="6"/>
        </w:numPr>
        <w:spacing w:line="360" w:lineRule="auto"/>
        <w:ind w:left="720"/>
        <w:jc w:val="both"/>
        <w:rPr>
          <w:rFonts w:ascii="Arial" w:hAnsi="Arial" w:cs="David"/>
          <w:sz w:val="24"/>
          <w:szCs w:val="24"/>
        </w:rPr>
      </w:pPr>
      <w:r>
        <w:rPr>
          <w:rFonts w:ascii="Arial" w:hAnsi="Arial" w:cs="David"/>
          <w:sz w:val="24"/>
          <w:szCs w:val="24"/>
          <w:rtl/>
        </w:rPr>
        <w:t>קנס בסך 5,000 ש"ח או 30 ימי מעצר.</w:t>
      </w:r>
    </w:p>
    <w:p w14:paraId="7169AEF8" w14:textId="77777777" w:rsidR="00394B40" w:rsidRDefault="0045348D">
      <w:pPr>
        <w:pStyle w:val="a6"/>
        <w:numPr>
          <w:ilvl w:val="0"/>
          <w:numId w:val="6"/>
        </w:numPr>
        <w:spacing w:line="360" w:lineRule="auto"/>
        <w:ind w:left="720"/>
        <w:jc w:val="both"/>
        <w:rPr>
          <w:rFonts w:ascii="Arial" w:hAnsi="Arial" w:cs="David"/>
          <w:sz w:val="24"/>
          <w:szCs w:val="24"/>
          <w:rtl/>
        </w:rPr>
      </w:pPr>
      <w:r>
        <w:rPr>
          <w:rFonts w:ascii="Arial" w:hAnsi="Arial" w:cs="David"/>
          <w:sz w:val="24"/>
          <w:szCs w:val="24"/>
          <w:rtl/>
        </w:rPr>
        <w:t>אני מורה על חילוט סך של 460 ש"ח שתפסו אצל הנאשם.</w:t>
      </w:r>
    </w:p>
    <w:p w14:paraId="7E6A6384" w14:textId="77777777" w:rsidR="00394B40" w:rsidRDefault="0045348D">
      <w:pPr>
        <w:pStyle w:val="a6"/>
        <w:numPr>
          <w:ilvl w:val="0"/>
          <w:numId w:val="6"/>
        </w:numPr>
        <w:spacing w:line="360" w:lineRule="auto"/>
        <w:ind w:left="720"/>
        <w:jc w:val="both"/>
        <w:rPr>
          <w:rFonts w:ascii="Arial" w:hAnsi="Arial" w:cs="David"/>
          <w:sz w:val="24"/>
          <w:szCs w:val="24"/>
        </w:rPr>
      </w:pPr>
      <w:r>
        <w:rPr>
          <w:rFonts w:ascii="Arial" w:hAnsi="Arial" w:cs="David"/>
          <w:sz w:val="24"/>
          <w:szCs w:val="24"/>
          <w:rtl/>
        </w:rPr>
        <w:t>ניתן צו להשמדת המוצגים.</w:t>
      </w:r>
    </w:p>
    <w:p w14:paraId="5278AFDF" w14:textId="77777777" w:rsidR="00394B40" w:rsidRDefault="00394B40">
      <w:pPr>
        <w:rPr>
          <w:rtl/>
        </w:rPr>
      </w:pPr>
    </w:p>
    <w:p w14:paraId="7AFFCDA8" w14:textId="77777777" w:rsidR="00394B40" w:rsidRDefault="0045348D">
      <w:pPr>
        <w:spacing w:line="360" w:lineRule="auto"/>
        <w:jc w:val="both"/>
        <w:rPr>
          <w:rFonts w:ascii="Arial" w:hAnsi="Arial"/>
        </w:rPr>
      </w:pPr>
      <w:r>
        <w:rPr>
          <w:rFonts w:ascii="Arial" w:hAnsi="Arial" w:hint="cs"/>
          <w:rtl/>
        </w:rPr>
        <w:t>הודעה לנאשם זכות ערעור לבית המשפט העליון תוך 45 יום מהיום.</w:t>
      </w:r>
    </w:p>
    <w:p w14:paraId="4281A975" w14:textId="77777777" w:rsidR="00394B40" w:rsidRDefault="00394B40">
      <w:pPr>
        <w:rPr>
          <w:rtl/>
        </w:rPr>
      </w:pPr>
    </w:p>
    <w:p w14:paraId="034EB810" w14:textId="77777777" w:rsidR="00394B40" w:rsidRPr="0045348D" w:rsidRDefault="0045348D">
      <w:pPr>
        <w:spacing w:line="360" w:lineRule="auto"/>
        <w:jc w:val="both"/>
        <w:rPr>
          <w:rFonts w:ascii="Arial" w:hAnsi="Arial"/>
          <w:color w:val="FFFFFF"/>
          <w:sz w:val="2"/>
          <w:szCs w:val="2"/>
          <w:rtl/>
        </w:rPr>
      </w:pPr>
      <w:r w:rsidRPr="0045348D">
        <w:rPr>
          <w:rFonts w:ascii="Arial" w:hAnsi="Arial"/>
          <w:color w:val="FFFFFF"/>
          <w:sz w:val="2"/>
          <w:szCs w:val="2"/>
          <w:rtl/>
        </w:rPr>
        <w:t>5129371</w:t>
      </w:r>
    </w:p>
    <w:p w14:paraId="7DF7E705" w14:textId="77777777" w:rsidR="00394B40" w:rsidRDefault="0045348D">
      <w:pPr>
        <w:rPr>
          <w:sz w:val="28"/>
          <w:szCs w:val="28"/>
          <w:rtl/>
        </w:rPr>
      </w:pPr>
      <w:r w:rsidRPr="0045348D">
        <w:rPr>
          <w:rFonts w:ascii="Arial" w:hAnsi="Arial"/>
          <w:color w:val="FFFFFF"/>
          <w:sz w:val="2"/>
          <w:szCs w:val="2"/>
          <w:rtl/>
        </w:rPr>
        <w:t>54678313</w:t>
      </w:r>
      <w:r>
        <w:rPr>
          <w:rFonts w:ascii="Arial" w:hAnsi="Arial"/>
          <w:rtl/>
        </w:rPr>
        <w:t xml:space="preserve">ניתן היום,  ו' חשוון תשע"ה, 30 אוקטובר 2014, בנוכחות הצדדים. </w:t>
      </w:r>
    </w:p>
    <w:p w14:paraId="2A66A747" w14:textId="77777777" w:rsidR="00394B40" w:rsidRDefault="0045348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F2C0DF5" w14:textId="77777777" w:rsidR="00394B40" w:rsidRDefault="00394B40">
      <w:pPr>
        <w:jc w:val="center"/>
        <w:rPr>
          <w:rFonts w:ascii="Arial" w:hAnsi="Arial"/>
          <w:sz w:val="28"/>
          <w:szCs w:val="28"/>
          <w:rtl/>
        </w:rPr>
      </w:pPr>
    </w:p>
    <w:p w14:paraId="18204E91" w14:textId="77777777" w:rsidR="00394B40" w:rsidRDefault="00394B40">
      <w:pPr>
        <w:rPr>
          <w:sz w:val="28"/>
          <w:szCs w:val="28"/>
          <w:rtl/>
        </w:rPr>
      </w:pPr>
    </w:p>
    <w:p w14:paraId="2A72CCFF" w14:textId="77777777" w:rsidR="00394B40" w:rsidRDefault="00394B40">
      <w:pPr>
        <w:pStyle w:val="a3"/>
        <w:jc w:val="center"/>
        <w:rPr>
          <w:rtl/>
        </w:rPr>
      </w:pPr>
    </w:p>
    <w:p w14:paraId="112F0E95" w14:textId="77777777" w:rsidR="0045348D" w:rsidRPr="0045348D" w:rsidRDefault="0045348D" w:rsidP="0045348D">
      <w:pPr>
        <w:keepNext/>
        <w:rPr>
          <w:rFonts w:ascii="David" w:hAnsi="David"/>
          <w:color w:val="000000"/>
          <w:sz w:val="22"/>
          <w:szCs w:val="22"/>
          <w:rtl/>
        </w:rPr>
      </w:pPr>
    </w:p>
    <w:p w14:paraId="554F2998" w14:textId="77777777" w:rsidR="0045348D" w:rsidRPr="0045348D" w:rsidRDefault="0045348D" w:rsidP="0045348D">
      <w:pPr>
        <w:keepNext/>
        <w:rPr>
          <w:rFonts w:ascii="David" w:hAnsi="David"/>
          <w:color w:val="000000"/>
          <w:sz w:val="22"/>
          <w:szCs w:val="22"/>
          <w:rtl/>
        </w:rPr>
      </w:pPr>
      <w:r w:rsidRPr="0045348D">
        <w:rPr>
          <w:rFonts w:ascii="David" w:hAnsi="David"/>
          <w:color w:val="000000"/>
          <w:sz w:val="22"/>
          <w:szCs w:val="22"/>
          <w:rtl/>
        </w:rPr>
        <w:t>ה ג'ורג' קרא 54678313</w:t>
      </w:r>
    </w:p>
    <w:p w14:paraId="58FB8049" w14:textId="77777777" w:rsidR="0045348D" w:rsidRDefault="0045348D" w:rsidP="0045348D">
      <w:r w:rsidRPr="0045348D">
        <w:rPr>
          <w:color w:val="000000"/>
          <w:rtl/>
        </w:rPr>
        <w:t>נוסח מסמך זה כפוף לשינויי ניסוח ועריכה</w:t>
      </w:r>
    </w:p>
    <w:p w14:paraId="43756914" w14:textId="77777777" w:rsidR="0045348D" w:rsidRDefault="0045348D" w:rsidP="0045348D">
      <w:pPr>
        <w:rPr>
          <w:rtl/>
        </w:rPr>
      </w:pPr>
    </w:p>
    <w:p w14:paraId="0A4D0813" w14:textId="77777777" w:rsidR="0045348D" w:rsidRDefault="0045348D" w:rsidP="0045348D">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483B7248" w14:textId="77777777" w:rsidR="00394B40" w:rsidRPr="0045348D" w:rsidRDefault="00394B40" w:rsidP="0045348D">
      <w:pPr>
        <w:jc w:val="center"/>
        <w:rPr>
          <w:color w:val="0000FF"/>
          <w:u w:val="single"/>
        </w:rPr>
      </w:pPr>
    </w:p>
    <w:sectPr w:rsidR="00394B40" w:rsidRPr="0045348D" w:rsidSect="0045348D">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503164" w14:textId="77777777" w:rsidR="00360555" w:rsidRPr="00FD1542" w:rsidRDefault="00360555">
      <w:pPr>
        <w:rPr>
          <w:rFonts w:cs="Arial"/>
          <w:szCs w:val="20"/>
        </w:rPr>
      </w:pPr>
      <w:r>
        <w:separator/>
      </w:r>
    </w:p>
  </w:endnote>
  <w:endnote w:type="continuationSeparator" w:id="0">
    <w:p w14:paraId="1030AB18" w14:textId="77777777" w:rsidR="00360555" w:rsidRPr="00FD1542" w:rsidRDefault="0036055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06204" w14:textId="77777777" w:rsidR="0045348D" w:rsidRDefault="0045348D" w:rsidP="0045348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0ED0E6C" w14:textId="77777777" w:rsidR="00394B40" w:rsidRPr="0045348D" w:rsidRDefault="0045348D" w:rsidP="0045348D">
    <w:pPr>
      <w:pStyle w:val="a4"/>
      <w:pBdr>
        <w:top w:val="single" w:sz="4" w:space="1" w:color="auto"/>
        <w:between w:val="single" w:sz="4" w:space="0" w:color="auto"/>
      </w:pBdr>
      <w:spacing w:after="60"/>
      <w:jc w:val="center"/>
      <w:rPr>
        <w:rFonts w:ascii="FrankRuehl" w:hAnsi="FrankRuehl" w:cs="FrankRuehl"/>
        <w:color w:val="000000"/>
      </w:rPr>
    </w:pPr>
    <w:r w:rsidRPr="0045348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9901F" w14:textId="77777777" w:rsidR="0045348D" w:rsidRDefault="0045348D" w:rsidP="0045348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56553">
      <w:rPr>
        <w:rFonts w:ascii="FrankRuehl" w:hAnsi="FrankRuehl" w:cs="FrankRuehl"/>
        <w:noProof/>
        <w:rtl/>
      </w:rPr>
      <w:t>1</w:t>
    </w:r>
    <w:r>
      <w:rPr>
        <w:rFonts w:ascii="FrankRuehl" w:hAnsi="FrankRuehl" w:cs="FrankRuehl"/>
        <w:rtl/>
      </w:rPr>
      <w:fldChar w:fldCharType="end"/>
    </w:r>
  </w:p>
  <w:p w14:paraId="377AD49C" w14:textId="77777777" w:rsidR="00394B40" w:rsidRPr="0045348D" w:rsidRDefault="0045348D" w:rsidP="0045348D">
    <w:pPr>
      <w:pStyle w:val="a4"/>
      <w:pBdr>
        <w:top w:val="single" w:sz="4" w:space="1" w:color="auto"/>
        <w:between w:val="single" w:sz="4" w:space="0" w:color="auto"/>
      </w:pBdr>
      <w:spacing w:after="60"/>
      <w:jc w:val="center"/>
      <w:rPr>
        <w:rFonts w:ascii="FrankRuehl" w:hAnsi="FrankRuehl" w:cs="FrankRuehl"/>
        <w:color w:val="000000"/>
      </w:rPr>
    </w:pPr>
    <w:r w:rsidRPr="0045348D">
      <w:rPr>
        <w:rFonts w:ascii="FrankRuehl" w:hAnsi="FrankRuehl" w:cs="FrankRuehl"/>
        <w:color w:val="000000"/>
      </w:rPr>
      <w:pict w14:anchorId="1FA03D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9F519" w14:textId="77777777" w:rsidR="00360555" w:rsidRPr="00FD1542" w:rsidRDefault="00360555">
      <w:pPr>
        <w:rPr>
          <w:rFonts w:cs="Arial"/>
          <w:szCs w:val="20"/>
        </w:rPr>
      </w:pPr>
      <w:r>
        <w:separator/>
      </w:r>
    </w:p>
  </w:footnote>
  <w:footnote w:type="continuationSeparator" w:id="0">
    <w:p w14:paraId="1FB9CA8F" w14:textId="77777777" w:rsidR="00360555" w:rsidRPr="00FD1542" w:rsidRDefault="0036055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85D74" w14:textId="77777777" w:rsidR="0045348D" w:rsidRPr="0045348D" w:rsidRDefault="0045348D" w:rsidP="0045348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44882-08-13</w:t>
    </w:r>
    <w:r>
      <w:rPr>
        <w:rFonts w:ascii="David" w:hAnsi="David"/>
        <w:color w:val="000000"/>
        <w:sz w:val="22"/>
        <w:szCs w:val="22"/>
        <w:rtl/>
      </w:rPr>
      <w:tab/>
      <w:t xml:space="preserve"> מדינת ישראל נ' לביא עובדיה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4FCA9" w14:textId="77777777" w:rsidR="0045348D" w:rsidRPr="0045348D" w:rsidRDefault="0045348D" w:rsidP="0045348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44882-08-13</w:t>
    </w:r>
    <w:r>
      <w:rPr>
        <w:rFonts w:ascii="David" w:hAnsi="David"/>
        <w:color w:val="000000"/>
        <w:sz w:val="22"/>
        <w:szCs w:val="22"/>
        <w:rtl/>
      </w:rPr>
      <w:tab/>
      <w:t xml:space="preserve"> מדינת ישראל נ' לביא עובדיה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E7626"/>
    <w:multiLevelType w:val="hybridMultilevel"/>
    <w:tmpl w:val="E32CC3A0"/>
    <w:lvl w:ilvl="0" w:tplc="8C46F2E4">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256413A7"/>
    <w:multiLevelType w:val="hybridMultilevel"/>
    <w:tmpl w:val="349810AE"/>
    <w:lvl w:ilvl="0" w:tplc="103ADD96">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38B953AF"/>
    <w:multiLevelType w:val="hybridMultilevel"/>
    <w:tmpl w:val="662C0938"/>
    <w:lvl w:ilvl="0" w:tplc="BCE8B692">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3D7865A6"/>
    <w:multiLevelType w:val="hybridMultilevel"/>
    <w:tmpl w:val="EF0C2256"/>
    <w:lvl w:ilvl="0" w:tplc="8AB6040A">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40912C9A"/>
    <w:multiLevelType w:val="hybridMultilevel"/>
    <w:tmpl w:val="A3D49862"/>
    <w:lvl w:ilvl="0" w:tplc="92207114">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7DFC1322"/>
    <w:multiLevelType w:val="hybridMultilevel"/>
    <w:tmpl w:val="BB96EB50"/>
    <w:lvl w:ilvl="0" w:tplc="6F8A8B86">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830869215">
    <w:abstractNumId w:val="5"/>
  </w:num>
  <w:num w:numId="2" w16cid:durableId="1007947171">
    <w:abstractNumId w:val="3"/>
  </w:num>
  <w:num w:numId="3" w16cid:durableId="1793935180">
    <w:abstractNumId w:val="1"/>
  </w:num>
  <w:num w:numId="4" w16cid:durableId="2140806746">
    <w:abstractNumId w:val="2"/>
  </w:num>
  <w:num w:numId="5" w16cid:durableId="546645953">
    <w:abstractNumId w:val="0"/>
  </w:num>
  <w:num w:numId="6" w16cid:durableId="12154352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94B40"/>
    <w:rsid w:val="000F01AD"/>
    <w:rsid w:val="000F74C7"/>
    <w:rsid w:val="002A6FA2"/>
    <w:rsid w:val="002F440A"/>
    <w:rsid w:val="003473CE"/>
    <w:rsid w:val="00360555"/>
    <w:rsid w:val="00394B40"/>
    <w:rsid w:val="0045348D"/>
    <w:rsid w:val="00556553"/>
    <w:rsid w:val="0076652B"/>
    <w:rsid w:val="008043EA"/>
    <w:rsid w:val="00812A74"/>
    <w:rsid w:val="008C02C7"/>
    <w:rsid w:val="00AF26E4"/>
    <w:rsid w:val="00C207A2"/>
    <w:rsid w:val="00F87B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7AB1488"/>
  <w15:chartTrackingRefBased/>
  <w15:docId w15:val="{B1C86A19-1C7A-4A55-88FF-F9ADC46F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4B4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94B40"/>
    <w:pPr>
      <w:tabs>
        <w:tab w:val="center" w:pos="4153"/>
        <w:tab w:val="right" w:pos="8306"/>
      </w:tabs>
    </w:pPr>
  </w:style>
  <w:style w:type="paragraph" w:styleId="a4">
    <w:name w:val="footer"/>
    <w:basedOn w:val="a"/>
    <w:rsid w:val="00394B40"/>
    <w:pPr>
      <w:tabs>
        <w:tab w:val="center" w:pos="4153"/>
        <w:tab w:val="right" w:pos="8306"/>
      </w:tabs>
    </w:pPr>
  </w:style>
  <w:style w:type="character" w:styleId="a5">
    <w:name w:val="page number"/>
    <w:basedOn w:val="a0"/>
    <w:rsid w:val="00394B40"/>
  </w:style>
  <w:style w:type="paragraph" w:styleId="a6">
    <w:name w:val="List Paragraph"/>
    <w:basedOn w:val="a"/>
    <w:qFormat/>
    <w:rsid w:val="00394B40"/>
    <w:pPr>
      <w:spacing w:after="200" w:line="276" w:lineRule="auto"/>
      <w:ind w:left="720"/>
      <w:contextualSpacing/>
    </w:pPr>
    <w:rPr>
      <w:rFonts w:ascii="Calibri" w:hAnsi="Calibri" w:cs="Arial"/>
      <w:sz w:val="22"/>
      <w:szCs w:val="22"/>
    </w:rPr>
  </w:style>
  <w:style w:type="character" w:styleId="Hyperlink">
    <w:name w:val="Hyperlink"/>
    <w:rsid w:val="004534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99.a.1." TargetMode="External"/><Relationship Id="rId18" Type="http://schemas.openxmlformats.org/officeDocument/2006/relationships/hyperlink" Target="http://www.nevo.co.il/case/6119015" TargetMode="External"/><Relationship Id="rId26" Type="http://schemas.openxmlformats.org/officeDocument/2006/relationships/hyperlink" Target="http://www.nevo.co.il/case/4446129" TargetMode="External"/><Relationship Id="rId39" Type="http://schemas.openxmlformats.org/officeDocument/2006/relationships/hyperlink" Target="http://www.nevo.co.il/case/5997727" TargetMode="External"/><Relationship Id="rId21" Type="http://schemas.openxmlformats.org/officeDocument/2006/relationships/hyperlink" Target="http://www.nevo.co.il/case/5997727" TargetMode="External"/><Relationship Id="rId34" Type="http://schemas.openxmlformats.org/officeDocument/2006/relationships/hyperlink" Target="http://www.nevo.co.il/case/5601394" TargetMode="External"/><Relationship Id="rId42" Type="http://schemas.openxmlformats.org/officeDocument/2006/relationships/hyperlink" Target="http://www.nevo.co.il/law/70301"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case/6247538" TargetMode="External"/><Relationship Id="rId11" Type="http://schemas.openxmlformats.org/officeDocument/2006/relationships/hyperlink" Target="http://www.nevo.co.il/law/70301/40jc" TargetMode="External"/><Relationship Id="rId24" Type="http://schemas.openxmlformats.org/officeDocument/2006/relationships/hyperlink" Target="http://www.nevo.co.il/case/2090018" TargetMode="External"/><Relationship Id="rId32" Type="http://schemas.openxmlformats.org/officeDocument/2006/relationships/hyperlink" Target="http://www.nevo.co.il/case/11206432" TargetMode="External"/><Relationship Id="rId37" Type="http://schemas.openxmlformats.org/officeDocument/2006/relationships/hyperlink" Target="http://www.nevo.co.il/case/7944138" TargetMode="External"/><Relationship Id="rId40" Type="http://schemas.openxmlformats.org/officeDocument/2006/relationships/hyperlink" Target="http://www.nevo.co.il/law/70301/40jc.c."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6162970" TargetMode="External"/><Relationship Id="rId28" Type="http://schemas.openxmlformats.org/officeDocument/2006/relationships/hyperlink" Target="http://www.nevo.co.il/case/5603429" TargetMode="External"/><Relationship Id="rId36" Type="http://schemas.openxmlformats.org/officeDocument/2006/relationships/hyperlink" Target="http://www.nevo.co.il/law/70301/40d.a." TargetMode="External"/><Relationship Id="rId49" Type="http://schemas.openxmlformats.org/officeDocument/2006/relationships/theme" Target="theme/theme1.xml"/><Relationship Id="rId10" Type="http://schemas.openxmlformats.org/officeDocument/2006/relationships/hyperlink" Target="http://www.nevo.co.il/law/70301/40d.a." TargetMode="External"/><Relationship Id="rId19" Type="http://schemas.openxmlformats.org/officeDocument/2006/relationships/hyperlink" Target="http://www.nevo.co.il/case/5698919" TargetMode="External"/><Relationship Id="rId31" Type="http://schemas.openxmlformats.org/officeDocument/2006/relationships/hyperlink" Target="http://www.nevo.co.il/case/6859579"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5573493" TargetMode="External"/><Relationship Id="rId27" Type="http://schemas.openxmlformats.org/officeDocument/2006/relationships/hyperlink" Target="http://www.nevo.co.il/case/6247538"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6846313"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40jc.c."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688731"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11269647" TargetMode="External"/><Relationship Id="rId46" Type="http://schemas.openxmlformats.org/officeDocument/2006/relationships/footer" Target="footer1.xml"/><Relationship Id="rId20" Type="http://schemas.openxmlformats.org/officeDocument/2006/relationships/hyperlink" Target="http://www.nevo.co.il/case/6112741" TargetMode="External"/><Relationship Id="rId41" Type="http://schemas.openxmlformats.org/officeDocument/2006/relationships/hyperlink" Target="http://www.nevo.co.il/law/70301/499.a.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3323</Words>
  <Characters>16620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19904</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7995492</vt:i4>
      </vt:variant>
      <vt:variant>
        <vt:i4>105</vt:i4>
      </vt:variant>
      <vt:variant>
        <vt:i4>0</vt:i4>
      </vt:variant>
      <vt:variant>
        <vt:i4>5</vt:i4>
      </vt:variant>
      <vt:variant>
        <vt:lpwstr>http://www.nevo.co.il/law/70301</vt:lpwstr>
      </vt:variant>
      <vt:variant>
        <vt:lpwstr/>
      </vt:variant>
      <vt:variant>
        <vt:i4>4325384</vt:i4>
      </vt:variant>
      <vt:variant>
        <vt:i4>102</vt:i4>
      </vt:variant>
      <vt:variant>
        <vt:i4>0</vt:i4>
      </vt:variant>
      <vt:variant>
        <vt:i4>5</vt:i4>
      </vt:variant>
      <vt:variant>
        <vt:lpwstr>http://www.nevo.co.il/law/70301/499.a.1.</vt:lpwstr>
      </vt:variant>
      <vt:variant>
        <vt:lpwstr/>
      </vt:variant>
      <vt:variant>
        <vt:i4>6619173</vt:i4>
      </vt:variant>
      <vt:variant>
        <vt:i4>99</vt:i4>
      </vt:variant>
      <vt:variant>
        <vt:i4>0</vt:i4>
      </vt:variant>
      <vt:variant>
        <vt:i4>5</vt:i4>
      </vt:variant>
      <vt:variant>
        <vt:lpwstr>http://www.nevo.co.il/law/70301/40jc.c.</vt:lpwstr>
      </vt:variant>
      <vt:variant>
        <vt:lpwstr/>
      </vt:variant>
      <vt:variant>
        <vt:i4>3932280</vt:i4>
      </vt:variant>
      <vt:variant>
        <vt:i4>96</vt:i4>
      </vt:variant>
      <vt:variant>
        <vt:i4>0</vt:i4>
      </vt:variant>
      <vt:variant>
        <vt:i4>5</vt:i4>
      </vt:variant>
      <vt:variant>
        <vt:lpwstr>http://www.nevo.co.il/case/5997727</vt:lpwstr>
      </vt:variant>
      <vt:variant>
        <vt:lpwstr/>
      </vt:variant>
      <vt:variant>
        <vt:i4>4063349</vt:i4>
      </vt:variant>
      <vt:variant>
        <vt:i4>93</vt:i4>
      </vt:variant>
      <vt:variant>
        <vt:i4>0</vt:i4>
      </vt:variant>
      <vt:variant>
        <vt:i4>5</vt:i4>
      </vt:variant>
      <vt:variant>
        <vt:lpwstr>http://www.nevo.co.il/case/11269647</vt:lpwstr>
      </vt:variant>
      <vt:variant>
        <vt:lpwstr/>
      </vt:variant>
      <vt:variant>
        <vt:i4>3801210</vt:i4>
      </vt:variant>
      <vt:variant>
        <vt:i4>90</vt:i4>
      </vt:variant>
      <vt:variant>
        <vt:i4>0</vt:i4>
      </vt:variant>
      <vt:variant>
        <vt:i4>5</vt:i4>
      </vt:variant>
      <vt:variant>
        <vt:lpwstr>http://www.nevo.co.il/case/7944138</vt:lpwstr>
      </vt:variant>
      <vt:variant>
        <vt:lpwstr/>
      </vt:variant>
      <vt:variant>
        <vt:i4>6619236</vt:i4>
      </vt:variant>
      <vt:variant>
        <vt:i4>87</vt:i4>
      </vt:variant>
      <vt:variant>
        <vt:i4>0</vt:i4>
      </vt:variant>
      <vt:variant>
        <vt:i4>5</vt:i4>
      </vt:variant>
      <vt:variant>
        <vt:lpwstr>http://www.nevo.co.il/law/70301/40d.a.</vt:lpwstr>
      </vt:variant>
      <vt:variant>
        <vt:lpwstr/>
      </vt:variant>
      <vt:variant>
        <vt:i4>3276923</vt:i4>
      </vt:variant>
      <vt:variant>
        <vt:i4>84</vt:i4>
      </vt:variant>
      <vt:variant>
        <vt:i4>0</vt:i4>
      </vt:variant>
      <vt:variant>
        <vt:i4>5</vt:i4>
      </vt:variant>
      <vt:variant>
        <vt:lpwstr>http://www.nevo.co.il/case/6846313</vt:lpwstr>
      </vt:variant>
      <vt:variant>
        <vt:lpwstr/>
      </vt:variant>
      <vt:variant>
        <vt:i4>3276922</vt:i4>
      </vt:variant>
      <vt:variant>
        <vt:i4>81</vt:i4>
      </vt:variant>
      <vt:variant>
        <vt:i4>0</vt:i4>
      </vt:variant>
      <vt:variant>
        <vt:i4>5</vt:i4>
      </vt:variant>
      <vt:variant>
        <vt:lpwstr>http://www.nevo.co.il/case/5601394</vt:lpwstr>
      </vt:variant>
      <vt:variant>
        <vt:lpwstr/>
      </vt:variant>
      <vt:variant>
        <vt:i4>7995492</vt:i4>
      </vt:variant>
      <vt:variant>
        <vt:i4>78</vt:i4>
      </vt:variant>
      <vt:variant>
        <vt:i4>0</vt:i4>
      </vt:variant>
      <vt:variant>
        <vt:i4>5</vt:i4>
      </vt:variant>
      <vt:variant>
        <vt:lpwstr>http://www.nevo.co.il/law/70301</vt:lpwstr>
      </vt:variant>
      <vt:variant>
        <vt:lpwstr/>
      </vt:variant>
      <vt:variant>
        <vt:i4>3539057</vt:i4>
      </vt:variant>
      <vt:variant>
        <vt:i4>75</vt:i4>
      </vt:variant>
      <vt:variant>
        <vt:i4>0</vt:i4>
      </vt:variant>
      <vt:variant>
        <vt:i4>5</vt:i4>
      </vt:variant>
      <vt:variant>
        <vt:lpwstr>http://www.nevo.co.il/case/11206432</vt:lpwstr>
      </vt:variant>
      <vt:variant>
        <vt:lpwstr/>
      </vt:variant>
      <vt:variant>
        <vt:i4>4128882</vt:i4>
      </vt:variant>
      <vt:variant>
        <vt:i4>72</vt:i4>
      </vt:variant>
      <vt:variant>
        <vt:i4>0</vt:i4>
      </vt:variant>
      <vt:variant>
        <vt:i4>5</vt:i4>
      </vt:variant>
      <vt:variant>
        <vt:lpwstr>http://www.nevo.co.il/case/6859579</vt:lpwstr>
      </vt:variant>
      <vt:variant>
        <vt:lpwstr/>
      </vt:variant>
      <vt:variant>
        <vt:i4>7995492</vt:i4>
      </vt:variant>
      <vt:variant>
        <vt:i4>69</vt:i4>
      </vt:variant>
      <vt:variant>
        <vt:i4>0</vt:i4>
      </vt:variant>
      <vt:variant>
        <vt:i4>5</vt:i4>
      </vt:variant>
      <vt:variant>
        <vt:lpwstr>http://www.nevo.co.il/law/70301</vt:lpwstr>
      </vt:variant>
      <vt:variant>
        <vt:lpwstr/>
      </vt:variant>
      <vt:variant>
        <vt:i4>4128882</vt:i4>
      </vt:variant>
      <vt:variant>
        <vt:i4>66</vt:i4>
      </vt:variant>
      <vt:variant>
        <vt:i4>0</vt:i4>
      </vt:variant>
      <vt:variant>
        <vt:i4>5</vt:i4>
      </vt:variant>
      <vt:variant>
        <vt:lpwstr>http://www.nevo.co.il/case/6247538</vt:lpwstr>
      </vt:variant>
      <vt:variant>
        <vt:lpwstr/>
      </vt:variant>
      <vt:variant>
        <vt:i4>3670131</vt:i4>
      </vt:variant>
      <vt:variant>
        <vt:i4>63</vt:i4>
      </vt:variant>
      <vt:variant>
        <vt:i4>0</vt:i4>
      </vt:variant>
      <vt:variant>
        <vt:i4>5</vt:i4>
      </vt:variant>
      <vt:variant>
        <vt:lpwstr>http://www.nevo.co.il/case/5603429</vt:lpwstr>
      </vt:variant>
      <vt:variant>
        <vt:lpwstr/>
      </vt:variant>
      <vt:variant>
        <vt:i4>4128882</vt:i4>
      </vt:variant>
      <vt:variant>
        <vt:i4>60</vt:i4>
      </vt:variant>
      <vt:variant>
        <vt:i4>0</vt:i4>
      </vt:variant>
      <vt:variant>
        <vt:i4>5</vt:i4>
      </vt:variant>
      <vt:variant>
        <vt:lpwstr>http://www.nevo.co.il/case/6247538</vt:lpwstr>
      </vt:variant>
      <vt:variant>
        <vt:lpwstr/>
      </vt:variant>
      <vt:variant>
        <vt:i4>3670132</vt:i4>
      </vt:variant>
      <vt:variant>
        <vt:i4>57</vt:i4>
      </vt:variant>
      <vt:variant>
        <vt:i4>0</vt:i4>
      </vt:variant>
      <vt:variant>
        <vt:i4>5</vt:i4>
      </vt:variant>
      <vt:variant>
        <vt:lpwstr>http://www.nevo.co.il/case/4446129</vt:lpwstr>
      </vt:variant>
      <vt:variant>
        <vt:lpwstr/>
      </vt:variant>
      <vt:variant>
        <vt:i4>3866745</vt:i4>
      </vt:variant>
      <vt:variant>
        <vt:i4>54</vt:i4>
      </vt:variant>
      <vt:variant>
        <vt:i4>0</vt:i4>
      </vt:variant>
      <vt:variant>
        <vt:i4>5</vt:i4>
      </vt:variant>
      <vt:variant>
        <vt:lpwstr>http://www.nevo.co.il/case/5688731</vt:lpwstr>
      </vt:variant>
      <vt:variant>
        <vt:lpwstr/>
      </vt:variant>
      <vt:variant>
        <vt:i4>3342453</vt:i4>
      </vt:variant>
      <vt:variant>
        <vt:i4>51</vt:i4>
      </vt:variant>
      <vt:variant>
        <vt:i4>0</vt:i4>
      </vt:variant>
      <vt:variant>
        <vt:i4>5</vt:i4>
      </vt:variant>
      <vt:variant>
        <vt:lpwstr>http://www.nevo.co.il/case/2090018</vt:lpwstr>
      </vt:variant>
      <vt:variant>
        <vt:lpwstr/>
      </vt:variant>
      <vt:variant>
        <vt:i4>3735664</vt:i4>
      </vt:variant>
      <vt:variant>
        <vt:i4>48</vt:i4>
      </vt:variant>
      <vt:variant>
        <vt:i4>0</vt:i4>
      </vt:variant>
      <vt:variant>
        <vt:i4>5</vt:i4>
      </vt:variant>
      <vt:variant>
        <vt:lpwstr>http://www.nevo.co.il/case/6162970</vt:lpwstr>
      </vt:variant>
      <vt:variant>
        <vt:lpwstr/>
      </vt:variant>
      <vt:variant>
        <vt:i4>3473531</vt:i4>
      </vt:variant>
      <vt:variant>
        <vt:i4>45</vt:i4>
      </vt:variant>
      <vt:variant>
        <vt:i4>0</vt:i4>
      </vt:variant>
      <vt:variant>
        <vt:i4>5</vt:i4>
      </vt:variant>
      <vt:variant>
        <vt:lpwstr>http://www.nevo.co.il/case/5573493</vt:lpwstr>
      </vt:variant>
      <vt:variant>
        <vt:lpwstr/>
      </vt:variant>
      <vt:variant>
        <vt:i4>3932280</vt:i4>
      </vt:variant>
      <vt:variant>
        <vt:i4>42</vt:i4>
      </vt:variant>
      <vt:variant>
        <vt:i4>0</vt:i4>
      </vt:variant>
      <vt:variant>
        <vt:i4>5</vt:i4>
      </vt:variant>
      <vt:variant>
        <vt:lpwstr>http://www.nevo.co.il/case/5997727</vt:lpwstr>
      </vt:variant>
      <vt:variant>
        <vt:lpwstr/>
      </vt:variant>
      <vt:variant>
        <vt:i4>3211379</vt:i4>
      </vt:variant>
      <vt:variant>
        <vt:i4>39</vt:i4>
      </vt:variant>
      <vt:variant>
        <vt:i4>0</vt:i4>
      </vt:variant>
      <vt:variant>
        <vt:i4>5</vt:i4>
      </vt:variant>
      <vt:variant>
        <vt:lpwstr>http://www.nevo.co.il/case/6112741</vt:lpwstr>
      </vt:variant>
      <vt:variant>
        <vt:lpwstr/>
      </vt:variant>
      <vt:variant>
        <vt:i4>3932283</vt:i4>
      </vt:variant>
      <vt:variant>
        <vt:i4>36</vt:i4>
      </vt:variant>
      <vt:variant>
        <vt:i4>0</vt:i4>
      </vt:variant>
      <vt:variant>
        <vt:i4>5</vt:i4>
      </vt:variant>
      <vt:variant>
        <vt:lpwstr>http://www.nevo.co.il/case/5698919</vt:lpwstr>
      </vt:variant>
      <vt:variant>
        <vt:lpwstr/>
      </vt:variant>
      <vt:variant>
        <vt:i4>3276925</vt:i4>
      </vt:variant>
      <vt:variant>
        <vt:i4>33</vt:i4>
      </vt:variant>
      <vt:variant>
        <vt:i4>0</vt:i4>
      </vt:variant>
      <vt:variant>
        <vt:i4>5</vt:i4>
      </vt:variant>
      <vt:variant>
        <vt:lpwstr>http://www.nevo.co.il/case/6119015</vt:lpwstr>
      </vt:variant>
      <vt:variant>
        <vt:lpwstr/>
      </vt:variant>
      <vt:variant>
        <vt:i4>7995492</vt:i4>
      </vt:variant>
      <vt:variant>
        <vt:i4>30</vt:i4>
      </vt:variant>
      <vt:variant>
        <vt:i4>0</vt:i4>
      </vt:variant>
      <vt:variant>
        <vt:i4>5</vt:i4>
      </vt:variant>
      <vt:variant>
        <vt:lpwstr>http://www.nevo.co.il/law/70301</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8257637</vt:i4>
      </vt:variant>
      <vt:variant>
        <vt:i4>24</vt:i4>
      </vt:variant>
      <vt:variant>
        <vt:i4>0</vt:i4>
      </vt:variant>
      <vt:variant>
        <vt:i4>5</vt:i4>
      </vt:variant>
      <vt:variant>
        <vt:lpwstr>http://www.nevo.co.il/law/4216</vt:lpwstr>
      </vt:variant>
      <vt:variant>
        <vt:lpwstr/>
      </vt:variant>
      <vt:variant>
        <vt:i4>5177418</vt:i4>
      </vt:variant>
      <vt:variant>
        <vt:i4>21</vt:i4>
      </vt:variant>
      <vt:variant>
        <vt:i4>0</vt:i4>
      </vt:variant>
      <vt:variant>
        <vt:i4>5</vt:i4>
      </vt:variant>
      <vt:variant>
        <vt:lpwstr>http://www.nevo.co.il/law/4216/13</vt:lpwstr>
      </vt:variant>
      <vt:variant>
        <vt:lpwstr/>
      </vt:variant>
      <vt:variant>
        <vt:i4>4325384</vt:i4>
      </vt:variant>
      <vt:variant>
        <vt:i4>18</vt:i4>
      </vt:variant>
      <vt:variant>
        <vt:i4>0</vt:i4>
      </vt:variant>
      <vt:variant>
        <vt:i4>5</vt:i4>
      </vt:variant>
      <vt:variant>
        <vt:lpwstr>http://www.nevo.co.il/law/70301/499.a.1.</vt:lpwstr>
      </vt:variant>
      <vt:variant>
        <vt:lpwstr/>
      </vt:variant>
      <vt:variant>
        <vt:i4>6619173</vt:i4>
      </vt:variant>
      <vt:variant>
        <vt:i4>15</vt:i4>
      </vt:variant>
      <vt:variant>
        <vt:i4>0</vt:i4>
      </vt:variant>
      <vt:variant>
        <vt:i4>5</vt:i4>
      </vt:variant>
      <vt:variant>
        <vt:lpwstr>http://www.nevo.co.il/law/70301/40jc.c.</vt:lpwstr>
      </vt:variant>
      <vt:variant>
        <vt:lpwstr/>
      </vt:variant>
      <vt:variant>
        <vt:i4>393227</vt:i4>
      </vt:variant>
      <vt:variant>
        <vt:i4>12</vt:i4>
      </vt:variant>
      <vt:variant>
        <vt:i4>0</vt:i4>
      </vt:variant>
      <vt:variant>
        <vt:i4>5</vt:i4>
      </vt:variant>
      <vt:variant>
        <vt:lpwstr>http://www.nevo.co.il/law/70301/40jc</vt:lpwstr>
      </vt:variant>
      <vt:variant>
        <vt:lpwstr/>
      </vt:variant>
      <vt:variant>
        <vt:i4>6619236</vt:i4>
      </vt:variant>
      <vt:variant>
        <vt:i4>9</vt:i4>
      </vt:variant>
      <vt:variant>
        <vt:i4>0</vt:i4>
      </vt:variant>
      <vt:variant>
        <vt:i4>5</vt:i4>
      </vt:variant>
      <vt:variant>
        <vt:lpwstr>http://www.nevo.co.il/law/70301/40d.a.</vt:lpwstr>
      </vt:variant>
      <vt:variant>
        <vt:lpwstr/>
      </vt:variant>
      <vt:variant>
        <vt:i4>7995492</vt:i4>
      </vt:variant>
      <vt:variant>
        <vt:i4>6</vt:i4>
      </vt:variant>
      <vt:variant>
        <vt:i4>0</vt:i4>
      </vt:variant>
      <vt:variant>
        <vt:i4>5</vt:i4>
      </vt:variant>
      <vt:variant>
        <vt:lpwstr>http://www.nevo.co.il/law/70301</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Tali Peled</dc:creator>
  <cp:keywords/>
  <dc:description/>
  <cp:lastModifiedBy>Tal Klein</cp:lastModifiedBy>
  <cp:revision>2</cp:revision>
  <dcterms:created xsi:type="dcterms:W3CDTF">2025-04-22T20:30:00Z</dcterms:created>
  <dcterms:modified xsi:type="dcterms:W3CDTF">2025-04-22T20:30:00Z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44882</vt:lpwstr>
  </property>
  <property fmtid="{D5CDD505-2E9C-101B-9397-08002B2CF9AE}" pid="6" name="NEWPARTB">
    <vt:lpwstr>08</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לביא עובדיה</vt:lpwstr>
  </property>
  <property fmtid="{D5CDD505-2E9C-101B-9397-08002B2CF9AE}" pid="10" name="LAWYER">
    <vt:lpwstr>כנרת מור;שי נודל</vt:lpwstr>
  </property>
  <property fmtid="{D5CDD505-2E9C-101B-9397-08002B2CF9AE}" pid="11" name="JUDGE">
    <vt:lpwstr>ה ג'ורג' קרא</vt:lpwstr>
  </property>
  <property fmtid="{D5CDD505-2E9C-101B-9397-08002B2CF9AE}" pid="12" name="CITY">
    <vt:lpwstr>ת"א</vt:lpwstr>
  </property>
  <property fmtid="{D5CDD505-2E9C-101B-9397-08002B2CF9AE}" pid="13" name="DATE">
    <vt:lpwstr>20141030</vt:lpwstr>
  </property>
  <property fmtid="{D5CDD505-2E9C-101B-9397-08002B2CF9AE}" pid="14" name="TYPE_N_DATE">
    <vt:lpwstr>39020141030</vt:lpwstr>
  </property>
  <property fmtid="{D5CDD505-2E9C-101B-9397-08002B2CF9AE}" pid="15" name="CASESLISTTMP1">
    <vt:lpwstr>6119015;5698919;6112741;5997727:2;5573493;6162970;2090018;5688731;4446129;6247538:2;5603429;6859579;11206432;5601394;6846313;7944138;11269647</vt:lpwstr>
  </property>
  <property fmtid="{D5CDD505-2E9C-101B-9397-08002B2CF9AE}" pid="16" name="CASENOTES1">
    <vt:lpwstr>ProcID=133;209&amp;PartA=2992&amp;PartC=11</vt:lpwstr>
  </property>
  <property fmtid="{D5CDD505-2E9C-101B-9397-08002B2CF9AE}" pid="17" name="CASENOTES2">
    <vt:lpwstr>ProcID=209&amp;PartA=8113&amp;PartC=08</vt:lpwstr>
  </property>
  <property fmtid="{D5CDD505-2E9C-101B-9397-08002B2CF9AE}" pid="18" name="CASENOTES3">
    <vt:lpwstr>ProcID=209&amp;PartA=5742&amp;PartC=08</vt:lpwstr>
  </property>
  <property fmtid="{D5CDD505-2E9C-101B-9397-08002B2CF9AE}" pid="19" name="CASENOTES4">
    <vt:lpwstr>ProcID=209&amp;PartA=1007&amp;PartC=05</vt:lpwstr>
  </property>
  <property fmtid="{D5CDD505-2E9C-101B-9397-08002B2CF9AE}" pid="20" name="CASENOTES5">
    <vt:lpwstr>ProcID=209&amp;PartA=1009&amp;PartC=04</vt:lpwstr>
  </property>
  <property fmtid="{D5CDD505-2E9C-101B-9397-08002B2CF9AE}" pid="21" name="WORDNUMPAGES">
    <vt:lpwstr>10</vt:lpwstr>
  </property>
  <property fmtid="{D5CDD505-2E9C-101B-9397-08002B2CF9AE}" pid="22" name="TYPE_ABS_DATE">
    <vt:lpwstr>390020141030</vt:lpwstr>
  </property>
  <property fmtid="{D5CDD505-2E9C-101B-9397-08002B2CF9AE}" pid="23" name="ISABSTRACT">
    <vt:lpwstr>Y</vt:lpwstr>
  </property>
  <property fmtid="{D5CDD505-2E9C-101B-9397-08002B2CF9AE}" pid="24" name="APPELLANT1">
    <vt:lpwstr/>
  </property>
  <property fmtid="{D5CDD505-2E9C-101B-9397-08002B2CF9AE}" pid="25" name="APPELLANT2">
    <vt:lpwstr/>
  </property>
  <property fmtid="{D5CDD505-2E9C-101B-9397-08002B2CF9AE}" pid="26" name="APPELLEE1">
    <vt:lpwstr/>
  </property>
  <property fmtid="{D5CDD505-2E9C-101B-9397-08002B2CF9AE}" pid="27" name="APPELLEE2">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VOLUME">
    <vt:lpwstr/>
  </property>
  <property fmtid="{D5CDD505-2E9C-101B-9397-08002B2CF9AE}" pid="32" name="PART">
    <vt:lpwstr/>
  </property>
  <property fmtid="{D5CDD505-2E9C-101B-9397-08002B2CF9AE}" pid="33" name="PAGE">
    <vt:lpwstr/>
  </property>
  <property fmtid="{D5CDD505-2E9C-101B-9397-08002B2CF9AE}" pid="34" name="PADIMAIL">
    <vt:lpwstr/>
  </property>
  <property fmtid="{D5CDD505-2E9C-101B-9397-08002B2CF9AE}" pid="35" name="DELEMATA">
    <vt:lpwstr/>
  </property>
  <property fmtid="{D5CDD505-2E9C-101B-9397-08002B2CF9AE}" pid="36" name="LINKK1">
    <vt:lpwstr/>
  </property>
  <property fmtid="{D5CDD505-2E9C-101B-9397-08002B2CF9AE}" pid="37" name="LINKK2">
    <vt:lpwstr/>
  </property>
  <property fmtid="{D5CDD505-2E9C-101B-9397-08002B2CF9AE}" pid="38" name="LINKK3">
    <vt:lpwstr/>
  </property>
  <property fmtid="{D5CDD505-2E9C-101B-9397-08002B2CF9AE}" pid="39" name="LINKK4">
    <vt:lpwstr/>
  </property>
  <property fmtid="{D5CDD505-2E9C-101B-9397-08002B2CF9AE}" pid="40" name="LINKK5">
    <vt:lpwstr/>
  </property>
  <property fmtid="{D5CDD505-2E9C-101B-9397-08002B2CF9AE}" pid="41" name="LAWLISTTMP1">
    <vt:lpwstr>4216/013</vt:lpwstr>
  </property>
  <property fmtid="{D5CDD505-2E9C-101B-9397-08002B2CF9AE}" pid="42" name="LAWLISTTMP2">
    <vt:lpwstr>70301/40jc;040d.a.;40jc.c.;499.a.1.</vt:lpwstr>
  </property>
</Properties>
</file>