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D035BF" w:rsidRPr="00B5718E" w14:paraId="1EBD00A5" w14:textId="77777777">
        <w:trPr>
          <w:trHeight w:hRule="exact" w:val="418"/>
          <w:jc w:val="center"/>
        </w:trPr>
        <w:tc>
          <w:tcPr>
            <w:tcW w:w="8721" w:type="dxa"/>
            <w:gridSpan w:val="2"/>
          </w:tcPr>
          <w:p w14:paraId="26E79E9F" w14:textId="77777777" w:rsidR="00D035BF" w:rsidRPr="00B5718E" w:rsidRDefault="00B5718E">
            <w:pPr>
              <w:pStyle w:val="a3"/>
              <w:jc w:val="center"/>
              <w:rPr>
                <w:rFonts w:ascii="Tahoma" w:hAnsi="Tahoma" w:cs="Tahoma"/>
                <w:color w:val="000080"/>
                <w:rtl/>
              </w:rPr>
            </w:pPr>
            <w:bookmarkStart w:id="0" w:name="LastJudge"/>
            <w:r w:rsidRPr="00B5718E">
              <w:rPr>
                <w:rFonts w:ascii="Tahoma" w:hAnsi="Tahoma" w:cs="Tahoma"/>
                <w:b/>
                <w:bCs/>
                <w:color w:val="000080"/>
                <w:rtl/>
              </w:rPr>
              <w:t>בית המשפט המחוזי בחיפה</w:t>
            </w:r>
          </w:p>
        </w:tc>
      </w:tr>
      <w:tr w:rsidR="00D035BF" w:rsidRPr="00B5718E" w14:paraId="6EDF6D11" w14:textId="77777777">
        <w:trPr>
          <w:trHeight w:val="337"/>
          <w:jc w:val="center"/>
        </w:trPr>
        <w:tc>
          <w:tcPr>
            <w:tcW w:w="5055" w:type="dxa"/>
          </w:tcPr>
          <w:p w14:paraId="53CE8D56" w14:textId="77777777" w:rsidR="00D035BF" w:rsidRPr="00B5718E" w:rsidRDefault="00B5718E">
            <w:pPr>
              <w:rPr>
                <w:rFonts w:cs="FrankRuehl"/>
                <w:sz w:val="28"/>
                <w:szCs w:val="28"/>
                <w:rtl/>
              </w:rPr>
            </w:pPr>
            <w:r w:rsidRPr="00B5718E">
              <w:rPr>
                <w:rFonts w:cs="FrankRuehl"/>
                <w:sz w:val="28"/>
                <w:szCs w:val="28"/>
                <w:rtl/>
              </w:rPr>
              <w:t>ת"פ</w:t>
            </w:r>
            <w:r w:rsidRPr="00B5718E">
              <w:rPr>
                <w:rFonts w:cs="FrankRuehl" w:hint="cs"/>
                <w:sz w:val="28"/>
                <w:szCs w:val="28"/>
                <w:rtl/>
              </w:rPr>
              <w:t xml:space="preserve"> </w:t>
            </w:r>
            <w:r w:rsidRPr="00B5718E">
              <w:rPr>
                <w:rFonts w:cs="FrankRuehl"/>
                <w:sz w:val="28"/>
                <w:szCs w:val="28"/>
                <w:rtl/>
              </w:rPr>
              <w:t>65884-10-13</w:t>
            </w:r>
            <w:r w:rsidRPr="00B5718E">
              <w:rPr>
                <w:rFonts w:cs="FrankRuehl" w:hint="cs"/>
                <w:sz w:val="28"/>
                <w:szCs w:val="28"/>
                <w:rtl/>
              </w:rPr>
              <w:t xml:space="preserve"> </w:t>
            </w:r>
            <w:r w:rsidRPr="00B5718E">
              <w:rPr>
                <w:rFonts w:cs="FrankRuehl"/>
                <w:sz w:val="28"/>
                <w:szCs w:val="28"/>
                <w:rtl/>
              </w:rPr>
              <w:t>מדינת ישראל נ' בנסעדון</w:t>
            </w:r>
          </w:p>
          <w:p w14:paraId="3610FC73" w14:textId="77777777" w:rsidR="00D035BF" w:rsidRPr="00B5718E" w:rsidRDefault="00D035BF">
            <w:pPr>
              <w:pStyle w:val="a3"/>
              <w:rPr>
                <w:rFonts w:cs="FrankRuehl"/>
                <w:sz w:val="28"/>
                <w:szCs w:val="28"/>
                <w:rtl/>
              </w:rPr>
            </w:pPr>
          </w:p>
        </w:tc>
        <w:tc>
          <w:tcPr>
            <w:tcW w:w="3666" w:type="dxa"/>
          </w:tcPr>
          <w:p w14:paraId="44B1AA4F" w14:textId="77777777" w:rsidR="00D035BF" w:rsidRPr="00B5718E" w:rsidRDefault="00D035BF">
            <w:pPr>
              <w:pStyle w:val="a3"/>
              <w:jc w:val="right"/>
              <w:rPr>
                <w:rFonts w:cs="FrankRuehl"/>
                <w:sz w:val="28"/>
                <w:szCs w:val="28"/>
                <w:rtl/>
              </w:rPr>
            </w:pPr>
          </w:p>
        </w:tc>
      </w:tr>
    </w:tbl>
    <w:p w14:paraId="0C681340" w14:textId="77777777" w:rsidR="00D035BF" w:rsidRPr="00B5718E" w:rsidRDefault="00B5718E">
      <w:pPr>
        <w:pStyle w:val="a3"/>
        <w:rPr>
          <w:rtl/>
        </w:rPr>
      </w:pPr>
      <w:r w:rsidRPr="00B5718E">
        <w:rPr>
          <w:rFonts w:hint="cs"/>
          <w:rtl/>
        </w:rPr>
        <w:t xml:space="preserve"> </w:t>
      </w:r>
    </w:p>
    <w:p w14:paraId="0FB72B49" w14:textId="77777777" w:rsidR="00D035BF" w:rsidRPr="00B5718E" w:rsidRDefault="00D035BF">
      <w:pPr>
        <w:rPr>
          <w:rtl/>
        </w:rPr>
      </w:pPr>
    </w:p>
    <w:tbl>
      <w:tblPr>
        <w:bidiVisual/>
        <w:tblW w:w="0" w:type="auto"/>
        <w:jc w:val="center"/>
        <w:tblLook w:val="04A0" w:firstRow="1" w:lastRow="0" w:firstColumn="1" w:lastColumn="0" w:noHBand="0" w:noVBand="1"/>
      </w:tblPr>
      <w:tblGrid>
        <w:gridCol w:w="1547"/>
        <w:gridCol w:w="1313"/>
        <w:gridCol w:w="5589"/>
        <w:gridCol w:w="190"/>
        <w:gridCol w:w="82"/>
      </w:tblGrid>
      <w:tr w:rsidR="00D035BF" w:rsidRPr="00B5718E" w14:paraId="5C4592CB" w14:textId="77777777">
        <w:trPr>
          <w:gridAfter w:val="2"/>
          <w:wAfter w:w="247" w:type="dxa"/>
          <w:trHeight w:val="337"/>
          <w:jc w:val="center"/>
        </w:trPr>
        <w:tc>
          <w:tcPr>
            <w:tcW w:w="1557" w:type="dxa"/>
          </w:tcPr>
          <w:p w14:paraId="0104495E" w14:textId="77777777" w:rsidR="00D035BF" w:rsidRPr="00B5718E" w:rsidRDefault="00B5718E">
            <w:pPr>
              <w:pStyle w:val="a3"/>
              <w:bidi w:val="0"/>
              <w:spacing w:line="360" w:lineRule="auto"/>
              <w:jc w:val="both"/>
            </w:pPr>
            <w:bookmarkStart w:id="1" w:name="_GoBack"/>
            <w:bookmarkEnd w:id="1"/>
            <w:r w:rsidRPr="00B5718E">
              <w:t xml:space="preserve">  </w:t>
            </w:r>
          </w:p>
        </w:tc>
        <w:tc>
          <w:tcPr>
            <w:tcW w:w="6970" w:type="dxa"/>
            <w:gridSpan w:val="2"/>
          </w:tcPr>
          <w:p w14:paraId="1C7F5751" w14:textId="77777777" w:rsidR="00D035BF" w:rsidRPr="00B5718E" w:rsidRDefault="00B5718E">
            <w:pPr>
              <w:pStyle w:val="a3"/>
              <w:jc w:val="right"/>
              <w:rPr>
                <w:b/>
                <w:bCs/>
                <w:sz w:val="26"/>
                <w:szCs w:val="26"/>
              </w:rPr>
            </w:pPr>
            <w:r w:rsidRPr="00B5718E">
              <w:rPr>
                <w:rFonts w:hint="cs"/>
                <w:rtl/>
              </w:rPr>
              <w:t xml:space="preserve"> </w:t>
            </w:r>
            <w:r w:rsidRPr="00B5718E">
              <w:rPr>
                <w:rtl/>
              </w:rPr>
              <w:t xml:space="preserve">     </w:t>
            </w:r>
          </w:p>
        </w:tc>
      </w:tr>
      <w:tr w:rsidR="00D035BF" w:rsidRPr="00B5718E" w14:paraId="61016447" w14:textId="77777777">
        <w:tblPrEx>
          <w:jc w:val="left"/>
          <w:tblLook w:val="01E0" w:firstRow="1" w:lastRow="1" w:firstColumn="1" w:lastColumn="1" w:noHBand="0" w:noVBand="0"/>
        </w:tblPrEx>
        <w:trPr>
          <w:gridAfter w:val="1"/>
          <w:wAfter w:w="55" w:type="dxa"/>
        </w:trPr>
        <w:tc>
          <w:tcPr>
            <w:tcW w:w="8719" w:type="dxa"/>
            <w:gridSpan w:val="4"/>
          </w:tcPr>
          <w:p w14:paraId="741D6F50" w14:textId="77777777" w:rsidR="00D035BF" w:rsidRPr="00B5718E" w:rsidRDefault="00B5718E">
            <w:pPr>
              <w:rPr>
                <w:rStyle w:val="TimesNewRomanTimesNewRoman"/>
                <w:rtl/>
              </w:rPr>
            </w:pPr>
            <w:r w:rsidRPr="00B5718E">
              <w:rPr>
                <w:rFonts w:hint="cs"/>
                <w:b/>
                <w:bCs/>
                <w:sz w:val="26"/>
                <w:szCs w:val="26"/>
                <w:rtl/>
              </w:rPr>
              <w:t>בפני כב' ה</w:t>
            </w:r>
            <w:r w:rsidRPr="00B5718E">
              <w:rPr>
                <w:rFonts w:hint="cs"/>
                <w:rtl/>
              </w:rPr>
              <w:t>שופט אברהם אליקים</w:t>
            </w:r>
            <w:r w:rsidRPr="00B5718E">
              <w:rPr>
                <w:rStyle w:val="TimesNewRomanTimesNewRoman"/>
                <w:rFonts w:hint="cs"/>
                <w:rtl/>
              </w:rPr>
              <w:t xml:space="preserve"> </w:t>
            </w:r>
          </w:p>
          <w:p w14:paraId="2844586F" w14:textId="77777777" w:rsidR="00D035BF" w:rsidRPr="00B5718E" w:rsidRDefault="00D035BF"/>
        </w:tc>
      </w:tr>
      <w:tr w:rsidR="00D035BF" w:rsidRPr="00B5718E" w14:paraId="5960E56F" w14:textId="77777777">
        <w:tblPrEx>
          <w:jc w:val="left"/>
          <w:tblLook w:val="01E0" w:firstRow="1" w:lastRow="1" w:firstColumn="1" w:lastColumn="1" w:noHBand="0" w:noVBand="0"/>
        </w:tblPrEx>
        <w:tc>
          <w:tcPr>
            <w:tcW w:w="2880" w:type="dxa"/>
            <w:gridSpan w:val="2"/>
          </w:tcPr>
          <w:p w14:paraId="0D70DC5A" w14:textId="77777777" w:rsidR="00D035BF" w:rsidRPr="00B5718E" w:rsidRDefault="00B5718E">
            <w:pPr>
              <w:ind w:left="26"/>
              <w:rPr>
                <w:b/>
                <w:bCs/>
                <w:sz w:val="26"/>
                <w:szCs w:val="26"/>
              </w:rPr>
            </w:pPr>
            <w:bookmarkStart w:id="2" w:name="FirstAppellant"/>
            <w:r w:rsidRPr="00B5718E">
              <w:rPr>
                <w:rFonts w:hint="cs"/>
                <w:b/>
                <w:bCs/>
                <w:sz w:val="26"/>
                <w:szCs w:val="26"/>
                <w:rtl/>
              </w:rPr>
              <w:t>המאשימה</w:t>
            </w:r>
          </w:p>
        </w:tc>
        <w:tc>
          <w:tcPr>
            <w:tcW w:w="5922" w:type="dxa"/>
            <w:gridSpan w:val="3"/>
          </w:tcPr>
          <w:p w14:paraId="3DC21308" w14:textId="77777777" w:rsidR="00D035BF" w:rsidRPr="00B5718E" w:rsidRDefault="00B5718E">
            <w:pPr>
              <w:rPr>
                <w:b/>
                <w:bCs/>
                <w:sz w:val="26"/>
                <w:szCs w:val="26"/>
              </w:rPr>
            </w:pPr>
            <w:r w:rsidRPr="00B5718E">
              <w:rPr>
                <w:rFonts w:hint="cs"/>
                <w:b/>
                <w:bCs/>
                <w:sz w:val="26"/>
                <w:szCs w:val="26"/>
                <w:rtl/>
              </w:rPr>
              <w:t>מדינת ישראל</w:t>
            </w:r>
          </w:p>
        </w:tc>
      </w:tr>
      <w:bookmarkEnd w:id="2"/>
      <w:tr w:rsidR="00D035BF" w:rsidRPr="00B5718E" w14:paraId="67F236E4" w14:textId="77777777">
        <w:tblPrEx>
          <w:jc w:val="left"/>
          <w:tblLook w:val="01E0" w:firstRow="1" w:lastRow="1" w:firstColumn="1" w:lastColumn="1" w:noHBand="0" w:noVBand="0"/>
        </w:tblPrEx>
        <w:tc>
          <w:tcPr>
            <w:tcW w:w="8802" w:type="dxa"/>
            <w:gridSpan w:val="5"/>
          </w:tcPr>
          <w:p w14:paraId="754EB0C2" w14:textId="77777777" w:rsidR="00D035BF" w:rsidRPr="00B5718E" w:rsidRDefault="00D035BF">
            <w:pPr>
              <w:jc w:val="both"/>
              <w:rPr>
                <w:rFonts w:ascii="Arial" w:hAnsi="Arial"/>
                <w:b/>
                <w:bCs/>
                <w:sz w:val="26"/>
                <w:szCs w:val="26"/>
                <w:rtl/>
              </w:rPr>
            </w:pPr>
          </w:p>
          <w:p w14:paraId="66DFEFB8" w14:textId="77777777" w:rsidR="00D035BF" w:rsidRPr="00B5718E" w:rsidRDefault="00B5718E">
            <w:pPr>
              <w:jc w:val="center"/>
              <w:rPr>
                <w:rFonts w:ascii="Arial" w:hAnsi="Arial"/>
                <w:b/>
                <w:bCs/>
                <w:sz w:val="26"/>
                <w:szCs w:val="26"/>
                <w:rtl/>
              </w:rPr>
            </w:pPr>
            <w:r w:rsidRPr="00B5718E">
              <w:rPr>
                <w:rFonts w:ascii="Arial" w:hAnsi="Arial" w:hint="cs"/>
                <w:b/>
                <w:bCs/>
                <w:sz w:val="26"/>
                <w:szCs w:val="26"/>
                <w:rtl/>
              </w:rPr>
              <w:t>נגד</w:t>
            </w:r>
          </w:p>
          <w:p w14:paraId="37FC5FC1" w14:textId="77777777" w:rsidR="00D035BF" w:rsidRPr="00B5718E" w:rsidRDefault="00D035BF">
            <w:pPr>
              <w:jc w:val="center"/>
              <w:rPr>
                <w:rFonts w:ascii="Arial" w:hAnsi="Arial"/>
                <w:b/>
                <w:bCs/>
                <w:sz w:val="26"/>
                <w:szCs w:val="26"/>
              </w:rPr>
            </w:pPr>
          </w:p>
        </w:tc>
      </w:tr>
      <w:tr w:rsidR="00D035BF" w:rsidRPr="00B5718E" w14:paraId="1D2BC780" w14:textId="77777777">
        <w:tblPrEx>
          <w:jc w:val="left"/>
          <w:tblLook w:val="01E0" w:firstRow="1" w:lastRow="1" w:firstColumn="1" w:lastColumn="1" w:noHBand="0" w:noVBand="0"/>
        </w:tblPrEx>
        <w:tc>
          <w:tcPr>
            <w:tcW w:w="2880" w:type="dxa"/>
            <w:gridSpan w:val="2"/>
          </w:tcPr>
          <w:p w14:paraId="5230C97B" w14:textId="77777777" w:rsidR="00D035BF" w:rsidRPr="00B5718E" w:rsidRDefault="00B5718E">
            <w:pPr>
              <w:ind w:left="26"/>
              <w:rPr>
                <w:b/>
                <w:bCs/>
                <w:sz w:val="26"/>
                <w:szCs w:val="26"/>
              </w:rPr>
            </w:pPr>
            <w:r w:rsidRPr="00B5718E">
              <w:rPr>
                <w:rFonts w:hint="cs"/>
                <w:b/>
                <w:bCs/>
                <w:sz w:val="26"/>
                <w:szCs w:val="26"/>
                <w:rtl/>
              </w:rPr>
              <w:t>הנאשם</w:t>
            </w:r>
          </w:p>
        </w:tc>
        <w:tc>
          <w:tcPr>
            <w:tcW w:w="5922" w:type="dxa"/>
            <w:gridSpan w:val="3"/>
          </w:tcPr>
          <w:p w14:paraId="34AE48CE" w14:textId="77777777" w:rsidR="00D035BF" w:rsidRPr="00B5718E" w:rsidRDefault="00B5718E">
            <w:pPr>
              <w:rPr>
                <w:b/>
                <w:bCs/>
                <w:sz w:val="26"/>
                <w:szCs w:val="26"/>
              </w:rPr>
            </w:pPr>
            <w:r w:rsidRPr="00B5718E">
              <w:rPr>
                <w:rFonts w:hint="cs"/>
                <w:b/>
                <w:bCs/>
                <w:sz w:val="26"/>
                <w:szCs w:val="26"/>
                <w:rtl/>
              </w:rPr>
              <w:t xml:space="preserve">פיליפ שמעון בנסעדון </w:t>
            </w:r>
          </w:p>
        </w:tc>
      </w:tr>
    </w:tbl>
    <w:p w14:paraId="339149F9" w14:textId="77777777" w:rsidR="00F40891" w:rsidRDefault="00F40891">
      <w:pPr>
        <w:rPr>
          <w:rtl/>
        </w:rPr>
      </w:pPr>
      <w:bookmarkStart w:id="3" w:name="LawTable"/>
      <w:bookmarkEnd w:id="3"/>
    </w:p>
    <w:p w14:paraId="67CFB271" w14:textId="77777777" w:rsidR="00F40891" w:rsidRPr="00F40891" w:rsidRDefault="00F40891" w:rsidP="00F40891">
      <w:pPr>
        <w:spacing w:after="120" w:line="240" w:lineRule="exact"/>
        <w:ind w:left="283" w:hanging="283"/>
        <w:jc w:val="both"/>
        <w:rPr>
          <w:rFonts w:ascii="FrankRuehl" w:hAnsi="FrankRuehl" w:cs="FrankRuehl"/>
          <w:rtl/>
        </w:rPr>
      </w:pPr>
      <w:r w:rsidRPr="00F40891">
        <w:rPr>
          <w:rFonts w:ascii="FrankRuehl" w:hAnsi="FrankRuehl" w:cs="FrankRuehl"/>
          <w:rtl/>
        </w:rPr>
        <w:t xml:space="preserve">חקיקה שאוזכרה: </w:t>
      </w:r>
    </w:p>
    <w:p w14:paraId="25FD82DA" w14:textId="77777777" w:rsidR="00F40891" w:rsidRPr="00F40891" w:rsidRDefault="00F40891" w:rsidP="00F40891">
      <w:pPr>
        <w:spacing w:after="120" w:line="240" w:lineRule="exact"/>
        <w:ind w:left="283" w:hanging="283"/>
        <w:jc w:val="both"/>
        <w:rPr>
          <w:rFonts w:ascii="FrankRuehl" w:hAnsi="FrankRuehl" w:cs="FrankRuehl"/>
          <w:color w:val="0000FF"/>
          <w:u w:val="single"/>
          <w:rtl/>
        </w:rPr>
      </w:pPr>
      <w:hyperlink r:id="rId7" w:history="1">
        <w:r w:rsidRPr="00F40891">
          <w:rPr>
            <w:rStyle w:val="Hyperlink"/>
            <w:rFonts w:ascii="FrankRuehl" w:hAnsi="FrankRuehl" w:cs="FrankRuehl"/>
            <w:rtl/>
          </w:rPr>
          <w:t>פקודת הסמים המסוכנים [נוסח חדש], תשל"ג-1973</w:t>
        </w:r>
      </w:hyperlink>
      <w:r w:rsidRPr="00F40891">
        <w:rPr>
          <w:rFonts w:ascii="FrankRuehl" w:hAnsi="FrankRuehl" w:cs="FrankRuehl"/>
          <w:color w:val="0000FF"/>
          <w:u w:val="single"/>
          <w:rtl/>
        </w:rPr>
        <w:t xml:space="preserve">: סע'  </w:t>
      </w:r>
      <w:hyperlink r:id="rId8" w:history="1">
        <w:r w:rsidRPr="00F40891">
          <w:rPr>
            <w:rStyle w:val="Hyperlink"/>
            <w:rFonts w:ascii="FrankRuehl" w:hAnsi="FrankRuehl" w:cs="FrankRuehl"/>
          </w:rPr>
          <w:t>7(</w:t>
        </w:r>
        <w:r w:rsidRPr="00F40891">
          <w:rPr>
            <w:rStyle w:val="Hyperlink"/>
            <w:rFonts w:ascii="FrankRuehl" w:hAnsi="FrankRuehl" w:cs="FrankRuehl"/>
            <w:rtl/>
          </w:rPr>
          <w:t>א</w:t>
        </w:r>
        <w:r w:rsidRPr="00F40891">
          <w:rPr>
            <w:rStyle w:val="Hyperlink"/>
            <w:rFonts w:ascii="FrankRuehl" w:hAnsi="FrankRuehl" w:cs="FrankRuehl"/>
          </w:rPr>
          <w:t>)</w:t>
        </w:r>
      </w:hyperlink>
      <w:r w:rsidRPr="00F40891">
        <w:rPr>
          <w:rFonts w:ascii="FrankRuehl" w:hAnsi="FrankRuehl" w:cs="FrankRuehl"/>
          <w:color w:val="0000FF"/>
          <w:u w:val="single"/>
          <w:rtl/>
        </w:rPr>
        <w:t xml:space="preserve">, </w:t>
      </w:r>
      <w:hyperlink r:id="rId9" w:history="1">
        <w:r w:rsidRPr="00F40891">
          <w:rPr>
            <w:rStyle w:val="Hyperlink"/>
            <w:rFonts w:ascii="FrankRuehl" w:hAnsi="FrankRuehl" w:cs="FrankRuehl"/>
          </w:rPr>
          <w:t>(</w:t>
        </w:r>
        <w:r w:rsidRPr="00F40891">
          <w:rPr>
            <w:rStyle w:val="Hyperlink"/>
            <w:rFonts w:ascii="FrankRuehl" w:hAnsi="FrankRuehl" w:cs="FrankRuehl"/>
            <w:rtl/>
          </w:rPr>
          <w:t>ג</w:t>
        </w:r>
        <w:r w:rsidRPr="00F40891">
          <w:rPr>
            <w:rStyle w:val="Hyperlink"/>
            <w:rFonts w:ascii="FrankRuehl" w:hAnsi="FrankRuehl" w:cs="FrankRuehl"/>
          </w:rPr>
          <w:t>)</w:t>
        </w:r>
      </w:hyperlink>
    </w:p>
    <w:p w14:paraId="0991AAF5" w14:textId="77777777" w:rsidR="00F40891" w:rsidRPr="00F40891" w:rsidRDefault="00F40891" w:rsidP="00F40891">
      <w:pPr>
        <w:spacing w:after="120" w:line="240" w:lineRule="exact"/>
        <w:ind w:left="283" w:hanging="283"/>
        <w:jc w:val="both"/>
        <w:rPr>
          <w:rFonts w:ascii="FrankRuehl" w:hAnsi="FrankRuehl" w:cs="FrankRuehl"/>
          <w:color w:val="0000FF"/>
          <w:u w:val="single"/>
          <w:rtl/>
        </w:rPr>
      </w:pPr>
      <w:hyperlink r:id="rId10" w:history="1">
        <w:r w:rsidRPr="00F40891">
          <w:rPr>
            <w:rStyle w:val="Hyperlink"/>
            <w:rFonts w:ascii="FrankRuehl" w:hAnsi="FrankRuehl" w:cs="FrankRuehl"/>
            <w:rtl/>
          </w:rPr>
          <w:t>חוק העונשין, תשל"ז-1977</w:t>
        </w:r>
      </w:hyperlink>
      <w:r w:rsidRPr="00F40891">
        <w:rPr>
          <w:rFonts w:ascii="FrankRuehl" w:hAnsi="FrankRuehl" w:cs="FrankRuehl"/>
          <w:color w:val="0000FF"/>
          <w:u w:val="single"/>
          <w:rtl/>
        </w:rPr>
        <w:t xml:space="preserve">: סע'  </w:t>
      </w:r>
      <w:hyperlink r:id="rId11" w:history="1">
        <w:r w:rsidRPr="00F40891">
          <w:rPr>
            <w:rStyle w:val="Hyperlink"/>
            <w:rFonts w:ascii="FrankRuehl" w:hAnsi="FrankRuehl" w:cs="FrankRuehl"/>
          </w:rPr>
          <w:t>40</w:t>
        </w:r>
        <w:r w:rsidRPr="00F40891">
          <w:rPr>
            <w:rStyle w:val="Hyperlink"/>
            <w:rFonts w:ascii="FrankRuehl" w:hAnsi="FrankRuehl" w:cs="FrankRuehl"/>
            <w:rtl/>
          </w:rPr>
          <w:t>ב</w:t>
        </w:r>
        <w:r w:rsidRPr="00F40891">
          <w:rPr>
            <w:rStyle w:val="Hyperlink"/>
            <w:rFonts w:ascii="FrankRuehl" w:hAnsi="FrankRuehl" w:cs="FrankRuehl"/>
          </w:rPr>
          <w:t>'</w:t>
        </w:r>
      </w:hyperlink>
      <w:r w:rsidRPr="00F40891">
        <w:rPr>
          <w:rFonts w:ascii="FrankRuehl" w:hAnsi="FrankRuehl" w:cs="FrankRuehl"/>
          <w:color w:val="0000FF"/>
          <w:u w:val="single"/>
          <w:rtl/>
        </w:rPr>
        <w:t xml:space="preserve">, </w:t>
      </w:r>
      <w:hyperlink r:id="rId12" w:history="1">
        <w:r w:rsidRPr="00F40891">
          <w:rPr>
            <w:rStyle w:val="Hyperlink"/>
            <w:rFonts w:ascii="FrankRuehl" w:hAnsi="FrankRuehl" w:cs="FrankRuehl"/>
          </w:rPr>
          <w:t>40</w:t>
        </w:r>
        <w:r w:rsidRPr="00F40891">
          <w:rPr>
            <w:rStyle w:val="Hyperlink"/>
            <w:rFonts w:ascii="FrankRuehl" w:hAnsi="FrankRuehl" w:cs="FrankRuehl"/>
            <w:rtl/>
          </w:rPr>
          <w:t>ט</w:t>
        </w:r>
        <w:r w:rsidRPr="00F40891">
          <w:rPr>
            <w:rStyle w:val="Hyperlink"/>
            <w:rFonts w:ascii="FrankRuehl" w:hAnsi="FrankRuehl" w:cs="FrankRuehl"/>
          </w:rPr>
          <w:t>'</w:t>
        </w:r>
      </w:hyperlink>
      <w:r w:rsidRPr="00F40891">
        <w:rPr>
          <w:rFonts w:ascii="FrankRuehl" w:hAnsi="FrankRuehl" w:cs="FrankRuehl"/>
          <w:color w:val="0000FF"/>
          <w:u w:val="single"/>
          <w:rtl/>
        </w:rPr>
        <w:t xml:space="preserve">, </w:t>
      </w:r>
      <w:hyperlink r:id="rId13" w:history="1">
        <w:r w:rsidRPr="00F40891">
          <w:rPr>
            <w:rStyle w:val="Hyperlink"/>
            <w:rFonts w:ascii="FrankRuehl" w:hAnsi="FrankRuehl" w:cs="FrankRuehl"/>
          </w:rPr>
          <w:t>83(3)</w:t>
        </w:r>
      </w:hyperlink>
      <w:r w:rsidRPr="00F40891">
        <w:rPr>
          <w:rFonts w:ascii="FrankRuehl" w:hAnsi="FrankRuehl" w:cs="FrankRuehl"/>
          <w:color w:val="0000FF"/>
          <w:u w:val="single"/>
          <w:rtl/>
        </w:rPr>
        <w:t xml:space="preserve">, </w:t>
      </w:r>
      <w:hyperlink r:id="rId14" w:history="1">
        <w:r w:rsidRPr="00F40891">
          <w:rPr>
            <w:rStyle w:val="Hyperlink"/>
            <w:rFonts w:ascii="FrankRuehl" w:hAnsi="FrankRuehl" w:cs="FrankRuehl"/>
          </w:rPr>
          <w:t>242</w:t>
        </w:r>
      </w:hyperlink>
      <w:r w:rsidRPr="00F40891">
        <w:rPr>
          <w:rFonts w:ascii="FrankRuehl" w:hAnsi="FrankRuehl" w:cs="FrankRuehl"/>
          <w:color w:val="0000FF"/>
          <w:u w:val="single"/>
          <w:rtl/>
        </w:rPr>
        <w:t xml:space="preserve">, </w:t>
      </w:r>
      <w:hyperlink r:id="rId15" w:history="1">
        <w:r w:rsidRPr="00F40891">
          <w:rPr>
            <w:rStyle w:val="Hyperlink"/>
            <w:rFonts w:ascii="FrankRuehl" w:hAnsi="FrankRuehl" w:cs="FrankRuehl"/>
          </w:rPr>
          <w:t>275</w:t>
        </w:r>
      </w:hyperlink>
      <w:r w:rsidRPr="00F40891">
        <w:rPr>
          <w:rFonts w:ascii="FrankRuehl" w:hAnsi="FrankRuehl" w:cs="FrankRuehl"/>
          <w:color w:val="0000FF"/>
          <w:u w:val="single"/>
          <w:rtl/>
        </w:rPr>
        <w:t xml:space="preserve">, </w:t>
      </w:r>
      <w:hyperlink r:id="rId16" w:history="1">
        <w:r w:rsidRPr="00F40891">
          <w:rPr>
            <w:rStyle w:val="Hyperlink"/>
            <w:rFonts w:ascii="FrankRuehl" w:hAnsi="FrankRuehl" w:cs="FrankRuehl"/>
          </w:rPr>
          <w:t>40</w:t>
        </w:r>
        <w:r w:rsidRPr="00F40891">
          <w:rPr>
            <w:rStyle w:val="Hyperlink"/>
            <w:rFonts w:ascii="FrankRuehl" w:hAnsi="FrankRuehl" w:cs="FrankRuehl"/>
            <w:rtl/>
          </w:rPr>
          <w:t>יא</w:t>
        </w:r>
        <w:r w:rsidRPr="00F40891">
          <w:rPr>
            <w:rStyle w:val="Hyperlink"/>
            <w:rFonts w:ascii="FrankRuehl" w:hAnsi="FrankRuehl" w:cs="FrankRuehl"/>
          </w:rPr>
          <w:t>'</w:t>
        </w:r>
      </w:hyperlink>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035BF" w14:paraId="4FCC086F" w14:textId="77777777">
        <w:trPr>
          <w:trHeight w:val="355"/>
          <w:jc w:val="center"/>
        </w:trPr>
        <w:tc>
          <w:tcPr>
            <w:tcW w:w="8820" w:type="dxa"/>
            <w:tcBorders>
              <w:top w:val="nil"/>
              <w:left w:val="nil"/>
              <w:bottom w:val="nil"/>
              <w:right w:val="nil"/>
            </w:tcBorders>
          </w:tcPr>
          <w:p w14:paraId="3458309A" w14:textId="77777777" w:rsidR="00B5718E" w:rsidRPr="00B5718E" w:rsidRDefault="00B5718E" w:rsidP="00B5718E">
            <w:pPr>
              <w:jc w:val="center"/>
              <w:rPr>
                <w:rFonts w:ascii="Arial" w:hAnsi="Arial" w:cs="FrankRuehl"/>
                <w:b/>
                <w:bCs/>
                <w:sz w:val="32"/>
                <w:szCs w:val="32"/>
                <w:u w:val="single"/>
                <w:rtl/>
              </w:rPr>
            </w:pPr>
            <w:bookmarkStart w:id="4" w:name="PsakDin" w:colFirst="0" w:colLast="0"/>
            <w:bookmarkEnd w:id="0"/>
            <w:r w:rsidRPr="00B5718E">
              <w:rPr>
                <w:rFonts w:ascii="Arial" w:hAnsi="Arial" w:cs="FrankRuehl"/>
                <w:b/>
                <w:bCs/>
                <w:sz w:val="32"/>
                <w:szCs w:val="32"/>
                <w:u w:val="single"/>
                <w:rtl/>
              </w:rPr>
              <w:t>גזר דין</w:t>
            </w:r>
          </w:p>
          <w:p w14:paraId="364D553E" w14:textId="77777777" w:rsidR="00D035BF" w:rsidRPr="00B5718E" w:rsidRDefault="00D035BF" w:rsidP="00B5718E">
            <w:pPr>
              <w:jc w:val="center"/>
              <w:rPr>
                <w:rFonts w:ascii="Arial" w:hAnsi="Arial" w:cs="FrankRuehl"/>
                <w:bCs/>
                <w:sz w:val="32"/>
                <w:szCs w:val="32"/>
                <w:u w:val="single"/>
                <w:rtl/>
              </w:rPr>
            </w:pPr>
          </w:p>
        </w:tc>
      </w:tr>
      <w:bookmarkEnd w:id="4"/>
    </w:tbl>
    <w:p w14:paraId="616C6D27" w14:textId="77777777" w:rsidR="00D035BF" w:rsidRDefault="00D035BF">
      <w:pPr>
        <w:rPr>
          <w:rFonts w:ascii="Arial" w:hAnsi="Arial"/>
          <w:rtl/>
        </w:rPr>
      </w:pPr>
    </w:p>
    <w:p w14:paraId="17A4616A" w14:textId="77777777" w:rsidR="00D035BF" w:rsidRDefault="00B5718E">
      <w:pPr>
        <w:spacing w:line="360" w:lineRule="auto"/>
        <w:ind w:left="360" w:firstLine="360"/>
        <w:rPr>
          <w:rFonts w:cs="FrankRuehl"/>
          <w:sz w:val="28"/>
          <w:szCs w:val="28"/>
          <w:u w:val="single"/>
        </w:rPr>
      </w:pPr>
      <w:r>
        <w:rPr>
          <w:rFonts w:cs="FrankRuehl"/>
          <w:sz w:val="28"/>
          <w:szCs w:val="28"/>
          <w:u w:val="single"/>
          <w:rtl/>
        </w:rPr>
        <w:t>מבוא</w:t>
      </w:r>
    </w:p>
    <w:p w14:paraId="1839D6BC" w14:textId="77777777" w:rsidR="00D035BF" w:rsidRDefault="00B5718E">
      <w:pPr>
        <w:spacing w:line="360" w:lineRule="auto"/>
        <w:ind w:left="720"/>
        <w:jc w:val="both"/>
        <w:rPr>
          <w:rFonts w:cs="FrankRuehl"/>
          <w:sz w:val="28"/>
          <w:szCs w:val="28"/>
        </w:rPr>
      </w:pPr>
      <w:bookmarkStart w:id="5" w:name="ABSTRACT_START"/>
      <w:bookmarkEnd w:id="5"/>
      <w:r>
        <w:rPr>
          <w:rFonts w:cs="FrankRuehl"/>
          <w:sz w:val="28"/>
          <w:szCs w:val="28"/>
          <w:rtl/>
        </w:rPr>
        <w:t>הנאשם הורשע על פי הודאתו בעובדות כתב אישום מתוקן בשנית (סומן א), כחלק מהסדר טיעון שלא כלל הסכמה לעונש.</w:t>
      </w:r>
    </w:p>
    <w:p w14:paraId="7DEF98C0" w14:textId="77777777" w:rsidR="00D035BF" w:rsidRDefault="00B5718E">
      <w:pPr>
        <w:spacing w:line="360" w:lineRule="auto"/>
        <w:ind w:left="720"/>
        <w:jc w:val="both"/>
        <w:rPr>
          <w:rFonts w:cs="FrankRuehl"/>
          <w:sz w:val="28"/>
          <w:szCs w:val="28"/>
          <w:rtl/>
        </w:rPr>
      </w:pPr>
      <w:r>
        <w:rPr>
          <w:rFonts w:cs="FrankRuehl"/>
          <w:sz w:val="28"/>
          <w:szCs w:val="28"/>
          <w:rtl/>
        </w:rPr>
        <w:t xml:space="preserve">על פי עובדות כתב האישום המתוקן, בתאריך 20.10.2013 החזיק הנאשם בביתו, סם מסוכן מסוג אקסטזי </w:t>
      </w:r>
      <w:r>
        <w:rPr>
          <w:rFonts w:cs="FrankRuehl"/>
        </w:rPr>
        <w:t>(MDMA)</w:t>
      </w:r>
      <w:r>
        <w:rPr>
          <w:rFonts w:cs="FrankRuehl"/>
          <w:sz w:val="28"/>
          <w:szCs w:val="28"/>
          <w:rtl/>
        </w:rPr>
        <w:t xml:space="preserve"> בכמות של 446 כדורים, סם מסוכן מסוג חשיש בכמות של </w:t>
      </w:r>
      <w:smartTag w:uri="urn:schemas-microsoft-com:office:smarttags" w:element="metricconverter">
        <w:smartTagPr>
          <w:attr w:name="ProductID" w:val="406.71 גרם"/>
        </w:smartTagPr>
        <w:r>
          <w:rPr>
            <w:rFonts w:cs="FrankRuehl"/>
            <w:sz w:val="28"/>
            <w:szCs w:val="28"/>
            <w:rtl/>
          </w:rPr>
          <w:t>406.71 גרם</w:t>
        </w:r>
      </w:smartTag>
      <w:r>
        <w:rPr>
          <w:rFonts w:cs="FrankRuehl"/>
          <w:sz w:val="28"/>
          <w:szCs w:val="28"/>
          <w:rtl/>
        </w:rPr>
        <w:t xml:space="preserve"> נטו וכמות נוספת לא ידועה, סם מסוכן מסוג קוקאין בכמות של </w:t>
      </w:r>
      <w:smartTag w:uri="urn:schemas-microsoft-com:office:smarttags" w:element="metricconverter">
        <w:smartTagPr>
          <w:attr w:name="ProductID" w:val="26.4 גרם"/>
        </w:smartTagPr>
        <w:r>
          <w:rPr>
            <w:rFonts w:cs="FrankRuehl"/>
            <w:sz w:val="28"/>
            <w:szCs w:val="28"/>
            <w:rtl/>
          </w:rPr>
          <w:t>26.4 גרם</w:t>
        </w:r>
      </w:smartTag>
      <w:r>
        <w:rPr>
          <w:rFonts w:cs="FrankRuehl"/>
          <w:sz w:val="28"/>
          <w:szCs w:val="28"/>
          <w:rtl/>
        </w:rPr>
        <w:t xml:space="preserve"> נטו וכמות נוספת לא ידועה, שני משקלים אלקטרוניים, כל זאת ללא היתר ושלא לצריכה עצמית, כשהגיעו שוטרים לדירתו לשם ביצוע חיפוש, בכוונה להכשיל את השוטרים, הנאשם לא פתח את הדלת והשליך במזיד סמים מסוכנים מסוג חשיש וקוקאין לאסלת הש</w:t>
      </w:r>
      <w:r>
        <w:rPr>
          <w:rFonts w:cs="FrankRuehl" w:hint="cs"/>
          <w:sz w:val="28"/>
          <w:szCs w:val="28"/>
          <w:rtl/>
        </w:rPr>
        <w:t>י</w:t>
      </w:r>
      <w:r>
        <w:rPr>
          <w:rFonts w:cs="FrankRuehl"/>
          <w:sz w:val="28"/>
          <w:szCs w:val="28"/>
          <w:rtl/>
        </w:rPr>
        <w:t>רותים והשמידם.</w:t>
      </w:r>
    </w:p>
    <w:p w14:paraId="6BC3EF44" w14:textId="77777777" w:rsidR="00D035BF" w:rsidRDefault="00D035BF">
      <w:pPr>
        <w:spacing w:line="360" w:lineRule="auto"/>
        <w:ind w:left="720"/>
        <w:jc w:val="both"/>
        <w:rPr>
          <w:rFonts w:cs="FrankRuehl"/>
          <w:sz w:val="28"/>
          <w:szCs w:val="28"/>
          <w:rtl/>
        </w:rPr>
      </w:pPr>
      <w:bookmarkStart w:id="6" w:name="ABSTRACT_END"/>
      <w:bookmarkEnd w:id="6"/>
    </w:p>
    <w:p w14:paraId="56BEE4BC" w14:textId="77777777" w:rsidR="00D035BF" w:rsidRDefault="00B5718E">
      <w:pPr>
        <w:spacing w:line="360" w:lineRule="auto"/>
        <w:ind w:left="720"/>
        <w:jc w:val="both"/>
        <w:rPr>
          <w:rFonts w:cs="FrankRuehl"/>
          <w:sz w:val="28"/>
          <w:szCs w:val="28"/>
          <w:rtl/>
        </w:rPr>
      </w:pPr>
      <w:r>
        <w:rPr>
          <w:rFonts w:cs="FrankRuehl"/>
          <w:sz w:val="28"/>
          <w:szCs w:val="28"/>
          <w:rtl/>
        </w:rPr>
        <w:t>בהתאם להודאתו</w:t>
      </w:r>
      <w:r>
        <w:rPr>
          <w:rFonts w:cs="FrankRuehl" w:hint="cs"/>
          <w:sz w:val="28"/>
          <w:szCs w:val="28"/>
          <w:rtl/>
        </w:rPr>
        <w:t>,</w:t>
      </w:r>
      <w:r>
        <w:rPr>
          <w:rFonts w:cs="FrankRuehl"/>
          <w:sz w:val="28"/>
          <w:szCs w:val="28"/>
          <w:rtl/>
        </w:rPr>
        <w:t xml:space="preserve"> הורשע הנאשם בעבירות של החזקת סם מסוכן שלא כדין ושלא לצריכה עצמית- עבירה לפי </w:t>
      </w:r>
      <w:hyperlink r:id="rId17" w:history="1">
        <w:r w:rsidR="00F40891" w:rsidRPr="00F40891">
          <w:rPr>
            <w:rStyle w:val="Hyperlink"/>
            <w:rFonts w:cs="FrankRuehl"/>
            <w:sz w:val="28"/>
            <w:szCs w:val="28"/>
            <w:rtl/>
          </w:rPr>
          <w:t>סעיף 7(א)</w:t>
        </w:r>
      </w:hyperlink>
      <w:r>
        <w:rPr>
          <w:rFonts w:cs="FrankRuehl"/>
          <w:sz w:val="28"/>
          <w:szCs w:val="28"/>
          <w:rtl/>
        </w:rPr>
        <w:t>+</w:t>
      </w:r>
      <w:hyperlink r:id="rId18" w:history="1">
        <w:r w:rsidR="00F40891" w:rsidRPr="00F40891">
          <w:rPr>
            <w:rStyle w:val="Hyperlink"/>
            <w:rFonts w:cs="FrankRuehl"/>
            <w:sz w:val="28"/>
            <w:szCs w:val="28"/>
            <w:rtl/>
          </w:rPr>
          <w:t>(ג)</w:t>
        </w:r>
      </w:hyperlink>
      <w:r>
        <w:rPr>
          <w:rFonts w:cs="FrankRuehl"/>
          <w:sz w:val="28"/>
          <w:szCs w:val="28"/>
          <w:rtl/>
        </w:rPr>
        <w:t xml:space="preserve"> רישא </w:t>
      </w:r>
      <w:r>
        <w:rPr>
          <w:rFonts w:cs="Miriam"/>
          <w:rtl/>
        </w:rPr>
        <w:t>ל</w:t>
      </w:r>
      <w:hyperlink r:id="rId19" w:history="1">
        <w:r w:rsidRPr="00B5718E">
          <w:rPr>
            <w:rFonts w:cs="Miriam"/>
            <w:color w:val="0000FF"/>
            <w:u w:val="single"/>
            <w:rtl/>
          </w:rPr>
          <w:t>פקודת הסמים המסוכנים</w:t>
        </w:r>
      </w:hyperlink>
      <w:r>
        <w:rPr>
          <w:rFonts w:cs="Miriam"/>
          <w:rtl/>
        </w:rPr>
        <w:t xml:space="preserve"> [נוסח חדש],</w:t>
      </w:r>
      <w:r>
        <w:rPr>
          <w:rFonts w:cs="FrankRuehl"/>
          <w:sz w:val="28"/>
          <w:szCs w:val="28"/>
          <w:rtl/>
        </w:rPr>
        <w:t xml:space="preserve"> התשל"ג-1977, השמדת ראיה- עבירה לפי </w:t>
      </w:r>
      <w:hyperlink r:id="rId20" w:history="1">
        <w:r w:rsidR="00F40891" w:rsidRPr="00F40891">
          <w:rPr>
            <w:rStyle w:val="Hyperlink"/>
            <w:rFonts w:cs="FrankRuehl"/>
            <w:sz w:val="28"/>
            <w:szCs w:val="28"/>
            <w:rtl/>
          </w:rPr>
          <w:t>סעיף 242</w:t>
        </w:r>
      </w:hyperlink>
      <w:r>
        <w:rPr>
          <w:rFonts w:cs="FrankRuehl"/>
          <w:sz w:val="28"/>
          <w:szCs w:val="28"/>
          <w:rtl/>
        </w:rPr>
        <w:t xml:space="preserve"> </w:t>
      </w:r>
      <w:r>
        <w:rPr>
          <w:rFonts w:cs="Miriam"/>
          <w:rtl/>
        </w:rPr>
        <w:t>ל</w:t>
      </w:r>
      <w:hyperlink r:id="rId21" w:history="1">
        <w:r w:rsidRPr="00B5718E">
          <w:rPr>
            <w:rFonts w:cs="Miriam"/>
            <w:color w:val="0000FF"/>
            <w:u w:val="single"/>
            <w:rtl/>
          </w:rPr>
          <w:t>חוק העונשין</w:t>
        </w:r>
      </w:hyperlink>
      <w:r>
        <w:rPr>
          <w:rFonts w:cs="Miriam"/>
          <w:rtl/>
        </w:rPr>
        <w:t>,</w:t>
      </w:r>
      <w:r>
        <w:rPr>
          <w:rFonts w:cs="FrankRuehl"/>
          <w:sz w:val="28"/>
          <w:szCs w:val="28"/>
          <w:rtl/>
        </w:rPr>
        <w:t xml:space="preserve"> התשל"ז-1977, (להלן-החוק) והפרעה לשוטר בשעת מילוי תפקידו-עבירה לפי </w:t>
      </w:r>
      <w:hyperlink r:id="rId22" w:history="1">
        <w:r w:rsidR="00F40891" w:rsidRPr="00F40891">
          <w:rPr>
            <w:rStyle w:val="Hyperlink"/>
            <w:rFonts w:cs="FrankRuehl"/>
            <w:sz w:val="28"/>
            <w:szCs w:val="28"/>
            <w:rtl/>
          </w:rPr>
          <w:t>סעיף 275</w:t>
        </w:r>
      </w:hyperlink>
      <w:r>
        <w:rPr>
          <w:rFonts w:cs="FrankRuehl"/>
          <w:sz w:val="28"/>
          <w:szCs w:val="28"/>
          <w:rtl/>
        </w:rPr>
        <w:t xml:space="preserve"> לחוק.</w:t>
      </w:r>
    </w:p>
    <w:p w14:paraId="7459E2D3" w14:textId="77777777" w:rsidR="00D035BF" w:rsidRDefault="00D035BF">
      <w:pPr>
        <w:spacing w:line="360" w:lineRule="auto"/>
        <w:ind w:left="720"/>
        <w:jc w:val="both"/>
        <w:rPr>
          <w:rFonts w:cs="FrankRuehl"/>
          <w:sz w:val="28"/>
          <w:szCs w:val="28"/>
        </w:rPr>
      </w:pPr>
    </w:p>
    <w:p w14:paraId="375FB363" w14:textId="77777777" w:rsidR="00D035BF" w:rsidRDefault="00B5718E">
      <w:pPr>
        <w:spacing w:line="360" w:lineRule="auto"/>
        <w:ind w:left="720"/>
        <w:rPr>
          <w:rFonts w:cs="Miriam"/>
        </w:rPr>
      </w:pPr>
      <w:r>
        <w:rPr>
          <w:rFonts w:cs="Miriam"/>
          <w:rtl/>
        </w:rPr>
        <w:lastRenderedPageBreak/>
        <w:t>ראיות לעונש</w:t>
      </w:r>
    </w:p>
    <w:p w14:paraId="6D71A4D2" w14:textId="77777777" w:rsidR="00D035BF" w:rsidRDefault="00B5718E">
      <w:pPr>
        <w:spacing w:line="360" w:lineRule="auto"/>
        <w:ind w:left="720"/>
        <w:jc w:val="both"/>
        <w:rPr>
          <w:rFonts w:cs="FrankRuehl"/>
          <w:sz w:val="28"/>
          <w:szCs w:val="28"/>
          <w:rtl/>
        </w:rPr>
      </w:pPr>
      <w:r>
        <w:rPr>
          <w:rFonts w:cs="FrankRuehl"/>
          <w:sz w:val="28"/>
          <w:szCs w:val="28"/>
          <w:rtl/>
        </w:rPr>
        <w:t xml:space="preserve">רישום פלילי- המאשימה הציגה את גיליון הרישום הפלילי של הנאשם (ט/1) הכולל 32 רישומים, </w:t>
      </w:r>
      <w:r>
        <w:rPr>
          <w:rFonts w:cs="FrankRuehl" w:hint="cs"/>
          <w:sz w:val="28"/>
          <w:szCs w:val="28"/>
          <w:rtl/>
        </w:rPr>
        <w:t>(</w:t>
      </w:r>
      <w:r>
        <w:rPr>
          <w:rFonts w:cs="FrankRuehl"/>
          <w:sz w:val="28"/>
          <w:szCs w:val="28"/>
          <w:rtl/>
        </w:rPr>
        <w:t xml:space="preserve">4 הראשונים ללא הרשעה מתקופת </w:t>
      </w:r>
      <w:r>
        <w:rPr>
          <w:rFonts w:cs="FrankRuehl" w:hint="cs"/>
          <w:sz w:val="28"/>
          <w:szCs w:val="28"/>
          <w:rtl/>
        </w:rPr>
        <w:t xml:space="preserve">היות </w:t>
      </w:r>
      <w:r>
        <w:rPr>
          <w:rFonts w:cs="FrankRuehl"/>
          <w:sz w:val="28"/>
          <w:szCs w:val="28"/>
          <w:rtl/>
        </w:rPr>
        <w:t>הנאשם</w:t>
      </w:r>
      <w:r>
        <w:rPr>
          <w:rFonts w:cs="FrankRuehl" w:hint="cs"/>
          <w:sz w:val="28"/>
          <w:szCs w:val="28"/>
          <w:rtl/>
        </w:rPr>
        <w:t xml:space="preserve"> קטין)</w:t>
      </w:r>
      <w:r>
        <w:rPr>
          <w:rFonts w:cs="FrankRuehl"/>
          <w:sz w:val="28"/>
          <w:szCs w:val="28"/>
          <w:rtl/>
        </w:rPr>
        <w:t>, העבירות בעיקרן עבירות סמים, מרמה</w:t>
      </w:r>
      <w:r>
        <w:rPr>
          <w:rFonts w:cs="FrankRuehl" w:hint="cs"/>
          <w:sz w:val="28"/>
          <w:szCs w:val="28"/>
          <w:rtl/>
        </w:rPr>
        <w:t>,</w:t>
      </w:r>
      <w:r>
        <w:rPr>
          <w:rFonts w:cs="FrankRuehl"/>
          <w:sz w:val="28"/>
          <w:szCs w:val="28"/>
          <w:rtl/>
        </w:rPr>
        <w:t xml:space="preserve">  רכוש, אלימות, בריחה ממשמורת חוקית, הפרעה לשוטר במילוי תפקידו </w:t>
      </w:r>
      <w:r>
        <w:rPr>
          <w:rFonts w:cs="FrankRuehl" w:hint="cs"/>
          <w:sz w:val="28"/>
          <w:szCs w:val="28"/>
          <w:rtl/>
        </w:rPr>
        <w:t>ו</w:t>
      </w:r>
      <w:r>
        <w:rPr>
          <w:rFonts w:cs="FrankRuehl"/>
          <w:sz w:val="28"/>
          <w:szCs w:val="28"/>
          <w:rtl/>
        </w:rPr>
        <w:t>האחרונה שבהן, הרשעה מיום 7.11.2013</w:t>
      </w:r>
      <w:r>
        <w:rPr>
          <w:rFonts w:cs="FrankRuehl" w:hint="cs"/>
          <w:sz w:val="28"/>
          <w:szCs w:val="28"/>
          <w:rtl/>
        </w:rPr>
        <w:t>.</w:t>
      </w:r>
      <w:r>
        <w:rPr>
          <w:rFonts w:cs="FrankRuehl"/>
          <w:sz w:val="28"/>
          <w:szCs w:val="28"/>
          <w:rtl/>
        </w:rPr>
        <w:t xml:space="preserve"> </w:t>
      </w:r>
    </w:p>
    <w:p w14:paraId="3BCCED8C" w14:textId="77777777" w:rsidR="00D035BF" w:rsidRDefault="00B5718E">
      <w:pPr>
        <w:spacing w:line="360" w:lineRule="auto"/>
        <w:ind w:left="720"/>
        <w:jc w:val="both"/>
        <w:rPr>
          <w:rFonts w:cs="FrankRuehl"/>
          <w:sz w:val="28"/>
          <w:szCs w:val="28"/>
          <w:rtl/>
        </w:rPr>
      </w:pPr>
      <w:r>
        <w:rPr>
          <w:rFonts w:cs="FrankRuehl"/>
          <w:sz w:val="28"/>
          <w:szCs w:val="28"/>
          <w:rtl/>
        </w:rPr>
        <w:t>הנאשם ריצה עונשי מאסר רבים לתקופות לא קצרות מחודשיים ועד לשלוש שנים</w:t>
      </w:r>
      <w:r>
        <w:rPr>
          <w:rFonts w:cs="FrankRuehl" w:hint="cs"/>
          <w:sz w:val="28"/>
          <w:szCs w:val="28"/>
          <w:rtl/>
        </w:rPr>
        <w:t xml:space="preserve">. </w:t>
      </w:r>
      <w:r>
        <w:rPr>
          <w:rFonts w:cs="FrankRuehl"/>
          <w:sz w:val="28"/>
          <w:szCs w:val="28"/>
          <w:rtl/>
        </w:rPr>
        <w:t xml:space="preserve">  </w:t>
      </w:r>
    </w:p>
    <w:p w14:paraId="3FC1E502" w14:textId="77777777" w:rsidR="00D035BF" w:rsidRDefault="00B5718E">
      <w:pPr>
        <w:spacing w:line="360" w:lineRule="auto"/>
        <w:ind w:left="720"/>
        <w:jc w:val="both"/>
        <w:rPr>
          <w:rFonts w:cs="FrankRuehl"/>
          <w:sz w:val="28"/>
          <w:szCs w:val="28"/>
          <w:rtl/>
        </w:rPr>
      </w:pPr>
      <w:r>
        <w:rPr>
          <w:rFonts w:cs="FrankRuehl" w:hint="cs"/>
          <w:sz w:val="28"/>
          <w:szCs w:val="28"/>
          <w:rtl/>
        </w:rPr>
        <w:t xml:space="preserve">את העבירות </w:t>
      </w:r>
      <w:r>
        <w:rPr>
          <w:rFonts w:cs="FrankRuehl"/>
          <w:sz w:val="28"/>
          <w:szCs w:val="28"/>
          <w:rtl/>
        </w:rPr>
        <w:t xml:space="preserve">הראשונות ביצע </w:t>
      </w:r>
      <w:r>
        <w:rPr>
          <w:rFonts w:cs="FrankRuehl" w:hint="cs"/>
          <w:sz w:val="28"/>
          <w:szCs w:val="28"/>
          <w:rtl/>
        </w:rPr>
        <w:t xml:space="preserve">כבר </w:t>
      </w:r>
      <w:r>
        <w:rPr>
          <w:rFonts w:cs="FrankRuehl"/>
          <w:sz w:val="28"/>
          <w:szCs w:val="28"/>
          <w:rtl/>
        </w:rPr>
        <w:t xml:space="preserve">בחודש ינואר 1992, עת היה  כבן 13.5, בשנת 1999 כשהיה הנאשם כבן 20 הוא נדון  ל-3 שנות מאסר בגין עבירות של שוד מזוין והתפרצות לדירה וכך המשיך לבצע עבירות ללא הפסקה. </w:t>
      </w:r>
    </w:p>
    <w:p w14:paraId="0C7B4CB4" w14:textId="77777777" w:rsidR="00D035BF" w:rsidRDefault="00B5718E">
      <w:pPr>
        <w:spacing w:line="360" w:lineRule="auto"/>
        <w:ind w:left="720"/>
        <w:jc w:val="both"/>
        <w:rPr>
          <w:rFonts w:cs="FrankRuehl"/>
          <w:sz w:val="28"/>
          <w:szCs w:val="28"/>
          <w:rtl/>
        </w:rPr>
      </w:pPr>
      <w:r>
        <w:rPr>
          <w:rFonts w:cs="FrankRuehl"/>
          <w:sz w:val="28"/>
          <w:szCs w:val="28"/>
          <w:rtl/>
        </w:rPr>
        <w:t xml:space="preserve">במסגרת טיעוניו הציג הנאשם שני מכתבים, מכתב מאימו (ס/1) בה עתרה להפנותו לגמילה, ומכתב שכתב הנאשם לפיו הסביר </w:t>
      </w:r>
      <w:r>
        <w:rPr>
          <w:rFonts w:cs="FrankRuehl" w:hint="cs"/>
          <w:sz w:val="28"/>
          <w:szCs w:val="28"/>
          <w:rtl/>
        </w:rPr>
        <w:t xml:space="preserve">את </w:t>
      </w:r>
      <w:r>
        <w:rPr>
          <w:rFonts w:cs="FrankRuehl"/>
          <w:sz w:val="28"/>
          <w:szCs w:val="28"/>
          <w:rtl/>
        </w:rPr>
        <w:t>נסיבות ביצוע העבירות וביקש עזרה וטיפול (ס/2).</w:t>
      </w:r>
    </w:p>
    <w:p w14:paraId="713A5A19" w14:textId="77777777" w:rsidR="00D035BF" w:rsidRDefault="00D035BF">
      <w:pPr>
        <w:spacing w:line="360" w:lineRule="auto"/>
        <w:ind w:left="720"/>
        <w:jc w:val="both"/>
        <w:rPr>
          <w:rFonts w:cs="FrankRuehl"/>
          <w:sz w:val="28"/>
          <w:szCs w:val="28"/>
          <w:rtl/>
        </w:rPr>
      </w:pPr>
    </w:p>
    <w:p w14:paraId="669F6093" w14:textId="77777777" w:rsidR="00D035BF" w:rsidRDefault="00B5718E">
      <w:pPr>
        <w:spacing w:line="360" w:lineRule="auto"/>
        <w:ind w:left="360" w:firstLine="360"/>
        <w:jc w:val="both"/>
        <w:rPr>
          <w:rFonts w:cs="Miriam"/>
        </w:rPr>
      </w:pPr>
      <w:r>
        <w:rPr>
          <w:rFonts w:cs="Miriam"/>
          <w:rtl/>
        </w:rPr>
        <w:t>תסקיר שירות המבחן</w:t>
      </w:r>
    </w:p>
    <w:p w14:paraId="0B48CC09" w14:textId="77777777" w:rsidR="00D035BF" w:rsidRDefault="00B5718E">
      <w:pPr>
        <w:spacing w:line="360" w:lineRule="auto"/>
        <w:ind w:left="720"/>
        <w:jc w:val="both"/>
        <w:rPr>
          <w:rFonts w:cs="FrankRuehl"/>
          <w:sz w:val="28"/>
          <w:szCs w:val="28"/>
          <w:rtl/>
        </w:rPr>
      </w:pPr>
      <w:r>
        <w:rPr>
          <w:rFonts w:cs="FrankRuehl" w:hint="cs"/>
          <w:sz w:val="28"/>
          <w:szCs w:val="28"/>
          <w:rtl/>
        </w:rPr>
        <w:t>-</w:t>
      </w:r>
      <w:r>
        <w:rPr>
          <w:rFonts w:cs="FrankRuehl"/>
          <w:sz w:val="28"/>
          <w:szCs w:val="28"/>
          <w:rtl/>
        </w:rPr>
        <w:t xml:space="preserve">בישיבת 13.3.2014, לאור בקשת הסנגור, </w:t>
      </w:r>
      <w:r>
        <w:rPr>
          <w:rFonts w:cs="FrankRuehl" w:hint="cs"/>
          <w:sz w:val="28"/>
          <w:szCs w:val="28"/>
          <w:rtl/>
        </w:rPr>
        <w:t xml:space="preserve">בקשת </w:t>
      </w:r>
      <w:r>
        <w:rPr>
          <w:rFonts w:cs="FrankRuehl"/>
          <w:sz w:val="28"/>
          <w:szCs w:val="28"/>
          <w:rtl/>
        </w:rPr>
        <w:t>הנאשם בכתב (ס</w:t>
      </w:r>
      <w:r>
        <w:rPr>
          <w:rFonts w:cs="FrankRuehl" w:hint="cs"/>
          <w:sz w:val="28"/>
          <w:szCs w:val="28"/>
          <w:rtl/>
        </w:rPr>
        <w:t>/2</w:t>
      </w:r>
      <w:r>
        <w:rPr>
          <w:rFonts w:cs="FrankRuehl"/>
          <w:sz w:val="28"/>
          <w:szCs w:val="28"/>
          <w:rtl/>
        </w:rPr>
        <w:t>) ובע"פ  ופניית אימו (ס/2), הוריתי לשירות המבחן להכין תסקיר לשם בחינת אפשרות גמיל</w:t>
      </w:r>
      <w:r>
        <w:rPr>
          <w:rFonts w:cs="FrankRuehl" w:hint="cs"/>
          <w:sz w:val="28"/>
          <w:szCs w:val="28"/>
          <w:rtl/>
        </w:rPr>
        <w:t xml:space="preserve">תו </w:t>
      </w:r>
      <w:r>
        <w:rPr>
          <w:rFonts w:cs="FrankRuehl"/>
          <w:sz w:val="28"/>
          <w:szCs w:val="28"/>
          <w:rtl/>
        </w:rPr>
        <w:t>מסמים.</w:t>
      </w:r>
    </w:p>
    <w:p w14:paraId="02C82694" w14:textId="77777777" w:rsidR="00D035BF" w:rsidRDefault="00D035BF">
      <w:pPr>
        <w:spacing w:line="360" w:lineRule="auto"/>
        <w:ind w:left="720"/>
        <w:jc w:val="both"/>
        <w:rPr>
          <w:rFonts w:cs="FrankRuehl"/>
          <w:sz w:val="28"/>
          <w:szCs w:val="28"/>
          <w:rtl/>
        </w:rPr>
      </w:pPr>
    </w:p>
    <w:p w14:paraId="537C9CCF" w14:textId="77777777" w:rsidR="00D035BF" w:rsidRDefault="00B5718E">
      <w:pPr>
        <w:spacing w:line="360" w:lineRule="auto"/>
        <w:ind w:left="720"/>
        <w:jc w:val="both"/>
        <w:rPr>
          <w:rFonts w:cs="FrankRuehl"/>
          <w:sz w:val="28"/>
          <w:szCs w:val="28"/>
          <w:rtl/>
        </w:rPr>
      </w:pPr>
      <w:r>
        <w:rPr>
          <w:rFonts w:cs="FrankRuehl" w:hint="cs"/>
          <w:sz w:val="28"/>
          <w:szCs w:val="28"/>
          <w:rtl/>
        </w:rPr>
        <w:t>-</w:t>
      </w:r>
      <w:r>
        <w:rPr>
          <w:rFonts w:cs="FrankRuehl"/>
          <w:sz w:val="28"/>
          <w:szCs w:val="28"/>
          <w:rtl/>
        </w:rPr>
        <w:t>בתסקיר מיום 7.5.2014, המליצה קצינת המבחן לתת לנאשם הזדמנות ולהפנותו לטיפול, בשלב ראשון לשלבו באישפוזית לגמילה פיסית ולאחר שית</w:t>
      </w:r>
      <w:r>
        <w:rPr>
          <w:rFonts w:cs="FrankRuehl" w:hint="cs"/>
          <w:sz w:val="28"/>
          <w:szCs w:val="28"/>
          <w:rtl/>
        </w:rPr>
        <w:t>נ</w:t>
      </w:r>
      <w:r>
        <w:rPr>
          <w:rFonts w:cs="FrankRuehl"/>
          <w:sz w:val="28"/>
          <w:szCs w:val="28"/>
          <w:rtl/>
        </w:rPr>
        <w:t>קה משימוש בסמים ותרופות הרגעה פסיכיאטריות, יופנה לקהילה הטיפולית "הדרך", להמשך טיפול נפשי מתלותו בסמים.</w:t>
      </w:r>
      <w:r>
        <w:rPr>
          <w:rFonts w:cs="FrankRuehl" w:hint="cs"/>
          <w:sz w:val="28"/>
          <w:szCs w:val="28"/>
          <w:rtl/>
        </w:rPr>
        <w:t xml:space="preserve"> </w:t>
      </w:r>
      <w:r>
        <w:rPr>
          <w:rFonts w:cs="FrankRuehl"/>
          <w:sz w:val="28"/>
          <w:szCs w:val="28"/>
          <w:rtl/>
        </w:rPr>
        <w:t>לאחר שמיעת טיעוני הצדדים, החלטתי לה</w:t>
      </w:r>
      <w:r>
        <w:rPr>
          <w:rFonts w:cs="FrankRuehl" w:hint="cs"/>
          <w:sz w:val="28"/>
          <w:szCs w:val="28"/>
          <w:rtl/>
        </w:rPr>
        <w:t>י</w:t>
      </w:r>
      <w:r>
        <w:rPr>
          <w:rFonts w:cs="FrankRuehl"/>
          <w:sz w:val="28"/>
          <w:szCs w:val="28"/>
          <w:rtl/>
        </w:rPr>
        <w:t>ענות להמלצת שירות המבחן ובהתאם להחלטה מאותו יום, 11.5.2014, הוריתי על שחרורו של הנאשם ביום 15.5</w:t>
      </w:r>
      <w:r>
        <w:rPr>
          <w:rFonts w:cs="FrankRuehl" w:hint="cs"/>
          <w:sz w:val="28"/>
          <w:szCs w:val="28"/>
          <w:rtl/>
        </w:rPr>
        <w:t>.</w:t>
      </w:r>
      <w:r>
        <w:rPr>
          <w:rFonts w:cs="FrankRuehl"/>
          <w:sz w:val="28"/>
          <w:szCs w:val="28"/>
          <w:rtl/>
        </w:rPr>
        <w:t>2014 לשם שילובו בהליך הטיפולי כאמור.</w:t>
      </w:r>
    </w:p>
    <w:p w14:paraId="6E988F02" w14:textId="77777777" w:rsidR="00D035BF" w:rsidRDefault="00D035BF">
      <w:pPr>
        <w:spacing w:line="360" w:lineRule="auto"/>
        <w:ind w:left="720"/>
        <w:jc w:val="both"/>
        <w:rPr>
          <w:rFonts w:cs="FrankRuehl"/>
          <w:sz w:val="28"/>
          <w:szCs w:val="28"/>
          <w:rtl/>
        </w:rPr>
      </w:pPr>
    </w:p>
    <w:p w14:paraId="6DB34073" w14:textId="77777777" w:rsidR="00D035BF" w:rsidRDefault="00B5718E">
      <w:pPr>
        <w:spacing w:line="360" w:lineRule="auto"/>
        <w:ind w:left="720"/>
        <w:jc w:val="both"/>
        <w:rPr>
          <w:rFonts w:cs="FrankRuehl"/>
          <w:sz w:val="28"/>
          <w:szCs w:val="28"/>
          <w:rtl/>
        </w:rPr>
      </w:pPr>
      <w:r>
        <w:rPr>
          <w:rFonts w:cs="FrankRuehl" w:hint="cs"/>
          <w:sz w:val="28"/>
          <w:szCs w:val="28"/>
          <w:rtl/>
        </w:rPr>
        <w:t>-</w:t>
      </w:r>
      <w:r>
        <w:rPr>
          <w:rFonts w:cs="FrankRuehl"/>
          <w:sz w:val="28"/>
          <w:szCs w:val="28"/>
          <w:rtl/>
        </w:rPr>
        <w:t>בתסקיר מיום 29.9.2014, דווח כי הנאשם עבר בהצלחה את תהליך הגמילה הפי</w:t>
      </w:r>
      <w:r>
        <w:rPr>
          <w:rFonts w:cs="FrankRuehl" w:hint="cs"/>
          <w:sz w:val="28"/>
          <w:szCs w:val="28"/>
          <w:rtl/>
        </w:rPr>
        <w:t>ס</w:t>
      </w:r>
      <w:r>
        <w:rPr>
          <w:rFonts w:cs="FrankRuehl"/>
          <w:sz w:val="28"/>
          <w:szCs w:val="28"/>
          <w:rtl/>
        </w:rPr>
        <w:t>ית, משם עבר לקהילה טיפולית "הדר</w:t>
      </w:r>
      <w:r>
        <w:rPr>
          <w:rFonts w:cs="FrankRuehl" w:hint="cs"/>
          <w:sz w:val="28"/>
          <w:szCs w:val="28"/>
          <w:rtl/>
        </w:rPr>
        <w:t>ך</w:t>
      </w:r>
      <w:r>
        <w:rPr>
          <w:rFonts w:cs="FrankRuehl"/>
          <w:sz w:val="28"/>
          <w:szCs w:val="28"/>
          <w:rtl/>
        </w:rPr>
        <w:t xml:space="preserve">" </w:t>
      </w:r>
      <w:r>
        <w:rPr>
          <w:rFonts w:cs="FrankRuehl" w:hint="cs"/>
          <w:sz w:val="28"/>
          <w:szCs w:val="28"/>
          <w:rtl/>
        </w:rPr>
        <w:t>ו</w:t>
      </w:r>
      <w:r>
        <w:rPr>
          <w:rFonts w:cs="FrankRuehl"/>
          <w:sz w:val="28"/>
          <w:szCs w:val="28"/>
          <w:rtl/>
        </w:rPr>
        <w:t>חלה התקדמות משמעותית במצבו</w:t>
      </w:r>
      <w:r>
        <w:rPr>
          <w:rFonts w:cs="FrankRuehl" w:hint="cs"/>
          <w:sz w:val="28"/>
          <w:szCs w:val="28"/>
          <w:rtl/>
        </w:rPr>
        <w:t xml:space="preserve">. </w:t>
      </w:r>
      <w:r>
        <w:rPr>
          <w:rFonts w:cs="FrankRuehl"/>
          <w:sz w:val="28"/>
          <w:szCs w:val="28"/>
          <w:rtl/>
        </w:rPr>
        <w:t>ש</w:t>
      </w:r>
      <w:r>
        <w:rPr>
          <w:rFonts w:cs="FrankRuehl" w:hint="cs"/>
          <w:sz w:val="28"/>
          <w:szCs w:val="28"/>
          <w:rtl/>
        </w:rPr>
        <w:t>יר</w:t>
      </w:r>
      <w:r>
        <w:rPr>
          <w:rFonts w:cs="FrankRuehl"/>
          <w:sz w:val="28"/>
          <w:szCs w:val="28"/>
          <w:rtl/>
        </w:rPr>
        <w:t>ות המבחן המליץ על ענישה שיקומית בדרך של צו מבחן ל-18 חודש</w:t>
      </w:r>
      <w:r>
        <w:rPr>
          <w:rFonts w:cs="FrankRuehl" w:hint="cs"/>
          <w:sz w:val="28"/>
          <w:szCs w:val="28"/>
          <w:rtl/>
        </w:rPr>
        <w:t>ים</w:t>
      </w:r>
      <w:r>
        <w:rPr>
          <w:rFonts w:cs="FrankRuehl"/>
          <w:sz w:val="28"/>
          <w:szCs w:val="28"/>
          <w:rtl/>
        </w:rPr>
        <w:t xml:space="preserve"> בתנאי המשך טיפול בתחום ההתמכרו</w:t>
      </w:r>
      <w:r>
        <w:rPr>
          <w:rFonts w:cs="FrankRuehl" w:hint="cs"/>
          <w:sz w:val="28"/>
          <w:szCs w:val="28"/>
          <w:rtl/>
        </w:rPr>
        <w:t>יו</w:t>
      </w:r>
      <w:r>
        <w:rPr>
          <w:rFonts w:cs="FrankRuehl"/>
          <w:sz w:val="28"/>
          <w:szCs w:val="28"/>
          <w:rtl/>
        </w:rPr>
        <w:t>ת, מאסר מותנה וקנס.</w:t>
      </w:r>
    </w:p>
    <w:p w14:paraId="10BC7E61" w14:textId="77777777" w:rsidR="00D035BF" w:rsidRDefault="00D035BF">
      <w:pPr>
        <w:spacing w:line="360" w:lineRule="auto"/>
        <w:ind w:left="720"/>
        <w:jc w:val="both"/>
        <w:rPr>
          <w:rFonts w:cs="FrankRuehl"/>
          <w:sz w:val="28"/>
          <w:szCs w:val="28"/>
          <w:rtl/>
        </w:rPr>
      </w:pPr>
    </w:p>
    <w:p w14:paraId="2A4919CB" w14:textId="77777777" w:rsidR="00D035BF" w:rsidRDefault="00B5718E">
      <w:pPr>
        <w:spacing w:line="360" w:lineRule="auto"/>
        <w:ind w:left="720"/>
        <w:jc w:val="both"/>
        <w:rPr>
          <w:rFonts w:cs="FrankRuehl"/>
          <w:sz w:val="28"/>
          <w:szCs w:val="28"/>
          <w:rtl/>
        </w:rPr>
      </w:pPr>
      <w:r>
        <w:rPr>
          <w:rFonts w:cs="FrankRuehl" w:hint="cs"/>
          <w:sz w:val="28"/>
          <w:szCs w:val="28"/>
          <w:rtl/>
        </w:rPr>
        <w:lastRenderedPageBreak/>
        <w:t>-</w:t>
      </w:r>
      <w:r>
        <w:rPr>
          <w:rFonts w:cs="FrankRuehl"/>
          <w:sz w:val="28"/>
          <w:szCs w:val="28"/>
          <w:rtl/>
        </w:rPr>
        <w:t>בישיבת 5.10.2014, החלטתי שלא לגזור את דינו של הנאשם, אלא לאפשר לו להתקדם בהליך הטיפולי ונקבע דיון ליום 24.2.2015.</w:t>
      </w:r>
    </w:p>
    <w:p w14:paraId="516F5052" w14:textId="77777777" w:rsidR="00D035BF" w:rsidRDefault="00D035BF">
      <w:pPr>
        <w:spacing w:line="360" w:lineRule="auto"/>
        <w:ind w:left="720"/>
        <w:jc w:val="both"/>
        <w:rPr>
          <w:rFonts w:cs="FrankRuehl"/>
          <w:sz w:val="28"/>
          <w:szCs w:val="28"/>
        </w:rPr>
      </w:pPr>
    </w:p>
    <w:p w14:paraId="36692FE2" w14:textId="77777777" w:rsidR="00D035BF" w:rsidRDefault="00B5718E">
      <w:pPr>
        <w:spacing w:line="360" w:lineRule="auto"/>
        <w:ind w:left="720"/>
        <w:jc w:val="both"/>
        <w:rPr>
          <w:rFonts w:cs="FrankRuehl"/>
          <w:sz w:val="28"/>
          <w:szCs w:val="28"/>
          <w:rtl/>
        </w:rPr>
      </w:pPr>
      <w:r>
        <w:rPr>
          <w:rFonts w:cs="FrankRuehl" w:hint="cs"/>
          <w:sz w:val="28"/>
          <w:szCs w:val="28"/>
          <w:rtl/>
        </w:rPr>
        <w:t>-</w:t>
      </w:r>
      <w:r>
        <w:rPr>
          <w:rFonts w:cs="FrankRuehl"/>
          <w:sz w:val="28"/>
          <w:szCs w:val="28"/>
          <w:rtl/>
        </w:rPr>
        <w:t xml:space="preserve">ביום 25.1.2015 </w:t>
      </w:r>
      <w:r>
        <w:rPr>
          <w:rFonts w:cs="FrankRuehl" w:hint="cs"/>
          <w:sz w:val="28"/>
          <w:szCs w:val="28"/>
          <w:rtl/>
        </w:rPr>
        <w:t xml:space="preserve">הודיע </w:t>
      </w:r>
      <w:r>
        <w:rPr>
          <w:rFonts w:cs="FrankRuehl"/>
          <w:sz w:val="28"/>
          <w:szCs w:val="28"/>
          <w:rtl/>
        </w:rPr>
        <w:t xml:space="preserve">שירות המבחן </w:t>
      </w:r>
      <w:r>
        <w:rPr>
          <w:rFonts w:cs="FrankRuehl" w:hint="cs"/>
          <w:sz w:val="28"/>
          <w:szCs w:val="28"/>
          <w:rtl/>
        </w:rPr>
        <w:t xml:space="preserve">לבית המשפט כי </w:t>
      </w:r>
      <w:r>
        <w:rPr>
          <w:rFonts w:cs="FrankRuehl"/>
          <w:sz w:val="28"/>
          <w:szCs w:val="28"/>
          <w:rtl/>
        </w:rPr>
        <w:t xml:space="preserve">ביום 22.1.2015 עזב הנאשם </w:t>
      </w:r>
      <w:r>
        <w:rPr>
          <w:rFonts w:cs="FrankRuehl" w:hint="cs"/>
          <w:sz w:val="28"/>
          <w:szCs w:val="28"/>
          <w:rtl/>
        </w:rPr>
        <w:t xml:space="preserve">את </w:t>
      </w:r>
      <w:r>
        <w:rPr>
          <w:rFonts w:cs="FrankRuehl"/>
          <w:sz w:val="28"/>
          <w:szCs w:val="28"/>
          <w:rtl/>
        </w:rPr>
        <w:t xml:space="preserve">הקהילה </w:t>
      </w:r>
      <w:r>
        <w:rPr>
          <w:rFonts w:cs="FrankRuehl" w:hint="cs"/>
          <w:sz w:val="28"/>
          <w:szCs w:val="28"/>
          <w:rtl/>
        </w:rPr>
        <w:t xml:space="preserve">הטיפולית </w:t>
      </w:r>
      <w:r>
        <w:rPr>
          <w:rFonts w:cs="FrankRuehl"/>
          <w:sz w:val="28"/>
          <w:szCs w:val="28"/>
          <w:rtl/>
        </w:rPr>
        <w:t>על דעת עצמו ולאור הסיכון במצבו</w:t>
      </w:r>
      <w:r>
        <w:rPr>
          <w:rFonts w:cs="FrankRuehl" w:hint="cs"/>
          <w:sz w:val="28"/>
          <w:szCs w:val="28"/>
          <w:rtl/>
        </w:rPr>
        <w:t>,</w:t>
      </w:r>
      <w:r>
        <w:rPr>
          <w:rFonts w:cs="FrankRuehl"/>
          <w:sz w:val="28"/>
          <w:szCs w:val="28"/>
          <w:rtl/>
        </w:rPr>
        <w:t xml:space="preserve"> ביקשה קצינת המבחן להקדים </w:t>
      </w:r>
      <w:r>
        <w:rPr>
          <w:rFonts w:cs="FrankRuehl" w:hint="cs"/>
          <w:sz w:val="28"/>
          <w:szCs w:val="28"/>
          <w:rtl/>
        </w:rPr>
        <w:t xml:space="preserve">את </w:t>
      </w:r>
      <w:r>
        <w:rPr>
          <w:rFonts w:cs="FrankRuehl"/>
          <w:sz w:val="28"/>
          <w:szCs w:val="28"/>
          <w:rtl/>
        </w:rPr>
        <w:t>הדיון בענ</w:t>
      </w:r>
      <w:r>
        <w:rPr>
          <w:rFonts w:cs="FrankRuehl" w:hint="cs"/>
          <w:sz w:val="28"/>
          <w:szCs w:val="28"/>
          <w:rtl/>
        </w:rPr>
        <w:t>י</w:t>
      </w:r>
      <w:r>
        <w:rPr>
          <w:rFonts w:cs="FrankRuehl"/>
          <w:sz w:val="28"/>
          <w:szCs w:val="28"/>
          <w:rtl/>
        </w:rPr>
        <w:t xml:space="preserve">ינו, </w:t>
      </w:r>
      <w:r>
        <w:rPr>
          <w:rFonts w:cs="FrankRuehl" w:hint="cs"/>
          <w:sz w:val="28"/>
          <w:szCs w:val="28"/>
          <w:rtl/>
        </w:rPr>
        <w:t xml:space="preserve">הקדמה שמשמעה בפסקת ההליך הטיפולי וגזירת הדין, </w:t>
      </w:r>
      <w:r>
        <w:rPr>
          <w:rFonts w:cs="FrankRuehl"/>
          <w:sz w:val="28"/>
          <w:szCs w:val="28"/>
          <w:rtl/>
        </w:rPr>
        <w:t>בשל מצוקת תאריכים ביומני לא הוקדם הדיון</w:t>
      </w:r>
      <w:r>
        <w:rPr>
          <w:rFonts w:cs="FrankRuehl" w:hint="cs"/>
          <w:sz w:val="28"/>
          <w:szCs w:val="28"/>
          <w:rtl/>
        </w:rPr>
        <w:t xml:space="preserve"> והוא נותר במועד שנקבע מראש.</w:t>
      </w:r>
    </w:p>
    <w:p w14:paraId="7C5EBFA0" w14:textId="77777777" w:rsidR="00D035BF" w:rsidRDefault="00D035BF">
      <w:pPr>
        <w:spacing w:line="360" w:lineRule="auto"/>
        <w:ind w:left="720"/>
        <w:jc w:val="both"/>
        <w:rPr>
          <w:rFonts w:cs="FrankRuehl"/>
          <w:sz w:val="28"/>
          <w:szCs w:val="28"/>
        </w:rPr>
      </w:pPr>
    </w:p>
    <w:p w14:paraId="59EA44C0" w14:textId="77777777" w:rsidR="00D035BF" w:rsidRDefault="00B5718E">
      <w:pPr>
        <w:spacing w:line="360" w:lineRule="auto"/>
        <w:ind w:left="720"/>
        <w:jc w:val="both"/>
        <w:rPr>
          <w:rFonts w:cs="FrankRuehl"/>
          <w:sz w:val="28"/>
          <w:szCs w:val="28"/>
          <w:rtl/>
        </w:rPr>
      </w:pPr>
      <w:r>
        <w:rPr>
          <w:rFonts w:cs="FrankRuehl" w:hint="cs"/>
          <w:sz w:val="28"/>
          <w:szCs w:val="28"/>
          <w:rtl/>
        </w:rPr>
        <w:t xml:space="preserve">עובר </w:t>
      </w:r>
      <w:r>
        <w:rPr>
          <w:rFonts w:cs="FrankRuehl"/>
          <w:sz w:val="28"/>
          <w:szCs w:val="28"/>
          <w:rtl/>
        </w:rPr>
        <w:t>לישיב</w:t>
      </w:r>
      <w:r>
        <w:rPr>
          <w:rFonts w:cs="FrankRuehl" w:hint="cs"/>
          <w:sz w:val="28"/>
          <w:szCs w:val="28"/>
          <w:rtl/>
        </w:rPr>
        <w:t xml:space="preserve">ת 24.2.2015, </w:t>
      </w:r>
      <w:r>
        <w:rPr>
          <w:rFonts w:cs="FrankRuehl"/>
          <w:sz w:val="28"/>
          <w:szCs w:val="28"/>
          <w:rtl/>
        </w:rPr>
        <w:t>הוגש תסקיר עדכני מיום 19.2.2015 ממנו עולה כי הנאשם מתקשה לקחת אחריות על מעשיו במסגרת הקהילה</w:t>
      </w:r>
      <w:r>
        <w:rPr>
          <w:rFonts w:cs="FrankRuehl" w:hint="cs"/>
          <w:sz w:val="28"/>
          <w:szCs w:val="28"/>
          <w:rtl/>
        </w:rPr>
        <w:t>.</w:t>
      </w:r>
      <w:r>
        <w:rPr>
          <w:rFonts w:cs="FrankRuehl"/>
          <w:sz w:val="28"/>
          <w:szCs w:val="28"/>
          <w:rtl/>
        </w:rPr>
        <w:t xml:space="preserve"> לפגישה שנקבעה עימו ליום 27.1.2015 לא התייצב ולא יצר קשר, ולכן העריכה קצינת המבחן כי גבר הסיכון להישנות עבירות </w:t>
      </w:r>
      <w:r>
        <w:rPr>
          <w:rFonts w:cs="FrankRuehl" w:hint="cs"/>
          <w:sz w:val="28"/>
          <w:szCs w:val="28"/>
          <w:rtl/>
        </w:rPr>
        <w:t>ו</w:t>
      </w:r>
      <w:r>
        <w:rPr>
          <w:rFonts w:cs="FrankRuehl"/>
          <w:sz w:val="28"/>
          <w:szCs w:val="28"/>
          <w:rtl/>
        </w:rPr>
        <w:t>קיים חשש כי ללא מסגרת טיפולית יחזור הנאשם לנהל אורח חיים שולי</w:t>
      </w:r>
      <w:r>
        <w:rPr>
          <w:rFonts w:cs="FrankRuehl" w:hint="cs"/>
          <w:sz w:val="28"/>
          <w:szCs w:val="28"/>
          <w:rtl/>
        </w:rPr>
        <w:t>.</w:t>
      </w:r>
      <w:r>
        <w:rPr>
          <w:rFonts w:cs="FrankRuehl"/>
          <w:sz w:val="28"/>
          <w:szCs w:val="28"/>
          <w:rtl/>
        </w:rPr>
        <w:t xml:space="preserve"> שירות המבחן נמנע מהמלצה טיפולית והמליץ על ענישה מוחשית שתציב גבול ברור ותמ</w:t>
      </w:r>
      <w:r>
        <w:rPr>
          <w:rFonts w:cs="FrankRuehl" w:hint="cs"/>
          <w:sz w:val="28"/>
          <w:szCs w:val="28"/>
          <w:rtl/>
        </w:rPr>
        <w:t>נ</w:t>
      </w:r>
      <w:r>
        <w:rPr>
          <w:rFonts w:cs="FrankRuehl"/>
          <w:sz w:val="28"/>
          <w:szCs w:val="28"/>
          <w:rtl/>
        </w:rPr>
        <w:t xml:space="preserve">ע הישנות </w:t>
      </w:r>
      <w:r>
        <w:rPr>
          <w:rFonts w:cs="FrankRuehl" w:hint="cs"/>
          <w:sz w:val="28"/>
          <w:szCs w:val="28"/>
          <w:rtl/>
        </w:rPr>
        <w:t>ה</w:t>
      </w:r>
      <w:r>
        <w:rPr>
          <w:rFonts w:cs="FrankRuehl"/>
          <w:sz w:val="28"/>
          <w:szCs w:val="28"/>
          <w:rtl/>
        </w:rPr>
        <w:t>עבירות.</w:t>
      </w:r>
    </w:p>
    <w:p w14:paraId="0B5C5BAF" w14:textId="77777777" w:rsidR="00D035BF" w:rsidRDefault="00D035BF">
      <w:pPr>
        <w:spacing w:line="360" w:lineRule="auto"/>
        <w:ind w:left="720"/>
        <w:jc w:val="both"/>
        <w:rPr>
          <w:rFonts w:cs="FrankRuehl"/>
          <w:sz w:val="28"/>
          <w:szCs w:val="28"/>
          <w:rtl/>
        </w:rPr>
      </w:pPr>
    </w:p>
    <w:p w14:paraId="71360B8F" w14:textId="77777777" w:rsidR="00D035BF" w:rsidRDefault="00B5718E">
      <w:pPr>
        <w:spacing w:line="360" w:lineRule="auto"/>
        <w:ind w:left="360" w:firstLine="360"/>
        <w:jc w:val="both"/>
        <w:rPr>
          <w:rFonts w:cs="FrankRuehl"/>
          <w:sz w:val="28"/>
          <w:szCs w:val="28"/>
          <w:rtl/>
        </w:rPr>
      </w:pPr>
      <w:r>
        <w:rPr>
          <w:rFonts w:cs="FrankRuehl"/>
          <w:sz w:val="28"/>
          <w:szCs w:val="28"/>
          <w:rtl/>
        </w:rPr>
        <w:t>בישיבת 24.2.2015 ביקש הנאשם לשוב ולהפנותו לשירות המבחן.</w:t>
      </w:r>
    </w:p>
    <w:p w14:paraId="416655A0" w14:textId="77777777" w:rsidR="00D035BF" w:rsidRDefault="00D035BF">
      <w:pPr>
        <w:spacing w:line="360" w:lineRule="auto"/>
        <w:ind w:left="360" w:firstLine="360"/>
        <w:jc w:val="both"/>
        <w:rPr>
          <w:rFonts w:cs="FrankRuehl"/>
          <w:sz w:val="28"/>
          <w:szCs w:val="28"/>
        </w:rPr>
      </w:pPr>
    </w:p>
    <w:p w14:paraId="0DEFAB87" w14:textId="77777777" w:rsidR="00D035BF" w:rsidRDefault="00B5718E">
      <w:pPr>
        <w:spacing w:line="360" w:lineRule="auto"/>
        <w:ind w:left="360" w:firstLine="360"/>
        <w:jc w:val="both"/>
        <w:rPr>
          <w:rFonts w:cs="Miriam"/>
        </w:rPr>
      </w:pPr>
      <w:r>
        <w:rPr>
          <w:rFonts w:cs="Miriam"/>
          <w:rtl/>
        </w:rPr>
        <w:t>תמצית טענות הצדדים</w:t>
      </w:r>
    </w:p>
    <w:p w14:paraId="3E9409B3" w14:textId="77777777" w:rsidR="00D035BF" w:rsidRDefault="00B5718E">
      <w:pPr>
        <w:spacing w:line="360" w:lineRule="auto"/>
        <w:ind w:left="720"/>
        <w:jc w:val="both"/>
        <w:rPr>
          <w:rFonts w:cs="FrankRuehl"/>
          <w:sz w:val="28"/>
          <w:szCs w:val="28"/>
          <w:rtl/>
        </w:rPr>
      </w:pPr>
      <w:r>
        <w:rPr>
          <w:rFonts w:cs="FrankRuehl"/>
          <w:sz w:val="28"/>
          <w:szCs w:val="28"/>
          <w:rtl/>
        </w:rPr>
        <w:t xml:space="preserve">כפי שפורט לעיל טיעוני הצדדים נטענו במספר שלבים, הטיעון המרכזי הראשון  בישיבת 11.5.2014 והשלמתו בישיבת 24.2.2015, בין לבין </w:t>
      </w:r>
      <w:r>
        <w:rPr>
          <w:rFonts w:cs="FrankRuehl" w:hint="cs"/>
          <w:sz w:val="28"/>
          <w:szCs w:val="28"/>
          <w:rtl/>
        </w:rPr>
        <w:t xml:space="preserve">רוב הזמן </w:t>
      </w:r>
      <w:r>
        <w:rPr>
          <w:rFonts w:cs="FrankRuehl"/>
          <w:sz w:val="28"/>
          <w:szCs w:val="28"/>
          <w:rtl/>
        </w:rPr>
        <w:t>שהה הנאשם בהליך ט</w:t>
      </w:r>
      <w:r>
        <w:rPr>
          <w:rFonts w:cs="FrankRuehl" w:hint="cs"/>
          <w:sz w:val="28"/>
          <w:szCs w:val="28"/>
          <w:rtl/>
        </w:rPr>
        <w:t>י</w:t>
      </w:r>
      <w:r>
        <w:rPr>
          <w:rFonts w:cs="FrankRuehl"/>
          <w:sz w:val="28"/>
          <w:szCs w:val="28"/>
          <w:rtl/>
        </w:rPr>
        <w:t>פולי</w:t>
      </w:r>
      <w:r>
        <w:rPr>
          <w:rFonts w:cs="FrankRuehl" w:hint="cs"/>
          <w:sz w:val="28"/>
          <w:szCs w:val="28"/>
          <w:rtl/>
        </w:rPr>
        <w:t>.</w:t>
      </w:r>
    </w:p>
    <w:p w14:paraId="5044DF95" w14:textId="77777777" w:rsidR="00D035BF" w:rsidRDefault="00D035BF">
      <w:pPr>
        <w:spacing w:line="360" w:lineRule="auto"/>
        <w:ind w:left="720"/>
        <w:jc w:val="both"/>
        <w:rPr>
          <w:rFonts w:cs="FrankRuehl"/>
          <w:sz w:val="28"/>
          <w:szCs w:val="28"/>
        </w:rPr>
      </w:pPr>
    </w:p>
    <w:p w14:paraId="7D4242DF" w14:textId="77777777" w:rsidR="00D035BF" w:rsidRDefault="00B5718E">
      <w:pPr>
        <w:numPr>
          <w:ilvl w:val="0"/>
          <w:numId w:val="1"/>
        </w:numPr>
        <w:spacing w:line="360" w:lineRule="auto"/>
        <w:jc w:val="both"/>
        <w:rPr>
          <w:rFonts w:cs="FrankRuehl"/>
          <w:sz w:val="28"/>
          <w:szCs w:val="28"/>
        </w:rPr>
      </w:pPr>
      <w:r>
        <w:rPr>
          <w:rFonts w:cs="FrankRuehl"/>
          <w:sz w:val="28"/>
          <w:szCs w:val="28"/>
          <w:rtl/>
        </w:rPr>
        <w:t xml:space="preserve">ב"כ המאשימה בטיעונים בכתב (ט/2) ובעל פה טענו כי מתחם העונש ההולם נע בין 3 </w:t>
      </w:r>
      <w:r>
        <w:rPr>
          <w:rFonts w:cs="FrankRuehl" w:hint="cs"/>
          <w:sz w:val="28"/>
          <w:szCs w:val="28"/>
          <w:rtl/>
        </w:rPr>
        <w:t xml:space="preserve"> </w:t>
      </w:r>
      <w:r>
        <w:rPr>
          <w:rFonts w:cs="FrankRuehl"/>
          <w:sz w:val="28"/>
          <w:szCs w:val="28"/>
          <w:rtl/>
        </w:rPr>
        <w:t xml:space="preserve">ל-6 שנות מאסר בפועל והעונש המתאים </w:t>
      </w:r>
      <w:r>
        <w:rPr>
          <w:rFonts w:cs="FrankRuehl" w:hint="cs"/>
          <w:sz w:val="28"/>
          <w:szCs w:val="28"/>
          <w:rtl/>
        </w:rPr>
        <w:t xml:space="preserve">לטענתם צריך לעמוד </w:t>
      </w:r>
      <w:r>
        <w:rPr>
          <w:rFonts w:cs="FrankRuehl"/>
          <w:sz w:val="28"/>
          <w:szCs w:val="28"/>
          <w:rtl/>
        </w:rPr>
        <w:t xml:space="preserve">על 6 שנות מאסר בפועל, </w:t>
      </w:r>
      <w:r>
        <w:rPr>
          <w:rFonts w:cs="FrankRuehl" w:hint="cs"/>
          <w:sz w:val="28"/>
          <w:szCs w:val="28"/>
          <w:rtl/>
        </w:rPr>
        <w:t xml:space="preserve">זאת </w:t>
      </w:r>
      <w:r>
        <w:rPr>
          <w:rFonts w:cs="FrankRuehl"/>
          <w:sz w:val="28"/>
          <w:szCs w:val="28"/>
          <w:rtl/>
        </w:rPr>
        <w:t>בנוסף למאסר על תנאי וקנס כספי. בטיעוניהם הצביעו על חומרת עבירות הסמים, על עברו העשיר של הנאשם, לרבות כ</w:t>
      </w:r>
      <w:r>
        <w:rPr>
          <w:rFonts w:cs="FrankRuehl" w:hint="cs"/>
          <w:sz w:val="28"/>
          <w:szCs w:val="28"/>
          <w:rtl/>
        </w:rPr>
        <w:t>י</w:t>
      </w:r>
      <w:r>
        <w:rPr>
          <w:rFonts w:cs="FrankRuehl"/>
          <w:sz w:val="28"/>
          <w:szCs w:val="28"/>
          <w:rtl/>
        </w:rPr>
        <w:t>שלו</w:t>
      </w:r>
      <w:r>
        <w:rPr>
          <w:rFonts w:cs="FrankRuehl" w:hint="cs"/>
          <w:sz w:val="28"/>
          <w:szCs w:val="28"/>
          <w:rtl/>
        </w:rPr>
        <w:t>ן</w:t>
      </w:r>
      <w:r>
        <w:rPr>
          <w:rFonts w:cs="FrankRuehl"/>
          <w:sz w:val="28"/>
          <w:szCs w:val="28"/>
          <w:rtl/>
        </w:rPr>
        <w:t xml:space="preserve"> ניסי</w:t>
      </w:r>
      <w:r>
        <w:rPr>
          <w:rFonts w:cs="FrankRuehl" w:hint="cs"/>
          <w:sz w:val="28"/>
          <w:szCs w:val="28"/>
          <w:rtl/>
        </w:rPr>
        <w:t>ו</w:t>
      </w:r>
      <w:r>
        <w:rPr>
          <w:rFonts w:cs="FrankRuehl"/>
          <w:sz w:val="28"/>
          <w:szCs w:val="28"/>
          <w:rtl/>
        </w:rPr>
        <w:t>נותיו להיגמל</w:t>
      </w:r>
      <w:r>
        <w:rPr>
          <w:rFonts w:cs="FrankRuehl" w:hint="cs"/>
          <w:sz w:val="28"/>
          <w:szCs w:val="28"/>
          <w:rtl/>
        </w:rPr>
        <w:t xml:space="preserve">. </w:t>
      </w:r>
      <w:r>
        <w:rPr>
          <w:rFonts w:cs="FrankRuehl"/>
          <w:sz w:val="28"/>
          <w:szCs w:val="28"/>
          <w:rtl/>
        </w:rPr>
        <w:t>לתמיכה בטענותיהם הפנו לפסקי דין שונים.</w:t>
      </w:r>
      <w:r>
        <w:rPr>
          <w:rFonts w:cs="FrankRuehl" w:hint="cs"/>
          <w:sz w:val="28"/>
          <w:szCs w:val="28"/>
          <w:rtl/>
        </w:rPr>
        <w:t xml:space="preserve"> </w:t>
      </w:r>
    </w:p>
    <w:p w14:paraId="720C6CDB" w14:textId="77777777" w:rsidR="00D035BF" w:rsidRDefault="00D035BF">
      <w:pPr>
        <w:spacing w:line="360" w:lineRule="auto"/>
        <w:ind w:left="720"/>
        <w:jc w:val="both"/>
        <w:rPr>
          <w:rFonts w:cs="FrankRuehl"/>
          <w:sz w:val="28"/>
          <w:szCs w:val="28"/>
        </w:rPr>
      </w:pPr>
    </w:p>
    <w:p w14:paraId="61B8F389" w14:textId="77777777" w:rsidR="00D035BF" w:rsidRDefault="00B5718E">
      <w:pPr>
        <w:numPr>
          <w:ilvl w:val="0"/>
          <w:numId w:val="1"/>
        </w:numPr>
        <w:spacing w:line="360" w:lineRule="auto"/>
        <w:jc w:val="both"/>
        <w:rPr>
          <w:rFonts w:cs="FrankRuehl"/>
          <w:sz w:val="28"/>
          <w:szCs w:val="28"/>
        </w:rPr>
      </w:pPr>
      <w:r>
        <w:rPr>
          <w:rFonts w:cs="FrankRuehl"/>
          <w:sz w:val="28"/>
          <w:szCs w:val="28"/>
          <w:rtl/>
        </w:rPr>
        <w:t xml:space="preserve">בכל שלושת הישיבות מיקדו הסנגור והנאשם </w:t>
      </w:r>
      <w:r>
        <w:rPr>
          <w:rFonts w:cs="FrankRuehl" w:hint="cs"/>
          <w:sz w:val="28"/>
          <w:szCs w:val="28"/>
          <w:rtl/>
        </w:rPr>
        <w:t>את טיעוניהם בבקשה ל</w:t>
      </w:r>
      <w:r>
        <w:rPr>
          <w:rFonts w:cs="FrankRuehl"/>
          <w:sz w:val="28"/>
          <w:szCs w:val="28"/>
          <w:rtl/>
        </w:rPr>
        <w:t>מתן הזדמנות להשתקם ולהיגמל מהסמים</w:t>
      </w:r>
      <w:r>
        <w:rPr>
          <w:rFonts w:cs="FrankRuehl" w:hint="cs"/>
          <w:sz w:val="28"/>
          <w:szCs w:val="28"/>
          <w:rtl/>
        </w:rPr>
        <w:t xml:space="preserve">. </w:t>
      </w:r>
      <w:r>
        <w:rPr>
          <w:rFonts w:cs="FrankRuehl"/>
          <w:sz w:val="28"/>
          <w:szCs w:val="28"/>
          <w:rtl/>
        </w:rPr>
        <w:t xml:space="preserve">גם </w:t>
      </w:r>
      <w:r>
        <w:rPr>
          <w:rFonts w:cs="FrankRuehl" w:hint="cs"/>
          <w:sz w:val="28"/>
          <w:szCs w:val="28"/>
          <w:rtl/>
        </w:rPr>
        <w:t>ה</w:t>
      </w:r>
      <w:r>
        <w:rPr>
          <w:rFonts w:cs="FrankRuehl"/>
          <w:sz w:val="28"/>
          <w:szCs w:val="28"/>
          <w:rtl/>
        </w:rPr>
        <w:t xml:space="preserve">דיון האחרון </w:t>
      </w:r>
      <w:r>
        <w:rPr>
          <w:rFonts w:cs="FrankRuehl" w:hint="cs"/>
          <w:sz w:val="28"/>
          <w:szCs w:val="28"/>
          <w:rtl/>
        </w:rPr>
        <w:t>לאחר ש</w:t>
      </w:r>
      <w:r>
        <w:rPr>
          <w:rFonts w:cs="FrankRuehl"/>
          <w:sz w:val="28"/>
          <w:szCs w:val="28"/>
          <w:rtl/>
        </w:rPr>
        <w:t>הוגש תסקיר שלילי של שירות המבחן, נפתח בבקשה לשוב ולה</w:t>
      </w:r>
      <w:r>
        <w:rPr>
          <w:rFonts w:cs="FrankRuehl" w:hint="cs"/>
          <w:sz w:val="28"/>
          <w:szCs w:val="28"/>
          <w:rtl/>
        </w:rPr>
        <w:t>י</w:t>
      </w:r>
      <w:r>
        <w:rPr>
          <w:rFonts w:cs="FrankRuehl"/>
          <w:sz w:val="28"/>
          <w:szCs w:val="28"/>
          <w:rtl/>
        </w:rPr>
        <w:t>עזר בשירות המבחן לצורכי גמילה במיוחד שהנאשם השלים</w:t>
      </w:r>
      <w:r>
        <w:rPr>
          <w:rFonts w:cs="FrankRuehl" w:hint="cs"/>
          <w:sz w:val="28"/>
          <w:szCs w:val="28"/>
          <w:rtl/>
        </w:rPr>
        <w:t xml:space="preserve"> לטענתו </w:t>
      </w:r>
      <w:r>
        <w:rPr>
          <w:rFonts w:cs="FrankRuehl"/>
          <w:sz w:val="28"/>
          <w:szCs w:val="28"/>
          <w:rtl/>
        </w:rPr>
        <w:t xml:space="preserve">90% מהליכי הגמילה במהלך 8 חודשים. על פי הסברו </w:t>
      </w:r>
      <w:r>
        <w:rPr>
          <w:rFonts w:cs="FrankRuehl" w:hint="cs"/>
          <w:sz w:val="28"/>
          <w:szCs w:val="28"/>
          <w:rtl/>
        </w:rPr>
        <w:t xml:space="preserve">של </w:t>
      </w:r>
      <w:r>
        <w:rPr>
          <w:rFonts w:cs="FrankRuehl"/>
          <w:sz w:val="28"/>
          <w:szCs w:val="28"/>
          <w:rtl/>
        </w:rPr>
        <w:t xml:space="preserve">הנאשם </w:t>
      </w:r>
      <w:r>
        <w:rPr>
          <w:rFonts w:cs="FrankRuehl" w:hint="cs"/>
          <w:sz w:val="28"/>
          <w:szCs w:val="28"/>
          <w:rtl/>
        </w:rPr>
        <w:t xml:space="preserve">הוא </w:t>
      </w:r>
      <w:r>
        <w:rPr>
          <w:rFonts w:cs="FrankRuehl"/>
          <w:sz w:val="28"/>
          <w:szCs w:val="28"/>
          <w:rtl/>
        </w:rPr>
        <w:t xml:space="preserve">חלה בצהבת </w:t>
      </w:r>
      <w:r>
        <w:rPr>
          <w:rFonts w:cs="FrankRuehl" w:hint="cs"/>
          <w:sz w:val="28"/>
          <w:szCs w:val="28"/>
          <w:rtl/>
        </w:rPr>
        <w:t>ו</w:t>
      </w:r>
      <w:r>
        <w:rPr>
          <w:rFonts w:cs="FrankRuehl"/>
          <w:sz w:val="28"/>
          <w:szCs w:val="28"/>
          <w:rtl/>
        </w:rPr>
        <w:t>לאחר עזיבתו את הקהילה חשש ליצור קשר כדי שלא להיעצר ולחזור לשימוש בסמים.</w:t>
      </w:r>
    </w:p>
    <w:p w14:paraId="0F63B0DB" w14:textId="77777777" w:rsidR="00D035BF" w:rsidRDefault="00B5718E">
      <w:pPr>
        <w:spacing w:line="360" w:lineRule="auto"/>
        <w:ind w:left="720"/>
        <w:jc w:val="both"/>
        <w:rPr>
          <w:rFonts w:cs="FrankRuehl"/>
          <w:sz w:val="28"/>
          <w:szCs w:val="28"/>
          <w:rtl/>
        </w:rPr>
      </w:pPr>
      <w:r>
        <w:rPr>
          <w:rFonts w:cs="FrankRuehl"/>
          <w:sz w:val="28"/>
          <w:szCs w:val="28"/>
          <w:rtl/>
        </w:rPr>
        <w:t xml:space="preserve">בטיעוניו הסביר הסנגור כי העבירות בוצעו על רקע שימוש מסיבי בסמים, מדובר בנאשם שמכור לסמים לאורך מרבית חייו הבגירים, </w:t>
      </w:r>
      <w:r>
        <w:rPr>
          <w:rFonts w:cs="FrankRuehl" w:hint="cs"/>
          <w:sz w:val="28"/>
          <w:szCs w:val="28"/>
          <w:rtl/>
        </w:rPr>
        <w:t xml:space="preserve">לזכותו טען כי </w:t>
      </w:r>
      <w:r>
        <w:rPr>
          <w:rFonts w:cs="FrankRuehl"/>
          <w:sz w:val="28"/>
          <w:szCs w:val="28"/>
          <w:rtl/>
        </w:rPr>
        <w:t>הנאשם הודה בהזדמנות הראשונה הן בחקירתו הראשונה, הן בבית המשפט</w:t>
      </w:r>
      <w:r>
        <w:rPr>
          <w:rFonts w:cs="FrankRuehl" w:hint="cs"/>
          <w:sz w:val="28"/>
          <w:szCs w:val="28"/>
          <w:rtl/>
        </w:rPr>
        <w:t xml:space="preserve"> ו</w:t>
      </w:r>
      <w:r>
        <w:rPr>
          <w:rFonts w:cs="FrankRuehl"/>
          <w:sz w:val="28"/>
          <w:szCs w:val="28"/>
          <w:rtl/>
        </w:rPr>
        <w:t>הביע חרטה על מעשיו</w:t>
      </w:r>
      <w:r>
        <w:rPr>
          <w:rFonts w:cs="FrankRuehl" w:hint="cs"/>
          <w:sz w:val="28"/>
          <w:szCs w:val="28"/>
          <w:rtl/>
        </w:rPr>
        <w:t>.  הסניגור המשיך ו</w:t>
      </w:r>
      <w:r>
        <w:rPr>
          <w:rFonts w:cs="FrankRuehl"/>
          <w:sz w:val="28"/>
          <w:szCs w:val="28"/>
          <w:rtl/>
        </w:rPr>
        <w:t>היפנה לנסיבות חייו הקשות של הנאשם כמפורט בתסקירים, אביו נפטר ממנת יתר, הנאשם בילה את מרבית חייו, בבתי סוהר, כ- 15 שנה במצטבר</w:t>
      </w:r>
      <w:r>
        <w:rPr>
          <w:rFonts w:cs="FrankRuehl" w:hint="cs"/>
          <w:sz w:val="28"/>
          <w:szCs w:val="28"/>
          <w:rtl/>
        </w:rPr>
        <w:t>.</w:t>
      </w:r>
      <w:r>
        <w:rPr>
          <w:rFonts w:cs="FrankRuehl"/>
          <w:sz w:val="28"/>
          <w:szCs w:val="28"/>
          <w:rtl/>
        </w:rPr>
        <w:t xml:space="preserve">  באשר לגובה העונש, </w:t>
      </w:r>
      <w:r>
        <w:rPr>
          <w:rFonts w:cs="FrankRuehl" w:hint="cs"/>
          <w:sz w:val="28"/>
          <w:szCs w:val="28"/>
          <w:rtl/>
        </w:rPr>
        <w:t xml:space="preserve">אם תדחה בקשת הנאשם להפנותו להמשך ההליך הטיפולי, </w:t>
      </w:r>
      <w:r>
        <w:rPr>
          <w:rFonts w:cs="FrankRuehl"/>
          <w:sz w:val="28"/>
          <w:szCs w:val="28"/>
          <w:rtl/>
        </w:rPr>
        <w:t>ביקש הסנגור להסתפק בתקופת מעצרו של הנאשם- כ-7 חודשים גם משום שבעבירות לא נגרם נזק לציבור. לתמיכה בטיעוניו הפנה לפסקי דין שונים.</w:t>
      </w:r>
    </w:p>
    <w:p w14:paraId="7E846C1D" w14:textId="77777777" w:rsidR="00D035BF" w:rsidRDefault="00D035BF">
      <w:pPr>
        <w:spacing w:line="360" w:lineRule="auto"/>
        <w:ind w:left="720"/>
        <w:jc w:val="both"/>
        <w:rPr>
          <w:rFonts w:cs="FrankRuehl"/>
          <w:sz w:val="28"/>
          <w:szCs w:val="28"/>
        </w:rPr>
      </w:pPr>
    </w:p>
    <w:p w14:paraId="39349B55" w14:textId="77777777" w:rsidR="00D035BF" w:rsidRDefault="00B5718E">
      <w:pPr>
        <w:spacing w:line="360" w:lineRule="auto"/>
        <w:ind w:left="720"/>
        <w:jc w:val="both"/>
        <w:rPr>
          <w:rFonts w:cs="FrankRuehl"/>
          <w:sz w:val="28"/>
          <w:szCs w:val="28"/>
          <w:rtl/>
        </w:rPr>
      </w:pPr>
      <w:r>
        <w:rPr>
          <w:rFonts w:cs="FrankRuehl"/>
          <w:sz w:val="28"/>
          <w:szCs w:val="28"/>
          <w:rtl/>
        </w:rPr>
        <w:t>בתום הטיעונים</w:t>
      </w:r>
      <w:r>
        <w:rPr>
          <w:rFonts w:cs="FrankRuehl" w:hint="cs"/>
          <w:sz w:val="28"/>
          <w:szCs w:val="28"/>
          <w:rtl/>
        </w:rPr>
        <w:t>,</w:t>
      </w:r>
      <w:r>
        <w:rPr>
          <w:rFonts w:cs="FrankRuehl"/>
          <w:sz w:val="28"/>
          <w:szCs w:val="28"/>
          <w:rtl/>
        </w:rPr>
        <w:t xml:space="preserve"> הנאשם לא ביקש להוסיף דברים מעבר ל</w:t>
      </w:r>
      <w:r>
        <w:rPr>
          <w:rFonts w:cs="FrankRuehl" w:hint="cs"/>
          <w:sz w:val="28"/>
          <w:szCs w:val="28"/>
          <w:rtl/>
        </w:rPr>
        <w:t xml:space="preserve">בקשתו שנאמרה </w:t>
      </w:r>
      <w:r>
        <w:rPr>
          <w:rFonts w:cs="FrankRuehl"/>
          <w:sz w:val="28"/>
          <w:szCs w:val="28"/>
          <w:rtl/>
        </w:rPr>
        <w:t>במ</w:t>
      </w:r>
      <w:r>
        <w:rPr>
          <w:rFonts w:cs="FrankRuehl" w:hint="cs"/>
          <w:sz w:val="28"/>
          <w:szCs w:val="28"/>
          <w:rtl/>
        </w:rPr>
        <w:t>ה</w:t>
      </w:r>
      <w:r>
        <w:rPr>
          <w:rFonts w:cs="FrankRuehl"/>
          <w:sz w:val="28"/>
          <w:szCs w:val="28"/>
          <w:rtl/>
        </w:rPr>
        <w:t>לך הדיון בדבר מתן הזדמנות נוספת לקבלת אפשרות לגמילה.</w:t>
      </w:r>
    </w:p>
    <w:p w14:paraId="3237DD07" w14:textId="77777777" w:rsidR="00D035BF" w:rsidRDefault="00D035BF">
      <w:pPr>
        <w:spacing w:line="360" w:lineRule="auto"/>
        <w:ind w:left="720"/>
        <w:jc w:val="both"/>
        <w:rPr>
          <w:rFonts w:cs="FrankRuehl"/>
          <w:sz w:val="28"/>
          <w:szCs w:val="28"/>
          <w:rtl/>
        </w:rPr>
      </w:pPr>
    </w:p>
    <w:p w14:paraId="24272485" w14:textId="77777777" w:rsidR="00D035BF" w:rsidRDefault="00B5718E">
      <w:pPr>
        <w:spacing w:line="360" w:lineRule="auto"/>
        <w:ind w:left="720"/>
        <w:jc w:val="both"/>
        <w:rPr>
          <w:rFonts w:cs="FrankRuehl"/>
          <w:sz w:val="28"/>
          <w:szCs w:val="28"/>
          <w:rtl/>
        </w:rPr>
      </w:pPr>
      <w:r>
        <w:rPr>
          <w:rFonts w:cs="FrankRuehl" w:hint="cs"/>
          <w:sz w:val="28"/>
          <w:szCs w:val="28"/>
          <w:rtl/>
        </w:rPr>
        <w:t>לאחר הדיון שלח הנאשם הודעה לפיה למחרת הדיון פנה ביוזמתו ל"יחידה לטפול בנפגעי התמכרויות-צפת" ובבדיקות שתן שנעשו לו באותו יום נמצא נקי מסמים, וביום 4.3.15 שלח הודעה נוספת ממנה משתמע כי התייצב ביוזמתו בפני שירות המבחן.</w:t>
      </w:r>
    </w:p>
    <w:p w14:paraId="0CB0C707" w14:textId="77777777" w:rsidR="00D035BF" w:rsidRDefault="00D035BF">
      <w:pPr>
        <w:spacing w:line="360" w:lineRule="auto"/>
        <w:ind w:left="720"/>
        <w:jc w:val="both"/>
        <w:rPr>
          <w:rFonts w:cs="FrankRuehl"/>
          <w:sz w:val="28"/>
          <w:szCs w:val="28"/>
          <w:rtl/>
        </w:rPr>
      </w:pPr>
    </w:p>
    <w:p w14:paraId="74D020AC" w14:textId="77777777" w:rsidR="00D035BF" w:rsidRDefault="00B5718E">
      <w:pPr>
        <w:spacing w:line="360" w:lineRule="auto"/>
        <w:ind w:left="360" w:firstLine="360"/>
        <w:rPr>
          <w:rFonts w:cs="Miriam"/>
        </w:rPr>
      </w:pPr>
      <w:r>
        <w:rPr>
          <w:rFonts w:cs="Miriam"/>
          <w:rtl/>
        </w:rPr>
        <w:t>דיון</w:t>
      </w:r>
    </w:p>
    <w:p w14:paraId="6F824B1C" w14:textId="77777777" w:rsidR="00D035BF" w:rsidRDefault="00B5718E">
      <w:pPr>
        <w:spacing w:line="360" w:lineRule="auto"/>
        <w:ind w:left="720"/>
        <w:jc w:val="both"/>
        <w:rPr>
          <w:rFonts w:cs="FrankRuehl"/>
          <w:sz w:val="28"/>
          <w:szCs w:val="28"/>
          <w:rtl/>
        </w:rPr>
      </w:pPr>
      <w:r>
        <w:rPr>
          <w:rFonts w:cs="FrankRuehl"/>
          <w:sz w:val="28"/>
          <w:szCs w:val="28"/>
          <w:rtl/>
        </w:rPr>
        <w:t>אקדים ואבהיר כי הגיע הזמן לגזור את דינו של הנאשם, הנאשם הורשע ביום 14.1.2014, לאחר מכן קוימו 4 ישיבות  בה</w:t>
      </w:r>
      <w:r>
        <w:rPr>
          <w:rFonts w:cs="FrankRuehl" w:hint="cs"/>
          <w:sz w:val="28"/>
          <w:szCs w:val="28"/>
          <w:rtl/>
        </w:rPr>
        <w:t>ן</w:t>
      </w:r>
      <w:r>
        <w:rPr>
          <w:rFonts w:cs="FrankRuehl"/>
          <w:sz w:val="28"/>
          <w:szCs w:val="28"/>
          <w:rtl/>
        </w:rPr>
        <w:t xml:space="preserve"> נשמעו טיעונים בקשר לעונש ולגבי דרכי </w:t>
      </w:r>
      <w:r>
        <w:rPr>
          <w:rFonts w:cs="FrankRuehl" w:hint="cs"/>
          <w:sz w:val="28"/>
          <w:szCs w:val="28"/>
          <w:rtl/>
        </w:rPr>
        <w:t>ה</w:t>
      </w:r>
      <w:r>
        <w:rPr>
          <w:rFonts w:cs="FrankRuehl"/>
          <w:sz w:val="28"/>
          <w:szCs w:val="28"/>
          <w:rtl/>
        </w:rPr>
        <w:t>טיפול בנאשם</w:t>
      </w:r>
      <w:r>
        <w:rPr>
          <w:rFonts w:cs="FrankRuehl" w:hint="cs"/>
          <w:sz w:val="28"/>
          <w:szCs w:val="28"/>
          <w:rtl/>
        </w:rPr>
        <w:t xml:space="preserve">. </w:t>
      </w:r>
    </w:p>
    <w:p w14:paraId="74886F46" w14:textId="77777777" w:rsidR="00D035BF" w:rsidRDefault="00B5718E">
      <w:pPr>
        <w:spacing w:line="360" w:lineRule="auto"/>
        <w:ind w:left="720"/>
        <w:jc w:val="both"/>
        <w:rPr>
          <w:rFonts w:cs="FrankRuehl"/>
          <w:sz w:val="28"/>
          <w:szCs w:val="28"/>
          <w:rtl/>
        </w:rPr>
      </w:pPr>
      <w:r>
        <w:rPr>
          <w:rFonts w:cs="FrankRuehl"/>
          <w:sz w:val="28"/>
          <w:szCs w:val="28"/>
          <w:rtl/>
        </w:rPr>
        <w:t>נעתרתי לבקשות הנאשם, וננקטו בהתאם הליכי טיפול, משזנח הנאשם ביוזמתו את הליכי הטיפול וניתק את הקשר עם שירות המבחן, אין הצדקה להיענות לבקשתו ולשוב ול</w:t>
      </w:r>
      <w:r>
        <w:rPr>
          <w:rFonts w:cs="FrankRuehl" w:hint="cs"/>
          <w:sz w:val="28"/>
          <w:szCs w:val="28"/>
          <w:rtl/>
        </w:rPr>
        <w:t>ה</w:t>
      </w:r>
      <w:r>
        <w:rPr>
          <w:rFonts w:cs="FrankRuehl"/>
          <w:sz w:val="28"/>
          <w:szCs w:val="28"/>
          <w:rtl/>
        </w:rPr>
        <w:t>פנות</w:t>
      </w:r>
      <w:r>
        <w:rPr>
          <w:rFonts w:cs="FrankRuehl" w:hint="cs"/>
          <w:sz w:val="28"/>
          <w:szCs w:val="28"/>
          <w:rtl/>
        </w:rPr>
        <w:t>ו</w:t>
      </w:r>
      <w:r>
        <w:rPr>
          <w:rFonts w:cs="FrankRuehl"/>
          <w:sz w:val="28"/>
          <w:szCs w:val="28"/>
          <w:rtl/>
        </w:rPr>
        <w:t xml:space="preserve"> לשירות המבחן.</w:t>
      </w:r>
      <w:r>
        <w:rPr>
          <w:rFonts w:cs="FrankRuehl" w:hint="cs"/>
          <w:sz w:val="28"/>
          <w:szCs w:val="28"/>
          <w:rtl/>
        </w:rPr>
        <w:t xml:space="preserve"> </w:t>
      </w:r>
    </w:p>
    <w:p w14:paraId="3121C53E" w14:textId="77777777" w:rsidR="00D035BF" w:rsidRDefault="00D035BF">
      <w:pPr>
        <w:spacing w:line="360" w:lineRule="auto"/>
        <w:ind w:left="720"/>
        <w:jc w:val="both"/>
        <w:rPr>
          <w:rFonts w:cs="FrankRuehl"/>
          <w:sz w:val="28"/>
          <w:szCs w:val="28"/>
          <w:rtl/>
        </w:rPr>
      </w:pPr>
    </w:p>
    <w:p w14:paraId="7798BC41" w14:textId="77777777" w:rsidR="00D035BF" w:rsidRDefault="00B5718E">
      <w:pPr>
        <w:spacing w:line="360" w:lineRule="auto"/>
        <w:ind w:left="720"/>
        <w:jc w:val="both"/>
        <w:rPr>
          <w:rFonts w:cs="FrankRuehl"/>
          <w:sz w:val="28"/>
          <w:szCs w:val="28"/>
          <w:rtl/>
        </w:rPr>
      </w:pPr>
      <w:r>
        <w:rPr>
          <w:rFonts w:cs="FrankRuehl" w:hint="cs"/>
          <w:sz w:val="28"/>
          <w:szCs w:val="28"/>
          <w:rtl/>
        </w:rPr>
        <w:t xml:space="preserve">עוד אוסיף כי אין לי היום אימון הנאשם. כפי שאפרט בהמשך, ביום 22.1.2015 עזב הנאשם את הקהילה הטיפולית ומשנעשה ניסיון להחזירו לתלם, הוא לא התייצב לפגישה שנקבעה לו בשירות המבחן ליום 27.1.2015. חשוב להדגיש כי הנאשם גם לא יזם פנייה לבית המשפט לאחר 22.1.2015 ובחר להיות ללא כל מסגרת מחייבת, לא במעצר, לא שיחרור בתנאים מגבילים וגם לא שהייה בקהילה טיפולית. </w:t>
      </w:r>
    </w:p>
    <w:p w14:paraId="397AF68F" w14:textId="77777777" w:rsidR="00D035BF" w:rsidRDefault="00B5718E">
      <w:pPr>
        <w:spacing w:line="360" w:lineRule="auto"/>
        <w:ind w:left="720"/>
        <w:jc w:val="both"/>
        <w:rPr>
          <w:rFonts w:cs="FrankRuehl"/>
          <w:sz w:val="28"/>
          <w:szCs w:val="28"/>
          <w:rtl/>
        </w:rPr>
      </w:pPr>
      <w:r>
        <w:rPr>
          <w:rFonts w:cs="FrankRuehl" w:hint="cs"/>
          <w:sz w:val="28"/>
          <w:szCs w:val="28"/>
          <w:rtl/>
        </w:rPr>
        <w:t xml:space="preserve">לאחר שנסתיימו הטיעונים לעונש בישיבת 24.2.2015, וכאשר שני הצדדים ממתינים להכרעתי, האם יתבקש תסקיר נוסף או יינתן גזר דין, בחר הנאשם לפתע להיות אקטיבי, ולנסות "לקבוע עובדות" בדרך של ביצוע פעולות ומשלוח הודעות ובקשות לבית משפט. ביום 1.3.2015 שלח הודעה על כוונה להתחיל טיפול במרכז נפגעי התמכרויות בצפת ומשתהיתי מהי הדרך הדיונית להודעות שכאלו ושהזכרתי בהחלטתי מאותו יום כי יש להמתין להחלטתי שתנתן ביום 10.3.15, לא שקט הנאשם על שמריו וביום 4.3.15 הגיש בקשה חדשה והפעם הוא ביקש כי אורה לשירות המבחן להגיש תסקיר עדכני, ומיד נשאלת השאלה באיזה עדכון מדובר, הרי הדיון מיום 24.2.2015 הסתיים בבקשה דומה ועל הנאשם היה להמתין להחלטתי. אזכיר כי הנאשם לא התייצב לפגישה עם קצינת המבחן שנקבעה ליום 27.1.15 וכשנשאל על כך בדיון האחרון, העלה טענה כי לא נקבעה פגישה כלל, או במילים אחרות לגרסתו דברי קצינת המבחן בדבר פגישה אליה לא הגיע, הם אינם דברי אמת. </w:t>
      </w:r>
    </w:p>
    <w:p w14:paraId="3D51A9FC" w14:textId="77777777" w:rsidR="00D035BF" w:rsidRDefault="00D035BF">
      <w:pPr>
        <w:spacing w:line="360" w:lineRule="auto"/>
        <w:ind w:left="720"/>
        <w:jc w:val="both"/>
        <w:rPr>
          <w:rFonts w:cs="FrankRuehl"/>
          <w:sz w:val="28"/>
          <w:szCs w:val="28"/>
          <w:rtl/>
        </w:rPr>
      </w:pPr>
    </w:p>
    <w:p w14:paraId="00F300D1" w14:textId="77777777" w:rsidR="00D035BF" w:rsidRDefault="00B5718E">
      <w:pPr>
        <w:spacing w:line="360" w:lineRule="auto"/>
        <w:ind w:left="720"/>
        <w:jc w:val="both"/>
        <w:rPr>
          <w:rFonts w:cs="FrankRuehl"/>
          <w:sz w:val="28"/>
          <w:szCs w:val="28"/>
          <w:rtl/>
        </w:rPr>
      </w:pPr>
      <w:r>
        <w:rPr>
          <w:rFonts w:cs="FrankRuehl" w:hint="cs"/>
          <w:sz w:val="28"/>
          <w:szCs w:val="28"/>
          <w:rtl/>
        </w:rPr>
        <w:t>קצתי במניפולציות שעושה הנאשם, אליהן אתייחס בהמשך, לנאשם ניתנה הזדמנות למסגרת טיפולית, לא רק שהוא נטש את הקהילה הטיפולית ביום 22.1.2015, הוא גם לא התייצב לפגישה בשירות המבחן ביום 27.1.15 ולא פנה לבית המשפט במשך חודש תמים בו היה מחוץ לכל מסגרת מוגדרת. לצערי, איני יכול לתת אמון נוסף בנאשם ולכן דינו ייגזר היום.</w:t>
      </w:r>
    </w:p>
    <w:p w14:paraId="0573045B" w14:textId="77777777" w:rsidR="00D035BF" w:rsidRDefault="00D035BF">
      <w:pPr>
        <w:spacing w:line="360" w:lineRule="auto"/>
        <w:ind w:left="720"/>
        <w:jc w:val="both"/>
        <w:rPr>
          <w:rFonts w:cs="FrankRuehl"/>
          <w:color w:val="000000"/>
          <w:sz w:val="28"/>
          <w:szCs w:val="28"/>
          <w:rtl/>
        </w:rPr>
      </w:pPr>
    </w:p>
    <w:p w14:paraId="287AD3E7" w14:textId="77777777" w:rsidR="00D035BF" w:rsidRDefault="00B5718E">
      <w:pPr>
        <w:spacing w:line="360" w:lineRule="auto"/>
        <w:ind w:left="720"/>
        <w:jc w:val="both"/>
        <w:rPr>
          <w:rFonts w:cs="FrankRuehl"/>
          <w:color w:val="000000"/>
          <w:sz w:val="28"/>
          <w:szCs w:val="28"/>
          <w:rtl/>
        </w:rPr>
      </w:pPr>
      <w:r>
        <w:rPr>
          <w:rFonts w:cs="FrankRuehl"/>
          <w:color w:val="000000"/>
          <w:sz w:val="28"/>
          <w:szCs w:val="28"/>
          <w:rtl/>
        </w:rPr>
        <w:t>במקרה זה חל תיקון 113 לחוק שקובע כי "</w:t>
      </w:r>
      <w:r>
        <w:rPr>
          <w:rFonts w:cs="FrankRuehl"/>
          <w:sz w:val="28"/>
          <w:szCs w:val="28"/>
          <w:rtl/>
        </w:rPr>
        <w:t>העיקרון המנחה בענישה הוא קיומו של יחס הולם בין חומרת מעשה העבירה בנסיבותיו ומידת אשמו של הנאשם ובין סוג ומידת העונש המוטל עלי</w:t>
      </w:r>
      <w:r>
        <w:rPr>
          <w:rFonts w:cs="FrankRuehl"/>
          <w:color w:val="000000"/>
          <w:sz w:val="28"/>
          <w:szCs w:val="28"/>
          <w:rtl/>
        </w:rPr>
        <w:t>ו" (</w:t>
      </w:r>
      <w:hyperlink r:id="rId23" w:history="1">
        <w:r w:rsidR="00F40891" w:rsidRPr="00F40891">
          <w:rPr>
            <w:rStyle w:val="Hyperlink"/>
            <w:rFonts w:cs="FrankRuehl"/>
            <w:sz w:val="28"/>
            <w:szCs w:val="28"/>
            <w:rtl/>
          </w:rPr>
          <w:t>סעיף 40ב'</w:t>
        </w:r>
      </w:hyperlink>
      <w:r>
        <w:rPr>
          <w:rFonts w:cs="FrankRuehl"/>
          <w:color w:val="000000"/>
          <w:sz w:val="28"/>
          <w:szCs w:val="28"/>
          <w:rtl/>
        </w:rPr>
        <w:t xml:space="preserve"> לחוק).</w:t>
      </w:r>
    </w:p>
    <w:p w14:paraId="0B2016C7" w14:textId="77777777" w:rsidR="00D035BF" w:rsidRDefault="00D035BF">
      <w:pPr>
        <w:spacing w:line="360" w:lineRule="auto"/>
        <w:ind w:left="720"/>
        <w:jc w:val="both"/>
        <w:rPr>
          <w:rFonts w:cs="FrankRuehl"/>
          <w:color w:val="000000"/>
          <w:sz w:val="28"/>
          <w:szCs w:val="28"/>
          <w:rtl/>
        </w:rPr>
      </w:pPr>
    </w:p>
    <w:p w14:paraId="691679EA" w14:textId="77777777" w:rsidR="00D035BF" w:rsidRDefault="00B5718E">
      <w:pPr>
        <w:spacing w:line="360" w:lineRule="auto"/>
        <w:ind w:left="720"/>
        <w:jc w:val="both"/>
        <w:rPr>
          <w:rFonts w:cs="FrankRuehl"/>
          <w:color w:val="000000"/>
          <w:sz w:val="28"/>
          <w:szCs w:val="28"/>
          <w:rtl/>
        </w:rPr>
      </w:pPr>
      <w:r>
        <w:rPr>
          <w:rFonts w:cs="FrankRuehl"/>
          <w:color w:val="000000"/>
          <w:sz w:val="28"/>
          <w:szCs w:val="28"/>
          <w:rtl/>
        </w:rPr>
        <w:t xml:space="preserve">בטרם אנתח טענות הצדדים אבהיר כי המסגרת העובדתית תהא לפי עובדות כתב האישום המתוקן, ואתעלם מטענות שהועלו לכאורה מפי הנאשם במכתבו ס/2 או בטיעוניו האחרים, ככל שנוגע לטענות הסותרות את עובדות כתב האישום המתוקן, לרבות </w:t>
      </w:r>
      <w:r>
        <w:rPr>
          <w:rFonts w:cs="FrankRuehl" w:hint="cs"/>
          <w:color w:val="000000"/>
          <w:sz w:val="28"/>
          <w:szCs w:val="28"/>
          <w:rtl/>
        </w:rPr>
        <w:t xml:space="preserve">ניסיונו לסתור את </w:t>
      </w:r>
      <w:r>
        <w:rPr>
          <w:rFonts w:cs="FrankRuehl"/>
          <w:color w:val="000000"/>
          <w:sz w:val="28"/>
          <w:szCs w:val="28"/>
          <w:rtl/>
        </w:rPr>
        <w:t xml:space="preserve">האמור בסעיף 5 לכתב האישום לפיו החזקת הסמים נעשתה שלא לצריכתו העצמית בלבד, (ראו לענין זה </w:t>
      </w:r>
      <w:hyperlink r:id="rId24" w:history="1">
        <w:r w:rsidRPr="00B5718E">
          <w:rPr>
            <w:rFonts w:cs="FrankRuehl"/>
            <w:color w:val="0000FF"/>
            <w:sz w:val="28"/>
            <w:szCs w:val="28"/>
            <w:u w:val="single"/>
            <w:rtl/>
          </w:rPr>
          <w:t>ע"פ 6802/14</w:t>
        </w:r>
      </w:hyperlink>
      <w:r>
        <w:rPr>
          <w:rFonts w:cs="FrankRuehl"/>
          <w:color w:val="000000"/>
          <w:sz w:val="28"/>
          <w:szCs w:val="28"/>
          <w:rtl/>
        </w:rPr>
        <w:t xml:space="preserve"> </w:t>
      </w:r>
      <w:r>
        <w:rPr>
          <w:rFonts w:cs="Miriam"/>
          <w:color w:val="000000"/>
          <w:rtl/>
        </w:rPr>
        <w:t>פלוני נגד מדינת ישראל</w:t>
      </w:r>
      <w:r>
        <w:rPr>
          <w:rFonts w:cs="FrankRuehl"/>
          <w:color w:val="000000"/>
          <w:sz w:val="28"/>
          <w:szCs w:val="28"/>
          <w:rtl/>
        </w:rPr>
        <w:t xml:space="preserve"> </w:t>
      </w:r>
      <w:r>
        <w:rPr>
          <w:rFonts w:cs="FrankRuehl" w:hint="cs"/>
          <w:color w:val="000000"/>
          <w:sz w:val="28"/>
          <w:szCs w:val="28"/>
          <w:rtl/>
        </w:rPr>
        <w:t>(</w:t>
      </w:r>
      <w:r>
        <w:rPr>
          <w:rFonts w:cs="FrankRuehl"/>
          <w:color w:val="000000"/>
          <w:sz w:val="28"/>
          <w:szCs w:val="28"/>
          <w:rtl/>
        </w:rPr>
        <w:t>6.1.2015)).</w:t>
      </w:r>
    </w:p>
    <w:p w14:paraId="1E4FEF3F" w14:textId="77777777" w:rsidR="00D035BF" w:rsidRDefault="00D035BF">
      <w:pPr>
        <w:spacing w:line="360" w:lineRule="auto"/>
        <w:ind w:left="720"/>
        <w:jc w:val="both"/>
        <w:rPr>
          <w:rFonts w:cs="FrankRuehl"/>
          <w:color w:val="000000"/>
          <w:sz w:val="28"/>
          <w:szCs w:val="28"/>
          <w:rtl/>
        </w:rPr>
      </w:pPr>
    </w:p>
    <w:p w14:paraId="7B9A0EF6" w14:textId="77777777" w:rsidR="00D035BF" w:rsidRDefault="00B5718E">
      <w:pPr>
        <w:spacing w:line="360" w:lineRule="auto"/>
        <w:ind w:left="360" w:firstLine="360"/>
        <w:rPr>
          <w:rFonts w:cs="Miriam"/>
          <w:rtl/>
        </w:rPr>
      </w:pPr>
      <w:r>
        <w:rPr>
          <w:rFonts w:cs="Miriam"/>
          <w:rtl/>
        </w:rPr>
        <w:t>מתחם העונש ההולם</w:t>
      </w:r>
    </w:p>
    <w:p w14:paraId="603CF3B8" w14:textId="77777777" w:rsidR="00D035BF" w:rsidRDefault="00B5718E">
      <w:pPr>
        <w:spacing w:line="360" w:lineRule="auto"/>
        <w:ind w:left="720"/>
        <w:jc w:val="both"/>
        <w:rPr>
          <w:rFonts w:cs="FrankRuehl"/>
          <w:sz w:val="28"/>
          <w:szCs w:val="28"/>
          <w:rtl/>
        </w:rPr>
      </w:pPr>
      <w:r>
        <w:rPr>
          <w:rFonts w:cs="FrankRuehl"/>
          <w:sz w:val="28"/>
          <w:szCs w:val="28"/>
          <w:rtl/>
        </w:rPr>
        <w:t xml:space="preserve">במקרה זה מדובר באירוע אחד, במהלך חיפוש בביתו של הנאשם נתפסו הסמים השונים, זמן קצר לפני כן כשהקישו השוטרים על דלת ביתו כדי להיכנס ולבצע החפוש, השמיד הנאשם במזיד ראיות מסוג סם </w:t>
      </w:r>
      <w:r>
        <w:rPr>
          <w:rFonts w:cs="FrankRuehl" w:hint="cs"/>
          <w:sz w:val="28"/>
          <w:szCs w:val="28"/>
          <w:rtl/>
        </w:rPr>
        <w:t xml:space="preserve">מסוכן </w:t>
      </w:r>
      <w:r>
        <w:rPr>
          <w:rFonts w:cs="FrankRuehl"/>
          <w:sz w:val="28"/>
          <w:szCs w:val="28"/>
          <w:rtl/>
        </w:rPr>
        <w:t xml:space="preserve">ובכך גם הכשיל שוטרים בעת מילוי תפקידם, במסגרת אותו פרק זמן קצר, פעל הנאשם באותה תוכנית עבריינית וקיים קשר הדוק בין כל מעשיו באותו זמן, (ראו לענין זה </w:t>
      </w:r>
      <w:r>
        <w:rPr>
          <w:rFonts w:cs="FrankRuehl" w:hint="cs"/>
          <w:spacing w:val="6"/>
          <w:sz w:val="28"/>
          <w:szCs w:val="28"/>
          <w:rtl/>
        </w:rPr>
        <w:t>ד</w:t>
      </w:r>
      <w:r>
        <w:rPr>
          <w:rFonts w:cs="FrankRuehl"/>
          <w:spacing w:val="6"/>
          <w:sz w:val="28"/>
          <w:szCs w:val="28"/>
          <w:rtl/>
        </w:rPr>
        <w:t>עת שלושת השופטים ב</w:t>
      </w:r>
      <w:hyperlink r:id="rId25" w:history="1">
        <w:r w:rsidRPr="00B5718E">
          <w:rPr>
            <w:rFonts w:cs="FrankRuehl"/>
            <w:color w:val="0000FF"/>
            <w:spacing w:val="6"/>
            <w:sz w:val="28"/>
            <w:szCs w:val="28"/>
            <w:u w:val="single"/>
            <w:rtl/>
          </w:rPr>
          <w:t>ע"פ 4910/13</w:t>
        </w:r>
      </w:hyperlink>
      <w:r>
        <w:rPr>
          <w:rFonts w:cs="FrankRuehl"/>
          <w:spacing w:val="6"/>
          <w:sz w:val="28"/>
          <w:szCs w:val="28"/>
          <w:rtl/>
        </w:rPr>
        <w:t xml:space="preserve"> </w:t>
      </w:r>
      <w:r>
        <w:rPr>
          <w:rFonts w:cs="Miriam"/>
          <w:spacing w:val="6"/>
          <w:rtl/>
        </w:rPr>
        <w:t>ג'אבר נגד מדינת ישראל</w:t>
      </w:r>
      <w:r>
        <w:rPr>
          <w:rFonts w:cs="FrankRuehl"/>
          <w:spacing w:val="6"/>
          <w:sz w:val="28"/>
          <w:szCs w:val="28"/>
          <w:rtl/>
        </w:rPr>
        <w:t>, (29.10.2014)</w:t>
      </w:r>
      <w:r>
        <w:rPr>
          <w:rFonts w:cs="FrankRuehl"/>
          <w:sz w:val="28"/>
          <w:szCs w:val="28"/>
          <w:rtl/>
        </w:rPr>
        <w:t>).</w:t>
      </w:r>
    </w:p>
    <w:p w14:paraId="1D5EB988" w14:textId="77777777" w:rsidR="00D035BF" w:rsidRDefault="00D035BF">
      <w:pPr>
        <w:spacing w:line="360" w:lineRule="auto"/>
        <w:ind w:left="720"/>
        <w:jc w:val="both"/>
        <w:rPr>
          <w:rFonts w:cs="FrankRuehl"/>
          <w:sz w:val="28"/>
          <w:szCs w:val="28"/>
          <w:rtl/>
        </w:rPr>
      </w:pPr>
    </w:p>
    <w:p w14:paraId="56004828" w14:textId="77777777" w:rsidR="00D035BF" w:rsidRDefault="00B5718E">
      <w:pPr>
        <w:spacing w:line="360" w:lineRule="auto"/>
        <w:ind w:left="720"/>
        <w:jc w:val="both"/>
        <w:rPr>
          <w:rFonts w:cs="FrankRuehl"/>
          <w:sz w:val="28"/>
          <w:szCs w:val="28"/>
          <w:rtl/>
        </w:rPr>
      </w:pPr>
      <w:r>
        <w:rPr>
          <w:rFonts w:cs="FrankRuehl"/>
          <w:sz w:val="28"/>
          <w:szCs w:val="28"/>
          <w:rtl/>
        </w:rPr>
        <w:t>במעשיו פגע הנאשם פגיעה לא מבוטלת בערכים חברתיים הקשורים בהגנה על שלום הציבור וביטחונו, לענין זה אפנה ל</w:t>
      </w:r>
      <w:hyperlink r:id="rId26" w:history="1">
        <w:r w:rsidRPr="00B5718E">
          <w:rPr>
            <w:rFonts w:cs="FrankRuehl"/>
            <w:color w:val="0000FF"/>
            <w:sz w:val="28"/>
            <w:szCs w:val="28"/>
            <w:u w:val="single"/>
            <w:rtl/>
          </w:rPr>
          <w:t>ע"פ 6990/13</w:t>
        </w:r>
      </w:hyperlink>
      <w:r>
        <w:rPr>
          <w:rFonts w:cs="FrankRuehl"/>
          <w:sz w:val="28"/>
          <w:szCs w:val="28"/>
          <w:rtl/>
        </w:rPr>
        <w:t xml:space="preserve"> שנדון במאוחד עם </w:t>
      </w:r>
      <w:hyperlink r:id="rId27" w:history="1">
        <w:r w:rsidRPr="00B5718E">
          <w:rPr>
            <w:rFonts w:cs="FrankRuehl"/>
            <w:color w:val="0000FF"/>
            <w:sz w:val="28"/>
            <w:szCs w:val="28"/>
            <w:u w:val="single"/>
            <w:rtl/>
          </w:rPr>
          <w:t>ע"פ 7046/13</w:t>
        </w:r>
      </w:hyperlink>
      <w:r>
        <w:rPr>
          <w:rFonts w:cs="FrankRuehl"/>
          <w:sz w:val="28"/>
          <w:szCs w:val="28"/>
          <w:rtl/>
        </w:rPr>
        <w:t xml:space="preserve">, </w:t>
      </w:r>
      <w:r>
        <w:rPr>
          <w:rFonts w:cs="Miriam"/>
          <w:rtl/>
        </w:rPr>
        <w:t>חט</w:t>
      </w:r>
      <w:r>
        <w:rPr>
          <w:rFonts w:cs="Miriam"/>
        </w:rPr>
        <w:t>'</w:t>
      </w:r>
      <w:r>
        <w:rPr>
          <w:rFonts w:cs="Miriam"/>
          <w:rtl/>
        </w:rPr>
        <w:t>יב נגד מדינת ישראל</w:t>
      </w:r>
      <w:r>
        <w:rPr>
          <w:rFonts w:cs="FrankRuehl"/>
          <w:sz w:val="28"/>
          <w:szCs w:val="28"/>
          <w:rtl/>
        </w:rPr>
        <w:t xml:space="preserve"> (24.2.2014):</w:t>
      </w:r>
    </w:p>
    <w:p w14:paraId="63DD17BF" w14:textId="77777777" w:rsidR="00D035BF" w:rsidRDefault="00B5718E">
      <w:pPr>
        <w:pStyle w:val="Ruller4"/>
        <w:spacing w:line="240" w:lineRule="auto"/>
        <w:ind w:left="1440" w:right="540"/>
        <w:rPr>
          <w:rFonts w:ascii="Times New Roman" w:hAnsi="Times New Roman"/>
          <w:sz w:val="28"/>
          <w:rtl/>
        </w:rPr>
      </w:pPr>
      <w:r>
        <w:rPr>
          <w:rFonts w:ascii="Times New Roman" w:hAnsi="Times New Roman"/>
          <w:sz w:val="28"/>
          <w:rtl/>
        </w:rPr>
        <w:t xml:space="preserve">"בית משפט זה הצביע בפסקי דין רבים על התוצאות הקשות וההרסניות הנגרמות בעקבות הפצת סמים מסוכנים, ובמיוחד הקשים שביניהם. 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w:t>
      </w:r>
      <w:r>
        <w:rPr>
          <w:rFonts w:ascii="Century" w:hAnsi="Century"/>
          <w:b/>
          <w:spacing w:val="0"/>
          <w:sz w:val="28"/>
          <w:rtl/>
        </w:rPr>
        <w:t>"</w:t>
      </w:r>
      <w:r>
        <w:rPr>
          <w:rFonts w:ascii="Century" w:hAnsi="Century" w:hint="eastAsia"/>
          <w:b/>
          <w:spacing w:val="0"/>
          <w:sz w:val="28"/>
          <w:rtl/>
        </w:rPr>
        <w:t>וידענו</w:t>
      </w:r>
      <w:r>
        <w:rPr>
          <w:rFonts w:ascii="Century" w:hAnsi="Century"/>
          <w:b/>
          <w:spacing w:val="0"/>
          <w:sz w:val="28"/>
          <w:rtl/>
        </w:rPr>
        <w:t xml:space="preserve"> </w:t>
      </w:r>
      <w:r>
        <w:rPr>
          <w:rFonts w:ascii="Century" w:hAnsi="Century" w:hint="eastAsia"/>
          <w:b/>
          <w:spacing w:val="0"/>
          <w:sz w:val="28"/>
          <w:rtl/>
        </w:rPr>
        <w:t>מכבר</w:t>
      </w:r>
      <w:r>
        <w:rPr>
          <w:rFonts w:ascii="Century" w:hAnsi="Century"/>
          <w:b/>
          <w:spacing w:val="0"/>
          <w:sz w:val="28"/>
          <w:rtl/>
        </w:rPr>
        <w:t xml:space="preserve"> </w:t>
      </w:r>
      <w:r>
        <w:rPr>
          <w:rFonts w:ascii="Century" w:hAnsi="Century" w:hint="eastAsia"/>
          <w:b/>
          <w:spacing w:val="0"/>
          <w:sz w:val="28"/>
          <w:rtl/>
        </w:rPr>
        <w:t>כי</w:t>
      </w:r>
      <w:r>
        <w:rPr>
          <w:rFonts w:ascii="Century" w:hAnsi="Century"/>
          <w:b/>
          <w:spacing w:val="0"/>
          <w:sz w:val="28"/>
          <w:rtl/>
        </w:rPr>
        <w:t xml:space="preserve"> </w:t>
      </w:r>
      <w:r>
        <w:rPr>
          <w:rFonts w:ascii="Century" w:hAnsi="Century" w:hint="eastAsia"/>
          <w:b/>
          <w:spacing w:val="0"/>
          <w:sz w:val="28"/>
          <w:rtl/>
        </w:rPr>
        <w:t>בלא</w:t>
      </w:r>
      <w:r>
        <w:rPr>
          <w:rFonts w:ascii="Century" w:hAnsi="Century"/>
          <w:b/>
          <w:spacing w:val="0"/>
          <w:sz w:val="28"/>
          <w:rtl/>
        </w:rPr>
        <w:t xml:space="preserve"> </w:t>
      </w:r>
      <w:r>
        <w:rPr>
          <w:rFonts w:ascii="Century" w:hAnsi="Century" w:hint="eastAsia"/>
          <w:b/>
          <w:spacing w:val="0"/>
          <w:sz w:val="28"/>
          <w:rtl/>
        </w:rPr>
        <w:t>חוליות</w:t>
      </w:r>
      <w:r>
        <w:rPr>
          <w:rFonts w:ascii="Century" w:hAnsi="Century"/>
          <w:b/>
          <w:spacing w:val="0"/>
          <w:sz w:val="28"/>
          <w:rtl/>
        </w:rPr>
        <w:t>-</w:t>
      </w:r>
      <w:r>
        <w:rPr>
          <w:rFonts w:ascii="Century" w:hAnsi="Century" w:hint="eastAsia"/>
          <w:b/>
          <w:spacing w:val="0"/>
          <w:sz w:val="28"/>
          <w:rtl/>
        </w:rPr>
        <w:t>הביניים</w:t>
      </w:r>
      <w:r>
        <w:rPr>
          <w:rFonts w:ascii="Century" w:hAnsi="Century"/>
          <w:b/>
          <w:spacing w:val="0"/>
          <w:sz w:val="28"/>
          <w:rtl/>
        </w:rPr>
        <w:t xml:space="preserve"> </w:t>
      </w:r>
      <w:r>
        <w:rPr>
          <w:rFonts w:ascii="Century" w:hAnsi="Century" w:hint="eastAsia"/>
          <w:b/>
          <w:spacing w:val="0"/>
          <w:sz w:val="28"/>
          <w:rtl/>
        </w:rPr>
        <w:t>המרכיבות</w:t>
      </w:r>
      <w:r>
        <w:rPr>
          <w:rFonts w:ascii="Century" w:hAnsi="Century"/>
          <w:b/>
          <w:spacing w:val="0"/>
          <w:sz w:val="28"/>
          <w:rtl/>
        </w:rPr>
        <w:t xml:space="preserve"> </w:t>
      </w:r>
      <w:r>
        <w:rPr>
          <w:rFonts w:ascii="Century" w:hAnsi="Century" w:hint="eastAsia"/>
          <w:b/>
          <w:spacing w:val="0"/>
          <w:sz w:val="28"/>
          <w:rtl/>
        </w:rPr>
        <w:t>את</w:t>
      </w:r>
      <w:r>
        <w:rPr>
          <w:rFonts w:ascii="Century" w:hAnsi="Century"/>
          <w:b/>
          <w:spacing w:val="0"/>
          <w:sz w:val="28"/>
          <w:rtl/>
        </w:rPr>
        <w:t xml:space="preserve"> </w:t>
      </w:r>
      <w:r>
        <w:rPr>
          <w:rFonts w:ascii="Century" w:hAnsi="Century" w:hint="eastAsia"/>
          <w:b/>
          <w:spacing w:val="0"/>
          <w:sz w:val="28"/>
          <w:rtl/>
        </w:rPr>
        <w:t>השרשרת</w:t>
      </w:r>
      <w:r>
        <w:rPr>
          <w:rFonts w:ascii="Century" w:hAnsi="Century"/>
          <w:b/>
          <w:spacing w:val="0"/>
          <w:sz w:val="28"/>
          <w:rtl/>
        </w:rPr>
        <w:t xml:space="preserve"> </w:t>
      </w:r>
      <w:r>
        <w:rPr>
          <w:rFonts w:ascii="Century" w:hAnsi="Century" w:hint="eastAsia"/>
          <w:b/>
          <w:spacing w:val="0"/>
          <w:sz w:val="28"/>
          <w:rtl/>
        </w:rPr>
        <w:t>יתקשו</w:t>
      </w:r>
      <w:r>
        <w:rPr>
          <w:rFonts w:ascii="Century" w:hAnsi="Century"/>
          <w:b/>
          <w:spacing w:val="0"/>
          <w:sz w:val="28"/>
          <w:rtl/>
        </w:rPr>
        <w:t xml:space="preserve"> </w:t>
      </w:r>
      <w:r>
        <w:rPr>
          <w:rFonts w:ascii="Century" w:hAnsi="Century" w:hint="eastAsia"/>
          <w:b/>
          <w:spacing w:val="0"/>
          <w:sz w:val="28"/>
          <w:rtl/>
        </w:rPr>
        <w:t>עברייני</w:t>
      </w:r>
      <w:r>
        <w:rPr>
          <w:rFonts w:ascii="Century" w:hAnsi="Century"/>
          <w:b/>
          <w:spacing w:val="0"/>
          <w:sz w:val="28"/>
          <w:rtl/>
        </w:rPr>
        <w:t xml:space="preserve"> </w:t>
      </w:r>
      <w:r>
        <w:rPr>
          <w:rFonts w:ascii="Century" w:hAnsi="Century" w:hint="eastAsia"/>
          <w:b/>
          <w:spacing w:val="0"/>
          <w:sz w:val="28"/>
          <w:rtl/>
        </w:rPr>
        <w:t>הסמים</w:t>
      </w:r>
      <w:r>
        <w:rPr>
          <w:rFonts w:ascii="Century" w:hAnsi="Century"/>
          <w:b/>
          <w:spacing w:val="0"/>
          <w:sz w:val="28"/>
          <w:rtl/>
        </w:rPr>
        <w:t xml:space="preserve"> </w:t>
      </w:r>
      <w:r>
        <w:rPr>
          <w:rFonts w:ascii="Century" w:hAnsi="Century" w:hint="eastAsia"/>
          <w:b/>
          <w:spacing w:val="0"/>
          <w:sz w:val="28"/>
          <w:rtl/>
        </w:rPr>
        <w:t>העיקריים</w:t>
      </w:r>
      <w:r>
        <w:rPr>
          <w:rFonts w:ascii="Century" w:hAnsi="Century"/>
          <w:b/>
          <w:spacing w:val="0"/>
          <w:sz w:val="28"/>
          <w:rtl/>
        </w:rPr>
        <w:t xml:space="preserve"> </w:t>
      </w:r>
      <w:r>
        <w:rPr>
          <w:rFonts w:ascii="Century" w:hAnsi="Century" w:hint="eastAsia"/>
          <w:b/>
          <w:spacing w:val="0"/>
          <w:sz w:val="28"/>
          <w:rtl/>
        </w:rPr>
        <w:t>לבצע</w:t>
      </w:r>
      <w:r>
        <w:rPr>
          <w:rFonts w:ascii="Century" w:hAnsi="Century"/>
          <w:b/>
          <w:spacing w:val="0"/>
          <w:sz w:val="28"/>
          <w:rtl/>
        </w:rPr>
        <w:t xml:space="preserve"> </w:t>
      </w:r>
      <w:r>
        <w:rPr>
          <w:rFonts w:ascii="Century" w:hAnsi="Century" w:hint="eastAsia"/>
          <w:b/>
          <w:spacing w:val="0"/>
          <w:sz w:val="28"/>
          <w:rtl/>
        </w:rPr>
        <w:t>את</w:t>
      </w:r>
      <w:r>
        <w:rPr>
          <w:rFonts w:ascii="Century" w:hAnsi="Century"/>
          <w:b/>
          <w:spacing w:val="0"/>
          <w:sz w:val="28"/>
          <w:rtl/>
        </w:rPr>
        <w:t xml:space="preserve"> </w:t>
      </w:r>
      <w:r>
        <w:rPr>
          <w:rFonts w:ascii="Century" w:hAnsi="Century" w:hint="eastAsia"/>
          <w:b/>
          <w:spacing w:val="0"/>
          <w:sz w:val="28"/>
          <w:rtl/>
        </w:rPr>
        <w:t>זממם</w:t>
      </w:r>
      <w:r>
        <w:rPr>
          <w:rFonts w:ascii="Century" w:hAnsi="Century"/>
          <w:b/>
          <w:spacing w:val="0"/>
          <w:sz w:val="28"/>
          <w:rtl/>
        </w:rPr>
        <w:t xml:space="preserve">. </w:t>
      </w:r>
      <w:r>
        <w:rPr>
          <w:rFonts w:ascii="Century" w:hAnsi="Century" w:hint="eastAsia"/>
          <w:b/>
          <w:spacing w:val="0"/>
          <w:sz w:val="28"/>
          <w:rtl/>
        </w:rPr>
        <w:t>כנדרש</w:t>
      </w:r>
      <w:r>
        <w:rPr>
          <w:rFonts w:ascii="Century" w:hAnsi="Century"/>
          <w:b/>
          <w:spacing w:val="0"/>
          <w:sz w:val="28"/>
          <w:rtl/>
        </w:rPr>
        <w:t xml:space="preserve"> </w:t>
      </w:r>
      <w:r>
        <w:rPr>
          <w:rFonts w:ascii="Century" w:hAnsi="Century" w:hint="eastAsia"/>
          <w:b/>
          <w:spacing w:val="0"/>
          <w:sz w:val="28"/>
          <w:rtl/>
        </w:rPr>
        <w:t>מכאן</w:t>
      </w:r>
      <w:r>
        <w:rPr>
          <w:rFonts w:ascii="Century" w:hAnsi="Century"/>
          <w:b/>
          <w:spacing w:val="0"/>
          <w:sz w:val="28"/>
          <w:rtl/>
        </w:rPr>
        <w:t xml:space="preserve">, </w:t>
      </w:r>
      <w:r>
        <w:rPr>
          <w:rFonts w:ascii="Century" w:hAnsi="Century" w:hint="eastAsia"/>
          <w:b/>
          <w:spacing w:val="0"/>
          <w:sz w:val="28"/>
          <w:rtl/>
        </w:rPr>
        <w:t>חובה</w:t>
      </w:r>
      <w:r>
        <w:rPr>
          <w:rFonts w:ascii="Century" w:hAnsi="Century"/>
          <w:b/>
          <w:spacing w:val="0"/>
          <w:sz w:val="28"/>
          <w:rtl/>
        </w:rPr>
        <w:t xml:space="preserve"> </w:t>
      </w:r>
      <w:r>
        <w:rPr>
          <w:rFonts w:ascii="Century" w:hAnsi="Century" w:hint="eastAsia"/>
          <w:b/>
          <w:spacing w:val="0"/>
          <w:sz w:val="28"/>
          <w:rtl/>
        </w:rPr>
        <w:t>היא</w:t>
      </w:r>
      <w:r>
        <w:rPr>
          <w:rFonts w:ascii="Century" w:hAnsi="Century"/>
          <w:b/>
          <w:spacing w:val="0"/>
          <w:sz w:val="28"/>
          <w:rtl/>
        </w:rPr>
        <w:t xml:space="preserve"> </w:t>
      </w:r>
      <w:r>
        <w:rPr>
          <w:rFonts w:ascii="Century" w:hAnsi="Century" w:hint="eastAsia"/>
          <w:b/>
          <w:spacing w:val="0"/>
          <w:sz w:val="28"/>
          <w:rtl/>
        </w:rPr>
        <w:t>המוטלת</w:t>
      </w:r>
      <w:r>
        <w:rPr>
          <w:rFonts w:ascii="Century" w:hAnsi="Century"/>
          <w:b/>
          <w:spacing w:val="0"/>
          <w:sz w:val="28"/>
          <w:rtl/>
        </w:rPr>
        <w:t xml:space="preserve"> </w:t>
      </w:r>
      <w:r>
        <w:rPr>
          <w:rFonts w:ascii="Century" w:hAnsi="Century" w:hint="eastAsia"/>
          <w:b/>
          <w:spacing w:val="0"/>
          <w:sz w:val="28"/>
          <w:rtl/>
        </w:rPr>
        <w:t>עלינו</w:t>
      </w:r>
      <w:r>
        <w:rPr>
          <w:rFonts w:ascii="Century" w:hAnsi="Century"/>
          <w:b/>
          <w:spacing w:val="0"/>
          <w:sz w:val="28"/>
          <w:rtl/>
        </w:rPr>
        <w:t xml:space="preserve"> </w:t>
      </w:r>
      <w:r>
        <w:rPr>
          <w:rFonts w:ascii="Century" w:hAnsi="Century" w:hint="eastAsia"/>
          <w:b/>
          <w:spacing w:val="0"/>
          <w:sz w:val="28"/>
          <w:rtl/>
        </w:rPr>
        <w:t>להיאבק</w:t>
      </w:r>
      <w:r>
        <w:rPr>
          <w:rFonts w:ascii="Century" w:hAnsi="Century"/>
          <w:b/>
          <w:spacing w:val="0"/>
          <w:sz w:val="28"/>
          <w:rtl/>
        </w:rPr>
        <w:t xml:space="preserve"> </w:t>
      </w:r>
      <w:r>
        <w:rPr>
          <w:rFonts w:ascii="Century" w:hAnsi="Century" w:hint="eastAsia"/>
          <w:b/>
          <w:spacing w:val="0"/>
          <w:sz w:val="28"/>
          <w:rtl/>
        </w:rPr>
        <w:t>בכל</w:t>
      </w:r>
      <w:r>
        <w:rPr>
          <w:rFonts w:ascii="Century" w:hAnsi="Century"/>
          <w:b/>
          <w:spacing w:val="0"/>
          <w:sz w:val="28"/>
          <w:rtl/>
        </w:rPr>
        <w:t xml:space="preserve"> </w:t>
      </w:r>
      <w:r>
        <w:rPr>
          <w:rFonts w:ascii="Century" w:hAnsi="Century" w:hint="eastAsia"/>
          <w:b/>
          <w:spacing w:val="0"/>
          <w:sz w:val="28"/>
          <w:rtl/>
        </w:rPr>
        <w:t>חוליה</w:t>
      </w:r>
      <w:r>
        <w:rPr>
          <w:rFonts w:ascii="Century" w:hAnsi="Century"/>
          <w:b/>
          <w:spacing w:val="0"/>
          <w:sz w:val="28"/>
          <w:rtl/>
        </w:rPr>
        <w:t xml:space="preserve"> </w:t>
      </w:r>
      <w:r>
        <w:rPr>
          <w:rFonts w:ascii="Century" w:hAnsi="Century" w:hint="eastAsia"/>
          <w:b/>
          <w:spacing w:val="0"/>
          <w:sz w:val="28"/>
          <w:rtl/>
        </w:rPr>
        <w:t>וחוליה</w:t>
      </w:r>
      <w:r>
        <w:rPr>
          <w:rFonts w:ascii="Century" w:hAnsi="Century"/>
          <w:b/>
          <w:spacing w:val="0"/>
          <w:sz w:val="28"/>
          <w:rtl/>
        </w:rPr>
        <w:t xml:space="preserve"> </w:t>
      </w:r>
      <w:r>
        <w:rPr>
          <w:rFonts w:ascii="Century" w:hAnsi="Century" w:hint="eastAsia"/>
          <w:b/>
          <w:spacing w:val="0"/>
          <w:sz w:val="28"/>
          <w:rtl/>
        </w:rPr>
        <w:t>ולנתק</w:t>
      </w:r>
      <w:r>
        <w:rPr>
          <w:rFonts w:ascii="Century" w:hAnsi="Century"/>
          <w:b/>
          <w:spacing w:val="0"/>
          <w:sz w:val="28"/>
          <w:rtl/>
        </w:rPr>
        <w:t xml:space="preserve"> </w:t>
      </w:r>
      <w:r>
        <w:rPr>
          <w:rFonts w:ascii="Century" w:hAnsi="Century" w:hint="eastAsia"/>
          <w:b/>
          <w:spacing w:val="0"/>
          <w:sz w:val="28"/>
          <w:rtl/>
        </w:rPr>
        <w:t>את</w:t>
      </w:r>
      <w:r>
        <w:rPr>
          <w:rFonts w:ascii="Century" w:hAnsi="Century"/>
          <w:b/>
          <w:spacing w:val="0"/>
          <w:sz w:val="28"/>
          <w:rtl/>
        </w:rPr>
        <w:t xml:space="preserve"> </w:t>
      </w:r>
      <w:r>
        <w:rPr>
          <w:rFonts w:ascii="Century" w:hAnsi="Century" w:hint="eastAsia"/>
          <w:b/>
          <w:spacing w:val="0"/>
          <w:sz w:val="28"/>
          <w:rtl/>
        </w:rPr>
        <w:t>השרשרת</w:t>
      </w:r>
      <w:r>
        <w:rPr>
          <w:rFonts w:ascii="Century" w:hAnsi="Century"/>
          <w:b/>
          <w:spacing w:val="0"/>
          <w:sz w:val="28"/>
          <w:rtl/>
        </w:rPr>
        <w:t>"</w:t>
      </w:r>
      <w:r>
        <w:rPr>
          <w:sz w:val="28"/>
          <w:rtl/>
        </w:rPr>
        <w:t xml:space="preserve"> </w:t>
      </w:r>
      <w:r>
        <w:rPr>
          <w:rFonts w:ascii="Century" w:hAnsi="Century"/>
          <w:sz w:val="28"/>
          <w:rtl/>
        </w:rPr>
        <w:t>(</w:t>
      </w:r>
      <w:hyperlink r:id="rId28" w:history="1">
        <w:r w:rsidRPr="00B5718E">
          <w:rPr>
            <w:rFonts w:ascii="Century" w:hAnsi="Century" w:hint="eastAsia"/>
            <w:color w:val="0000FF"/>
            <w:sz w:val="28"/>
            <w:u w:val="single"/>
            <w:rtl/>
          </w:rPr>
          <w:t>ע</w:t>
        </w:r>
        <w:r w:rsidRPr="00B5718E">
          <w:rPr>
            <w:rFonts w:ascii="Century" w:hAnsi="Century"/>
            <w:color w:val="0000FF"/>
            <w:sz w:val="28"/>
            <w:u w:val="single"/>
            <w:rtl/>
          </w:rPr>
          <w:t>"</w:t>
        </w:r>
        <w:r w:rsidRPr="00B5718E">
          <w:rPr>
            <w:rFonts w:ascii="Century" w:hAnsi="Century" w:hint="eastAsia"/>
            <w:color w:val="0000FF"/>
            <w:sz w:val="28"/>
            <w:u w:val="single"/>
            <w:rtl/>
          </w:rPr>
          <w:t>פ</w:t>
        </w:r>
        <w:r w:rsidRPr="00B5718E">
          <w:rPr>
            <w:rFonts w:ascii="Century" w:hAnsi="Century"/>
            <w:color w:val="0000FF"/>
            <w:sz w:val="28"/>
            <w:u w:val="single"/>
            <w:rtl/>
          </w:rPr>
          <w:t xml:space="preserve"> 7757/04 </w:t>
        </w:r>
        <w:r w:rsidRPr="00B5718E">
          <w:rPr>
            <w:rFonts w:ascii="Century" w:hAnsi="Century" w:hint="eastAsia"/>
            <w:color w:val="0000FF"/>
            <w:sz w:val="28"/>
            <w:u w:val="single"/>
            <w:rtl/>
          </w:rPr>
          <w:t>בורשטיין</w:t>
        </w:r>
        <w:r w:rsidRPr="00B5718E">
          <w:rPr>
            <w:rFonts w:ascii="Century" w:hAnsi="Century"/>
            <w:color w:val="0000FF"/>
            <w:sz w:val="28"/>
            <w:u w:val="single"/>
            <w:rtl/>
          </w:rPr>
          <w:t xml:space="preserve"> </w:t>
        </w:r>
        <w:r w:rsidRPr="00B5718E">
          <w:rPr>
            <w:rFonts w:ascii="Century" w:hAnsi="Century" w:hint="eastAsia"/>
            <w:color w:val="0000FF"/>
            <w:sz w:val="28"/>
            <w:u w:val="single"/>
            <w:rtl/>
          </w:rPr>
          <w:t>נ</w:t>
        </w:r>
        <w:r w:rsidRPr="00B5718E">
          <w:rPr>
            <w:rFonts w:ascii="Century" w:hAnsi="Century"/>
            <w:color w:val="0000FF"/>
            <w:sz w:val="28"/>
            <w:u w:val="single"/>
            <w:rtl/>
          </w:rPr>
          <w:t xml:space="preserve">' </w:t>
        </w:r>
        <w:r w:rsidRPr="00B5718E">
          <w:rPr>
            <w:rFonts w:ascii="Century" w:hAnsi="Century" w:hint="eastAsia"/>
            <w:color w:val="0000FF"/>
            <w:sz w:val="28"/>
            <w:u w:val="single"/>
            <w:rtl/>
          </w:rPr>
          <w:t>מדינת</w:t>
        </w:r>
        <w:r w:rsidRPr="00B5718E">
          <w:rPr>
            <w:rFonts w:ascii="Century" w:hAnsi="Century"/>
            <w:color w:val="0000FF"/>
            <w:sz w:val="28"/>
            <w:u w:val="single"/>
            <w:rtl/>
          </w:rPr>
          <w:t xml:space="preserve"> </w:t>
        </w:r>
        <w:r w:rsidRPr="00B5718E">
          <w:rPr>
            <w:rFonts w:ascii="Century" w:hAnsi="Century" w:hint="eastAsia"/>
            <w:color w:val="0000FF"/>
            <w:sz w:val="28"/>
            <w:u w:val="single"/>
            <w:rtl/>
          </w:rPr>
          <w:t>ישראל</w:t>
        </w:r>
        <w:r w:rsidRPr="00B5718E">
          <w:rPr>
            <w:rFonts w:ascii="Century" w:hAnsi="Century"/>
            <w:color w:val="0000FF"/>
            <w:sz w:val="28"/>
            <w:u w:val="single"/>
            <w:rtl/>
          </w:rPr>
          <w:t xml:space="preserve">, </w:t>
        </w:r>
        <w:r w:rsidRPr="00B5718E">
          <w:rPr>
            <w:rFonts w:ascii="Century" w:hAnsi="Century" w:hint="eastAsia"/>
            <w:color w:val="0000FF"/>
            <w:sz w:val="28"/>
            <w:u w:val="single"/>
            <w:rtl/>
          </w:rPr>
          <w:t>פ</w:t>
        </w:r>
        <w:r w:rsidRPr="00B5718E">
          <w:rPr>
            <w:rFonts w:ascii="Century" w:hAnsi="Century"/>
            <w:color w:val="0000FF"/>
            <w:sz w:val="28"/>
            <w:u w:val="single"/>
            <w:rtl/>
          </w:rPr>
          <w:t>"</w:t>
        </w:r>
        <w:r w:rsidRPr="00B5718E">
          <w:rPr>
            <w:rFonts w:ascii="Century" w:hAnsi="Century" w:hint="eastAsia"/>
            <w:color w:val="0000FF"/>
            <w:sz w:val="28"/>
            <w:u w:val="single"/>
            <w:rtl/>
          </w:rPr>
          <w:t>ד</w:t>
        </w:r>
        <w:r w:rsidRPr="00B5718E">
          <w:rPr>
            <w:rFonts w:ascii="Century" w:hAnsi="Century"/>
            <w:color w:val="0000FF"/>
            <w:sz w:val="28"/>
            <w:u w:val="single"/>
            <w:rtl/>
          </w:rPr>
          <w:t xml:space="preserve"> </w:t>
        </w:r>
        <w:r w:rsidRPr="00B5718E">
          <w:rPr>
            <w:rFonts w:ascii="Century" w:hAnsi="Century" w:hint="eastAsia"/>
            <w:color w:val="0000FF"/>
            <w:sz w:val="28"/>
            <w:u w:val="single"/>
            <w:rtl/>
          </w:rPr>
          <w:t>נט</w:t>
        </w:r>
      </w:hyperlink>
      <w:r>
        <w:rPr>
          <w:rFonts w:ascii="Century" w:hAnsi="Century"/>
          <w:sz w:val="28"/>
          <w:rtl/>
        </w:rPr>
        <w:t>(5) 218, 232 (2005))".</w:t>
      </w:r>
      <w:r>
        <w:rPr>
          <w:rFonts w:ascii="Times New Roman" w:hAnsi="Times New Roman"/>
          <w:sz w:val="28"/>
          <w:rtl/>
        </w:rPr>
        <w:t xml:space="preserve"> </w:t>
      </w:r>
    </w:p>
    <w:p w14:paraId="33E4E5D6" w14:textId="77777777" w:rsidR="00D035BF" w:rsidRDefault="00D035BF">
      <w:pPr>
        <w:pStyle w:val="Ruller4"/>
        <w:spacing w:line="240" w:lineRule="auto"/>
        <w:ind w:left="1440" w:right="540"/>
        <w:rPr>
          <w:rFonts w:ascii="Times New Roman" w:hAnsi="Times New Roman"/>
          <w:sz w:val="28"/>
          <w:rtl/>
        </w:rPr>
      </w:pPr>
    </w:p>
    <w:p w14:paraId="6F520859" w14:textId="77777777" w:rsidR="00D035BF" w:rsidRDefault="00D035BF">
      <w:pPr>
        <w:pStyle w:val="Ruller4"/>
        <w:spacing w:line="240" w:lineRule="auto"/>
        <w:ind w:left="1440" w:right="540"/>
        <w:rPr>
          <w:rFonts w:ascii="Times New Roman" w:hAnsi="Times New Roman"/>
          <w:sz w:val="28"/>
          <w:rtl/>
        </w:rPr>
      </w:pPr>
    </w:p>
    <w:p w14:paraId="391734B8" w14:textId="77777777" w:rsidR="00D035BF" w:rsidRDefault="00B5718E">
      <w:pPr>
        <w:pStyle w:val="Ruller4"/>
        <w:ind w:left="720"/>
        <w:rPr>
          <w:rFonts w:ascii="Times New Roman" w:hAnsi="Times New Roman"/>
          <w:sz w:val="28"/>
          <w:rtl/>
        </w:rPr>
      </w:pPr>
      <w:r>
        <w:rPr>
          <w:rFonts w:ascii="Times New Roman" w:hAnsi="Times New Roman"/>
          <w:sz w:val="28"/>
          <w:rtl/>
        </w:rPr>
        <w:t>על פי עובדות כתב האישום המתוקן, ניתן ללמוד</w:t>
      </w:r>
      <w:r>
        <w:rPr>
          <w:rFonts w:ascii="Times New Roman" w:hAnsi="Times New Roman" w:hint="cs"/>
          <w:sz w:val="28"/>
          <w:rtl/>
        </w:rPr>
        <w:t xml:space="preserve"> על</w:t>
      </w:r>
      <w:r>
        <w:rPr>
          <w:rFonts w:ascii="Times New Roman" w:hAnsi="Times New Roman"/>
          <w:sz w:val="28"/>
          <w:rtl/>
        </w:rPr>
        <w:t xml:space="preserve"> חלקו של הנאשם-גם על פי הודאתו בהחזקת הסמים "שלא לצריכתו העצמית בלבד", ראו לעני</w:t>
      </w:r>
      <w:r>
        <w:rPr>
          <w:rFonts w:ascii="Times New Roman" w:hAnsi="Times New Roman" w:hint="cs"/>
          <w:sz w:val="28"/>
          <w:rtl/>
        </w:rPr>
        <w:t>י</w:t>
      </w:r>
      <w:r>
        <w:rPr>
          <w:rFonts w:ascii="Times New Roman" w:hAnsi="Times New Roman"/>
          <w:sz w:val="28"/>
          <w:rtl/>
        </w:rPr>
        <w:t>ן זה את הכמויות הגדולות של הסמים שנתפסו, העובדה כי מדובר בשלושה סוגי סמים  שונים, אחד מהם קוקאין בכמות גדולה (26.4 גרם-פי 88 מהכמות הנחשבת החזקה לצריכה עצמית) ומתפיסת שני משקלים אלקטרוניים "לשם הכנת סם"</w:t>
      </w:r>
      <w:r>
        <w:rPr>
          <w:rFonts w:ascii="Times New Roman" w:hAnsi="Times New Roman" w:hint="cs"/>
          <w:sz w:val="28"/>
          <w:rtl/>
        </w:rPr>
        <w:t>.</w:t>
      </w:r>
      <w:r>
        <w:rPr>
          <w:rFonts w:ascii="Times New Roman" w:hAnsi="Times New Roman"/>
          <w:sz w:val="28"/>
          <w:rtl/>
        </w:rPr>
        <w:t xml:space="preserve"> </w:t>
      </w:r>
    </w:p>
    <w:p w14:paraId="4A4E5062" w14:textId="77777777" w:rsidR="00D035BF" w:rsidRDefault="00D035BF">
      <w:pPr>
        <w:pStyle w:val="Ruller4"/>
        <w:ind w:left="720"/>
        <w:rPr>
          <w:rFonts w:ascii="Times New Roman" w:hAnsi="Times New Roman"/>
          <w:sz w:val="28"/>
          <w:rtl/>
        </w:rPr>
      </w:pPr>
    </w:p>
    <w:p w14:paraId="396E9BC4" w14:textId="77777777" w:rsidR="00D035BF" w:rsidRDefault="00B5718E">
      <w:pPr>
        <w:pStyle w:val="Ruller4"/>
        <w:ind w:left="720"/>
        <w:rPr>
          <w:sz w:val="28"/>
          <w:rtl/>
        </w:rPr>
      </w:pPr>
      <w:r>
        <w:rPr>
          <w:rFonts w:ascii="Times New Roman" w:hAnsi="Times New Roman"/>
          <w:sz w:val="28"/>
          <w:rtl/>
        </w:rPr>
        <w:t xml:space="preserve">באשר למדיניות הענישה הנהוגה גם כשמדובר בעבירה של החזקת סם מסוכן אפנה לפסק דינו של כב' השופט סלים ג'ובראן, באותו מקרה נדון המערער לשלוש שנות מאסר בפועל בגין החזקת </w:t>
      </w:r>
      <w:smartTag w:uri="urn:schemas-microsoft-com:office:smarttags" w:element="metricconverter">
        <w:smartTagPr>
          <w:attr w:name="ProductID" w:val="45.46 גרם"/>
        </w:smartTagPr>
        <w:r>
          <w:rPr>
            <w:rFonts w:ascii="Times New Roman" w:hAnsi="Times New Roman"/>
            <w:sz w:val="28"/>
            <w:rtl/>
          </w:rPr>
          <w:t>45.46 גרם</w:t>
        </w:r>
      </w:smartTag>
      <w:r>
        <w:rPr>
          <w:rFonts w:ascii="Times New Roman" w:hAnsi="Times New Roman"/>
          <w:sz w:val="28"/>
          <w:rtl/>
        </w:rPr>
        <w:t xml:space="preserve"> קוקאין, בית המשפט העליון דחה את הערעור, ניתח עונשים דומים שהוטלו במקרים אחרים, כגון </w:t>
      </w:r>
      <w:hyperlink r:id="rId29" w:history="1">
        <w:r w:rsidRPr="00B5718E">
          <w:rPr>
            <w:color w:val="0000FF"/>
            <w:sz w:val="28"/>
            <w:u w:val="single"/>
            <w:rtl/>
          </w:rPr>
          <w:t>ע"פ 810/11</w:t>
        </w:r>
      </w:hyperlink>
      <w:r>
        <w:rPr>
          <w:sz w:val="28"/>
          <w:rtl/>
        </w:rPr>
        <w:t xml:space="preserve"> </w:t>
      </w:r>
      <w:r>
        <w:rPr>
          <w:rFonts w:cs="Miriam"/>
          <w:sz w:val="24"/>
          <w:szCs w:val="24"/>
          <w:rtl/>
        </w:rPr>
        <w:t>בורגרקר נ' מדינת ישראל</w:t>
      </w:r>
      <w:r>
        <w:rPr>
          <w:sz w:val="28"/>
          <w:rtl/>
        </w:rPr>
        <w:t xml:space="preserve"> (30.5.2011), </w:t>
      </w:r>
      <w:r>
        <w:rPr>
          <w:rFonts w:hint="cs"/>
          <w:sz w:val="28"/>
          <w:rtl/>
        </w:rPr>
        <w:t>ו</w:t>
      </w:r>
      <w:hyperlink r:id="rId30" w:history="1">
        <w:r w:rsidRPr="00B5718E">
          <w:rPr>
            <w:color w:val="0000FF"/>
            <w:sz w:val="28"/>
            <w:u w:val="single"/>
            <w:rtl/>
          </w:rPr>
          <w:t>ע"פ 5374/12</w:t>
        </w:r>
      </w:hyperlink>
      <w:r>
        <w:rPr>
          <w:sz w:val="28"/>
          <w:rtl/>
        </w:rPr>
        <w:t xml:space="preserve"> </w:t>
      </w:r>
      <w:r>
        <w:rPr>
          <w:rFonts w:cs="Miriam"/>
          <w:sz w:val="24"/>
          <w:szCs w:val="24"/>
          <w:rtl/>
        </w:rPr>
        <w:t>אברג'יל נ' מדינת ישראל</w:t>
      </w:r>
      <w:r>
        <w:rPr>
          <w:sz w:val="28"/>
          <w:rtl/>
        </w:rPr>
        <w:t xml:space="preserve"> (9.1.2013) וקבע: </w:t>
      </w:r>
    </w:p>
    <w:p w14:paraId="635A71B6" w14:textId="77777777" w:rsidR="00D035BF" w:rsidRDefault="00B5718E">
      <w:pPr>
        <w:pStyle w:val="Ruller4"/>
        <w:spacing w:line="240" w:lineRule="auto"/>
        <w:ind w:left="1440" w:right="540"/>
        <w:rPr>
          <w:sz w:val="28"/>
          <w:rtl/>
        </w:rPr>
      </w:pPr>
      <w:r>
        <w:rPr>
          <w:sz w:val="28"/>
          <w:rtl/>
        </w:rPr>
        <w:t>"בית משפט זה ציין לא אחת כי בעבירות סמים מן הסוג הזה יש לייחס אך משקל קטן לנסיבותיו האישיות של הנאשם. כך, ב</w:t>
      </w:r>
      <w:hyperlink r:id="rId31" w:history="1">
        <w:r w:rsidRPr="00B5718E">
          <w:rPr>
            <w:color w:val="0000FF"/>
            <w:sz w:val="28"/>
            <w:u w:val="single"/>
            <w:rtl/>
          </w:rPr>
          <w:t>ע"פ 4381/05</w:t>
        </w:r>
      </w:hyperlink>
      <w:r>
        <w:rPr>
          <w:sz w:val="28"/>
          <w:rtl/>
        </w:rPr>
        <w:t xml:space="preserve"> </w:t>
      </w:r>
      <w:r>
        <w:rPr>
          <w:rFonts w:cs="Miriam"/>
          <w:sz w:val="24"/>
          <w:szCs w:val="24"/>
          <w:rtl/>
        </w:rPr>
        <w:t>אבו זקיקה נ' מדינת ישראל</w:t>
      </w:r>
      <w:r>
        <w:rPr>
          <w:sz w:val="28"/>
          <w:rtl/>
        </w:rPr>
        <w:t xml:space="preserve"> (12.7.2006), בית המשפט המחוזי גזר על הנאשם ארבע שנות מאסר בגין החזקה של </w:t>
      </w:r>
      <w:smartTag w:uri="urn:schemas-microsoft-com:office:smarttags" w:element="metricconverter">
        <w:smartTagPr>
          <w:attr w:name="ProductID" w:val="100 גרם"/>
        </w:smartTagPr>
        <w:r>
          <w:rPr>
            <w:sz w:val="28"/>
            <w:rtl/>
          </w:rPr>
          <w:t>100 גרם</w:t>
        </w:r>
      </w:smartTag>
      <w:r>
        <w:rPr>
          <w:sz w:val="28"/>
          <w:rtl/>
        </w:rPr>
        <w:t xml:space="preserve"> הרואין. באותו מקרה, הנאשם היה בן 27, מצבו הכלכלי קשה, נעדר עבר פלילי, הודה במיוחס לו, ושירת בצבא. בית המשפט העליון דחה את הערעור על חומרת העונש תוך שהוא מציין "בנוגע לנסיבותיו האישיות של המערער, קשות ככל שיהיו – בעבירות סמים מסוג זה, יש לייחס להן את המשקל השולי ביותר", </w:t>
      </w:r>
      <w:hyperlink r:id="rId32" w:history="1">
        <w:r w:rsidRPr="00B5718E">
          <w:rPr>
            <w:rFonts w:ascii="Times New Roman" w:hAnsi="Times New Roman"/>
            <w:color w:val="0000FF"/>
            <w:sz w:val="28"/>
            <w:u w:val="single"/>
            <w:rtl/>
          </w:rPr>
          <w:t>ע"פ 5958/13</w:t>
        </w:r>
      </w:hyperlink>
      <w:r>
        <w:rPr>
          <w:rFonts w:ascii="Times New Roman" w:hAnsi="Times New Roman"/>
          <w:sz w:val="28"/>
          <w:rtl/>
        </w:rPr>
        <w:t xml:space="preserve"> </w:t>
      </w:r>
      <w:r>
        <w:rPr>
          <w:rFonts w:ascii="Times New Roman" w:hAnsi="Times New Roman" w:cs="Miriam"/>
          <w:sz w:val="24"/>
          <w:szCs w:val="24"/>
          <w:rtl/>
        </w:rPr>
        <w:t>סבג נגד מדינת ישראל</w:t>
      </w:r>
      <w:r>
        <w:rPr>
          <w:sz w:val="28"/>
          <w:rtl/>
        </w:rPr>
        <w:t xml:space="preserve"> (29.7.2014).</w:t>
      </w:r>
    </w:p>
    <w:p w14:paraId="1FC94636" w14:textId="77777777" w:rsidR="00D035BF" w:rsidRDefault="00D035BF">
      <w:pPr>
        <w:pStyle w:val="Ruller4"/>
        <w:spacing w:line="240" w:lineRule="auto"/>
        <w:ind w:left="1440" w:right="540"/>
        <w:rPr>
          <w:sz w:val="28"/>
          <w:rtl/>
        </w:rPr>
      </w:pPr>
    </w:p>
    <w:p w14:paraId="07973919" w14:textId="77777777" w:rsidR="00D035BF" w:rsidRDefault="00B5718E">
      <w:pPr>
        <w:tabs>
          <w:tab w:val="left" w:pos="2552"/>
        </w:tabs>
        <w:spacing w:line="360" w:lineRule="auto"/>
        <w:ind w:left="720"/>
        <w:jc w:val="both"/>
        <w:rPr>
          <w:rFonts w:cs="FrankRuehl"/>
          <w:sz w:val="28"/>
          <w:szCs w:val="28"/>
          <w:rtl/>
        </w:rPr>
      </w:pPr>
      <w:r>
        <w:rPr>
          <w:rFonts w:cs="FrankRuehl"/>
          <w:sz w:val="28"/>
          <w:szCs w:val="28"/>
          <w:rtl/>
        </w:rPr>
        <w:t>ראו בנוסף לעני</w:t>
      </w:r>
      <w:r>
        <w:rPr>
          <w:rFonts w:cs="FrankRuehl" w:hint="cs"/>
          <w:sz w:val="28"/>
          <w:szCs w:val="28"/>
          <w:rtl/>
        </w:rPr>
        <w:t>י</w:t>
      </w:r>
      <w:r>
        <w:rPr>
          <w:rFonts w:cs="FrankRuehl"/>
          <w:sz w:val="28"/>
          <w:szCs w:val="28"/>
          <w:rtl/>
        </w:rPr>
        <w:t xml:space="preserve">ן מדיניות הענישה את פסק דינה של כב' השופטת ד' ברק-ארז, באותו מקרה נדון המערער ל-22 חודשי מאסר בפועל, מערער שבביתו נתפסו טבליות של סם מסוכן מסוג </w:t>
      </w:r>
      <w:r>
        <w:rPr>
          <w:rFonts w:cs="FrankRuehl"/>
        </w:rPr>
        <w:t>MDMA</w:t>
      </w:r>
      <w:r>
        <w:rPr>
          <w:rFonts w:cs="FrankRuehl"/>
          <w:sz w:val="28"/>
          <w:szCs w:val="28"/>
          <w:rtl/>
        </w:rPr>
        <w:t xml:space="preserve"> בכמות גדולה, בית המשפט העליון דחה את הערעור וקבע:</w:t>
      </w:r>
    </w:p>
    <w:p w14:paraId="4F761F64" w14:textId="77777777" w:rsidR="00D035BF" w:rsidRDefault="00B5718E">
      <w:pPr>
        <w:pStyle w:val="Ruller4"/>
        <w:spacing w:line="240" w:lineRule="auto"/>
        <w:ind w:left="1440" w:right="540"/>
        <w:rPr>
          <w:sz w:val="28"/>
          <w:rtl/>
        </w:rPr>
      </w:pPr>
      <w:r>
        <w:rPr>
          <w:sz w:val="28"/>
          <w:rtl/>
        </w:rPr>
        <w:t>"אדם נתפס כשהוא מחזיק בכמויות רבות של סמים מסוכנים. בהמשך לכך, בתקופה שבה היה נתון במעצר וחקירה היה מעורב גם בעבירות של שיבוש מהלכי חקירה ומשפט. הוא נשפט והורשע. ערעורו על קולת עונשו מעורר במלוא עוזו את שאלת האיזון הראוי שבין שיקולי גמול והרתעה אל מול שיקולי שיקום, בהתחשב בנסיבותיו האישיות, ובהן העובדה שהוכר כלוקה בפוסט-טראומה בעקבות שירותו הצבאי, וכן החרטה שהביע וההליך השיקומי שבו החל...</w:t>
      </w:r>
      <w:r>
        <w:rPr>
          <w:rFonts w:ascii="Times New Roman" w:hAnsi="Times New Roman"/>
          <w:sz w:val="28"/>
          <w:rtl/>
        </w:rPr>
        <w:t xml:space="preserve">לאמיתו של דבר, ללא התחשבות זו עונשו היה, קרוב לוודאי, חמור יותר, בשים לב לגישה העקבית של הפסיקה בכל הנוגע לענישה בעבירות סמים. לא כל שכן, כאשר מובא בחשבון היקף הסמים שבהם החזיק המערער. למקרים דומים, ראו למשל: ע"פ 8215 </w:t>
      </w:r>
      <w:r>
        <w:rPr>
          <w:rFonts w:ascii="Times New Roman" w:hAnsi="Times New Roman" w:cs="Miriam"/>
          <w:spacing w:val="0"/>
          <w:sz w:val="24"/>
          <w:szCs w:val="24"/>
          <w:rtl/>
        </w:rPr>
        <w:t>יוסף נ' מדינת ישראל</w:t>
      </w:r>
      <w:r>
        <w:rPr>
          <w:rFonts w:ascii="Times New Roman" w:hAnsi="Times New Roman"/>
          <w:sz w:val="28"/>
          <w:rtl/>
        </w:rPr>
        <w:t xml:space="preserve"> (4.2.2009); </w:t>
      </w:r>
      <w:hyperlink r:id="rId33" w:history="1">
        <w:r w:rsidRPr="00B5718E">
          <w:rPr>
            <w:rFonts w:ascii="Times New Roman" w:hAnsi="Times New Roman"/>
            <w:color w:val="0000FF"/>
            <w:sz w:val="28"/>
            <w:u w:val="single"/>
            <w:rtl/>
          </w:rPr>
          <w:t>ע"פ 10498/05</w:t>
        </w:r>
      </w:hyperlink>
      <w:r>
        <w:rPr>
          <w:rFonts w:ascii="Times New Roman" w:hAnsi="Times New Roman"/>
          <w:sz w:val="28"/>
          <w:rtl/>
        </w:rPr>
        <w:t xml:space="preserve"> </w:t>
      </w:r>
      <w:r>
        <w:rPr>
          <w:rFonts w:ascii="Times New Roman" w:hAnsi="Times New Roman" w:cs="Miriam"/>
          <w:spacing w:val="0"/>
          <w:sz w:val="24"/>
          <w:szCs w:val="24"/>
          <w:rtl/>
        </w:rPr>
        <w:t>אלמקייס נ' מדינת ישראל</w:t>
      </w:r>
      <w:r>
        <w:rPr>
          <w:rFonts w:ascii="Times New Roman" w:hAnsi="Times New Roman"/>
          <w:sz w:val="28"/>
          <w:rtl/>
        </w:rPr>
        <w:t xml:space="preserve"> (22.5.2006).</w:t>
      </w:r>
      <w:r>
        <w:rPr>
          <w:sz w:val="28"/>
          <w:rtl/>
        </w:rPr>
        <w:t xml:space="preserve"> סיכומו של דבר, איננו סבורים כי העונש שהוטל על המערער היה מופרז או חמור במידה המחייבת את התערבותנו. להיפך, אנו מבקשים לחזור ולהבהיר כי אין מקום להקל ראש בעבירות סמים, ולא כל שכן כאלה שנסבות על סמים בכמויות גדולות, באופן שתורם להרחבתו של נגע הסמים בחברה. לנוכח שיקול ציבורי כבד משקל זה, איננו סבורים שניתן היה להתחשב בשיקולי השיקום של המערער מעבר למידה שעשה כן בית המשפט קמא" </w:t>
      </w:r>
      <w:hyperlink r:id="rId34" w:history="1">
        <w:r w:rsidRPr="00B5718E">
          <w:rPr>
            <w:color w:val="0000FF"/>
            <w:sz w:val="28"/>
            <w:u w:val="single"/>
            <w:rtl/>
          </w:rPr>
          <w:t>ע"פ 8731/12</w:t>
        </w:r>
      </w:hyperlink>
      <w:r>
        <w:rPr>
          <w:sz w:val="28"/>
          <w:rtl/>
        </w:rPr>
        <w:t xml:space="preserve"> </w:t>
      </w:r>
      <w:r>
        <w:rPr>
          <w:rFonts w:cs="Miriam"/>
          <w:sz w:val="24"/>
          <w:szCs w:val="24"/>
          <w:rtl/>
        </w:rPr>
        <w:t>דניאלי נגד מדינת ישראל</w:t>
      </w:r>
      <w:r>
        <w:rPr>
          <w:sz w:val="28"/>
          <w:rtl/>
        </w:rPr>
        <w:t xml:space="preserve"> (11.4.2013).</w:t>
      </w:r>
    </w:p>
    <w:p w14:paraId="019F18B9" w14:textId="77777777" w:rsidR="00D035BF" w:rsidRDefault="00D035BF">
      <w:pPr>
        <w:spacing w:line="360" w:lineRule="auto"/>
        <w:ind w:left="1080"/>
        <w:rPr>
          <w:rFonts w:cs="FrankRuehl"/>
          <w:sz w:val="28"/>
          <w:szCs w:val="28"/>
          <w:rtl/>
        </w:rPr>
      </w:pPr>
    </w:p>
    <w:p w14:paraId="4F841911" w14:textId="77777777" w:rsidR="00D035BF" w:rsidRDefault="00B5718E">
      <w:pPr>
        <w:spacing w:line="360" w:lineRule="auto"/>
        <w:ind w:left="720"/>
        <w:jc w:val="both"/>
        <w:rPr>
          <w:rFonts w:cs="FrankRuehl"/>
          <w:sz w:val="28"/>
          <w:szCs w:val="28"/>
          <w:rtl/>
        </w:rPr>
      </w:pPr>
      <w:r>
        <w:rPr>
          <w:rFonts w:cs="FrankRuehl"/>
          <w:sz w:val="28"/>
          <w:szCs w:val="28"/>
          <w:rtl/>
        </w:rPr>
        <w:t>באשר לנסיבות הקשורות בביצוע העבירה (</w:t>
      </w:r>
      <w:hyperlink r:id="rId35" w:history="1">
        <w:r w:rsidR="00F40891" w:rsidRPr="00F40891">
          <w:rPr>
            <w:rStyle w:val="Hyperlink"/>
            <w:rFonts w:cs="FrankRuehl"/>
            <w:sz w:val="28"/>
            <w:szCs w:val="28"/>
            <w:rtl/>
          </w:rPr>
          <w:t>סעיף 40ט'</w:t>
        </w:r>
      </w:hyperlink>
      <w:r>
        <w:rPr>
          <w:rFonts w:cs="FrankRuehl"/>
          <w:sz w:val="28"/>
          <w:szCs w:val="28"/>
          <w:rtl/>
        </w:rPr>
        <w:t xml:space="preserve"> לחוק) אין משמעות לקיומו של תכנון ככל שמדובר בעבירת החזקת הסמים, מובן שהשמדת הראיות והפרעה לשוטרים נעשתה בצורה מחושבת.</w:t>
      </w:r>
    </w:p>
    <w:p w14:paraId="19C2934C" w14:textId="77777777" w:rsidR="00D035BF" w:rsidRDefault="00D035BF">
      <w:pPr>
        <w:spacing w:line="360" w:lineRule="auto"/>
        <w:ind w:left="720"/>
        <w:jc w:val="both"/>
        <w:rPr>
          <w:rFonts w:cs="FrankRuehl"/>
          <w:sz w:val="28"/>
          <w:szCs w:val="28"/>
          <w:rtl/>
        </w:rPr>
      </w:pPr>
    </w:p>
    <w:p w14:paraId="58997BB0" w14:textId="77777777" w:rsidR="00D035BF" w:rsidRDefault="00B5718E">
      <w:pPr>
        <w:spacing w:line="360" w:lineRule="auto"/>
        <w:ind w:left="720"/>
        <w:jc w:val="both"/>
        <w:rPr>
          <w:rFonts w:cs="FrankRuehl"/>
          <w:sz w:val="28"/>
          <w:szCs w:val="28"/>
          <w:rtl/>
        </w:rPr>
      </w:pPr>
      <w:r>
        <w:rPr>
          <w:rFonts w:cs="FrankRuehl"/>
          <w:sz w:val="28"/>
          <w:szCs w:val="28"/>
          <w:rtl/>
        </w:rPr>
        <w:t xml:space="preserve">הנזק הצפוי מביצוע העבירה הוא נזק רב לחברה, שימוש בסמים מסוכנים פוגע בכל חלקה טובה בחברה ומי כמו הנאשם שהחל להשתמש בסמים מגיל 13 לערך, יודע היטב </w:t>
      </w:r>
      <w:r>
        <w:rPr>
          <w:rFonts w:cs="FrankRuehl" w:hint="cs"/>
          <w:sz w:val="28"/>
          <w:szCs w:val="28"/>
          <w:rtl/>
        </w:rPr>
        <w:t>מהותו של</w:t>
      </w:r>
      <w:r>
        <w:rPr>
          <w:rFonts w:cs="FrankRuehl"/>
          <w:sz w:val="28"/>
          <w:szCs w:val="28"/>
          <w:rtl/>
        </w:rPr>
        <w:t xml:space="preserve"> הנזק שנגרם למש</w:t>
      </w:r>
      <w:r>
        <w:rPr>
          <w:rFonts w:cs="FrankRuehl" w:hint="cs"/>
          <w:sz w:val="28"/>
          <w:szCs w:val="28"/>
          <w:rtl/>
        </w:rPr>
        <w:t>ת</w:t>
      </w:r>
      <w:r>
        <w:rPr>
          <w:rFonts w:cs="FrankRuehl"/>
          <w:sz w:val="28"/>
          <w:szCs w:val="28"/>
          <w:rtl/>
        </w:rPr>
        <w:t>משים בסמים.</w:t>
      </w:r>
    </w:p>
    <w:p w14:paraId="132AE7CE" w14:textId="77777777" w:rsidR="00D035BF" w:rsidRDefault="00D035BF">
      <w:pPr>
        <w:spacing w:line="360" w:lineRule="auto"/>
        <w:ind w:left="720"/>
        <w:jc w:val="both"/>
        <w:rPr>
          <w:rFonts w:cs="FrankRuehl"/>
          <w:sz w:val="28"/>
          <w:szCs w:val="28"/>
          <w:rtl/>
        </w:rPr>
      </w:pPr>
    </w:p>
    <w:p w14:paraId="700B8DA5" w14:textId="77777777" w:rsidR="00D035BF" w:rsidRDefault="00B5718E">
      <w:pPr>
        <w:spacing w:line="360" w:lineRule="auto"/>
        <w:ind w:left="720"/>
        <w:jc w:val="both"/>
        <w:rPr>
          <w:rFonts w:cs="FrankRuehl"/>
          <w:sz w:val="28"/>
          <w:szCs w:val="28"/>
          <w:u w:val="single"/>
          <w:rtl/>
        </w:rPr>
      </w:pPr>
      <w:r>
        <w:rPr>
          <w:rFonts w:cs="FrankRuehl"/>
          <w:sz w:val="28"/>
          <w:szCs w:val="28"/>
          <w:rtl/>
        </w:rPr>
        <w:t xml:space="preserve">בהתחשב בערך החברתי שנפגע מביצוע העבירות, במידת הפגיעה בו, במדיניות הענישה הנהוגה ובנסיבות הקשורות בביצוע העבירות אני קובע כי העונש ההולם במקרה זה הוא מאסר במתחם שבין </w:t>
      </w:r>
      <w:r>
        <w:rPr>
          <w:rFonts w:cs="FrankRuehl"/>
          <w:sz w:val="28"/>
          <w:szCs w:val="28"/>
          <w:u w:val="single"/>
          <w:rtl/>
        </w:rPr>
        <w:t>18</w:t>
      </w:r>
      <w:r>
        <w:rPr>
          <w:rFonts w:cs="FrankRuehl"/>
          <w:sz w:val="28"/>
          <w:szCs w:val="28"/>
          <w:rtl/>
        </w:rPr>
        <w:t xml:space="preserve"> ל-</w:t>
      </w:r>
      <w:r>
        <w:rPr>
          <w:rFonts w:cs="FrankRuehl"/>
          <w:sz w:val="28"/>
          <w:szCs w:val="28"/>
          <w:u w:val="single"/>
          <w:rtl/>
        </w:rPr>
        <w:t>60</w:t>
      </w:r>
      <w:r>
        <w:rPr>
          <w:rFonts w:cs="FrankRuehl"/>
          <w:sz w:val="28"/>
          <w:szCs w:val="28"/>
          <w:rtl/>
        </w:rPr>
        <w:t xml:space="preserve"> חודשי מאסר בפועל, בנוסף למאסר מותנה וקנס. </w:t>
      </w:r>
    </w:p>
    <w:p w14:paraId="0645DB8C" w14:textId="77777777" w:rsidR="00D035BF" w:rsidRDefault="00D035BF">
      <w:pPr>
        <w:spacing w:line="360" w:lineRule="auto"/>
        <w:ind w:left="720"/>
        <w:jc w:val="both"/>
        <w:rPr>
          <w:rFonts w:cs="FrankRuehl"/>
          <w:sz w:val="28"/>
          <w:szCs w:val="28"/>
          <w:u w:val="single"/>
        </w:rPr>
      </w:pPr>
    </w:p>
    <w:p w14:paraId="41042CDA" w14:textId="77777777" w:rsidR="00D035BF" w:rsidRDefault="00B5718E">
      <w:pPr>
        <w:spacing w:line="360" w:lineRule="auto"/>
        <w:ind w:left="360" w:firstLine="360"/>
        <w:rPr>
          <w:rFonts w:cs="Miriam"/>
          <w:rtl/>
        </w:rPr>
      </w:pPr>
      <w:r>
        <w:rPr>
          <w:rFonts w:cs="Miriam"/>
          <w:rtl/>
        </w:rPr>
        <w:t>העונש המתאים</w:t>
      </w:r>
    </w:p>
    <w:p w14:paraId="58397A5D" w14:textId="77777777" w:rsidR="00D035BF" w:rsidRDefault="00B5718E">
      <w:pPr>
        <w:spacing w:line="360" w:lineRule="auto"/>
        <w:ind w:left="360" w:firstLine="360"/>
        <w:rPr>
          <w:rFonts w:cs="Miriam"/>
        </w:rPr>
      </w:pPr>
      <w:r>
        <w:rPr>
          <w:rFonts w:cs="Miriam"/>
          <w:rtl/>
        </w:rPr>
        <w:t>האם קיים סיכוי שיקום של ממש שהנאשם ישתקם</w:t>
      </w:r>
      <w:r>
        <w:rPr>
          <w:rFonts w:cs="Miriam" w:hint="cs"/>
          <w:rtl/>
        </w:rPr>
        <w:t>?</w:t>
      </w:r>
    </w:p>
    <w:p w14:paraId="30183374" w14:textId="77777777" w:rsidR="00D035BF" w:rsidRDefault="00B5718E">
      <w:pPr>
        <w:spacing w:line="360" w:lineRule="auto"/>
        <w:ind w:left="720"/>
        <w:jc w:val="both"/>
        <w:rPr>
          <w:rFonts w:cs="FrankRuehl"/>
          <w:sz w:val="28"/>
          <w:szCs w:val="28"/>
          <w:rtl/>
        </w:rPr>
      </w:pPr>
      <w:r>
        <w:rPr>
          <w:rFonts w:cs="FrankRuehl"/>
          <w:sz w:val="28"/>
          <w:szCs w:val="28"/>
          <w:rtl/>
        </w:rPr>
        <w:t xml:space="preserve">שאלת שיקומו של הנאשם עמדה במרכזו של תיק זה מישיבת 13.3.2014 ועד לתום הטיעונים לעונש בישיבה האחרונה, אציין כי לאורך כל הדרך התנהג הנאשם בחוסר עקביות, </w:t>
      </w:r>
      <w:r>
        <w:rPr>
          <w:rFonts w:cs="FrankRuehl" w:hint="cs"/>
          <w:sz w:val="28"/>
          <w:szCs w:val="28"/>
          <w:rtl/>
        </w:rPr>
        <w:t>ובכל דיונים ה</w:t>
      </w:r>
      <w:r>
        <w:rPr>
          <w:rFonts w:cs="FrankRuehl"/>
          <w:sz w:val="28"/>
          <w:szCs w:val="28"/>
          <w:rtl/>
        </w:rPr>
        <w:t xml:space="preserve">תקבל הרושם כי למרות מאמציו של הסנגור לסייע לו, הנאשם מוסר גרסאות סותרות באשר למעשיו וכוונותיו, לעיתים ניתן היה לחשוב כי מדובר במניפולציות של מי שביצע העבירות, אך מנסה להטעות ולהסתיר פרטים, לעיתים התקבל הרושם כי מדובר בהתנהגות של אדם המכור לסמים שמנסה להתגבר  על דחפיו, עוד חשוב לציין כי </w:t>
      </w:r>
      <w:r>
        <w:rPr>
          <w:rFonts w:cs="FrankRuehl" w:hint="cs"/>
          <w:sz w:val="28"/>
          <w:szCs w:val="28"/>
          <w:rtl/>
        </w:rPr>
        <w:t xml:space="preserve">מיד לאחר הגשת כתב האישום, </w:t>
      </w:r>
      <w:r>
        <w:rPr>
          <w:rFonts w:cs="FrankRuehl"/>
          <w:sz w:val="28"/>
          <w:szCs w:val="28"/>
          <w:rtl/>
        </w:rPr>
        <w:t>הנאשם נעצר עד תום ההליכים נגדו.</w:t>
      </w:r>
    </w:p>
    <w:p w14:paraId="2B7AB1AC" w14:textId="77777777" w:rsidR="00D035BF" w:rsidRDefault="00D035BF">
      <w:pPr>
        <w:spacing w:line="360" w:lineRule="auto"/>
        <w:ind w:left="720"/>
        <w:jc w:val="both"/>
        <w:rPr>
          <w:rFonts w:cs="FrankRuehl"/>
          <w:sz w:val="28"/>
          <w:szCs w:val="28"/>
        </w:rPr>
      </w:pPr>
    </w:p>
    <w:p w14:paraId="1CFEE6BB" w14:textId="77777777" w:rsidR="00D035BF" w:rsidRDefault="00B5718E">
      <w:pPr>
        <w:spacing w:line="360" w:lineRule="auto"/>
        <w:ind w:left="720"/>
        <w:jc w:val="both"/>
        <w:rPr>
          <w:rFonts w:cs="FrankRuehl"/>
          <w:sz w:val="28"/>
          <w:szCs w:val="28"/>
          <w:rtl/>
        </w:rPr>
      </w:pPr>
      <w:r>
        <w:rPr>
          <w:rFonts w:cs="FrankRuehl"/>
          <w:sz w:val="28"/>
          <w:szCs w:val="28"/>
          <w:rtl/>
        </w:rPr>
        <w:t>"זיגזוגו" של הנאשם בלט כבר בישיבת 18.12.2013, עת הודיעו הצדדים כי הגיעו להסדר טיעון, הסנגור הודיע כי הקריא והסביר לנאשם את עובדות כתב האישום המתוקן, הנאשם בתגובה טען כי לא ראה את כתב האישום המתוקן, לאחר הפסקה בדיון בה הסביר הסנגור לנאשם את המיוחס ל</w:t>
      </w:r>
      <w:r>
        <w:rPr>
          <w:rFonts w:cs="FrankRuehl" w:hint="cs"/>
          <w:sz w:val="28"/>
          <w:szCs w:val="28"/>
          <w:rtl/>
        </w:rPr>
        <w:t>ו</w:t>
      </w:r>
      <w:r>
        <w:rPr>
          <w:rFonts w:cs="FrankRuehl"/>
          <w:sz w:val="28"/>
          <w:szCs w:val="28"/>
          <w:rtl/>
        </w:rPr>
        <w:t>, הודה הנאשם בעובדות כתב האישום</w:t>
      </w:r>
      <w:r>
        <w:rPr>
          <w:rFonts w:cs="FrankRuehl" w:hint="cs"/>
          <w:sz w:val="28"/>
          <w:szCs w:val="28"/>
          <w:rtl/>
        </w:rPr>
        <w:t xml:space="preserve"> המתוקן</w:t>
      </w:r>
      <w:r>
        <w:rPr>
          <w:rFonts w:cs="FrankRuehl"/>
          <w:sz w:val="28"/>
          <w:szCs w:val="28"/>
          <w:rtl/>
        </w:rPr>
        <w:t>, הרשעתי אותו וב</w:t>
      </w:r>
      <w:r>
        <w:rPr>
          <w:rFonts w:cs="FrankRuehl" w:hint="cs"/>
          <w:sz w:val="28"/>
          <w:szCs w:val="28"/>
          <w:rtl/>
        </w:rPr>
        <w:t>מ</w:t>
      </w:r>
      <w:r>
        <w:rPr>
          <w:rFonts w:cs="FrankRuehl"/>
          <w:sz w:val="28"/>
          <w:szCs w:val="28"/>
          <w:rtl/>
        </w:rPr>
        <w:t>הלך הקראת הכרעת הדין בקול רם</w:t>
      </w:r>
      <w:r>
        <w:rPr>
          <w:rFonts w:cs="FrankRuehl" w:hint="cs"/>
          <w:sz w:val="28"/>
          <w:szCs w:val="28"/>
          <w:rtl/>
        </w:rPr>
        <w:t>,</w:t>
      </w:r>
      <w:r>
        <w:rPr>
          <w:rFonts w:cs="FrankRuehl"/>
          <w:sz w:val="28"/>
          <w:szCs w:val="28"/>
          <w:rtl/>
        </w:rPr>
        <w:t xml:space="preserve"> לפתע טען הנאשם כי אינו מודה בעבירה של הפרעה לשוטר, ביטלתי את הכרעת הדין ודחיתי את המשך הדיון.</w:t>
      </w:r>
    </w:p>
    <w:p w14:paraId="79E66634" w14:textId="77777777" w:rsidR="00D035BF" w:rsidRDefault="00D035BF">
      <w:pPr>
        <w:spacing w:line="360" w:lineRule="auto"/>
        <w:ind w:left="720"/>
        <w:jc w:val="both"/>
        <w:rPr>
          <w:rFonts w:cs="FrankRuehl"/>
          <w:sz w:val="28"/>
          <w:szCs w:val="28"/>
        </w:rPr>
      </w:pPr>
    </w:p>
    <w:p w14:paraId="16EBC3AB" w14:textId="77777777" w:rsidR="00D035BF" w:rsidRDefault="00B5718E">
      <w:pPr>
        <w:spacing w:line="360" w:lineRule="auto"/>
        <w:ind w:left="720"/>
        <w:jc w:val="both"/>
        <w:rPr>
          <w:rFonts w:cs="FrankRuehl"/>
          <w:sz w:val="28"/>
          <w:szCs w:val="28"/>
          <w:rtl/>
        </w:rPr>
      </w:pPr>
      <w:r>
        <w:rPr>
          <w:rFonts w:cs="FrankRuehl" w:hint="cs"/>
          <w:sz w:val="28"/>
          <w:szCs w:val="28"/>
          <w:rtl/>
        </w:rPr>
        <w:t>ב</w:t>
      </w:r>
      <w:r>
        <w:rPr>
          <w:rFonts w:cs="FrankRuehl"/>
          <w:sz w:val="28"/>
          <w:szCs w:val="28"/>
          <w:rtl/>
        </w:rPr>
        <w:t>ישיבה הבאה, ישיבת 30.12.2013, העלה הנאשם טענה חדשה</w:t>
      </w:r>
      <w:r>
        <w:rPr>
          <w:rFonts w:cs="FrankRuehl" w:hint="cs"/>
          <w:sz w:val="28"/>
          <w:szCs w:val="28"/>
          <w:rtl/>
        </w:rPr>
        <w:t>,</w:t>
      </w:r>
      <w:r>
        <w:rPr>
          <w:rFonts w:cs="FrankRuehl"/>
          <w:sz w:val="28"/>
          <w:szCs w:val="28"/>
          <w:rtl/>
        </w:rPr>
        <w:t xml:space="preserve"> </w:t>
      </w:r>
      <w:r>
        <w:rPr>
          <w:rFonts w:cs="FrankRuehl" w:hint="cs"/>
          <w:sz w:val="28"/>
          <w:szCs w:val="28"/>
          <w:rtl/>
        </w:rPr>
        <w:t xml:space="preserve">לפיה יש לבחון </w:t>
      </w:r>
      <w:r>
        <w:rPr>
          <w:rFonts w:cs="FrankRuehl"/>
          <w:sz w:val="28"/>
          <w:szCs w:val="28"/>
          <w:rtl/>
        </w:rPr>
        <w:t>כשירותו לעמוד לדין מבחינת מצבו הנפשי, בהתאם לכך התבקש הפסיכיאטר המחוזי לחוות דעתו</w:t>
      </w:r>
      <w:r>
        <w:rPr>
          <w:rFonts w:cs="FrankRuehl" w:hint="cs"/>
          <w:sz w:val="28"/>
          <w:szCs w:val="28"/>
          <w:rtl/>
        </w:rPr>
        <w:t xml:space="preserve"> בנושא. </w:t>
      </w:r>
      <w:r>
        <w:rPr>
          <w:rFonts w:cs="FrankRuehl"/>
          <w:sz w:val="28"/>
          <w:szCs w:val="28"/>
          <w:rtl/>
        </w:rPr>
        <w:t xml:space="preserve"> דר' נחמקין בחוות דעתו</w:t>
      </w:r>
      <w:r>
        <w:rPr>
          <w:rFonts w:cs="FrankRuehl" w:hint="cs"/>
          <w:sz w:val="28"/>
          <w:szCs w:val="28"/>
          <w:rtl/>
        </w:rPr>
        <w:t xml:space="preserve"> </w:t>
      </w:r>
      <w:r>
        <w:rPr>
          <w:rFonts w:cs="FrankRuehl"/>
          <w:sz w:val="28"/>
          <w:szCs w:val="28"/>
          <w:rtl/>
        </w:rPr>
        <w:t>מיום 7.1.2014 העריך כי הנאשם לא סובל ממחלת נפש, הוא כשיר לעמוד לדין וכי לנאשם "קיים "קו הגנה" משלו"</w:t>
      </w:r>
      <w:r>
        <w:rPr>
          <w:rFonts w:cs="FrankRuehl" w:hint="cs"/>
          <w:sz w:val="28"/>
          <w:szCs w:val="28"/>
          <w:rtl/>
        </w:rPr>
        <w:t xml:space="preserve">. </w:t>
      </w:r>
    </w:p>
    <w:p w14:paraId="6DBE2473" w14:textId="77777777" w:rsidR="00D035BF" w:rsidRDefault="00B5718E">
      <w:pPr>
        <w:spacing w:line="360" w:lineRule="auto"/>
        <w:ind w:left="720"/>
        <w:jc w:val="both"/>
        <w:rPr>
          <w:rFonts w:cs="FrankRuehl"/>
          <w:sz w:val="28"/>
          <w:szCs w:val="28"/>
          <w:rtl/>
        </w:rPr>
      </w:pPr>
      <w:r>
        <w:rPr>
          <w:rFonts w:cs="FrankRuehl" w:hint="cs"/>
          <w:sz w:val="28"/>
          <w:szCs w:val="28"/>
          <w:rtl/>
        </w:rPr>
        <w:t>משנדחתה אפשרות זו, חזר הנאשם לאפשרות הראשונה ו</w:t>
      </w:r>
      <w:r>
        <w:rPr>
          <w:rFonts w:cs="FrankRuehl"/>
          <w:sz w:val="28"/>
          <w:szCs w:val="28"/>
          <w:rtl/>
        </w:rPr>
        <w:t>הודה הנאשם בעובדות כתב האישום המתוקן,</w:t>
      </w:r>
      <w:r>
        <w:rPr>
          <w:rFonts w:cs="FrankRuehl" w:hint="cs"/>
          <w:sz w:val="28"/>
          <w:szCs w:val="28"/>
          <w:rtl/>
        </w:rPr>
        <w:t xml:space="preserve"> הפעם ללא סייג, בהתאם להודאתו הרשעתי אותו </w:t>
      </w:r>
      <w:r>
        <w:rPr>
          <w:rFonts w:cs="FrankRuehl"/>
          <w:sz w:val="28"/>
          <w:szCs w:val="28"/>
          <w:rtl/>
        </w:rPr>
        <w:t xml:space="preserve">והדיון נקבע לטיעון לעונש ליום 13.3.2014. </w:t>
      </w:r>
    </w:p>
    <w:p w14:paraId="32894BDC" w14:textId="77777777" w:rsidR="00D035BF" w:rsidRDefault="00B5718E">
      <w:pPr>
        <w:spacing w:line="360" w:lineRule="auto"/>
        <w:ind w:left="720"/>
        <w:jc w:val="both"/>
        <w:rPr>
          <w:rFonts w:cs="FrankRuehl"/>
          <w:sz w:val="28"/>
          <w:szCs w:val="28"/>
          <w:rtl/>
        </w:rPr>
      </w:pPr>
      <w:r>
        <w:rPr>
          <w:rFonts w:cs="FrankRuehl"/>
          <w:sz w:val="28"/>
          <w:szCs w:val="28"/>
          <w:rtl/>
        </w:rPr>
        <w:t xml:space="preserve">באותה ישיבה ביקש הנאשם להפנותו להליך גמילה במסגרת הקהילה, </w:t>
      </w:r>
      <w:r>
        <w:rPr>
          <w:rFonts w:cs="FrankRuehl" w:hint="cs"/>
          <w:sz w:val="28"/>
          <w:szCs w:val="28"/>
          <w:rtl/>
        </w:rPr>
        <w:t xml:space="preserve">(והציג בקשה דומה מטעמה של אימו, ס/1). </w:t>
      </w:r>
      <w:r>
        <w:rPr>
          <w:rFonts w:cs="FrankRuehl"/>
          <w:sz w:val="28"/>
          <w:szCs w:val="28"/>
          <w:rtl/>
        </w:rPr>
        <w:t>ב"כ</w:t>
      </w:r>
      <w:r>
        <w:rPr>
          <w:rFonts w:cs="FrankRuehl" w:hint="cs"/>
          <w:sz w:val="28"/>
          <w:szCs w:val="28"/>
          <w:rtl/>
        </w:rPr>
        <w:t xml:space="preserve"> הנאשם</w:t>
      </w:r>
      <w:r>
        <w:rPr>
          <w:rFonts w:cs="FrankRuehl"/>
          <w:sz w:val="28"/>
          <w:szCs w:val="28"/>
          <w:rtl/>
        </w:rPr>
        <w:t xml:space="preserve"> בתום הטיעון הבהיר כי לנאשם יש בת זוג שהוא רוצה להתחתן איתה "וזה הבסיס ועיקר הבקשה שלנו"</w:t>
      </w:r>
      <w:r>
        <w:rPr>
          <w:rFonts w:cs="FrankRuehl" w:hint="cs"/>
          <w:sz w:val="28"/>
          <w:szCs w:val="28"/>
          <w:rtl/>
        </w:rPr>
        <w:t xml:space="preserve">. </w:t>
      </w:r>
      <w:r>
        <w:rPr>
          <w:rFonts w:cs="FrankRuehl"/>
          <w:sz w:val="28"/>
          <w:szCs w:val="28"/>
          <w:rtl/>
        </w:rPr>
        <w:t>במכתבו ס/2 ת</w:t>
      </w:r>
      <w:r>
        <w:rPr>
          <w:rFonts w:cs="FrankRuehl" w:hint="cs"/>
          <w:sz w:val="28"/>
          <w:szCs w:val="28"/>
          <w:rtl/>
        </w:rPr>
        <w:t>י</w:t>
      </w:r>
      <w:r>
        <w:rPr>
          <w:rFonts w:cs="FrankRuehl"/>
          <w:sz w:val="28"/>
          <w:szCs w:val="28"/>
          <w:rtl/>
        </w:rPr>
        <w:t xml:space="preserve">אר הנאשם כי במהלך טפול גמילה בקהילה טיפולית בירושלים, </w:t>
      </w:r>
      <w:r>
        <w:rPr>
          <w:rFonts w:cs="FrankRuehl" w:hint="cs"/>
          <w:sz w:val="28"/>
          <w:szCs w:val="28"/>
          <w:rtl/>
        </w:rPr>
        <w:t xml:space="preserve">הוא </w:t>
      </w:r>
      <w:r>
        <w:rPr>
          <w:rFonts w:cs="FrankRuehl"/>
          <w:sz w:val="28"/>
          <w:szCs w:val="28"/>
          <w:rtl/>
        </w:rPr>
        <w:t>התקשר באופן רגשי עם אשה תושבת אילת, עזב את הקהילה נסע לאילת ושוב התדרדר לסמים</w:t>
      </w:r>
      <w:r>
        <w:rPr>
          <w:rFonts w:cs="FrankRuehl" w:hint="cs"/>
          <w:sz w:val="28"/>
          <w:szCs w:val="28"/>
          <w:rtl/>
        </w:rPr>
        <w:t xml:space="preserve"> וזאת לשם המחשת השינוי שחל בהתנהגותו, למשל האשה הנוכחית איתה הוא רוצה להתחתן. </w:t>
      </w:r>
    </w:p>
    <w:p w14:paraId="583008F8" w14:textId="77777777" w:rsidR="00D035BF" w:rsidRDefault="00B5718E">
      <w:pPr>
        <w:spacing w:line="360" w:lineRule="auto"/>
        <w:ind w:left="720"/>
        <w:jc w:val="both"/>
        <w:rPr>
          <w:rFonts w:cs="FrankRuehl"/>
          <w:sz w:val="28"/>
          <w:szCs w:val="28"/>
          <w:rtl/>
        </w:rPr>
      </w:pPr>
      <w:r>
        <w:rPr>
          <w:rFonts w:cs="FrankRuehl"/>
          <w:sz w:val="28"/>
          <w:szCs w:val="28"/>
          <w:rtl/>
        </w:rPr>
        <w:t xml:space="preserve">לאחר שמיעת טיעוני הצדדים, הוריתי לשירות המבחן להכין תסקיר בהתאם </w:t>
      </w:r>
      <w:hyperlink r:id="rId36" w:history="1">
        <w:r w:rsidR="00F40891" w:rsidRPr="00F40891">
          <w:rPr>
            <w:rStyle w:val="Hyperlink"/>
            <w:rFonts w:cs="FrankRuehl"/>
            <w:sz w:val="28"/>
            <w:szCs w:val="28"/>
            <w:rtl/>
          </w:rPr>
          <w:t>לסעיף 83(3)</w:t>
        </w:r>
      </w:hyperlink>
      <w:r>
        <w:rPr>
          <w:rFonts w:cs="FrankRuehl"/>
          <w:sz w:val="28"/>
          <w:szCs w:val="28"/>
          <w:rtl/>
        </w:rPr>
        <w:t xml:space="preserve"> לחוק, תוך התייחסות לאפשרות גמילה, לרבות דרך הטיפול, סוג הטיפול ומישכו.</w:t>
      </w:r>
    </w:p>
    <w:p w14:paraId="45D4E7F6" w14:textId="77777777" w:rsidR="00D035BF" w:rsidRDefault="00B5718E">
      <w:pPr>
        <w:spacing w:line="360" w:lineRule="auto"/>
        <w:ind w:left="720"/>
        <w:jc w:val="both"/>
        <w:rPr>
          <w:rFonts w:cs="FrankRuehl"/>
          <w:sz w:val="28"/>
          <w:szCs w:val="28"/>
        </w:rPr>
      </w:pPr>
      <w:r>
        <w:rPr>
          <w:rFonts w:cs="FrankRuehl"/>
          <w:sz w:val="28"/>
          <w:szCs w:val="28"/>
          <w:rtl/>
        </w:rPr>
        <w:t xml:space="preserve"> </w:t>
      </w:r>
    </w:p>
    <w:p w14:paraId="13D3A85A" w14:textId="77777777" w:rsidR="00D035BF" w:rsidRDefault="00B5718E">
      <w:pPr>
        <w:spacing w:line="360" w:lineRule="auto"/>
        <w:ind w:left="720"/>
        <w:jc w:val="both"/>
        <w:rPr>
          <w:rFonts w:cs="FrankRuehl"/>
          <w:sz w:val="28"/>
          <w:szCs w:val="28"/>
          <w:rtl/>
        </w:rPr>
      </w:pPr>
      <w:r>
        <w:rPr>
          <w:rFonts w:cs="FrankRuehl"/>
          <w:sz w:val="28"/>
          <w:szCs w:val="28"/>
          <w:rtl/>
        </w:rPr>
        <w:t xml:space="preserve">שירות המבחן בתסקיר מיום 7.5.2014, המליץ כאמור על מסלול טיפולי שמשמעו שחרורו של </w:t>
      </w:r>
      <w:r>
        <w:rPr>
          <w:rFonts w:cs="FrankRuehl" w:hint="cs"/>
          <w:sz w:val="28"/>
          <w:szCs w:val="28"/>
          <w:rtl/>
        </w:rPr>
        <w:t>ה</w:t>
      </w:r>
      <w:r>
        <w:rPr>
          <w:rFonts w:cs="FrankRuehl"/>
          <w:sz w:val="28"/>
          <w:szCs w:val="28"/>
          <w:rtl/>
        </w:rPr>
        <w:t>נאשם לחלופה טיפולית, תחילתה בגמילה פי</w:t>
      </w:r>
      <w:r>
        <w:rPr>
          <w:rFonts w:cs="FrankRuehl" w:hint="cs"/>
          <w:sz w:val="28"/>
          <w:szCs w:val="28"/>
          <w:rtl/>
        </w:rPr>
        <w:t>ס</w:t>
      </w:r>
      <w:r>
        <w:rPr>
          <w:rFonts w:cs="FrankRuehl"/>
          <w:sz w:val="28"/>
          <w:szCs w:val="28"/>
          <w:rtl/>
        </w:rPr>
        <w:t>ית והמשכה טיפול בקהילת "הדרך"</w:t>
      </w:r>
      <w:r>
        <w:rPr>
          <w:rFonts w:cs="FrankRuehl" w:hint="cs"/>
          <w:sz w:val="28"/>
          <w:szCs w:val="28"/>
          <w:rtl/>
        </w:rPr>
        <w:t>.</w:t>
      </w:r>
      <w:r>
        <w:rPr>
          <w:rFonts w:cs="FrankRuehl"/>
          <w:sz w:val="28"/>
          <w:szCs w:val="28"/>
          <w:rtl/>
        </w:rPr>
        <w:t xml:space="preserve"> בישיבת 11.5.2014 שבו וטענו הצדדים באריכות לענ</w:t>
      </w:r>
      <w:r>
        <w:rPr>
          <w:rFonts w:cs="FrankRuehl" w:hint="cs"/>
          <w:sz w:val="28"/>
          <w:szCs w:val="28"/>
          <w:rtl/>
        </w:rPr>
        <w:t>י</w:t>
      </w:r>
      <w:r>
        <w:rPr>
          <w:rFonts w:cs="FrankRuehl"/>
          <w:sz w:val="28"/>
          <w:szCs w:val="28"/>
          <w:rtl/>
        </w:rPr>
        <w:t>ין העונש ולענ</w:t>
      </w:r>
      <w:r>
        <w:rPr>
          <w:rFonts w:cs="FrankRuehl" w:hint="cs"/>
          <w:sz w:val="28"/>
          <w:szCs w:val="28"/>
          <w:rtl/>
        </w:rPr>
        <w:t>י</w:t>
      </w:r>
      <w:r>
        <w:rPr>
          <w:rFonts w:cs="FrankRuehl"/>
          <w:sz w:val="28"/>
          <w:szCs w:val="28"/>
          <w:rtl/>
        </w:rPr>
        <w:t>ין אפשרות הפניית הנאשם לטיפול, הנאשם שב וביקש מתן הזדמנות להיות מופנה להליכי  גמילה וטפול, יצוין כי שירות המבחן הזכיר בתסקירו כי בשנת 2011 שוחרר הנאשם למסגרת טיפולית ב"הוסטל ירושלים" שאמורה הי</w:t>
      </w:r>
      <w:r>
        <w:rPr>
          <w:rFonts w:cs="FrankRuehl" w:hint="cs"/>
          <w:sz w:val="28"/>
          <w:szCs w:val="28"/>
          <w:rtl/>
        </w:rPr>
        <w:t>י</w:t>
      </w:r>
      <w:r>
        <w:rPr>
          <w:rFonts w:cs="FrankRuehl"/>
          <w:sz w:val="28"/>
          <w:szCs w:val="28"/>
          <w:rtl/>
        </w:rPr>
        <w:t xml:space="preserve">תה להמשך 9 חודשים, אך בחלוף חצי שנה הנאשם לא השלים את הטפול וחזר להשתמש בסמים, חשוב להדגיש כי הנאשם בטיעוניו לא השלים עם </w:t>
      </w:r>
      <w:r>
        <w:rPr>
          <w:rFonts w:cs="FrankRuehl" w:hint="cs"/>
          <w:sz w:val="28"/>
          <w:szCs w:val="28"/>
          <w:rtl/>
        </w:rPr>
        <w:t xml:space="preserve">קביעות </w:t>
      </w:r>
      <w:r>
        <w:rPr>
          <w:rFonts w:cs="FrankRuehl"/>
          <w:sz w:val="28"/>
          <w:szCs w:val="28"/>
          <w:rtl/>
        </w:rPr>
        <w:t>אלו של שירות המבחן</w:t>
      </w:r>
      <w:r>
        <w:rPr>
          <w:rFonts w:cs="FrankRuehl" w:hint="cs"/>
          <w:sz w:val="28"/>
          <w:szCs w:val="28"/>
          <w:rtl/>
        </w:rPr>
        <w:t xml:space="preserve">. </w:t>
      </w:r>
    </w:p>
    <w:p w14:paraId="39EE5252" w14:textId="77777777" w:rsidR="00D035BF" w:rsidRDefault="00B5718E">
      <w:pPr>
        <w:spacing w:line="360" w:lineRule="auto"/>
        <w:ind w:left="720"/>
        <w:jc w:val="both"/>
        <w:rPr>
          <w:rFonts w:cs="FrankRuehl"/>
          <w:sz w:val="28"/>
          <w:szCs w:val="28"/>
          <w:rtl/>
        </w:rPr>
      </w:pPr>
      <w:r>
        <w:rPr>
          <w:rFonts w:cs="FrankRuehl"/>
          <w:sz w:val="28"/>
          <w:szCs w:val="28"/>
          <w:rtl/>
        </w:rPr>
        <w:t xml:space="preserve">בהחלטתי בתום הדיון הבהרתי כי למרות שלא ניתן לראות קו עקבי  מצידו של הנאשם, לרבות באשר לאי השלמתו </w:t>
      </w:r>
      <w:r>
        <w:rPr>
          <w:rFonts w:cs="FrankRuehl" w:hint="cs"/>
          <w:sz w:val="28"/>
          <w:szCs w:val="28"/>
          <w:rtl/>
        </w:rPr>
        <w:t>ע</w:t>
      </w:r>
      <w:r>
        <w:rPr>
          <w:rFonts w:cs="FrankRuehl"/>
          <w:sz w:val="28"/>
          <w:szCs w:val="28"/>
          <w:rtl/>
        </w:rPr>
        <w:t>ם הנטען בתסקיר באשר ל</w:t>
      </w:r>
      <w:r>
        <w:rPr>
          <w:rFonts w:cs="FrankRuehl" w:hint="cs"/>
          <w:sz w:val="28"/>
          <w:szCs w:val="28"/>
          <w:rtl/>
        </w:rPr>
        <w:t>התנהגותו ב</w:t>
      </w:r>
      <w:r>
        <w:rPr>
          <w:rFonts w:cs="FrankRuehl"/>
          <w:sz w:val="28"/>
          <w:szCs w:val="28"/>
          <w:rtl/>
        </w:rPr>
        <w:t xml:space="preserve">עבר, הוריתי על שחרורו של הנאשם לחלופת מעצר טיפולית בהתאם להמלצת שירות המבחן. </w:t>
      </w:r>
    </w:p>
    <w:p w14:paraId="06D8F486" w14:textId="77777777" w:rsidR="00D035BF" w:rsidRDefault="00D035BF">
      <w:pPr>
        <w:spacing w:line="360" w:lineRule="auto"/>
        <w:ind w:left="720"/>
        <w:jc w:val="both"/>
        <w:rPr>
          <w:rFonts w:cs="FrankRuehl"/>
          <w:sz w:val="28"/>
          <w:szCs w:val="28"/>
          <w:rtl/>
        </w:rPr>
      </w:pPr>
    </w:p>
    <w:p w14:paraId="4C297F43" w14:textId="77777777" w:rsidR="00D035BF" w:rsidRDefault="00B5718E">
      <w:pPr>
        <w:spacing w:line="360" w:lineRule="auto"/>
        <w:ind w:left="720"/>
        <w:jc w:val="both"/>
        <w:rPr>
          <w:rFonts w:cs="FrankRuehl"/>
          <w:sz w:val="28"/>
          <w:szCs w:val="28"/>
          <w:rtl/>
        </w:rPr>
      </w:pPr>
      <w:r>
        <w:rPr>
          <w:rFonts w:cs="FrankRuehl"/>
          <w:sz w:val="28"/>
          <w:szCs w:val="28"/>
          <w:rtl/>
        </w:rPr>
        <w:t xml:space="preserve">בהמשך </w:t>
      </w:r>
      <w:r>
        <w:rPr>
          <w:rFonts w:cs="FrankRuehl" w:hint="cs"/>
          <w:sz w:val="28"/>
          <w:szCs w:val="28"/>
          <w:rtl/>
        </w:rPr>
        <w:t xml:space="preserve">קבלתי עדכון לפיו </w:t>
      </w:r>
      <w:r>
        <w:rPr>
          <w:rFonts w:cs="FrankRuehl"/>
          <w:sz w:val="28"/>
          <w:szCs w:val="28"/>
          <w:rtl/>
        </w:rPr>
        <w:t xml:space="preserve"> הנאשם עבר בהצלחה את הליך הגמילה הפי</w:t>
      </w:r>
      <w:r>
        <w:rPr>
          <w:rFonts w:cs="FrankRuehl" w:hint="cs"/>
          <w:sz w:val="28"/>
          <w:szCs w:val="28"/>
          <w:rtl/>
        </w:rPr>
        <w:t>ס</w:t>
      </w:r>
      <w:r>
        <w:rPr>
          <w:rFonts w:cs="FrankRuehl"/>
          <w:sz w:val="28"/>
          <w:szCs w:val="28"/>
          <w:rtl/>
        </w:rPr>
        <w:t>ית באישפוזית, לצערי כוחותיו של נאשם לא עמדו לו בהמשך, בחלוף כ-8 חודשי טיפול (מיום 15.5.2014 ועד ליום 22.1</w:t>
      </w:r>
      <w:r>
        <w:rPr>
          <w:rFonts w:cs="FrankRuehl" w:hint="cs"/>
          <w:sz w:val="28"/>
          <w:szCs w:val="28"/>
          <w:rtl/>
        </w:rPr>
        <w:t>.</w:t>
      </w:r>
      <w:r>
        <w:rPr>
          <w:rFonts w:cs="FrankRuehl"/>
          <w:sz w:val="28"/>
          <w:szCs w:val="28"/>
          <w:rtl/>
        </w:rPr>
        <w:t>2015), הנאשם כדרכו בעבר, עזב את המסגרת הטיפולית (עם מטופלת אחרת, בתסקיר מיום 25.1.2015 נטען "ככל הנראה על רקע מעורבות רגשית</w:t>
      </w:r>
      <w:r>
        <w:rPr>
          <w:rFonts w:cs="FrankRuehl" w:hint="cs"/>
          <w:sz w:val="28"/>
          <w:szCs w:val="28"/>
          <w:rtl/>
        </w:rPr>
        <w:t>"</w:t>
      </w:r>
      <w:r>
        <w:rPr>
          <w:rFonts w:cs="FrankRuehl"/>
          <w:sz w:val="28"/>
          <w:szCs w:val="28"/>
          <w:rtl/>
        </w:rPr>
        <w:t>)</w:t>
      </w:r>
      <w:r>
        <w:rPr>
          <w:rFonts w:cs="FrankRuehl" w:hint="cs"/>
          <w:sz w:val="28"/>
          <w:szCs w:val="28"/>
          <w:rtl/>
        </w:rPr>
        <w:t xml:space="preserve">. </w:t>
      </w:r>
      <w:r>
        <w:rPr>
          <w:rFonts w:cs="FrankRuehl"/>
          <w:sz w:val="28"/>
          <w:szCs w:val="28"/>
          <w:rtl/>
        </w:rPr>
        <w:t xml:space="preserve"> בתסקיר העדכני מיום 19.2.2015 הובהר כי לצד ההתקדמות ביכולותיו של הנאשם, ניכר כי הוא מתקשה לקחת אחריות על מעשיו במסגרת הקהילה, עד כדי הפסקת טיפול ביום 6.10.2014 עם אפשרות לחזור, לאחר 10 ימים חזר להמשך טיפול, עדיין התקשה לשלוט בדחפיו וביום 25.1.2015 עזב כאמור את הקהילה על דעת עצמו.</w:t>
      </w:r>
    </w:p>
    <w:p w14:paraId="6F040B39" w14:textId="77777777" w:rsidR="00D035BF" w:rsidRDefault="00D035BF">
      <w:pPr>
        <w:spacing w:line="360" w:lineRule="auto"/>
        <w:ind w:left="720"/>
        <w:jc w:val="both"/>
        <w:rPr>
          <w:rFonts w:cs="FrankRuehl"/>
          <w:sz w:val="28"/>
          <w:szCs w:val="28"/>
        </w:rPr>
      </w:pPr>
    </w:p>
    <w:p w14:paraId="092F7A67" w14:textId="77777777" w:rsidR="00D035BF" w:rsidRDefault="00B5718E">
      <w:pPr>
        <w:numPr>
          <w:ilvl w:val="0"/>
          <w:numId w:val="1"/>
        </w:numPr>
        <w:spacing w:line="360" w:lineRule="auto"/>
        <w:jc w:val="both"/>
        <w:rPr>
          <w:rFonts w:cs="FrankRuehl"/>
          <w:sz w:val="28"/>
          <w:szCs w:val="28"/>
        </w:rPr>
      </w:pPr>
      <w:r>
        <w:rPr>
          <w:rFonts w:cs="FrankRuehl"/>
          <w:sz w:val="28"/>
          <w:szCs w:val="28"/>
          <w:rtl/>
        </w:rPr>
        <w:t>בשלב זה חשוב להדגיש כי הנאשם, היה עצור עד תום ההליכים, בהתאם להחלטתי הוא שוחרר למטרות טיפול במסגרת מוגדרת</w:t>
      </w:r>
      <w:r>
        <w:rPr>
          <w:rFonts w:cs="FrankRuehl" w:hint="cs"/>
          <w:sz w:val="28"/>
          <w:szCs w:val="28"/>
          <w:rtl/>
        </w:rPr>
        <w:t xml:space="preserve"> בקהילת "הדרך" </w:t>
      </w:r>
      <w:r>
        <w:rPr>
          <w:rFonts w:cs="FrankRuehl"/>
          <w:sz w:val="28"/>
          <w:szCs w:val="28"/>
          <w:rtl/>
        </w:rPr>
        <w:t>שנקבעה על ידי שירות המבחן</w:t>
      </w:r>
      <w:r>
        <w:rPr>
          <w:rFonts w:cs="FrankRuehl" w:hint="cs"/>
          <w:sz w:val="28"/>
          <w:szCs w:val="28"/>
          <w:rtl/>
        </w:rPr>
        <w:t xml:space="preserve">. </w:t>
      </w:r>
      <w:r>
        <w:rPr>
          <w:rFonts w:cs="FrankRuehl"/>
          <w:sz w:val="28"/>
          <w:szCs w:val="28"/>
          <w:rtl/>
        </w:rPr>
        <w:t xml:space="preserve"> על דעת עצמו בחר </w:t>
      </w:r>
      <w:r>
        <w:rPr>
          <w:rFonts w:cs="FrankRuehl" w:hint="cs"/>
          <w:sz w:val="28"/>
          <w:szCs w:val="28"/>
          <w:rtl/>
        </w:rPr>
        <w:t xml:space="preserve">הנאשם </w:t>
      </w:r>
      <w:r>
        <w:rPr>
          <w:rFonts w:cs="FrankRuehl"/>
          <w:sz w:val="28"/>
          <w:szCs w:val="28"/>
          <w:rtl/>
        </w:rPr>
        <w:t>ביום 22.1.2015 לשחרר עצמו מכל המגבלות, בהתעלם מבית משפט, מהתיק הפלילי וגם הפעם התגלו סתירות מהותיות בהסבריו. בדיון מיום 24.2.2015 ביקשתי הסבר היכן שהה הנאשם מיום 22.1.2015 ועד ליום 24.2.2015 ומדוע לא פנה ביוזמתו לבית המשפט שנתן בו אמון, לאחר הפסקה שנעשתה כדי לאפשר לנאשם לספק את כל המידע לסנגורו</w:t>
      </w:r>
      <w:r>
        <w:rPr>
          <w:rFonts w:cs="FrankRuehl" w:hint="cs"/>
          <w:sz w:val="28"/>
          <w:szCs w:val="28"/>
          <w:rtl/>
        </w:rPr>
        <w:t xml:space="preserve">, </w:t>
      </w:r>
      <w:r>
        <w:rPr>
          <w:rFonts w:cs="FrankRuehl"/>
          <w:sz w:val="28"/>
          <w:szCs w:val="28"/>
          <w:rtl/>
        </w:rPr>
        <w:t xml:space="preserve">הודיע </w:t>
      </w:r>
      <w:r>
        <w:rPr>
          <w:rFonts w:cs="FrankRuehl" w:hint="cs"/>
          <w:sz w:val="28"/>
          <w:szCs w:val="28"/>
          <w:rtl/>
        </w:rPr>
        <w:t xml:space="preserve">הסנגור </w:t>
      </w:r>
      <w:r>
        <w:rPr>
          <w:rFonts w:cs="FrankRuehl"/>
          <w:sz w:val="28"/>
          <w:szCs w:val="28"/>
          <w:rtl/>
        </w:rPr>
        <w:t xml:space="preserve">לאחר </w:t>
      </w:r>
      <w:r>
        <w:rPr>
          <w:rFonts w:cs="FrankRuehl" w:hint="cs"/>
          <w:sz w:val="28"/>
          <w:szCs w:val="28"/>
          <w:rtl/>
        </w:rPr>
        <w:t xml:space="preserve">ההפסקה כי </w:t>
      </w:r>
      <w:r>
        <w:rPr>
          <w:rFonts w:cs="FrankRuehl"/>
          <w:sz w:val="28"/>
          <w:szCs w:val="28"/>
          <w:rtl/>
        </w:rPr>
        <w:t xml:space="preserve">הנאשם שהה כל התקופה "במעצר בית, מבלי שמישהו כפה עליו", (עמוד 21 לפרוטוקול שורה 11), מהר מאוד הסתבר כי לנאשם גרסה אחרת שונה לחלוטין, עוד חשוב לציין כי שירות המבחן בתסקירו האחרון ציין כי נקבעה לנאשם פגישה לתאריך 27.1.2015, הנאשם לא הגיע לפגישה ולא יצר קשר עם שירות המבחן, וגם הפעם </w:t>
      </w:r>
      <w:r>
        <w:rPr>
          <w:rFonts w:cs="FrankRuehl" w:hint="cs"/>
          <w:sz w:val="28"/>
          <w:szCs w:val="28"/>
          <w:rtl/>
        </w:rPr>
        <w:t>ל</w:t>
      </w:r>
      <w:r>
        <w:rPr>
          <w:rFonts w:cs="FrankRuehl"/>
          <w:sz w:val="28"/>
          <w:szCs w:val="28"/>
          <w:rtl/>
        </w:rPr>
        <w:t xml:space="preserve">נאשם </w:t>
      </w:r>
      <w:r>
        <w:rPr>
          <w:rFonts w:cs="FrankRuehl" w:hint="cs"/>
          <w:sz w:val="28"/>
          <w:szCs w:val="28"/>
          <w:rtl/>
        </w:rPr>
        <w:t xml:space="preserve">גרסה עובדתית שונה, ממנה משתמעת טענתו לפיה </w:t>
      </w:r>
      <w:r>
        <w:rPr>
          <w:rFonts w:cs="FrankRuehl"/>
          <w:sz w:val="28"/>
          <w:szCs w:val="28"/>
          <w:rtl/>
        </w:rPr>
        <w:t xml:space="preserve">האמור בתסקיר אינו אמת. </w:t>
      </w:r>
    </w:p>
    <w:p w14:paraId="7D777C15" w14:textId="77777777" w:rsidR="00D035BF" w:rsidRDefault="00D035BF">
      <w:pPr>
        <w:spacing w:line="360" w:lineRule="auto"/>
        <w:ind w:left="720"/>
        <w:jc w:val="both"/>
        <w:rPr>
          <w:rFonts w:cs="FrankRuehl"/>
          <w:sz w:val="28"/>
          <w:szCs w:val="28"/>
        </w:rPr>
      </w:pPr>
    </w:p>
    <w:p w14:paraId="6BE03A72" w14:textId="77777777" w:rsidR="00D035BF" w:rsidRDefault="00B5718E">
      <w:pPr>
        <w:numPr>
          <w:ilvl w:val="0"/>
          <w:numId w:val="1"/>
        </w:numPr>
        <w:spacing w:line="360" w:lineRule="auto"/>
        <w:jc w:val="both"/>
        <w:rPr>
          <w:rFonts w:cs="FrankRuehl"/>
          <w:sz w:val="28"/>
          <w:szCs w:val="28"/>
          <w:rtl/>
        </w:rPr>
      </w:pPr>
      <w:r>
        <w:rPr>
          <w:rFonts w:cs="FrankRuehl"/>
          <w:sz w:val="28"/>
          <w:szCs w:val="28"/>
          <w:rtl/>
        </w:rPr>
        <w:t>בתום הדיון</w:t>
      </w:r>
      <w:r>
        <w:rPr>
          <w:rFonts w:cs="FrankRuehl" w:hint="cs"/>
          <w:sz w:val="28"/>
          <w:szCs w:val="28"/>
          <w:rtl/>
        </w:rPr>
        <w:t xml:space="preserve"> מיום 24.2.2015, </w:t>
      </w:r>
      <w:r>
        <w:rPr>
          <w:rFonts w:cs="FrankRuehl"/>
          <w:sz w:val="28"/>
          <w:szCs w:val="28"/>
          <w:rtl/>
        </w:rPr>
        <w:t>במסגרת דיונית שאינה מוכרת לי הגיש הסנגור הודעה לפיה למחרת הדיון, ביום 25.2.15 הגיע הנאשם ל</w:t>
      </w:r>
      <w:r>
        <w:rPr>
          <w:rFonts w:cs="FrankRuehl" w:hint="cs"/>
          <w:sz w:val="28"/>
          <w:szCs w:val="28"/>
          <w:rtl/>
        </w:rPr>
        <w:t>"</w:t>
      </w:r>
      <w:r>
        <w:rPr>
          <w:rFonts w:cs="FrankRuehl"/>
          <w:sz w:val="28"/>
          <w:szCs w:val="28"/>
          <w:rtl/>
        </w:rPr>
        <w:t>יחידה לטפול בנפגעי התמכרויות</w:t>
      </w:r>
      <w:r>
        <w:rPr>
          <w:rFonts w:cs="FrankRuehl" w:hint="cs"/>
          <w:sz w:val="28"/>
          <w:szCs w:val="28"/>
          <w:rtl/>
        </w:rPr>
        <w:t>-</w:t>
      </w:r>
      <w:r>
        <w:rPr>
          <w:rFonts w:cs="FrankRuehl"/>
          <w:sz w:val="28"/>
          <w:szCs w:val="28"/>
          <w:rtl/>
        </w:rPr>
        <w:t>צפת</w:t>
      </w:r>
      <w:r>
        <w:rPr>
          <w:rFonts w:cs="FrankRuehl" w:hint="cs"/>
          <w:sz w:val="28"/>
          <w:szCs w:val="28"/>
          <w:rtl/>
        </w:rPr>
        <w:t>"</w:t>
      </w:r>
      <w:r>
        <w:rPr>
          <w:rFonts w:cs="FrankRuehl"/>
          <w:sz w:val="28"/>
          <w:szCs w:val="28"/>
          <w:rtl/>
        </w:rPr>
        <w:t xml:space="preserve"> לשם התחלת טיפול, </w:t>
      </w:r>
      <w:r>
        <w:rPr>
          <w:rFonts w:cs="FrankRuehl" w:hint="cs"/>
          <w:sz w:val="28"/>
          <w:szCs w:val="28"/>
          <w:rtl/>
        </w:rPr>
        <w:t>(</w:t>
      </w:r>
      <w:r>
        <w:rPr>
          <w:rFonts w:cs="FrankRuehl"/>
          <w:sz w:val="28"/>
          <w:szCs w:val="28"/>
          <w:rtl/>
        </w:rPr>
        <w:t>מכתב זה סותר את טענת הנאשם בפניי כי במהלך החודש ששהה בית אימו התייצב לפגישות באותו מרכז</w:t>
      </w:r>
      <w:r>
        <w:rPr>
          <w:rFonts w:cs="FrankRuehl" w:hint="cs"/>
          <w:sz w:val="28"/>
          <w:szCs w:val="28"/>
          <w:rtl/>
        </w:rPr>
        <w:t>), לא ברור מי מפעיל את אותה יחידה, מי מבצע שם בדיקות לגילוי סמים ומפקח על איכות הטיפול. מיותר להזכיר כי שירות המבחן הוא הגורם המתאים להמליץ על מסגרות טיפול ולעקוב אחריהן ובמקרה זה מסקנתו האחרונה לגבי הנאשם, היא כי אין המלצה טיפולית לגביו. הנאשם בוחר מתי לשתף פעולה, מתי ליצור קשר ועם מי, דרך זו אינה דרך המתאימה למי שראוי לשיקום או למסגרת טיפול כחלק מהליך שיפוטי ומיותר לציין כי אין לראות בהתנהגות זו, קיומו של סיכוי ממשי לשיקום.</w:t>
      </w:r>
    </w:p>
    <w:p w14:paraId="142F1B55" w14:textId="77777777" w:rsidR="00D035BF" w:rsidRDefault="00D035BF">
      <w:pPr>
        <w:spacing w:line="360" w:lineRule="auto"/>
        <w:ind w:left="720"/>
        <w:jc w:val="both"/>
        <w:rPr>
          <w:rFonts w:cs="FrankRuehl"/>
          <w:sz w:val="28"/>
          <w:szCs w:val="28"/>
        </w:rPr>
      </w:pPr>
    </w:p>
    <w:p w14:paraId="6E383F5A" w14:textId="77777777" w:rsidR="00D035BF" w:rsidRDefault="00B5718E">
      <w:pPr>
        <w:spacing w:line="360" w:lineRule="auto"/>
        <w:ind w:left="720"/>
        <w:jc w:val="both"/>
        <w:rPr>
          <w:rFonts w:cs="FrankRuehl"/>
          <w:sz w:val="28"/>
          <w:szCs w:val="28"/>
          <w:rtl/>
        </w:rPr>
      </w:pPr>
      <w:r>
        <w:rPr>
          <w:rFonts w:cs="FrankRuehl"/>
          <w:sz w:val="28"/>
          <w:szCs w:val="28"/>
          <w:rtl/>
        </w:rPr>
        <w:t xml:space="preserve">לסיכום- הנאשם </w:t>
      </w:r>
      <w:r>
        <w:rPr>
          <w:rFonts w:cs="FrankRuehl" w:hint="cs"/>
          <w:sz w:val="28"/>
          <w:szCs w:val="28"/>
          <w:rtl/>
        </w:rPr>
        <w:t>"</w:t>
      </w:r>
      <w:r>
        <w:rPr>
          <w:rFonts w:cs="FrankRuehl"/>
          <w:sz w:val="28"/>
          <w:szCs w:val="28"/>
          <w:rtl/>
        </w:rPr>
        <w:t>משנה</w:t>
      </w:r>
      <w:r>
        <w:rPr>
          <w:rFonts w:cs="FrankRuehl" w:hint="cs"/>
          <w:sz w:val="28"/>
          <w:szCs w:val="28"/>
          <w:rtl/>
        </w:rPr>
        <w:t>"</w:t>
      </w:r>
      <w:r>
        <w:rPr>
          <w:rFonts w:cs="FrankRuehl"/>
          <w:sz w:val="28"/>
          <w:szCs w:val="28"/>
          <w:rtl/>
        </w:rPr>
        <w:t xml:space="preserve"> את העובדות ואת הסבריו לפי מה שנראה לו מתאים באותו זמן ולאו דווקא לפי האמת, נתתי בנאשם </w:t>
      </w:r>
      <w:r>
        <w:rPr>
          <w:rFonts w:cs="FrankRuehl" w:hint="cs"/>
          <w:sz w:val="28"/>
          <w:szCs w:val="28"/>
          <w:rtl/>
        </w:rPr>
        <w:t xml:space="preserve">אמון </w:t>
      </w:r>
      <w:r>
        <w:rPr>
          <w:rFonts w:cs="FrankRuehl"/>
          <w:sz w:val="28"/>
          <w:szCs w:val="28"/>
          <w:rtl/>
        </w:rPr>
        <w:t>וק</w:t>
      </w:r>
      <w:r>
        <w:rPr>
          <w:rFonts w:cs="FrankRuehl" w:hint="cs"/>
          <w:sz w:val="28"/>
          <w:szCs w:val="28"/>
          <w:rtl/>
        </w:rPr>
        <w:t>יו</w:t>
      </w:r>
      <w:r>
        <w:rPr>
          <w:rFonts w:cs="FrankRuehl"/>
          <w:sz w:val="28"/>
          <w:szCs w:val="28"/>
          <w:rtl/>
        </w:rPr>
        <w:t>ויתי כי ישקיע את האנרגיות בניסיון להשתקם</w:t>
      </w:r>
      <w:r>
        <w:rPr>
          <w:rFonts w:cs="FrankRuehl" w:hint="cs"/>
          <w:sz w:val="28"/>
          <w:szCs w:val="28"/>
          <w:rtl/>
        </w:rPr>
        <w:t>, ו</w:t>
      </w:r>
      <w:r>
        <w:rPr>
          <w:rFonts w:cs="FrankRuehl"/>
          <w:sz w:val="28"/>
          <w:szCs w:val="28"/>
          <w:rtl/>
        </w:rPr>
        <w:t>אמון זה הופר על ידו.</w:t>
      </w:r>
    </w:p>
    <w:p w14:paraId="7EE357BA" w14:textId="77777777" w:rsidR="00D035BF" w:rsidRDefault="00D035BF">
      <w:pPr>
        <w:spacing w:line="360" w:lineRule="auto"/>
        <w:ind w:left="720"/>
        <w:jc w:val="both"/>
        <w:rPr>
          <w:rFonts w:cs="FrankRuehl"/>
          <w:sz w:val="28"/>
          <w:szCs w:val="28"/>
        </w:rPr>
      </w:pPr>
    </w:p>
    <w:p w14:paraId="72A97A78" w14:textId="77777777" w:rsidR="00D035BF" w:rsidRDefault="00B5718E">
      <w:pPr>
        <w:spacing w:line="360" w:lineRule="auto"/>
        <w:ind w:left="720"/>
        <w:jc w:val="both"/>
        <w:rPr>
          <w:rFonts w:cs="FrankRuehl"/>
          <w:sz w:val="28"/>
          <w:szCs w:val="28"/>
          <w:rtl/>
        </w:rPr>
      </w:pPr>
      <w:r>
        <w:rPr>
          <w:rFonts w:cs="FrankRuehl"/>
          <w:sz w:val="28"/>
          <w:szCs w:val="28"/>
          <w:rtl/>
        </w:rPr>
        <w:t>לנאשם אין הסבר עניני ואמיתי באשר לסיבה בגינה עזב את הקהילה הטיפולית, לא ניתן להשלים עם התנהגותו, במיוחד לאור עברו העשיר גם בתחום הליכי הגמילה והכ</w:t>
      </w:r>
      <w:r>
        <w:rPr>
          <w:rFonts w:cs="FrankRuehl" w:hint="cs"/>
          <w:sz w:val="28"/>
          <w:szCs w:val="28"/>
          <w:rtl/>
        </w:rPr>
        <w:t>י</w:t>
      </w:r>
      <w:r>
        <w:rPr>
          <w:rFonts w:cs="FrankRuehl"/>
          <w:sz w:val="28"/>
          <w:szCs w:val="28"/>
          <w:rtl/>
        </w:rPr>
        <w:t>שלונות בהתאם.  גם אם נקלע הנאשם למשבר, ציפיתי כי יעדכן מידית את בית המשפט ויבקש הכוונה ועזרה</w:t>
      </w:r>
      <w:r>
        <w:rPr>
          <w:rFonts w:cs="FrankRuehl" w:hint="cs"/>
          <w:sz w:val="28"/>
          <w:szCs w:val="28"/>
          <w:rtl/>
        </w:rPr>
        <w:t xml:space="preserve">. </w:t>
      </w:r>
      <w:r>
        <w:rPr>
          <w:rFonts w:cs="FrankRuehl"/>
          <w:sz w:val="28"/>
          <w:szCs w:val="28"/>
          <w:rtl/>
        </w:rPr>
        <w:t xml:space="preserve">הנאשם בחר בדרך הקלה, </w:t>
      </w:r>
      <w:r>
        <w:rPr>
          <w:rFonts w:cs="FrankRuehl" w:hint="cs"/>
          <w:sz w:val="28"/>
          <w:szCs w:val="28"/>
          <w:rtl/>
        </w:rPr>
        <w:t xml:space="preserve">"להעלם", </w:t>
      </w:r>
      <w:r>
        <w:rPr>
          <w:rFonts w:cs="FrankRuehl"/>
          <w:sz w:val="28"/>
          <w:szCs w:val="28"/>
          <w:rtl/>
        </w:rPr>
        <w:t xml:space="preserve">לשהות במקומות לא ידועים, לעשות </w:t>
      </w:r>
      <w:r>
        <w:rPr>
          <w:rFonts w:cs="FrankRuehl" w:hint="cs"/>
          <w:sz w:val="28"/>
          <w:szCs w:val="28"/>
          <w:rtl/>
        </w:rPr>
        <w:t xml:space="preserve">כל </w:t>
      </w:r>
      <w:r>
        <w:rPr>
          <w:rFonts w:cs="FrankRuehl"/>
          <w:sz w:val="28"/>
          <w:szCs w:val="28"/>
          <w:rtl/>
        </w:rPr>
        <w:t>מה שיחפוץ ומשזומן לפגישה בשירות המבחן, ליום 27.1.2015, ניתק קשר, לא התייצב וכהרגלו בדיונים בפניי, בחר שלא להגיד את האמת והפעם לטעון כי שירות המבחן מוסר דברי</w:t>
      </w:r>
      <w:r>
        <w:rPr>
          <w:rFonts w:cs="FrankRuehl" w:hint="cs"/>
          <w:sz w:val="28"/>
          <w:szCs w:val="28"/>
          <w:rtl/>
        </w:rPr>
        <w:t xml:space="preserve">ם לא נכונים </w:t>
      </w:r>
      <w:r>
        <w:rPr>
          <w:rFonts w:cs="FrankRuehl"/>
          <w:sz w:val="28"/>
          <w:szCs w:val="28"/>
          <w:rtl/>
        </w:rPr>
        <w:t>לבית המשפט.</w:t>
      </w:r>
    </w:p>
    <w:p w14:paraId="6ACC5031" w14:textId="77777777" w:rsidR="00D035BF" w:rsidRDefault="00D035BF">
      <w:pPr>
        <w:spacing w:line="360" w:lineRule="auto"/>
        <w:ind w:left="720"/>
        <w:jc w:val="both"/>
        <w:rPr>
          <w:rFonts w:cs="FrankRuehl"/>
          <w:sz w:val="28"/>
          <w:szCs w:val="28"/>
        </w:rPr>
      </w:pPr>
    </w:p>
    <w:p w14:paraId="3B2D58B8" w14:textId="77777777" w:rsidR="00D035BF" w:rsidRDefault="00B5718E">
      <w:pPr>
        <w:numPr>
          <w:ilvl w:val="0"/>
          <w:numId w:val="1"/>
        </w:numPr>
        <w:spacing w:line="360" w:lineRule="auto"/>
        <w:jc w:val="both"/>
        <w:rPr>
          <w:rFonts w:cs="FrankRuehl"/>
          <w:sz w:val="28"/>
          <w:szCs w:val="28"/>
        </w:rPr>
      </w:pPr>
      <w:r>
        <w:rPr>
          <w:rFonts w:cs="FrankRuehl"/>
          <w:sz w:val="28"/>
          <w:szCs w:val="28"/>
          <w:rtl/>
        </w:rPr>
        <w:t xml:space="preserve">ככל שמדובר בתיק פלילי ובמסגרת החוק, הנאשם לא יכול "לשחרר" עצמו ממעצר, בדרך של בקשה להיות מטופל בקהילה, לברוח מאותה קהילה, להחליט מתי </w:t>
      </w:r>
      <w:r>
        <w:rPr>
          <w:rFonts w:cs="FrankRuehl" w:hint="cs"/>
          <w:sz w:val="28"/>
          <w:szCs w:val="28"/>
          <w:rtl/>
        </w:rPr>
        <w:t xml:space="preserve">לאחר מכן </w:t>
      </w:r>
      <w:r>
        <w:rPr>
          <w:rFonts w:cs="FrankRuehl"/>
          <w:sz w:val="28"/>
          <w:szCs w:val="28"/>
          <w:rtl/>
        </w:rPr>
        <w:t xml:space="preserve">יצור קשר עם בית משפט וגם "לבנות" לו תכנית טיפול </w:t>
      </w:r>
      <w:r>
        <w:rPr>
          <w:rFonts w:cs="FrankRuehl" w:hint="cs"/>
          <w:sz w:val="28"/>
          <w:szCs w:val="28"/>
          <w:rtl/>
        </w:rPr>
        <w:t xml:space="preserve">עצמאית </w:t>
      </w:r>
      <w:r>
        <w:rPr>
          <w:rFonts w:cs="FrankRuehl"/>
          <w:sz w:val="28"/>
          <w:szCs w:val="28"/>
          <w:rtl/>
        </w:rPr>
        <w:t xml:space="preserve">אחרת נוחה </w:t>
      </w:r>
      <w:r>
        <w:rPr>
          <w:rFonts w:cs="FrankRuehl" w:hint="cs"/>
          <w:sz w:val="28"/>
          <w:szCs w:val="28"/>
          <w:rtl/>
        </w:rPr>
        <w:t>לתכניותיו</w:t>
      </w:r>
      <w:r>
        <w:rPr>
          <w:rFonts w:cs="FrankRuehl"/>
          <w:sz w:val="28"/>
          <w:szCs w:val="28"/>
          <w:rtl/>
        </w:rPr>
        <w:t xml:space="preserve">.  כנראה שעד </w:t>
      </w:r>
      <w:r>
        <w:rPr>
          <w:rFonts w:cs="FrankRuehl" w:hint="cs"/>
          <w:sz w:val="28"/>
          <w:szCs w:val="28"/>
          <w:rtl/>
        </w:rPr>
        <w:t>ש</w:t>
      </w:r>
      <w:r>
        <w:rPr>
          <w:rFonts w:cs="FrankRuehl"/>
          <w:sz w:val="28"/>
          <w:szCs w:val="28"/>
          <w:rtl/>
        </w:rPr>
        <w:t xml:space="preserve">לא יוכל הנאשם להתמודד עם המציאות והאמת, הוא גם לא יוכל להתמודד עם התמכרותו </w:t>
      </w:r>
      <w:r>
        <w:rPr>
          <w:rFonts w:cs="FrankRuehl" w:hint="cs"/>
          <w:sz w:val="28"/>
          <w:szCs w:val="28"/>
          <w:rtl/>
        </w:rPr>
        <w:t>ל</w:t>
      </w:r>
      <w:r>
        <w:rPr>
          <w:rFonts w:cs="FrankRuehl"/>
          <w:sz w:val="28"/>
          <w:szCs w:val="28"/>
          <w:rtl/>
        </w:rPr>
        <w:t>סמים</w:t>
      </w:r>
      <w:r>
        <w:rPr>
          <w:rFonts w:cs="FrankRuehl" w:hint="cs"/>
          <w:sz w:val="28"/>
          <w:szCs w:val="28"/>
          <w:rtl/>
        </w:rPr>
        <w:t xml:space="preserve">. </w:t>
      </w:r>
    </w:p>
    <w:p w14:paraId="55B15A7E" w14:textId="77777777" w:rsidR="00D035BF" w:rsidRDefault="00B5718E">
      <w:pPr>
        <w:spacing w:line="360" w:lineRule="auto"/>
        <w:ind w:left="720"/>
        <w:jc w:val="both"/>
        <w:rPr>
          <w:rFonts w:cs="FrankRuehl"/>
          <w:sz w:val="28"/>
          <w:szCs w:val="28"/>
        </w:rPr>
      </w:pPr>
      <w:r>
        <w:rPr>
          <w:rFonts w:cs="FrankRuehl"/>
          <w:sz w:val="28"/>
          <w:szCs w:val="28"/>
          <w:rtl/>
        </w:rPr>
        <w:t>שירות המבחן עשה עבודה מקצועית ומבורכת, השקיע מאמצים רבים למצוא פתרונות לשיקומו של הנאשם ואני משוכנע  כי לא נפל פגם כל שהוא ב</w:t>
      </w:r>
      <w:r>
        <w:rPr>
          <w:rFonts w:cs="FrankRuehl" w:hint="cs"/>
          <w:sz w:val="28"/>
          <w:szCs w:val="28"/>
          <w:rtl/>
        </w:rPr>
        <w:t xml:space="preserve">תוכן </w:t>
      </w:r>
      <w:r>
        <w:rPr>
          <w:rFonts w:cs="FrankRuehl"/>
          <w:sz w:val="28"/>
          <w:szCs w:val="28"/>
          <w:rtl/>
        </w:rPr>
        <w:t>תסקירי שירות המבחן. למרות ההזדמנויות שניתנו לנאשם על ידי, שוכנעתי כי אין כיום סיכוי שישתקם ולכן אין לחרוג ממתחם הענישה ההולם.</w:t>
      </w:r>
    </w:p>
    <w:p w14:paraId="0FE970D6" w14:textId="77777777" w:rsidR="00D035BF" w:rsidRDefault="00D035BF">
      <w:pPr>
        <w:spacing w:line="360" w:lineRule="auto"/>
        <w:ind w:left="720"/>
        <w:jc w:val="both"/>
        <w:rPr>
          <w:rFonts w:cs="FrankRuehl"/>
          <w:sz w:val="28"/>
          <w:szCs w:val="28"/>
        </w:rPr>
      </w:pPr>
    </w:p>
    <w:p w14:paraId="099A8C26" w14:textId="77777777" w:rsidR="00D035BF" w:rsidRDefault="00B5718E">
      <w:pPr>
        <w:spacing w:line="360" w:lineRule="auto"/>
        <w:ind w:left="720"/>
        <w:jc w:val="both"/>
        <w:rPr>
          <w:rFonts w:cs="FrankRuehl"/>
          <w:sz w:val="28"/>
          <w:szCs w:val="28"/>
        </w:rPr>
      </w:pPr>
      <w:r>
        <w:rPr>
          <w:rFonts w:cs="FrankRuehl"/>
          <w:sz w:val="28"/>
          <w:szCs w:val="28"/>
          <w:rtl/>
        </w:rPr>
        <w:t>בענ</w:t>
      </w:r>
      <w:r>
        <w:rPr>
          <w:rFonts w:cs="FrankRuehl" w:hint="cs"/>
          <w:sz w:val="28"/>
          <w:szCs w:val="28"/>
          <w:rtl/>
        </w:rPr>
        <w:t>י</w:t>
      </w:r>
      <w:r>
        <w:rPr>
          <w:rFonts w:cs="FrankRuehl"/>
          <w:sz w:val="28"/>
          <w:szCs w:val="28"/>
          <w:rtl/>
        </w:rPr>
        <w:t>ין זה אפנה ל</w:t>
      </w:r>
      <w:hyperlink r:id="rId37" w:history="1">
        <w:r w:rsidRPr="00B5718E">
          <w:rPr>
            <w:rFonts w:cs="FrankRuehl"/>
            <w:color w:val="0000FF"/>
            <w:sz w:val="28"/>
            <w:szCs w:val="28"/>
            <w:u w:val="single"/>
            <w:rtl/>
          </w:rPr>
          <w:t>ע"פ 2194/14</w:t>
        </w:r>
      </w:hyperlink>
      <w:r>
        <w:rPr>
          <w:rFonts w:cs="FrankRuehl"/>
          <w:sz w:val="28"/>
          <w:szCs w:val="28"/>
          <w:rtl/>
        </w:rPr>
        <w:t xml:space="preserve"> </w:t>
      </w:r>
      <w:r>
        <w:rPr>
          <w:rFonts w:cs="Miriam"/>
          <w:rtl/>
        </w:rPr>
        <w:t>בן שמעון נגד מדינת ישראל</w:t>
      </w:r>
      <w:r>
        <w:rPr>
          <w:rFonts w:cs="FrankRuehl"/>
          <w:sz w:val="28"/>
          <w:szCs w:val="28"/>
          <w:rtl/>
        </w:rPr>
        <w:t xml:space="preserve"> (10.9.2014) (להלן-ענין –בן שמעון), באותו מקרה </w:t>
      </w:r>
      <w:r>
        <w:rPr>
          <w:rFonts w:cs="FrankRuehl" w:hint="cs"/>
          <w:sz w:val="28"/>
          <w:szCs w:val="28"/>
          <w:rtl/>
        </w:rPr>
        <w:t xml:space="preserve">הורשע </w:t>
      </w:r>
      <w:r>
        <w:rPr>
          <w:rFonts w:cs="FrankRuehl"/>
          <w:sz w:val="28"/>
          <w:szCs w:val="28"/>
          <w:rtl/>
        </w:rPr>
        <w:t xml:space="preserve">הנאשם בעבירות של גידול סם מסוכן, החזקתו שלא לצריכה עצמית והחזקת כלים המשמשים להכנת סם מסוכן, </w:t>
      </w:r>
      <w:r>
        <w:rPr>
          <w:rFonts w:cs="FrankRuehl" w:hint="cs"/>
          <w:sz w:val="28"/>
          <w:szCs w:val="28"/>
          <w:rtl/>
        </w:rPr>
        <w:t xml:space="preserve">הוא </w:t>
      </w:r>
      <w:r>
        <w:rPr>
          <w:rFonts w:cs="FrankRuehl"/>
          <w:sz w:val="28"/>
          <w:szCs w:val="28"/>
          <w:rtl/>
        </w:rPr>
        <w:t>שיתף פעולה  עם גורמי הטיפול ונרתם לתהליך שיקום ארוך ומשמעותי אשר בו הוא התמיד,  בית המשפט העליון הפחית מהעונש שהוטל על אותו נאשם והעמידו על 20 חודשי מאסר בפועל כשהוא קובע:</w:t>
      </w:r>
    </w:p>
    <w:p w14:paraId="08FF4F72" w14:textId="77777777" w:rsidR="00D035BF" w:rsidRDefault="00B5718E">
      <w:pPr>
        <w:pStyle w:val="Ruller4"/>
        <w:spacing w:line="240" w:lineRule="auto"/>
        <w:ind w:left="1440" w:right="540"/>
        <w:rPr>
          <w:sz w:val="28"/>
          <w:rtl/>
        </w:rPr>
      </w:pPr>
      <w:r>
        <w:rPr>
          <w:sz w:val="28"/>
          <w:rtl/>
        </w:rPr>
        <w:t xml:space="preserve">"בית משפט זה חזר פעם אחר פעם על הצורך להחמיר בעונשם של מי שעברו עבירות סמים ולא אחת נפסק כי ככלל כאשר בעבירות סמים עסקינן השיקולים הנוגעים לנסיבותיו האישיות של הנאשם נסוגים מפני האינטרס הציבורי שבהרתעת הרבים ומפני הצורך למיגור נגע זה (ראו, </w:t>
      </w:r>
      <w:r>
        <w:rPr>
          <w:color w:val="000000"/>
          <w:sz w:val="28"/>
          <w:rtl/>
        </w:rPr>
        <w:t xml:space="preserve">למשל, </w:t>
      </w:r>
      <w:hyperlink r:id="rId38" w:history="1">
        <w:r w:rsidRPr="00B5718E">
          <w:rPr>
            <w:color w:val="0000FF"/>
            <w:sz w:val="28"/>
            <w:u w:val="single"/>
            <w:rtl/>
          </w:rPr>
          <w:t>ע"פ 6029/03</w:t>
        </w:r>
      </w:hyperlink>
      <w:r>
        <w:rPr>
          <w:color w:val="000000"/>
          <w:sz w:val="28"/>
          <w:rtl/>
        </w:rPr>
        <w:t xml:space="preserve"> </w:t>
      </w:r>
      <w:r>
        <w:rPr>
          <w:rFonts w:cs="Miriam"/>
          <w:color w:val="000000"/>
          <w:sz w:val="24"/>
          <w:szCs w:val="24"/>
          <w:rtl/>
        </w:rPr>
        <w:t>שמאי נ' מדינת ישראל</w:t>
      </w:r>
      <w:r>
        <w:rPr>
          <w:color w:val="000000"/>
          <w:sz w:val="28"/>
          <w:rtl/>
        </w:rPr>
        <w:t xml:space="preserve">, פ''ד נח(2) 734 </w:t>
      </w:r>
      <w:r>
        <w:rPr>
          <w:sz w:val="28"/>
          <w:rtl/>
        </w:rPr>
        <w:t>(2004), בפסקאות 15-5 לפסק הדין; ו</w:t>
      </w:r>
      <w:hyperlink r:id="rId39" w:history="1">
        <w:r w:rsidRPr="00B5718E">
          <w:rPr>
            <w:color w:val="0000FF"/>
            <w:sz w:val="28"/>
            <w:u w:val="single"/>
            <w:rtl/>
          </w:rPr>
          <w:t>ע"פ 3117/12</w:t>
        </w:r>
      </w:hyperlink>
      <w:r>
        <w:rPr>
          <w:sz w:val="28"/>
          <w:rtl/>
        </w:rPr>
        <w:t xml:space="preserve"> </w:t>
      </w:r>
      <w:r>
        <w:rPr>
          <w:rFonts w:ascii="Century" w:hAnsi="Century" w:cs="Miriam" w:hint="eastAsia"/>
          <w:b/>
          <w:spacing w:val="0"/>
          <w:sz w:val="24"/>
          <w:szCs w:val="24"/>
          <w:rtl/>
        </w:rPr>
        <w:t>ארביב</w:t>
      </w:r>
      <w:r>
        <w:rPr>
          <w:rFonts w:ascii="Century" w:hAnsi="Century" w:cs="Miriam"/>
          <w:b/>
          <w:spacing w:val="0"/>
          <w:sz w:val="24"/>
          <w:szCs w:val="24"/>
          <w:rtl/>
        </w:rPr>
        <w:t xml:space="preserve"> </w:t>
      </w:r>
      <w:r>
        <w:rPr>
          <w:rFonts w:ascii="Century" w:hAnsi="Century" w:cs="Miriam" w:hint="eastAsia"/>
          <w:b/>
          <w:spacing w:val="0"/>
          <w:sz w:val="24"/>
          <w:szCs w:val="24"/>
          <w:rtl/>
        </w:rPr>
        <w:t>נ</w:t>
      </w:r>
      <w:r>
        <w:rPr>
          <w:rFonts w:ascii="Century" w:hAnsi="Century" w:cs="Miriam"/>
          <w:b/>
          <w:spacing w:val="0"/>
          <w:sz w:val="24"/>
          <w:szCs w:val="24"/>
          <w:rtl/>
        </w:rPr>
        <w:t xml:space="preserve">' </w:t>
      </w:r>
      <w:r>
        <w:rPr>
          <w:rFonts w:ascii="Century" w:hAnsi="Century" w:cs="Miriam" w:hint="eastAsia"/>
          <w:b/>
          <w:spacing w:val="0"/>
          <w:sz w:val="24"/>
          <w:szCs w:val="24"/>
          <w:rtl/>
        </w:rPr>
        <w:t>מדינת</w:t>
      </w:r>
      <w:r>
        <w:rPr>
          <w:rFonts w:ascii="Century" w:hAnsi="Century" w:cs="Miriam"/>
          <w:b/>
          <w:spacing w:val="0"/>
          <w:sz w:val="24"/>
          <w:szCs w:val="24"/>
          <w:rtl/>
        </w:rPr>
        <w:t xml:space="preserve"> </w:t>
      </w:r>
      <w:r>
        <w:rPr>
          <w:rFonts w:ascii="Century" w:hAnsi="Century" w:cs="Miriam" w:hint="eastAsia"/>
          <w:b/>
          <w:spacing w:val="0"/>
          <w:sz w:val="24"/>
          <w:szCs w:val="24"/>
          <w:rtl/>
        </w:rPr>
        <w:t>ישראל</w:t>
      </w:r>
      <w:r>
        <w:rPr>
          <w:sz w:val="28"/>
          <w:rtl/>
        </w:rPr>
        <w:t xml:space="preserve"> (‏6.9.2012)</w:t>
      </w:r>
      <w:r>
        <w:rPr>
          <w:rFonts w:ascii="Times New Roman" w:hAnsi="Times New Roman"/>
          <w:sz w:val="28"/>
          <w:rtl/>
        </w:rPr>
        <w:t>, בפסקאות 14-12 לפסק הדין).</w:t>
      </w:r>
      <w:r>
        <w:rPr>
          <w:sz w:val="28"/>
          <w:rtl/>
        </w:rPr>
        <w:t xml:space="preserve"> על כן כפי שקבע בצדק בית המשפט קמא, לא ניתן להסתפק במקרה דנן בעונש שאין בו רכיב משמעותי של מאסר בפועל. עם זאת, התמדתו של המערער בהליך הטיפולי לגמילה מהתמכרותו לסמים והישגיו בהליך זה עד כה ראויים להערכה ולעידוד ומצדיקים הקלה מסויימת בעונשו על מנת להמריצו להמשיך בדרך זו ולעלות על מסלול חיים נורמטיבי לטובתו ולטובת החברה כולה". </w:t>
      </w:r>
    </w:p>
    <w:p w14:paraId="45978063" w14:textId="77777777" w:rsidR="00D035BF" w:rsidRDefault="00D035BF">
      <w:pPr>
        <w:ind w:left="720"/>
        <w:rPr>
          <w:rFonts w:cs="FrankRuehl"/>
          <w:sz w:val="28"/>
          <w:szCs w:val="28"/>
          <w:rtl/>
        </w:rPr>
      </w:pPr>
    </w:p>
    <w:p w14:paraId="602523BD" w14:textId="77777777" w:rsidR="00D035BF" w:rsidRDefault="00B5718E">
      <w:pPr>
        <w:spacing w:line="360" w:lineRule="auto"/>
        <w:ind w:left="720"/>
        <w:jc w:val="both"/>
        <w:rPr>
          <w:rFonts w:cs="FrankRuehl"/>
          <w:sz w:val="28"/>
          <w:szCs w:val="28"/>
          <w:rtl/>
        </w:rPr>
      </w:pPr>
      <w:r>
        <w:rPr>
          <w:rFonts w:cs="FrankRuehl"/>
          <w:sz w:val="28"/>
          <w:szCs w:val="28"/>
          <w:rtl/>
        </w:rPr>
        <w:t>הסיפא של פסק הדין בענ</w:t>
      </w:r>
      <w:r>
        <w:rPr>
          <w:rFonts w:cs="FrankRuehl" w:hint="cs"/>
          <w:sz w:val="28"/>
          <w:szCs w:val="28"/>
          <w:rtl/>
        </w:rPr>
        <w:t>י</w:t>
      </w:r>
      <w:r>
        <w:rPr>
          <w:rFonts w:cs="FrankRuehl"/>
          <w:sz w:val="28"/>
          <w:szCs w:val="28"/>
          <w:rtl/>
        </w:rPr>
        <w:t xml:space="preserve">ין בן שמעון לא מתקיימת במקרה זה, הנאשם נטש את מרכז הטיפול, לא הגיע לפגישה עם שירות המבחן ולכן הנאשם לא זכאי להקלה בעונש בגין הליכי שיקום או טיפול. </w:t>
      </w:r>
    </w:p>
    <w:p w14:paraId="0BD8F855" w14:textId="77777777" w:rsidR="00D035BF" w:rsidRDefault="00D035BF">
      <w:pPr>
        <w:spacing w:line="360" w:lineRule="auto"/>
        <w:ind w:left="720"/>
        <w:jc w:val="both"/>
        <w:rPr>
          <w:rFonts w:cs="FrankRuehl"/>
          <w:sz w:val="28"/>
          <w:szCs w:val="28"/>
          <w:rtl/>
        </w:rPr>
      </w:pPr>
    </w:p>
    <w:p w14:paraId="1DBB9339" w14:textId="77777777" w:rsidR="00D035BF" w:rsidRDefault="00B5718E">
      <w:pPr>
        <w:spacing w:line="360" w:lineRule="auto"/>
        <w:ind w:left="720"/>
        <w:jc w:val="both"/>
        <w:rPr>
          <w:rFonts w:cs="FrankRuehl"/>
          <w:sz w:val="28"/>
          <w:szCs w:val="28"/>
          <w:rtl/>
        </w:rPr>
      </w:pPr>
      <w:r>
        <w:rPr>
          <w:rFonts w:cs="FrankRuehl"/>
          <w:sz w:val="28"/>
          <w:szCs w:val="28"/>
          <w:rtl/>
        </w:rPr>
        <w:t>באשר לנסיבות שאינן קשורות בביצוע העבירה, (</w:t>
      </w:r>
      <w:hyperlink r:id="rId40" w:history="1">
        <w:r w:rsidR="00F40891" w:rsidRPr="00F40891">
          <w:rPr>
            <w:rStyle w:val="Hyperlink"/>
            <w:rFonts w:cs="FrankRuehl"/>
            <w:sz w:val="28"/>
            <w:szCs w:val="28"/>
            <w:rtl/>
          </w:rPr>
          <w:t>סעיף 40יא'</w:t>
        </w:r>
      </w:hyperlink>
      <w:r>
        <w:rPr>
          <w:rFonts w:cs="FrankRuehl"/>
          <w:sz w:val="28"/>
          <w:szCs w:val="28"/>
          <w:rtl/>
        </w:rPr>
        <w:t xml:space="preserve"> לחוק), הנאשם הפסיק בעצמו את תהליך הטיפול ולכן לא ניתן לראות בעונש המאסר פגיעה בהליך שכזה, כמובן שאם כוונות הנאשם אמיתיות אין מניעה כי הנאשם ימשיך בהליכי גמילה במסגרת שירות בתי הסוהר.</w:t>
      </w:r>
    </w:p>
    <w:p w14:paraId="400BA9FA" w14:textId="77777777" w:rsidR="00D035BF" w:rsidRDefault="00D035BF">
      <w:pPr>
        <w:spacing w:line="360" w:lineRule="auto"/>
        <w:ind w:left="720"/>
        <w:jc w:val="both"/>
        <w:rPr>
          <w:rFonts w:cs="FrankRuehl"/>
          <w:sz w:val="28"/>
          <w:szCs w:val="28"/>
          <w:rtl/>
        </w:rPr>
      </w:pPr>
    </w:p>
    <w:p w14:paraId="1A84C579" w14:textId="77777777" w:rsidR="00D035BF" w:rsidRDefault="00B5718E">
      <w:pPr>
        <w:spacing w:line="360" w:lineRule="auto"/>
        <w:ind w:left="360" w:firstLine="360"/>
        <w:rPr>
          <w:rFonts w:cs="FrankRuehl"/>
          <w:sz w:val="28"/>
          <w:szCs w:val="28"/>
          <w:rtl/>
        </w:rPr>
      </w:pPr>
      <w:r>
        <w:rPr>
          <w:rFonts w:cs="FrankRuehl"/>
          <w:sz w:val="28"/>
          <w:szCs w:val="28"/>
          <w:rtl/>
        </w:rPr>
        <w:t>הנאשם נטל אחריות על מעשיו, הודה במיוחס לו ועובדה זו תיזקף לזכותו.</w:t>
      </w:r>
    </w:p>
    <w:p w14:paraId="72986AC7" w14:textId="77777777" w:rsidR="00D035BF" w:rsidRDefault="00D035BF">
      <w:pPr>
        <w:spacing w:line="360" w:lineRule="auto"/>
        <w:ind w:left="360" w:firstLine="360"/>
        <w:rPr>
          <w:rFonts w:cs="FrankRuehl"/>
          <w:sz w:val="28"/>
          <w:szCs w:val="28"/>
          <w:rtl/>
        </w:rPr>
      </w:pPr>
    </w:p>
    <w:p w14:paraId="5C453A7E" w14:textId="77777777" w:rsidR="00D035BF" w:rsidRDefault="00B5718E">
      <w:pPr>
        <w:spacing w:line="360" w:lineRule="auto"/>
        <w:ind w:left="720"/>
        <w:jc w:val="both"/>
        <w:rPr>
          <w:rFonts w:cs="FrankRuehl"/>
          <w:sz w:val="28"/>
          <w:szCs w:val="28"/>
          <w:rtl/>
        </w:rPr>
      </w:pPr>
      <w:r>
        <w:rPr>
          <w:rFonts w:cs="FrankRuehl"/>
          <w:sz w:val="28"/>
          <w:szCs w:val="28"/>
          <w:rtl/>
        </w:rPr>
        <w:t xml:space="preserve">באשר לרישום </w:t>
      </w:r>
      <w:r>
        <w:rPr>
          <w:rFonts w:cs="FrankRuehl" w:hint="cs"/>
          <w:sz w:val="28"/>
          <w:szCs w:val="28"/>
          <w:rtl/>
        </w:rPr>
        <w:t>ה</w:t>
      </w:r>
      <w:r>
        <w:rPr>
          <w:rFonts w:cs="FrankRuehl"/>
          <w:sz w:val="28"/>
          <w:szCs w:val="28"/>
          <w:rtl/>
        </w:rPr>
        <w:t xml:space="preserve">פלילי, (ט/1) לנאשם הרשעות רבות, הוא ריצה עונשי מאסר רבים לתקופות לא קצרות מחודשיים ועד לשלוש שנים,  הראשונות שבהן ביצע בחודש ינואר 1992, עת היה  כבן 13.5, בשנת 1999 כשהיה הנאשם כבן 20 הוא נדון  ל-3 שנות מאסר בגין עבירות של שוד מזוין והתפרצות לדירה וכך המשיך לבצע עבירות ללא הפסקה, לטענתו בסה"כ נשא בעונשים המצטברים ל-15 שנות מאסר, כך שגם </w:t>
      </w:r>
      <w:r>
        <w:rPr>
          <w:rFonts w:cs="FrankRuehl" w:hint="cs"/>
          <w:sz w:val="28"/>
          <w:szCs w:val="28"/>
          <w:rtl/>
        </w:rPr>
        <w:t>עברו הפלילי מעיד על כך ש</w:t>
      </w:r>
      <w:r>
        <w:rPr>
          <w:rFonts w:cs="FrankRuehl"/>
          <w:sz w:val="28"/>
          <w:szCs w:val="28"/>
          <w:rtl/>
        </w:rPr>
        <w:t xml:space="preserve">הנאשם לא מורתע, </w:t>
      </w:r>
      <w:r>
        <w:rPr>
          <w:rFonts w:cs="FrankRuehl" w:hint="cs"/>
          <w:sz w:val="28"/>
          <w:szCs w:val="28"/>
          <w:rtl/>
        </w:rPr>
        <w:t xml:space="preserve">(כפי שלמעשה טען גם בפניי), איני מוצא סיבה </w:t>
      </w:r>
      <w:r>
        <w:rPr>
          <w:rFonts w:cs="FrankRuehl"/>
          <w:sz w:val="28"/>
          <w:szCs w:val="28"/>
          <w:rtl/>
        </w:rPr>
        <w:t>להקל ע</w:t>
      </w:r>
      <w:r>
        <w:rPr>
          <w:rFonts w:cs="FrankRuehl" w:hint="cs"/>
          <w:sz w:val="28"/>
          <w:szCs w:val="28"/>
          <w:rtl/>
        </w:rPr>
        <w:t xml:space="preserve">ימו כשהוא מורשע בהחזקת </w:t>
      </w:r>
      <w:r>
        <w:rPr>
          <w:rFonts w:cs="FrankRuehl"/>
          <w:sz w:val="28"/>
          <w:szCs w:val="28"/>
          <w:rtl/>
        </w:rPr>
        <w:t xml:space="preserve">סמים מסוכנים לא </w:t>
      </w:r>
      <w:r>
        <w:rPr>
          <w:rFonts w:cs="FrankRuehl" w:hint="cs"/>
          <w:sz w:val="28"/>
          <w:szCs w:val="28"/>
          <w:rtl/>
        </w:rPr>
        <w:t xml:space="preserve">רק </w:t>
      </w:r>
      <w:r>
        <w:rPr>
          <w:rFonts w:cs="FrankRuehl"/>
          <w:sz w:val="28"/>
          <w:szCs w:val="28"/>
          <w:rtl/>
        </w:rPr>
        <w:t xml:space="preserve">לצריכה עצמית בהתאם להודאתו. </w:t>
      </w:r>
    </w:p>
    <w:p w14:paraId="66E1EAAF" w14:textId="77777777" w:rsidR="00D035BF" w:rsidRDefault="00D035BF">
      <w:pPr>
        <w:spacing w:line="360" w:lineRule="auto"/>
        <w:ind w:left="360" w:firstLine="360"/>
        <w:rPr>
          <w:rFonts w:cs="FrankRuehl"/>
          <w:sz w:val="28"/>
          <w:szCs w:val="28"/>
        </w:rPr>
      </w:pPr>
    </w:p>
    <w:p w14:paraId="03F51F88" w14:textId="77777777" w:rsidR="00D035BF" w:rsidRDefault="00B5718E">
      <w:pPr>
        <w:spacing w:line="360" w:lineRule="auto"/>
        <w:ind w:left="720"/>
        <w:jc w:val="both"/>
        <w:rPr>
          <w:rFonts w:cs="FrankRuehl"/>
          <w:sz w:val="28"/>
          <w:szCs w:val="28"/>
          <w:rtl/>
        </w:rPr>
      </w:pPr>
      <w:r>
        <w:rPr>
          <w:rFonts w:cs="FrankRuehl"/>
          <w:sz w:val="28"/>
          <w:szCs w:val="28"/>
          <w:rtl/>
        </w:rPr>
        <w:t xml:space="preserve">בטרם סיום אציין כי אין לקחת בחשבון לזכות הנאשם </w:t>
      </w:r>
      <w:r>
        <w:rPr>
          <w:rFonts w:cs="FrankRuehl" w:hint="cs"/>
          <w:sz w:val="28"/>
          <w:szCs w:val="28"/>
          <w:rtl/>
        </w:rPr>
        <w:t xml:space="preserve">את העובדה </w:t>
      </w:r>
      <w:r>
        <w:rPr>
          <w:rFonts w:cs="FrankRuehl"/>
          <w:sz w:val="28"/>
          <w:szCs w:val="28"/>
          <w:rtl/>
        </w:rPr>
        <w:t>כי אני מחזירו לבית סוהר לאחר שחרורו</w:t>
      </w:r>
      <w:r>
        <w:rPr>
          <w:rFonts w:cs="FrankRuehl" w:hint="cs"/>
          <w:sz w:val="28"/>
          <w:szCs w:val="28"/>
          <w:rtl/>
        </w:rPr>
        <w:t xml:space="preserve">. </w:t>
      </w:r>
      <w:r>
        <w:rPr>
          <w:rFonts w:cs="FrankRuehl"/>
          <w:sz w:val="28"/>
          <w:szCs w:val="28"/>
          <w:rtl/>
        </w:rPr>
        <w:t xml:space="preserve">שחרורו ממעצר עד תום ההליכים, נעשה למטרה אחת בלבד, הליכי טיפול וגמילה במסגרת קהילה מוגדרת, ביום 22.1.2015 עזב הנאשם על דעת עצמו את הקהילה ובחר לקבוע לעצמו תנאי שחרור ללא מגבלה וללא ידיעת בית משפט או אישורו. </w:t>
      </w:r>
    </w:p>
    <w:p w14:paraId="6DC763B8" w14:textId="77777777" w:rsidR="00D035BF" w:rsidRDefault="00D035BF">
      <w:pPr>
        <w:spacing w:line="360" w:lineRule="auto"/>
        <w:ind w:left="720"/>
        <w:jc w:val="both"/>
        <w:rPr>
          <w:rFonts w:cs="FrankRuehl"/>
          <w:sz w:val="28"/>
          <w:szCs w:val="28"/>
          <w:rtl/>
        </w:rPr>
      </w:pPr>
    </w:p>
    <w:p w14:paraId="15497658" w14:textId="77777777" w:rsidR="00D035BF" w:rsidRDefault="00B5718E">
      <w:pPr>
        <w:spacing w:line="360" w:lineRule="auto"/>
        <w:ind w:left="360" w:firstLine="360"/>
        <w:rPr>
          <w:rFonts w:cs="Miriam"/>
        </w:rPr>
      </w:pPr>
      <w:r>
        <w:rPr>
          <w:rFonts w:cs="Miriam"/>
          <w:rtl/>
        </w:rPr>
        <w:t>סיכום</w:t>
      </w:r>
    </w:p>
    <w:p w14:paraId="3E4DC20B" w14:textId="77777777" w:rsidR="00D035BF" w:rsidRDefault="00B5718E">
      <w:pPr>
        <w:spacing w:line="360" w:lineRule="auto"/>
        <w:ind w:left="360" w:firstLine="360"/>
        <w:rPr>
          <w:rFonts w:cs="FrankRuehl"/>
          <w:sz w:val="28"/>
          <w:szCs w:val="28"/>
          <w:rtl/>
        </w:rPr>
      </w:pPr>
      <w:r>
        <w:rPr>
          <w:rFonts w:cs="FrankRuehl"/>
          <w:sz w:val="28"/>
          <w:szCs w:val="28"/>
          <w:rtl/>
        </w:rPr>
        <w:t>לאור האמור לעיל אני דן את הנאשם לעונש</w:t>
      </w:r>
      <w:r>
        <w:rPr>
          <w:rFonts w:cs="FrankRuehl" w:hint="cs"/>
          <w:sz w:val="28"/>
          <w:szCs w:val="28"/>
          <w:rtl/>
        </w:rPr>
        <w:t xml:space="preserve">ים </w:t>
      </w:r>
      <w:r>
        <w:rPr>
          <w:rFonts w:cs="FrankRuehl"/>
          <w:sz w:val="28"/>
          <w:szCs w:val="28"/>
          <w:rtl/>
        </w:rPr>
        <w:t>הבא</w:t>
      </w:r>
      <w:r>
        <w:rPr>
          <w:rFonts w:cs="FrankRuehl" w:hint="cs"/>
          <w:sz w:val="28"/>
          <w:szCs w:val="28"/>
          <w:rtl/>
        </w:rPr>
        <w:t>ים</w:t>
      </w:r>
      <w:r>
        <w:rPr>
          <w:rFonts w:cs="FrankRuehl"/>
          <w:sz w:val="28"/>
          <w:szCs w:val="28"/>
          <w:rtl/>
        </w:rPr>
        <w:t>:</w:t>
      </w:r>
    </w:p>
    <w:p w14:paraId="481A030D" w14:textId="77777777" w:rsidR="00D035BF" w:rsidRDefault="00B5718E">
      <w:pPr>
        <w:pStyle w:val="ListParagraph"/>
        <w:numPr>
          <w:ilvl w:val="0"/>
          <w:numId w:val="2"/>
        </w:numPr>
        <w:spacing w:line="360" w:lineRule="auto"/>
        <w:jc w:val="both"/>
        <w:rPr>
          <w:rFonts w:cs="FrankRuehl"/>
          <w:sz w:val="28"/>
          <w:szCs w:val="28"/>
        </w:rPr>
      </w:pPr>
      <w:r>
        <w:rPr>
          <w:rFonts w:cs="FrankRuehl"/>
          <w:sz w:val="28"/>
          <w:szCs w:val="28"/>
          <w:rtl/>
        </w:rPr>
        <w:t xml:space="preserve">עונש של </w:t>
      </w:r>
      <w:r>
        <w:rPr>
          <w:rFonts w:cs="FrankRuehl"/>
          <w:sz w:val="28"/>
          <w:szCs w:val="28"/>
          <w:u w:val="single"/>
          <w:rtl/>
        </w:rPr>
        <w:t>54</w:t>
      </w:r>
      <w:r>
        <w:rPr>
          <w:rFonts w:cs="FrankRuehl"/>
          <w:sz w:val="28"/>
          <w:szCs w:val="28"/>
          <w:rtl/>
        </w:rPr>
        <w:t xml:space="preserve"> חודשי מאסר מתוכם </w:t>
      </w:r>
      <w:r>
        <w:rPr>
          <w:rFonts w:cs="FrankRuehl"/>
          <w:sz w:val="28"/>
          <w:szCs w:val="28"/>
          <w:u w:val="single"/>
          <w:rtl/>
        </w:rPr>
        <w:t>42</w:t>
      </w:r>
      <w:r>
        <w:rPr>
          <w:rFonts w:cs="FrankRuehl"/>
          <w:sz w:val="28"/>
          <w:szCs w:val="28"/>
          <w:rtl/>
        </w:rPr>
        <w:t xml:space="preserve"> חודשי מאסר בפועל והיתרה-</w:t>
      </w:r>
      <w:r>
        <w:rPr>
          <w:rFonts w:cs="FrankRuehl"/>
          <w:sz w:val="28"/>
          <w:szCs w:val="28"/>
          <w:u w:val="single"/>
          <w:rtl/>
        </w:rPr>
        <w:t>12</w:t>
      </w:r>
      <w:r>
        <w:rPr>
          <w:rFonts w:cs="FrankRuehl"/>
          <w:sz w:val="28"/>
          <w:szCs w:val="28"/>
          <w:rtl/>
        </w:rPr>
        <w:t xml:space="preserve"> חודשי מאסר על תנאי. מימי המאסר ינוכו הימים בהם היה עצור, מיום 20.10.2013 ועד ליום 15.5.2014</w:t>
      </w:r>
      <w:r>
        <w:rPr>
          <w:rFonts w:cs="FrankRuehl" w:hint="cs"/>
          <w:sz w:val="28"/>
          <w:szCs w:val="28"/>
          <w:rtl/>
        </w:rPr>
        <w:t>.</w:t>
      </w:r>
    </w:p>
    <w:p w14:paraId="28F3E882" w14:textId="77777777" w:rsidR="00D035BF" w:rsidRDefault="00B5718E">
      <w:pPr>
        <w:spacing w:line="360" w:lineRule="auto"/>
        <w:ind w:left="720"/>
        <w:jc w:val="both"/>
        <w:rPr>
          <w:rStyle w:val="default"/>
          <w:rFonts w:ascii="Arial" w:hAnsi="Arial" w:cs="FrankRuehl"/>
          <w:sz w:val="28"/>
          <w:szCs w:val="28"/>
        </w:rPr>
      </w:pPr>
      <w:r>
        <w:rPr>
          <w:rFonts w:cs="FrankRuehl"/>
          <w:sz w:val="28"/>
          <w:szCs w:val="28"/>
          <w:rtl/>
        </w:rPr>
        <w:t xml:space="preserve">הנאשם לא ישא את עונש המאסר על  תנאי </w:t>
      </w:r>
      <w:r>
        <w:rPr>
          <w:rStyle w:val="default"/>
          <w:rFonts w:cs="FrankRuehl"/>
          <w:sz w:val="28"/>
          <w:szCs w:val="28"/>
          <w:rtl/>
        </w:rPr>
        <w:t xml:space="preserve">אלא אם יעבור תוך שלוש שנים </w:t>
      </w:r>
      <w:r>
        <w:rPr>
          <w:rStyle w:val="default"/>
          <w:rFonts w:cs="FrankRuehl" w:hint="cs"/>
          <w:sz w:val="28"/>
          <w:szCs w:val="28"/>
          <w:rtl/>
        </w:rPr>
        <w:t xml:space="preserve">עבירה מסוג פשע לפי </w:t>
      </w:r>
      <w:hyperlink r:id="rId41" w:history="1">
        <w:r w:rsidRPr="00B5718E">
          <w:rPr>
            <w:rFonts w:cs="Miriam"/>
            <w:color w:val="0000FF"/>
            <w:u w:val="single"/>
            <w:rtl/>
          </w:rPr>
          <w:t>פקודת הסמים המסוכנים</w:t>
        </w:r>
      </w:hyperlink>
      <w:r>
        <w:rPr>
          <w:rFonts w:cs="Miriam"/>
          <w:rtl/>
        </w:rPr>
        <w:t xml:space="preserve"> [נוסח חדש],</w:t>
      </w:r>
      <w:r>
        <w:rPr>
          <w:rFonts w:cs="FrankRuehl"/>
          <w:sz w:val="28"/>
          <w:szCs w:val="28"/>
          <w:rtl/>
        </w:rPr>
        <w:t xml:space="preserve"> התשל"ג-1977</w:t>
      </w:r>
      <w:r>
        <w:rPr>
          <w:rFonts w:cs="FrankRuehl" w:hint="cs"/>
          <w:sz w:val="28"/>
          <w:szCs w:val="28"/>
          <w:rtl/>
        </w:rPr>
        <w:t xml:space="preserve">, </w:t>
      </w:r>
      <w:r>
        <w:rPr>
          <w:rStyle w:val="default"/>
          <w:rFonts w:cs="FrankRuehl"/>
          <w:sz w:val="28"/>
          <w:szCs w:val="28"/>
          <w:rtl/>
        </w:rPr>
        <w:t>ויורשע בשל עבירה כזאת תוך תקופת התנאי או לאחריה.</w:t>
      </w:r>
    </w:p>
    <w:p w14:paraId="302B9473" w14:textId="77777777" w:rsidR="00D035BF" w:rsidRDefault="00B5718E">
      <w:pPr>
        <w:pStyle w:val="ListParagraph"/>
        <w:numPr>
          <w:ilvl w:val="0"/>
          <w:numId w:val="2"/>
        </w:numPr>
        <w:spacing w:line="360" w:lineRule="auto"/>
        <w:jc w:val="both"/>
        <w:rPr>
          <w:rFonts w:cs="FrankRuehl"/>
          <w:sz w:val="28"/>
          <w:szCs w:val="28"/>
        </w:rPr>
      </w:pPr>
      <w:r>
        <w:rPr>
          <w:rStyle w:val="default"/>
          <w:rFonts w:cs="FrankRuehl"/>
          <w:sz w:val="28"/>
          <w:szCs w:val="28"/>
          <w:rtl/>
        </w:rPr>
        <w:t>אני מחייב את הנאשם לשלם קנס בשיעור של 15,000 ש"ח או 6 חודש</w:t>
      </w:r>
      <w:r>
        <w:rPr>
          <w:rStyle w:val="default"/>
          <w:rFonts w:cs="FrankRuehl" w:hint="cs"/>
          <w:sz w:val="28"/>
          <w:szCs w:val="28"/>
          <w:rtl/>
        </w:rPr>
        <w:t>י</w:t>
      </w:r>
      <w:r>
        <w:rPr>
          <w:rStyle w:val="default"/>
          <w:rFonts w:cs="FrankRuehl"/>
          <w:sz w:val="28"/>
          <w:szCs w:val="28"/>
          <w:rtl/>
        </w:rPr>
        <w:t xml:space="preserve"> מאסר תמורתו, הקנס ישולם עד לא יאוחר מיום 1.3.2016. </w:t>
      </w:r>
      <w:r>
        <w:rPr>
          <w:rFonts w:cs="FrankRuehl"/>
          <w:sz w:val="28"/>
          <w:szCs w:val="28"/>
          <w:rtl/>
        </w:rPr>
        <w:t xml:space="preserve"> בעת קביעת גובה  הקנס התחשבתי בכמויות הסמים וסוגיהם.</w:t>
      </w:r>
    </w:p>
    <w:p w14:paraId="12EAD5B9" w14:textId="77777777" w:rsidR="00D035BF" w:rsidRDefault="00D035BF">
      <w:pPr>
        <w:pStyle w:val="ListParagraph"/>
        <w:spacing w:line="360" w:lineRule="auto"/>
        <w:jc w:val="both"/>
        <w:rPr>
          <w:rFonts w:cs="FrankRuehl"/>
          <w:sz w:val="28"/>
          <w:szCs w:val="28"/>
        </w:rPr>
      </w:pPr>
    </w:p>
    <w:p w14:paraId="5615DACB" w14:textId="77777777" w:rsidR="00D035BF" w:rsidRDefault="00B5718E">
      <w:pPr>
        <w:spacing w:line="360" w:lineRule="auto"/>
        <w:ind w:left="720"/>
        <w:rPr>
          <w:rFonts w:cs="FrankRuehl"/>
          <w:sz w:val="28"/>
          <w:szCs w:val="28"/>
          <w:u w:val="single"/>
        </w:rPr>
      </w:pPr>
      <w:r>
        <w:rPr>
          <w:rFonts w:cs="FrankRuehl"/>
          <w:sz w:val="28"/>
          <w:szCs w:val="28"/>
          <w:u w:val="single"/>
          <w:rtl/>
        </w:rPr>
        <w:t xml:space="preserve"> זכות ערעור לבית המשפט העליון תוך 45 יום.</w:t>
      </w:r>
    </w:p>
    <w:p w14:paraId="1F778D9E" w14:textId="77777777" w:rsidR="00D035BF" w:rsidRPr="00B5718E" w:rsidRDefault="00B5718E">
      <w:pPr>
        <w:rPr>
          <w:color w:val="FFFFFF"/>
          <w:sz w:val="2"/>
          <w:szCs w:val="2"/>
          <w:rtl/>
        </w:rPr>
      </w:pPr>
      <w:r w:rsidRPr="00B5718E">
        <w:rPr>
          <w:color w:val="FFFFFF"/>
          <w:sz w:val="2"/>
          <w:szCs w:val="2"/>
          <w:rtl/>
        </w:rPr>
        <w:t>5129371</w:t>
      </w:r>
    </w:p>
    <w:p w14:paraId="4880A124" w14:textId="77777777" w:rsidR="00D035BF" w:rsidRDefault="00B5718E">
      <w:pPr>
        <w:rPr>
          <w:rFonts w:cs="FrankRuehl"/>
          <w:sz w:val="28"/>
          <w:szCs w:val="28"/>
          <w:rtl/>
        </w:rPr>
      </w:pPr>
      <w:r w:rsidRPr="00B5718E">
        <w:rPr>
          <w:rFonts w:ascii="Arial" w:hAnsi="Arial"/>
          <w:color w:val="FFFFFF"/>
          <w:sz w:val="2"/>
          <w:szCs w:val="2"/>
          <w:rtl/>
        </w:rPr>
        <w:t>54678313</w:t>
      </w:r>
      <w:r>
        <w:rPr>
          <w:rFonts w:ascii="Arial" w:hAnsi="Arial"/>
          <w:rtl/>
        </w:rPr>
        <w:t xml:space="preserve">ניתן היום,  י"ט אדר תשע"ה, 10 מרץ 2015, בנוכחות ב"כ המאשימה, עו"ד סיבוני והנאשם בעצמו. </w:t>
      </w:r>
    </w:p>
    <w:p w14:paraId="09B2CB82" w14:textId="77777777" w:rsidR="00D035BF" w:rsidRDefault="00B5718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B35DD25" w14:textId="77777777" w:rsidR="00D035BF" w:rsidRDefault="00D035BF">
      <w:pPr>
        <w:jc w:val="center"/>
        <w:rPr>
          <w:rFonts w:ascii="Arial" w:hAnsi="Arial" w:cs="FrankRuehl"/>
          <w:sz w:val="28"/>
          <w:szCs w:val="28"/>
          <w:rtl/>
        </w:rPr>
      </w:pPr>
    </w:p>
    <w:p w14:paraId="4C71A0A5" w14:textId="77777777" w:rsidR="00D035BF" w:rsidRDefault="00D035BF">
      <w:pPr>
        <w:rPr>
          <w:rFonts w:cs="FrankRuehl"/>
          <w:sz w:val="28"/>
          <w:szCs w:val="28"/>
          <w:rtl/>
        </w:rPr>
      </w:pPr>
    </w:p>
    <w:p w14:paraId="3E2CA95E" w14:textId="77777777" w:rsidR="00D035BF" w:rsidRDefault="00D035BF">
      <w:pPr>
        <w:pStyle w:val="a3"/>
        <w:jc w:val="center"/>
        <w:rPr>
          <w:rtl/>
        </w:rPr>
      </w:pPr>
    </w:p>
    <w:p w14:paraId="526A434E" w14:textId="77777777" w:rsidR="00B5718E" w:rsidRPr="00B5718E" w:rsidRDefault="00B5718E" w:rsidP="00B5718E">
      <w:pPr>
        <w:keepNext/>
        <w:rPr>
          <w:rFonts w:ascii="David" w:hAnsi="David"/>
          <w:color w:val="000000"/>
          <w:sz w:val="22"/>
          <w:szCs w:val="22"/>
          <w:rtl/>
        </w:rPr>
      </w:pPr>
    </w:p>
    <w:p w14:paraId="51A4DE1A" w14:textId="77777777" w:rsidR="00B5718E" w:rsidRPr="00B5718E" w:rsidRDefault="00B5718E" w:rsidP="00B5718E">
      <w:pPr>
        <w:keepNext/>
        <w:rPr>
          <w:rFonts w:ascii="David" w:hAnsi="David"/>
          <w:color w:val="000000"/>
          <w:sz w:val="22"/>
          <w:szCs w:val="22"/>
          <w:rtl/>
        </w:rPr>
      </w:pPr>
      <w:r w:rsidRPr="00B5718E">
        <w:rPr>
          <w:rFonts w:ascii="David" w:hAnsi="David"/>
          <w:color w:val="000000"/>
          <w:sz w:val="22"/>
          <w:szCs w:val="22"/>
          <w:rtl/>
        </w:rPr>
        <w:t>אברהם אליקים 54678313</w:t>
      </w:r>
    </w:p>
    <w:p w14:paraId="3CE97253" w14:textId="77777777" w:rsidR="00B5718E" w:rsidRDefault="00B5718E" w:rsidP="00B5718E">
      <w:r w:rsidRPr="00B5718E">
        <w:rPr>
          <w:color w:val="000000"/>
          <w:rtl/>
        </w:rPr>
        <w:t>נוסח מסמך זה כפוף לשינויי ניסוח ועריכה</w:t>
      </w:r>
    </w:p>
    <w:p w14:paraId="62D39CB0" w14:textId="77777777" w:rsidR="00B5718E" w:rsidRDefault="00B5718E" w:rsidP="00B5718E">
      <w:pPr>
        <w:rPr>
          <w:rtl/>
        </w:rPr>
      </w:pPr>
    </w:p>
    <w:p w14:paraId="6B2EF12A" w14:textId="77777777" w:rsidR="00B5718E" w:rsidRDefault="00B5718E" w:rsidP="00B5718E">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r w:rsidR="00E26DE2">
        <w:rPr>
          <w:rFonts w:hint="cs"/>
          <w:color w:val="0000FF"/>
          <w:u w:val="single"/>
          <w:rtl/>
        </w:rPr>
        <w:t xml:space="preserve"> </w:t>
      </w:r>
    </w:p>
    <w:p w14:paraId="02E6C150" w14:textId="77777777" w:rsidR="00D035BF" w:rsidRPr="00B5718E" w:rsidRDefault="00D035BF" w:rsidP="00B5718E">
      <w:pPr>
        <w:jc w:val="center"/>
        <w:rPr>
          <w:color w:val="0000FF"/>
          <w:u w:val="single"/>
        </w:rPr>
      </w:pPr>
    </w:p>
    <w:sectPr w:rsidR="00D035BF" w:rsidRPr="00B5718E" w:rsidSect="00B5718E">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0D01A" w14:textId="77777777" w:rsidR="001C181A" w:rsidRPr="00B6270C" w:rsidRDefault="001C181A">
      <w:pPr>
        <w:rPr>
          <w:rFonts w:cs="Arial"/>
          <w:szCs w:val="20"/>
        </w:rPr>
      </w:pPr>
      <w:r>
        <w:separator/>
      </w:r>
    </w:p>
  </w:endnote>
  <w:endnote w:type="continuationSeparator" w:id="0">
    <w:p w14:paraId="1382AD3C" w14:textId="77777777" w:rsidR="001C181A" w:rsidRPr="00B6270C" w:rsidRDefault="001C181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5EEC8" w14:textId="77777777" w:rsidR="00C96037" w:rsidRDefault="00C96037" w:rsidP="00B5718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3F6589B" w14:textId="77777777" w:rsidR="00C96037" w:rsidRPr="00B5718E" w:rsidRDefault="00C96037" w:rsidP="00B5718E">
    <w:pPr>
      <w:pStyle w:val="a5"/>
      <w:pBdr>
        <w:top w:val="single" w:sz="4" w:space="1" w:color="auto"/>
        <w:between w:val="single" w:sz="4" w:space="0" w:color="auto"/>
      </w:pBdr>
      <w:spacing w:after="60"/>
      <w:jc w:val="center"/>
      <w:rPr>
        <w:rFonts w:ascii="FrankRuehl" w:hAnsi="FrankRuehl" w:cs="FrankRuehl"/>
        <w:color w:val="000000"/>
      </w:rPr>
    </w:pPr>
    <w:r w:rsidRPr="00B571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D2A15" w14:textId="77777777" w:rsidR="00C96037" w:rsidRDefault="00C96037" w:rsidP="00B5718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97BE6">
      <w:rPr>
        <w:rFonts w:ascii="FrankRuehl" w:hAnsi="FrankRuehl" w:cs="FrankRuehl"/>
        <w:noProof/>
        <w:rtl/>
      </w:rPr>
      <w:t>2</w:t>
    </w:r>
    <w:r>
      <w:rPr>
        <w:rFonts w:ascii="FrankRuehl" w:hAnsi="FrankRuehl" w:cs="FrankRuehl"/>
        <w:rtl/>
      </w:rPr>
      <w:fldChar w:fldCharType="end"/>
    </w:r>
  </w:p>
  <w:p w14:paraId="0C6439AE" w14:textId="77777777" w:rsidR="00C96037" w:rsidRPr="00B5718E" w:rsidRDefault="00C96037" w:rsidP="00B5718E">
    <w:pPr>
      <w:pStyle w:val="a5"/>
      <w:pBdr>
        <w:top w:val="single" w:sz="4" w:space="1" w:color="auto"/>
        <w:between w:val="single" w:sz="4" w:space="0" w:color="auto"/>
      </w:pBdr>
      <w:spacing w:after="60"/>
      <w:jc w:val="center"/>
      <w:rPr>
        <w:rFonts w:ascii="FrankRuehl" w:hAnsi="FrankRuehl" w:cs="FrankRuehl"/>
        <w:color w:val="000000"/>
      </w:rPr>
    </w:pPr>
    <w:r w:rsidRPr="00B5718E">
      <w:rPr>
        <w:rFonts w:ascii="FrankRuehl" w:hAnsi="FrankRuehl" w:cs="FrankRuehl"/>
        <w:color w:val="000000"/>
      </w:rPr>
      <w:pict w14:anchorId="262FA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58F0D" w14:textId="77777777" w:rsidR="001C181A" w:rsidRPr="00B6270C" w:rsidRDefault="001C181A">
      <w:pPr>
        <w:rPr>
          <w:rFonts w:cs="Arial"/>
          <w:szCs w:val="20"/>
        </w:rPr>
      </w:pPr>
      <w:r>
        <w:separator/>
      </w:r>
    </w:p>
  </w:footnote>
  <w:footnote w:type="continuationSeparator" w:id="0">
    <w:p w14:paraId="4389A4B7" w14:textId="77777777" w:rsidR="001C181A" w:rsidRPr="00B6270C" w:rsidRDefault="001C181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39EAF" w14:textId="77777777" w:rsidR="00C96037" w:rsidRPr="00B5718E" w:rsidRDefault="00C96037" w:rsidP="00B571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65884-10-13</w:t>
    </w:r>
    <w:r>
      <w:rPr>
        <w:rFonts w:ascii="David" w:hAnsi="David"/>
        <w:color w:val="000000"/>
        <w:sz w:val="22"/>
        <w:szCs w:val="22"/>
        <w:rtl/>
      </w:rPr>
      <w:tab/>
      <w:t xml:space="preserve"> מדינת ישראל נ' פיליפ שמעון בנסעדון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7B9AC" w14:textId="77777777" w:rsidR="00C96037" w:rsidRPr="00B5718E" w:rsidRDefault="00C96037" w:rsidP="00B571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65884-10-13</w:t>
    </w:r>
    <w:r>
      <w:rPr>
        <w:rFonts w:ascii="David" w:hAnsi="David"/>
        <w:color w:val="000000"/>
        <w:sz w:val="22"/>
        <w:szCs w:val="22"/>
        <w:rtl/>
      </w:rPr>
      <w:tab/>
      <w:t xml:space="preserve"> מדינת ישראל נ' פיליפ שמעון בנסעדון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079C6CC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7FBA475E"/>
    <w:multiLevelType w:val="hybridMultilevel"/>
    <w:tmpl w:val="69DC7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5852">
    <w:abstractNumId w:val="0"/>
  </w:num>
  <w:num w:numId="2" w16cid:durableId="1733388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035BF"/>
    <w:rsid w:val="001C181A"/>
    <w:rsid w:val="00697BE6"/>
    <w:rsid w:val="0093190E"/>
    <w:rsid w:val="009D6607"/>
    <w:rsid w:val="00A7624D"/>
    <w:rsid w:val="00B5718E"/>
    <w:rsid w:val="00C96037"/>
    <w:rsid w:val="00D035BF"/>
    <w:rsid w:val="00DE51BC"/>
    <w:rsid w:val="00DF56A8"/>
    <w:rsid w:val="00E26DE2"/>
    <w:rsid w:val="00F408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28ECC96"/>
  <w15:chartTrackingRefBased/>
  <w15:docId w15:val="{8E8B8B01-8233-4BAE-AD12-805518F7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35B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D035BF"/>
    <w:pPr>
      <w:tabs>
        <w:tab w:val="center" w:pos="4153"/>
        <w:tab w:val="right" w:pos="8306"/>
      </w:tabs>
    </w:pPr>
  </w:style>
  <w:style w:type="paragraph" w:styleId="a5">
    <w:name w:val="footer"/>
    <w:basedOn w:val="a"/>
    <w:rsid w:val="00D035BF"/>
    <w:pPr>
      <w:tabs>
        <w:tab w:val="center" w:pos="4153"/>
        <w:tab w:val="right" w:pos="8306"/>
      </w:tabs>
    </w:pPr>
  </w:style>
  <w:style w:type="character" w:styleId="a6">
    <w:name w:val="page number"/>
    <w:basedOn w:val="a0"/>
    <w:rsid w:val="00D035BF"/>
  </w:style>
  <w:style w:type="character" w:customStyle="1" w:styleId="a4">
    <w:name w:val="כותרת עליונה תו"/>
    <w:link w:val="a3"/>
    <w:rsid w:val="00D035BF"/>
    <w:rPr>
      <w:rFonts w:cs="David"/>
      <w:sz w:val="24"/>
      <w:szCs w:val="24"/>
      <w:lang w:val="en-US" w:eastAsia="en-US" w:bidi="he-IL"/>
    </w:rPr>
  </w:style>
  <w:style w:type="character" w:customStyle="1" w:styleId="TimesNewRomanTimesNewRoman">
    <w:name w:val="סגנון (לטיני) Times New Roman (עברית ושפות אחרות) Times New Roman..."/>
    <w:rsid w:val="00D035BF"/>
    <w:rPr>
      <w:rFonts w:ascii="Times New Roman" w:hAnsi="Times New Roman" w:cs="David" w:hint="default"/>
      <w:b/>
      <w:bCs/>
      <w:sz w:val="26"/>
      <w:szCs w:val="26"/>
    </w:rPr>
  </w:style>
  <w:style w:type="character" w:customStyle="1" w:styleId="default">
    <w:name w:val="default"/>
    <w:rsid w:val="00D035BF"/>
    <w:rPr>
      <w:rFonts w:ascii="Times New Roman" w:hAnsi="Times New Roman" w:cs="Times New Roman"/>
      <w:sz w:val="26"/>
      <w:szCs w:val="26"/>
    </w:rPr>
  </w:style>
  <w:style w:type="paragraph" w:customStyle="1" w:styleId="Ruller4">
    <w:name w:val="Ruller4"/>
    <w:basedOn w:val="a"/>
    <w:link w:val="Ruller40"/>
    <w:rsid w:val="00D035BF"/>
    <w:pPr>
      <w:tabs>
        <w:tab w:val="left" w:pos="800"/>
      </w:tabs>
      <w:overflowPunct w:val="0"/>
      <w:adjustRightInd w:val="0"/>
      <w:spacing w:line="360" w:lineRule="auto"/>
      <w:jc w:val="both"/>
    </w:pPr>
    <w:rPr>
      <w:rFonts w:ascii="Arial TUR" w:hAnsi="Arial TUR" w:cs="FrankRuehl"/>
      <w:spacing w:val="10"/>
      <w:sz w:val="22"/>
      <w:szCs w:val="28"/>
    </w:rPr>
  </w:style>
  <w:style w:type="character" w:customStyle="1" w:styleId="Ruller40">
    <w:name w:val="Ruller4 תו"/>
    <w:link w:val="Ruller4"/>
    <w:locked/>
    <w:rsid w:val="00D035BF"/>
    <w:rPr>
      <w:rFonts w:ascii="Arial TUR" w:hAnsi="Arial TUR" w:cs="FrankRuehl"/>
      <w:spacing w:val="10"/>
      <w:sz w:val="22"/>
      <w:szCs w:val="28"/>
      <w:lang w:val="en-US" w:eastAsia="en-US" w:bidi="he-IL"/>
    </w:rPr>
  </w:style>
  <w:style w:type="paragraph" w:customStyle="1" w:styleId="ListParagraph">
    <w:name w:val="List Paragraph"/>
    <w:basedOn w:val="a"/>
    <w:rsid w:val="00D035BF"/>
    <w:pPr>
      <w:ind w:left="720"/>
      <w:contextualSpacing/>
    </w:pPr>
  </w:style>
  <w:style w:type="character" w:styleId="Hyperlink">
    <w:name w:val="Hyperlink"/>
    <w:rsid w:val="00B571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83.3"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11269774" TargetMode="External"/><Relationship Id="rId39" Type="http://schemas.openxmlformats.org/officeDocument/2006/relationships/hyperlink" Target="http://www.nevo.co.il/case/5583030"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608791"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case/57272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b" TargetMode="External"/><Relationship Id="rId24" Type="http://schemas.openxmlformats.org/officeDocument/2006/relationships/hyperlink" Target="http://www.nevo.co.il/case/18093113" TargetMode="External"/><Relationship Id="rId32" Type="http://schemas.openxmlformats.org/officeDocument/2006/relationships/hyperlink" Target="http://www.nevo.co.il/case/7980156" TargetMode="External"/><Relationship Id="rId37" Type="http://schemas.openxmlformats.org/officeDocument/2006/relationships/hyperlink" Target="http://www.nevo.co.il/case/13070717" TargetMode="External"/><Relationship Id="rId40" Type="http://schemas.openxmlformats.org/officeDocument/2006/relationships/hyperlink" Target="http://www.nevo.co.il/law/70301/40ja"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275" TargetMode="External"/><Relationship Id="rId23" Type="http://schemas.openxmlformats.org/officeDocument/2006/relationships/hyperlink" Target="http://www.nevo.co.il/law/70301/40b" TargetMode="External"/><Relationship Id="rId28" Type="http://schemas.openxmlformats.org/officeDocument/2006/relationships/hyperlink" Target="http://www.nevo.co.il/case/5821045" TargetMode="External"/><Relationship Id="rId36" Type="http://schemas.openxmlformats.org/officeDocument/2006/relationships/hyperlink" Target="http://www.nevo.co.il/law/70301/83.3" TargetMode="Externa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31" Type="http://schemas.openxmlformats.org/officeDocument/2006/relationships/hyperlink" Target="http://www.nevo.co.il/case/5953822"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42" TargetMode="External"/><Relationship Id="rId22" Type="http://schemas.openxmlformats.org/officeDocument/2006/relationships/hyperlink" Target="http://www.nevo.co.il/law/70301/275" TargetMode="External"/><Relationship Id="rId27" Type="http://schemas.openxmlformats.org/officeDocument/2006/relationships/hyperlink" Target="http://www.nevo.co.il/case/16900334" TargetMode="External"/><Relationship Id="rId30" Type="http://schemas.openxmlformats.org/officeDocument/2006/relationships/hyperlink" Target="http://www.nevo.co.il/case/5590128" TargetMode="External"/><Relationship Id="rId35" Type="http://schemas.openxmlformats.org/officeDocument/2006/relationships/hyperlink" Target="http://www.nevo.co.il/law/70301/40i"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6170968" TargetMode="External"/><Relationship Id="rId38" Type="http://schemas.openxmlformats.org/officeDocument/2006/relationships/hyperlink" Target="http://www.nevo.co.il/case/5786821" TargetMode="External"/><Relationship Id="rId46" Type="http://schemas.openxmlformats.org/officeDocument/2006/relationships/footer" Target="footer2.xml"/><Relationship Id="rId20" Type="http://schemas.openxmlformats.org/officeDocument/2006/relationships/hyperlink" Target="http://www.nevo.co.il/law/70301/242"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3880</Words>
  <Characters>19400</Characters>
  <Application>Microsoft Office Word</Application>
  <DocSecurity>0</DocSecurity>
  <Lines>161</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23234</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3997809</vt:i4>
      </vt:variant>
      <vt:variant>
        <vt:i4>96</vt:i4>
      </vt:variant>
      <vt:variant>
        <vt:i4>0</vt:i4>
      </vt:variant>
      <vt:variant>
        <vt:i4>5</vt:i4>
      </vt:variant>
      <vt:variant>
        <vt:lpwstr>http://www.nevo.co.il/case/5583030</vt:lpwstr>
      </vt:variant>
      <vt:variant>
        <vt:lpwstr/>
      </vt:variant>
      <vt:variant>
        <vt:i4>3407991</vt:i4>
      </vt:variant>
      <vt:variant>
        <vt:i4>93</vt:i4>
      </vt:variant>
      <vt:variant>
        <vt:i4>0</vt:i4>
      </vt:variant>
      <vt:variant>
        <vt:i4>5</vt:i4>
      </vt:variant>
      <vt:variant>
        <vt:lpwstr>http://www.nevo.co.il/case/5786821</vt:lpwstr>
      </vt:variant>
      <vt:variant>
        <vt:lpwstr/>
      </vt:variant>
      <vt:variant>
        <vt:i4>3145847</vt:i4>
      </vt:variant>
      <vt:variant>
        <vt:i4>90</vt:i4>
      </vt:variant>
      <vt:variant>
        <vt:i4>0</vt:i4>
      </vt:variant>
      <vt:variant>
        <vt:i4>5</vt:i4>
      </vt:variant>
      <vt:variant>
        <vt:lpwstr>http://www.nevo.co.il/case/13070717</vt:lpwstr>
      </vt:variant>
      <vt:variant>
        <vt:lpwstr/>
      </vt:variant>
      <vt:variant>
        <vt:i4>5570627</vt:i4>
      </vt:variant>
      <vt:variant>
        <vt:i4>87</vt:i4>
      </vt:variant>
      <vt:variant>
        <vt:i4>0</vt:i4>
      </vt:variant>
      <vt:variant>
        <vt:i4>5</vt:i4>
      </vt:variant>
      <vt:variant>
        <vt:lpwstr>http://www.nevo.co.il/law/70301/83.3</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3342451</vt:i4>
      </vt:variant>
      <vt:variant>
        <vt:i4>81</vt:i4>
      </vt:variant>
      <vt:variant>
        <vt:i4>0</vt:i4>
      </vt:variant>
      <vt:variant>
        <vt:i4>5</vt:i4>
      </vt:variant>
      <vt:variant>
        <vt:lpwstr>http://www.nevo.co.il/case/5608791</vt:lpwstr>
      </vt:variant>
      <vt:variant>
        <vt:lpwstr/>
      </vt:variant>
      <vt:variant>
        <vt:i4>3145843</vt:i4>
      </vt:variant>
      <vt:variant>
        <vt:i4>78</vt:i4>
      </vt:variant>
      <vt:variant>
        <vt:i4>0</vt:i4>
      </vt:variant>
      <vt:variant>
        <vt:i4>5</vt:i4>
      </vt:variant>
      <vt:variant>
        <vt:lpwstr>http://www.nevo.co.il/case/6170968</vt:lpwstr>
      </vt:variant>
      <vt:variant>
        <vt:lpwstr/>
      </vt:variant>
      <vt:variant>
        <vt:i4>3670136</vt:i4>
      </vt:variant>
      <vt:variant>
        <vt:i4>75</vt:i4>
      </vt:variant>
      <vt:variant>
        <vt:i4>0</vt:i4>
      </vt:variant>
      <vt:variant>
        <vt:i4>5</vt:i4>
      </vt:variant>
      <vt:variant>
        <vt:lpwstr>http://www.nevo.co.il/case/7980156</vt:lpwstr>
      </vt:variant>
      <vt:variant>
        <vt:lpwstr/>
      </vt:variant>
      <vt:variant>
        <vt:i4>3801212</vt:i4>
      </vt:variant>
      <vt:variant>
        <vt:i4>72</vt:i4>
      </vt:variant>
      <vt:variant>
        <vt:i4>0</vt:i4>
      </vt:variant>
      <vt:variant>
        <vt:i4>5</vt:i4>
      </vt:variant>
      <vt:variant>
        <vt:lpwstr>http://www.nevo.co.il/case/5953822</vt:lpwstr>
      </vt:variant>
      <vt:variant>
        <vt:lpwstr/>
      </vt:variant>
      <vt:variant>
        <vt:i4>3473523</vt:i4>
      </vt:variant>
      <vt:variant>
        <vt:i4>69</vt:i4>
      </vt:variant>
      <vt:variant>
        <vt:i4>0</vt:i4>
      </vt:variant>
      <vt:variant>
        <vt:i4>5</vt:i4>
      </vt:variant>
      <vt:variant>
        <vt:lpwstr>http://www.nevo.co.il/case/5590128</vt:lpwstr>
      </vt:variant>
      <vt:variant>
        <vt:lpwstr/>
      </vt:variant>
      <vt:variant>
        <vt:i4>3145853</vt:i4>
      </vt:variant>
      <vt:variant>
        <vt:i4>66</vt:i4>
      </vt:variant>
      <vt:variant>
        <vt:i4>0</vt:i4>
      </vt:variant>
      <vt:variant>
        <vt:i4>5</vt:i4>
      </vt:variant>
      <vt:variant>
        <vt:lpwstr>http://www.nevo.co.il/case/5727295</vt:lpwstr>
      </vt:variant>
      <vt:variant>
        <vt:lpwstr/>
      </vt:variant>
      <vt:variant>
        <vt:i4>3276921</vt:i4>
      </vt:variant>
      <vt:variant>
        <vt:i4>63</vt:i4>
      </vt:variant>
      <vt:variant>
        <vt:i4>0</vt:i4>
      </vt:variant>
      <vt:variant>
        <vt:i4>5</vt:i4>
      </vt:variant>
      <vt:variant>
        <vt:lpwstr>http://www.nevo.co.il/case/5821045</vt:lpwstr>
      </vt:variant>
      <vt:variant>
        <vt:lpwstr/>
      </vt:variant>
      <vt:variant>
        <vt:i4>3866737</vt:i4>
      </vt:variant>
      <vt:variant>
        <vt:i4>60</vt:i4>
      </vt:variant>
      <vt:variant>
        <vt:i4>0</vt:i4>
      </vt:variant>
      <vt:variant>
        <vt:i4>5</vt:i4>
      </vt:variant>
      <vt:variant>
        <vt:lpwstr>http://www.nevo.co.il/case/16900334</vt:lpwstr>
      </vt:variant>
      <vt:variant>
        <vt:lpwstr/>
      </vt:variant>
      <vt:variant>
        <vt:i4>3997812</vt:i4>
      </vt:variant>
      <vt:variant>
        <vt:i4>57</vt:i4>
      </vt:variant>
      <vt:variant>
        <vt:i4>0</vt:i4>
      </vt:variant>
      <vt:variant>
        <vt:i4>5</vt:i4>
      </vt:variant>
      <vt:variant>
        <vt:lpwstr>http://www.nevo.co.il/case/11269774</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3342452</vt:i4>
      </vt:variant>
      <vt:variant>
        <vt:i4>51</vt:i4>
      </vt:variant>
      <vt:variant>
        <vt:i4>0</vt:i4>
      </vt:variant>
      <vt:variant>
        <vt:i4>5</vt:i4>
      </vt:variant>
      <vt:variant>
        <vt:lpwstr>http://www.nevo.co.il/case/18093113</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6357095</vt:i4>
      </vt:variant>
      <vt:variant>
        <vt:i4>39</vt:i4>
      </vt:variant>
      <vt:variant>
        <vt:i4>0</vt:i4>
      </vt:variant>
      <vt:variant>
        <vt:i4>5</vt:i4>
      </vt:variant>
      <vt:variant>
        <vt:lpwstr>http://www.nevo.co.il/law/70301/242</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6357095</vt:i4>
      </vt:variant>
      <vt:variant>
        <vt:i4>21</vt:i4>
      </vt:variant>
      <vt:variant>
        <vt:i4>0</vt:i4>
      </vt:variant>
      <vt:variant>
        <vt:i4>5</vt:i4>
      </vt:variant>
      <vt:variant>
        <vt:lpwstr>http://www.nevo.co.il/law/70301/242</vt:lpwstr>
      </vt:variant>
      <vt:variant>
        <vt:lpwstr/>
      </vt:variant>
      <vt:variant>
        <vt:i4>5570627</vt:i4>
      </vt:variant>
      <vt:variant>
        <vt:i4>18</vt:i4>
      </vt:variant>
      <vt:variant>
        <vt:i4>0</vt:i4>
      </vt:variant>
      <vt:variant>
        <vt:i4>5</vt:i4>
      </vt:variant>
      <vt:variant>
        <vt:lpwstr>http://www.nevo.co.il/law/70301/83.3</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2025-04-22T20:31:00Z</dcterms:created>
  <dcterms:modified xsi:type="dcterms:W3CDTF">2025-04-22T20:31:00Z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65884</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פיליפ שמעון בנסעדון</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20150310</vt:lpwstr>
  </property>
  <property fmtid="{D5CDD505-2E9C-101B-9397-08002B2CF9AE}" pid="13" name="TYPE_N_DATE">
    <vt:lpwstr>39020150310</vt:lpwstr>
  </property>
  <property fmtid="{D5CDD505-2E9C-101B-9397-08002B2CF9AE}" pid="14" name="CASESLISTTMP1">
    <vt:lpwstr>18093113;13093721;11269774;16900334;5821045;5727295;5590128;5953822;7980156;6170968;5608791;13070717;5786821;5583030</vt:lpwstr>
  </property>
  <property fmtid="{D5CDD505-2E9C-101B-9397-08002B2CF9AE}" pid="15" name="CASENOTES1">
    <vt:lpwstr>ProcID=213&amp;PartA=14&amp;PartC=12</vt:lpwstr>
  </property>
  <property fmtid="{D5CDD505-2E9C-101B-9397-08002B2CF9AE}" pid="16" name="WORDNUMPAGES">
    <vt:lpwstr>13</vt:lpwstr>
  </property>
  <property fmtid="{D5CDD505-2E9C-101B-9397-08002B2CF9AE}" pid="17" name="TYPE_ABS_DATE">
    <vt:lpwstr>390020150310</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vt:lpwstr>
  </property>
  <property fmtid="{D5CDD505-2E9C-101B-9397-08002B2CF9AE}" pid="38" name="LAWLISTTMP2">
    <vt:lpwstr>70301/242;275;040b;040i;083.3;40ja</vt:lpwstr>
  </property>
</Properties>
</file>