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E868BD" w:rsidRPr="00B17F2A" w14:paraId="05CB03E1" w14:textId="77777777">
        <w:trPr>
          <w:trHeight w:hRule="exact" w:val="418"/>
          <w:jc w:val="center"/>
        </w:trPr>
        <w:tc>
          <w:tcPr>
            <w:tcW w:w="8720" w:type="dxa"/>
            <w:gridSpan w:val="3"/>
          </w:tcPr>
          <w:p w14:paraId="4C7A2ADB" w14:textId="77777777" w:rsidR="00E868BD" w:rsidRPr="00B17F2A" w:rsidRDefault="00B17F2A">
            <w:pPr>
              <w:pStyle w:val="a3"/>
              <w:tabs>
                <w:tab w:val="clear" w:pos="8306"/>
              </w:tabs>
              <w:jc w:val="center"/>
              <w:rPr>
                <w:rFonts w:ascii="Tahoma" w:hAnsi="Tahoma" w:cs="Tahoma"/>
                <w:b/>
                <w:bCs/>
                <w:color w:val="000080"/>
                <w:sz w:val="20"/>
                <w:szCs w:val="20"/>
                <w:rtl/>
              </w:rPr>
            </w:pPr>
            <w:bookmarkStart w:id="0" w:name="LastJudge"/>
            <w:r w:rsidRPr="00B17F2A">
              <w:rPr>
                <w:rFonts w:ascii="Tahoma" w:hAnsi="Tahoma" w:cs="Tahoma"/>
                <w:b/>
                <w:bCs/>
                <w:color w:val="000080"/>
                <w:sz w:val="20"/>
                <w:szCs w:val="20"/>
                <w:rtl/>
              </w:rPr>
              <w:t>בית המשפט המחוזי בתל</w:t>
            </w:r>
            <w:r w:rsidRPr="00B17F2A">
              <w:rPr>
                <w:rFonts w:ascii="Tahoma" w:hAnsi="Tahoma" w:cs="Tahoma" w:hint="cs"/>
                <w:b/>
                <w:bCs/>
                <w:color w:val="000080"/>
                <w:sz w:val="20"/>
                <w:szCs w:val="20"/>
                <w:rtl/>
              </w:rPr>
              <w:t>־</w:t>
            </w:r>
            <w:r w:rsidRPr="00B17F2A">
              <w:rPr>
                <w:rFonts w:ascii="Tahoma" w:hAnsi="Tahoma" w:cs="Tahoma"/>
                <w:b/>
                <w:bCs/>
                <w:color w:val="000080"/>
                <w:sz w:val="20"/>
                <w:szCs w:val="20"/>
                <w:rtl/>
              </w:rPr>
              <w:t>אביב-יפו</w:t>
            </w:r>
          </w:p>
        </w:tc>
      </w:tr>
      <w:tr w:rsidR="00E868BD" w:rsidRPr="00B17F2A" w14:paraId="34C08BAC" w14:textId="77777777">
        <w:trPr>
          <w:trHeight w:val="337"/>
          <w:jc w:val="center"/>
        </w:trPr>
        <w:tc>
          <w:tcPr>
            <w:tcW w:w="6396" w:type="dxa"/>
          </w:tcPr>
          <w:p w14:paraId="58608CED" w14:textId="77777777" w:rsidR="00E868BD" w:rsidRPr="00B17F2A" w:rsidRDefault="00B17F2A">
            <w:pPr>
              <w:rPr>
                <w:b/>
                <w:bCs/>
                <w:sz w:val="26"/>
                <w:szCs w:val="26"/>
                <w:rtl/>
              </w:rPr>
            </w:pPr>
            <w:r w:rsidRPr="00B17F2A">
              <w:rPr>
                <w:b/>
                <w:bCs/>
                <w:sz w:val="26"/>
                <w:szCs w:val="26"/>
                <w:rtl/>
              </w:rPr>
              <w:t>ת"פ</w:t>
            </w:r>
            <w:r w:rsidRPr="00B17F2A">
              <w:rPr>
                <w:rFonts w:hint="cs"/>
                <w:b/>
                <w:bCs/>
                <w:sz w:val="26"/>
                <w:szCs w:val="26"/>
                <w:rtl/>
              </w:rPr>
              <w:t xml:space="preserve"> </w:t>
            </w:r>
            <w:r w:rsidRPr="00B17F2A">
              <w:rPr>
                <w:b/>
                <w:bCs/>
                <w:sz w:val="26"/>
                <w:szCs w:val="26"/>
                <w:rtl/>
              </w:rPr>
              <w:t>47020-12-13</w:t>
            </w:r>
            <w:r w:rsidRPr="00B17F2A">
              <w:rPr>
                <w:rFonts w:hint="cs"/>
                <w:b/>
                <w:bCs/>
                <w:sz w:val="26"/>
                <w:szCs w:val="26"/>
                <w:rtl/>
              </w:rPr>
              <w:t xml:space="preserve"> </w:t>
            </w:r>
            <w:r w:rsidRPr="00B17F2A">
              <w:rPr>
                <w:b/>
                <w:bCs/>
                <w:sz w:val="26"/>
                <w:szCs w:val="26"/>
                <w:rtl/>
              </w:rPr>
              <w:t>מדינת ישראל נ' כהן</w:t>
            </w:r>
          </w:p>
        </w:tc>
        <w:tc>
          <w:tcPr>
            <w:tcW w:w="236" w:type="dxa"/>
          </w:tcPr>
          <w:p w14:paraId="0B0B572A" w14:textId="77777777" w:rsidR="00E868BD" w:rsidRPr="00B17F2A" w:rsidRDefault="00E868BD">
            <w:pPr>
              <w:pStyle w:val="a3"/>
              <w:jc w:val="right"/>
              <w:rPr>
                <w:b/>
                <w:bCs/>
                <w:sz w:val="26"/>
                <w:szCs w:val="26"/>
                <w:rtl/>
              </w:rPr>
            </w:pPr>
          </w:p>
        </w:tc>
        <w:tc>
          <w:tcPr>
            <w:tcW w:w="2088" w:type="dxa"/>
          </w:tcPr>
          <w:p w14:paraId="4D1B8B6C" w14:textId="77777777" w:rsidR="00E868BD" w:rsidRPr="00B17F2A" w:rsidRDefault="00B17F2A">
            <w:pPr>
              <w:pStyle w:val="a3"/>
              <w:tabs>
                <w:tab w:val="clear" w:pos="4153"/>
              </w:tabs>
              <w:jc w:val="right"/>
              <w:rPr>
                <w:b/>
                <w:bCs/>
                <w:sz w:val="26"/>
                <w:szCs w:val="26"/>
                <w:rtl/>
              </w:rPr>
            </w:pPr>
            <w:r w:rsidRPr="00B17F2A">
              <w:rPr>
                <w:b/>
                <w:bCs/>
                <w:sz w:val="26"/>
                <w:szCs w:val="26"/>
                <w:rtl/>
              </w:rPr>
              <w:t xml:space="preserve">10 </w:t>
            </w:r>
            <w:r w:rsidRPr="00B17F2A">
              <w:rPr>
                <w:rFonts w:hint="cs"/>
                <w:b/>
                <w:bCs/>
                <w:sz w:val="26"/>
                <w:szCs w:val="26"/>
                <w:rtl/>
              </w:rPr>
              <w:t>ב</w:t>
            </w:r>
            <w:r w:rsidRPr="00B17F2A">
              <w:rPr>
                <w:b/>
                <w:bCs/>
                <w:sz w:val="26"/>
                <w:szCs w:val="26"/>
                <w:rtl/>
              </w:rPr>
              <w:t>פברואר 2014</w:t>
            </w:r>
          </w:p>
        </w:tc>
      </w:tr>
    </w:tbl>
    <w:p w14:paraId="59BB0C5E" w14:textId="77777777" w:rsidR="00E868BD" w:rsidRPr="00B17F2A" w:rsidRDefault="00E868BD">
      <w:pPr>
        <w:pStyle w:val="a3"/>
        <w:jc w:val="center"/>
        <w:rPr>
          <w:rFonts w:ascii="Tahoma" w:hAnsi="Tahoma" w:cs="Tahoma"/>
          <w:b/>
          <w:bCs/>
          <w:color w:val="000080"/>
          <w:sz w:val="20"/>
          <w:szCs w:val="20"/>
          <w:rtl/>
        </w:rPr>
      </w:pPr>
    </w:p>
    <w:p w14:paraId="77D6458A" w14:textId="77777777" w:rsidR="00E868BD" w:rsidRPr="00B17F2A" w:rsidRDefault="00E868BD">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E868BD" w:rsidRPr="00B17F2A" w14:paraId="3A4B6CEC" w14:textId="77777777">
        <w:trPr>
          <w:gridAfter w:val="1"/>
          <w:wAfter w:w="55" w:type="dxa"/>
        </w:trPr>
        <w:tc>
          <w:tcPr>
            <w:tcW w:w="8719" w:type="dxa"/>
            <w:gridSpan w:val="2"/>
          </w:tcPr>
          <w:p w14:paraId="7236C5B4" w14:textId="77777777" w:rsidR="00E868BD" w:rsidRPr="00B17F2A" w:rsidRDefault="00B17F2A">
            <w:pPr>
              <w:spacing w:line="360" w:lineRule="auto"/>
              <w:jc w:val="both"/>
              <w:rPr>
                <w:rFonts w:ascii="Times New Roman" w:eastAsia="Times New Roman" w:hAnsi="Times New Roman"/>
                <w:b/>
                <w:bCs/>
                <w:sz w:val="26"/>
                <w:szCs w:val="26"/>
                <w:rtl/>
              </w:rPr>
            </w:pPr>
            <w:r w:rsidRPr="00B17F2A">
              <w:rPr>
                <w:rFonts w:ascii="Times New Roman" w:eastAsia="Times New Roman" w:hAnsi="Times New Roman" w:hint="cs"/>
                <w:b/>
                <w:bCs/>
                <w:sz w:val="26"/>
                <w:szCs w:val="26"/>
                <w:rtl/>
              </w:rPr>
              <w:t>לפני כב' ה</w:t>
            </w:r>
            <w:r w:rsidRPr="00B17F2A">
              <w:rPr>
                <w:rFonts w:ascii="Times New Roman" w:eastAsia="Times New Roman" w:hAnsi="Times New Roman" w:hint="cs"/>
                <w:rtl/>
              </w:rPr>
              <w:t>שופטת יהודית אמסטרדם</w:t>
            </w:r>
            <w:r w:rsidRPr="00B17F2A">
              <w:rPr>
                <w:rStyle w:val="TimesNewRomanTimesNewRoman"/>
                <w:rFonts w:eastAsia="Times New Roman"/>
                <w:rtl/>
              </w:rPr>
              <w:t xml:space="preserve"> </w:t>
            </w:r>
          </w:p>
        </w:tc>
      </w:tr>
      <w:tr w:rsidR="00E868BD" w:rsidRPr="00B17F2A" w14:paraId="3E48869D" w14:textId="77777777">
        <w:tc>
          <w:tcPr>
            <w:tcW w:w="2880" w:type="dxa"/>
          </w:tcPr>
          <w:p w14:paraId="7A9E6E2D" w14:textId="77777777" w:rsidR="00E868BD" w:rsidRPr="00B17F2A" w:rsidRDefault="00B17F2A">
            <w:pPr>
              <w:ind w:left="26"/>
              <w:rPr>
                <w:rFonts w:ascii="Times New Roman" w:eastAsia="Times New Roman" w:hAnsi="Times New Roman"/>
                <w:b/>
                <w:bCs/>
                <w:sz w:val="26"/>
                <w:szCs w:val="26"/>
                <w:rtl/>
              </w:rPr>
            </w:pPr>
            <w:bookmarkStart w:id="1" w:name="FirstAppellant"/>
            <w:bookmarkStart w:id="2" w:name="FirstLawyer"/>
            <w:r w:rsidRPr="00B17F2A">
              <w:rPr>
                <w:rFonts w:ascii="Times New Roman" w:eastAsia="Times New Roman" w:hAnsi="Times New Roman" w:hint="cs"/>
                <w:b/>
                <w:bCs/>
                <w:sz w:val="26"/>
                <w:szCs w:val="26"/>
                <w:rtl/>
              </w:rPr>
              <w:t>ה</w:t>
            </w:r>
            <w:r w:rsidRPr="00B17F2A">
              <w:rPr>
                <w:rFonts w:ascii="Times New Roman" w:eastAsia="Times New Roman" w:hAnsi="Times New Roman" w:hint="cs"/>
                <w:rtl/>
              </w:rPr>
              <w:t>מאשימה</w:t>
            </w:r>
          </w:p>
        </w:tc>
        <w:tc>
          <w:tcPr>
            <w:tcW w:w="5922" w:type="dxa"/>
            <w:gridSpan w:val="2"/>
          </w:tcPr>
          <w:p w14:paraId="2AF5A963" w14:textId="77777777" w:rsidR="00E868BD" w:rsidRPr="00B17F2A" w:rsidRDefault="00B17F2A">
            <w:pPr>
              <w:rPr>
                <w:rFonts w:ascii="Times New Roman" w:eastAsia="Times New Roman" w:hAnsi="Times New Roman"/>
                <w:b/>
                <w:bCs/>
                <w:sz w:val="26"/>
                <w:szCs w:val="26"/>
                <w:rtl/>
              </w:rPr>
            </w:pPr>
            <w:r w:rsidRPr="00B17F2A">
              <w:rPr>
                <w:rFonts w:ascii="Times New Roman" w:eastAsia="Times New Roman" w:hAnsi="Times New Roman" w:hint="cs"/>
                <w:rtl/>
              </w:rPr>
              <w:t>מדינת ישראל</w:t>
            </w:r>
          </w:p>
          <w:p w14:paraId="2D700A51" w14:textId="77777777" w:rsidR="00E868BD" w:rsidRPr="00B17F2A" w:rsidRDefault="00B17F2A">
            <w:pPr>
              <w:rPr>
                <w:rFonts w:ascii="Times New Roman" w:eastAsia="Times New Roman" w:hAnsi="Times New Roman"/>
                <w:sz w:val="26"/>
                <w:szCs w:val="26"/>
                <w:rtl/>
              </w:rPr>
            </w:pPr>
            <w:r w:rsidRPr="00B17F2A">
              <w:rPr>
                <w:rFonts w:ascii="Times New Roman" w:eastAsia="Times New Roman" w:hAnsi="Times New Roman" w:hint="cs"/>
                <w:sz w:val="26"/>
                <w:szCs w:val="26"/>
                <w:rtl/>
              </w:rPr>
              <w:t>ע"י ב"כ עו"ד רוני מודריק</w:t>
            </w:r>
          </w:p>
        </w:tc>
      </w:tr>
      <w:bookmarkEnd w:id="1"/>
      <w:bookmarkEnd w:id="2"/>
      <w:tr w:rsidR="00E868BD" w:rsidRPr="00B17F2A" w14:paraId="49ACB73C" w14:textId="77777777">
        <w:tc>
          <w:tcPr>
            <w:tcW w:w="8802" w:type="dxa"/>
            <w:gridSpan w:val="3"/>
          </w:tcPr>
          <w:p w14:paraId="7F610FEB" w14:textId="77777777" w:rsidR="00E868BD" w:rsidRPr="00B17F2A" w:rsidRDefault="00B17F2A">
            <w:pPr>
              <w:jc w:val="center"/>
              <w:rPr>
                <w:rFonts w:ascii="Arial" w:eastAsia="Times New Roman" w:hAnsi="Arial"/>
                <w:b/>
                <w:bCs/>
                <w:sz w:val="26"/>
                <w:szCs w:val="26"/>
              </w:rPr>
            </w:pPr>
            <w:r w:rsidRPr="00B17F2A">
              <w:rPr>
                <w:rFonts w:ascii="Arial" w:eastAsia="Times New Roman" w:hAnsi="Arial"/>
                <w:b/>
                <w:bCs/>
                <w:sz w:val="26"/>
                <w:szCs w:val="26"/>
                <w:rtl/>
              </w:rPr>
              <w:t>נ</w:t>
            </w:r>
            <w:r w:rsidRPr="00B17F2A">
              <w:rPr>
                <w:rFonts w:ascii="Arial" w:eastAsia="Times New Roman" w:hAnsi="Arial" w:hint="cs"/>
                <w:b/>
                <w:bCs/>
                <w:sz w:val="26"/>
                <w:szCs w:val="26"/>
                <w:rtl/>
              </w:rPr>
              <w:t xml:space="preserve">  </w:t>
            </w:r>
            <w:r w:rsidRPr="00B17F2A">
              <w:rPr>
                <w:rFonts w:ascii="Arial" w:eastAsia="Times New Roman" w:hAnsi="Arial"/>
                <w:b/>
                <w:bCs/>
                <w:sz w:val="26"/>
                <w:szCs w:val="26"/>
                <w:rtl/>
              </w:rPr>
              <w:t>ג</w:t>
            </w:r>
            <w:r w:rsidRPr="00B17F2A">
              <w:rPr>
                <w:rFonts w:ascii="Arial" w:eastAsia="Times New Roman" w:hAnsi="Arial" w:hint="cs"/>
                <w:b/>
                <w:bCs/>
                <w:sz w:val="26"/>
                <w:szCs w:val="26"/>
                <w:rtl/>
              </w:rPr>
              <w:t xml:space="preserve">  </w:t>
            </w:r>
            <w:r w:rsidRPr="00B17F2A">
              <w:rPr>
                <w:rFonts w:ascii="Arial" w:eastAsia="Times New Roman" w:hAnsi="Arial"/>
                <w:b/>
                <w:bCs/>
                <w:sz w:val="26"/>
                <w:szCs w:val="26"/>
                <w:rtl/>
              </w:rPr>
              <w:t>ד</w:t>
            </w:r>
          </w:p>
        </w:tc>
      </w:tr>
      <w:tr w:rsidR="00E868BD" w:rsidRPr="00B17F2A" w14:paraId="02FAFA14" w14:textId="77777777">
        <w:tc>
          <w:tcPr>
            <w:tcW w:w="2880" w:type="dxa"/>
          </w:tcPr>
          <w:p w14:paraId="01FE6539" w14:textId="77777777" w:rsidR="00E868BD" w:rsidRPr="00B17F2A" w:rsidRDefault="00B17F2A">
            <w:pPr>
              <w:ind w:left="26"/>
              <w:rPr>
                <w:rFonts w:ascii="Times New Roman" w:eastAsia="Times New Roman" w:hAnsi="Times New Roman"/>
                <w:b/>
                <w:bCs/>
                <w:sz w:val="26"/>
                <w:szCs w:val="26"/>
                <w:rtl/>
              </w:rPr>
            </w:pPr>
            <w:r w:rsidRPr="00B17F2A">
              <w:rPr>
                <w:rFonts w:ascii="Times New Roman" w:eastAsia="Times New Roman" w:hAnsi="Times New Roman" w:hint="cs"/>
                <w:b/>
                <w:bCs/>
                <w:sz w:val="26"/>
                <w:szCs w:val="26"/>
                <w:rtl/>
              </w:rPr>
              <w:t>ה</w:t>
            </w:r>
            <w:r w:rsidRPr="00B17F2A">
              <w:rPr>
                <w:rFonts w:ascii="Times New Roman" w:eastAsia="Times New Roman" w:hAnsi="Times New Roman" w:hint="cs"/>
                <w:rtl/>
              </w:rPr>
              <w:t>נאשם</w:t>
            </w:r>
          </w:p>
        </w:tc>
        <w:tc>
          <w:tcPr>
            <w:tcW w:w="5922" w:type="dxa"/>
            <w:gridSpan w:val="2"/>
          </w:tcPr>
          <w:p w14:paraId="177DE8D1" w14:textId="77777777" w:rsidR="00E868BD" w:rsidRPr="00B17F2A" w:rsidRDefault="00B17F2A">
            <w:pPr>
              <w:rPr>
                <w:rFonts w:ascii="Times New Roman" w:eastAsia="Times New Roman" w:hAnsi="Times New Roman"/>
                <w:b/>
                <w:bCs/>
                <w:sz w:val="26"/>
                <w:szCs w:val="26"/>
                <w:rtl/>
              </w:rPr>
            </w:pPr>
            <w:r w:rsidRPr="00B17F2A">
              <w:rPr>
                <w:rFonts w:ascii="Times New Roman" w:eastAsia="Times New Roman" w:hAnsi="Times New Roman" w:hint="cs"/>
                <w:rtl/>
              </w:rPr>
              <w:t>דרור כהן</w:t>
            </w:r>
            <w:r w:rsidRPr="00B17F2A">
              <w:rPr>
                <w:rFonts w:ascii="Times New Roman" w:eastAsia="Times New Roman" w:hAnsi="Times New Roman" w:cs="Times New Roman" w:hint="cs"/>
                <w:rtl/>
              </w:rPr>
              <w:t xml:space="preserve"> </w:t>
            </w:r>
            <w:r w:rsidRPr="00B17F2A">
              <w:rPr>
                <w:rFonts w:ascii="Times New Roman" w:eastAsia="Times New Roman" w:hAnsi="Times New Roman" w:cs="Times New Roman"/>
                <w:rtl/>
              </w:rPr>
              <w:t>–</w:t>
            </w:r>
            <w:r w:rsidRPr="00B17F2A">
              <w:rPr>
                <w:rFonts w:ascii="Times New Roman" w:eastAsia="Times New Roman" w:hAnsi="Times New Roman" w:cs="Times New Roman" w:hint="cs"/>
                <w:rtl/>
              </w:rPr>
              <w:t xml:space="preserve"> התייצב</w:t>
            </w:r>
          </w:p>
          <w:p w14:paraId="54595ABD" w14:textId="77777777" w:rsidR="00E868BD" w:rsidRPr="00B17F2A" w:rsidRDefault="00B17F2A">
            <w:pPr>
              <w:rPr>
                <w:rFonts w:ascii="Times New Roman" w:eastAsia="Times New Roman" w:hAnsi="Times New Roman"/>
                <w:sz w:val="26"/>
                <w:szCs w:val="26"/>
                <w:rtl/>
              </w:rPr>
            </w:pPr>
            <w:r w:rsidRPr="00B17F2A">
              <w:rPr>
                <w:rFonts w:ascii="Times New Roman" w:eastAsia="Times New Roman" w:hAnsi="Times New Roman" w:hint="cs"/>
                <w:sz w:val="26"/>
                <w:szCs w:val="26"/>
                <w:rtl/>
              </w:rPr>
              <w:t>ע"י ב"כ עו"ד שחר חצרוני</w:t>
            </w:r>
          </w:p>
        </w:tc>
      </w:tr>
    </w:tbl>
    <w:p w14:paraId="71587694" w14:textId="77777777" w:rsidR="00E868BD" w:rsidRPr="00B17F2A" w:rsidRDefault="00E868BD">
      <w:pPr>
        <w:spacing w:line="360" w:lineRule="auto"/>
        <w:jc w:val="both"/>
        <w:rPr>
          <w:sz w:val="6"/>
          <w:szCs w:val="6"/>
          <w:rtl/>
        </w:rPr>
      </w:pPr>
    </w:p>
    <w:p w14:paraId="69C9F723" w14:textId="77777777" w:rsidR="00E868BD" w:rsidRPr="00B17F2A" w:rsidRDefault="00B17F2A">
      <w:pPr>
        <w:spacing w:line="360" w:lineRule="auto"/>
        <w:jc w:val="both"/>
        <w:rPr>
          <w:sz w:val="6"/>
          <w:szCs w:val="6"/>
          <w:rtl/>
        </w:rPr>
      </w:pPr>
      <w:r w:rsidRPr="00B17F2A">
        <w:rPr>
          <w:sz w:val="6"/>
          <w:szCs w:val="6"/>
          <w:rtl/>
        </w:rPr>
        <w:t>&lt;#1#&gt;</w:t>
      </w:r>
    </w:p>
    <w:p w14:paraId="041AF5BA" w14:textId="77777777" w:rsidR="00D21437" w:rsidRPr="00D21437" w:rsidRDefault="00D21437" w:rsidP="00D21437">
      <w:pPr>
        <w:spacing w:after="120" w:line="240" w:lineRule="exact"/>
        <w:ind w:left="283" w:hanging="283"/>
        <w:jc w:val="both"/>
        <w:rPr>
          <w:rFonts w:ascii="FrankRuehl" w:hAnsi="FrankRuehl" w:cs="FrankRuehl"/>
          <w:color w:val="FF0000"/>
          <w:rtl/>
        </w:rPr>
      </w:pPr>
      <w:bookmarkStart w:id="3" w:name="LawTable"/>
      <w:r w:rsidRPr="00D21437">
        <w:rPr>
          <w:rFonts w:ascii="FrankRuehl" w:hAnsi="FrankRuehl" w:cs="FrankRuehl"/>
          <w:color w:val="FF0000"/>
          <w:rtl/>
        </w:rPr>
        <w:t xml:space="preserve">חקיקה שאוזכרה: </w:t>
      </w:r>
    </w:p>
    <w:p w14:paraId="1951854A" w14:textId="77777777" w:rsidR="00D21437" w:rsidRPr="00D21437" w:rsidRDefault="00D21437" w:rsidP="00D21437">
      <w:pPr>
        <w:spacing w:after="120" w:line="240" w:lineRule="exact"/>
        <w:ind w:left="283" w:hanging="283"/>
        <w:jc w:val="both"/>
        <w:rPr>
          <w:rFonts w:ascii="FrankRuehl" w:hAnsi="FrankRuehl" w:cs="FrankRuehl"/>
          <w:rtl/>
        </w:rPr>
      </w:pPr>
      <w:hyperlink r:id="rId6" w:history="1">
        <w:r w:rsidRPr="00D21437">
          <w:rPr>
            <w:rFonts w:ascii="FrankRuehl" w:hAnsi="FrankRuehl" w:cs="FrankRuehl"/>
            <w:color w:val="0000FF"/>
            <w:u w:val="single"/>
            <w:rtl/>
          </w:rPr>
          <w:t>חוק העונשין, תשל"ז-1977</w:t>
        </w:r>
      </w:hyperlink>
      <w:r w:rsidRPr="00D21437">
        <w:rPr>
          <w:rFonts w:ascii="FrankRuehl" w:hAnsi="FrankRuehl" w:cs="FrankRuehl"/>
          <w:rtl/>
        </w:rPr>
        <w:t xml:space="preserve">: סע'  </w:t>
      </w:r>
      <w:hyperlink r:id="rId7" w:history="1">
        <w:r w:rsidRPr="00D21437">
          <w:rPr>
            <w:rFonts w:ascii="FrankRuehl" w:hAnsi="FrankRuehl" w:cs="FrankRuehl"/>
            <w:color w:val="0000FF"/>
            <w:u w:val="single"/>
            <w:rtl/>
          </w:rPr>
          <w:t>33</w:t>
        </w:r>
      </w:hyperlink>
      <w:r w:rsidRPr="00D21437">
        <w:rPr>
          <w:rFonts w:ascii="FrankRuehl" w:hAnsi="FrankRuehl" w:cs="FrankRuehl"/>
          <w:rtl/>
        </w:rPr>
        <w:t xml:space="preserve">, </w:t>
      </w:r>
      <w:hyperlink r:id="rId8" w:history="1">
        <w:r w:rsidRPr="00D21437">
          <w:rPr>
            <w:rFonts w:ascii="FrankRuehl" w:hAnsi="FrankRuehl" w:cs="FrankRuehl"/>
            <w:color w:val="0000FF"/>
            <w:u w:val="single"/>
            <w:rtl/>
          </w:rPr>
          <w:t>448</w:t>
        </w:r>
      </w:hyperlink>
    </w:p>
    <w:p w14:paraId="67731B82" w14:textId="77777777" w:rsidR="00D21437" w:rsidRPr="00D21437" w:rsidRDefault="00D21437" w:rsidP="00D21437">
      <w:pPr>
        <w:spacing w:after="120" w:line="240" w:lineRule="exact"/>
        <w:ind w:left="283" w:hanging="283"/>
        <w:jc w:val="both"/>
        <w:rPr>
          <w:rFonts w:ascii="FrankRuehl" w:hAnsi="FrankRuehl" w:cs="FrankRuehl"/>
          <w:rtl/>
        </w:rPr>
      </w:pPr>
      <w:hyperlink r:id="rId9" w:history="1">
        <w:r w:rsidRPr="00D21437">
          <w:rPr>
            <w:rFonts w:ascii="FrankRuehl" w:hAnsi="FrankRuehl" w:cs="FrankRuehl"/>
            <w:color w:val="0000FF"/>
            <w:u w:val="single"/>
            <w:rtl/>
          </w:rPr>
          <w:t>פקודת הסמים המסוכנים [נוסח חדש], תשל"ג-1973</w:t>
        </w:r>
      </w:hyperlink>
    </w:p>
    <w:p w14:paraId="45F329D6" w14:textId="77777777" w:rsidR="00D21437" w:rsidRPr="00D21437" w:rsidRDefault="00D21437" w:rsidP="00D21437">
      <w:pPr>
        <w:spacing w:after="120" w:line="240" w:lineRule="exact"/>
        <w:ind w:left="283" w:hanging="283"/>
        <w:jc w:val="both"/>
        <w:rPr>
          <w:rFonts w:ascii="FrankRuehl" w:hAnsi="FrankRuehl" w:cs="FrankRuehl"/>
          <w:rtl/>
        </w:rPr>
      </w:pPr>
      <w:hyperlink r:id="rId10" w:history="1">
        <w:r w:rsidRPr="00D21437">
          <w:rPr>
            <w:rFonts w:ascii="FrankRuehl" w:hAnsi="FrankRuehl" w:cs="FrankRuehl"/>
            <w:color w:val="0000FF"/>
            <w:u w:val="single"/>
            <w:rtl/>
          </w:rPr>
          <w:t>חוק סדר הדין הפלילי [נוסח משולב], תשמ"ב-1982</w:t>
        </w:r>
      </w:hyperlink>
      <w:r w:rsidRPr="00D21437">
        <w:rPr>
          <w:rFonts w:ascii="FrankRuehl" w:hAnsi="FrankRuehl" w:cs="FrankRuehl"/>
          <w:rtl/>
        </w:rPr>
        <w:t xml:space="preserve">: סע'  </w:t>
      </w:r>
      <w:hyperlink r:id="rId11" w:history="1">
        <w:r w:rsidRPr="00D21437">
          <w:rPr>
            <w:rFonts w:ascii="FrankRuehl" w:hAnsi="FrankRuehl" w:cs="FrankRuehl"/>
            <w:color w:val="0000FF"/>
            <w:u w:val="single"/>
            <w:rtl/>
          </w:rPr>
          <w:t>220יא(א)</w:t>
        </w:r>
      </w:hyperlink>
    </w:p>
    <w:p w14:paraId="1C98C7E4" w14:textId="77777777" w:rsidR="00D21437" w:rsidRPr="00D21437" w:rsidRDefault="00D21437">
      <w:pPr>
        <w:spacing w:line="360" w:lineRule="auto"/>
        <w:jc w:val="center"/>
        <w:rPr>
          <w:rFonts w:ascii="Arial" w:hAnsi="Arial"/>
          <w:b/>
          <w:color w:val="FF0000"/>
          <w:sz w:val="28"/>
          <w:rtl/>
        </w:rPr>
      </w:pPr>
    </w:p>
    <w:bookmarkEnd w:id="3"/>
    <w:p w14:paraId="2C3944CE" w14:textId="77777777" w:rsidR="00E868BD" w:rsidRPr="00B17F2A" w:rsidRDefault="00B17F2A">
      <w:pPr>
        <w:spacing w:line="360" w:lineRule="auto"/>
        <w:jc w:val="center"/>
        <w:rPr>
          <w:rFonts w:ascii="Arial" w:hAnsi="Arial"/>
          <w:b/>
          <w:bCs/>
          <w:sz w:val="28"/>
          <w:szCs w:val="28"/>
          <w:rtl/>
        </w:rPr>
      </w:pPr>
      <w:r w:rsidRPr="00B17F2A">
        <w:rPr>
          <w:rFonts w:ascii="Arial" w:hAnsi="Arial"/>
          <w:b/>
          <w:color w:val="FF0000"/>
          <w:sz w:val="28"/>
          <w:rtl/>
        </w:rPr>
        <w:t>במסמך זה הושמטו פרוטוקולים</w:t>
      </w:r>
    </w:p>
    <w:p w14:paraId="2C11578C" w14:textId="77777777" w:rsidR="00B17F2A" w:rsidRPr="00B17F2A" w:rsidRDefault="00B17F2A" w:rsidP="00B17F2A">
      <w:pPr>
        <w:spacing w:line="360" w:lineRule="auto"/>
        <w:jc w:val="center"/>
        <w:rPr>
          <w:rFonts w:ascii="Arial" w:hAnsi="Arial"/>
          <w:b/>
          <w:bCs/>
          <w:sz w:val="28"/>
          <w:szCs w:val="28"/>
          <w:u w:val="single"/>
          <w:rtl/>
        </w:rPr>
      </w:pPr>
      <w:bookmarkStart w:id="4" w:name="PsakDin"/>
      <w:bookmarkEnd w:id="0"/>
      <w:r w:rsidRPr="00B17F2A">
        <w:rPr>
          <w:rFonts w:ascii="Arial" w:hAnsi="Arial"/>
          <w:b/>
          <w:bCs/>
          <w:sz w:val="28"/>
          <w:szCs w:val="28"/>
          <w:u w:val="single"/>
          <w:rtl/>
        </w:rPr>
        <w:t>גזר דין</w:t>
      </w:r>
    </w:p>
    <w:bookmarkEnd w:id="4"/>
    <w:p w14:paraId="30585EFE" w14:textId="77777777" w:rsidR="00E868BD" w:rsidRDefault="00E868BD">
      <w:pPr>
        <w:spacing w:line="360" w:lineRule="auto"/>
        <w:jc w:val="both"/>
        <w:rPr>
          <w:rFonts w:ascii="Arial" w:hAnsi="Arial"/>
          <w:rtl/>
        </w:rPr>
      </w:pPr>
    </w:p>
    <w:p w14:paraId="4940F48A" w14:textId="77777777" w:rsidR="00E868BD" w:rsidRDefault="00B17F2A">
      <w:pPr>
        <w:spacing w:line="360" w:lineRule="auto"/>
        <w:jc w:val="both"/>
        <w:rPr>
          <w:rFonts w:ascii="Arial" w:hAnsi="Arial"/>
          <w:b/>
          <w:bCs/>
          <w:sz w:val="28"/>
          <w:szCs w:val="28"/>
          <w:u w:val="single"/>
        </w:rPr>
      </w:pPr>
      <w:r>
        <w:rPr>
          <w:rFonts w:ascii="Arial" w:hAnsi="Arial" w:hint="cs"/>
          <w:sz w:val="28"/>
          <w:szCs w:val="28"/>
          <w:rtl/>
        </w:rPr>
        <w:t>א.</w:t>
      </w:r>
      <w:r>
        <w:rPr>
          <w:rFonts w:ascii="Arial" w:hAnsi="Arial" w:hint="cs"/>
          <w:sz w:val="28"/>
          <w:szCs w:val="28"/>
          <w:rtl/>
        </w:rPr>
        <w:tab/>
      </w:r>
      <w:r>
        <w:rPr>
          <w:rFonts w:ascii="Arial" w:hAnsi="Arial" w:hint="cs"/>
          <w:b/>
          <w:bCs/>
          <w:sz w:val="28"/>
          <w:szCs w:val="28"/>
          <w:u w:val="single"/>
          <w:rtl/>
        </w:rPr>
        <w:t>פתח דבר</w:t>
      </w:r>
    </w:p>
    <w:p w14:paraId="5BF229CC" w14:textId="77777777" w:rsidR="00E868BD" w:rsidRDefault="00E868BD">
      <w:pPr>
        <w:spacing w:line="360" w:lineRule="auto"/>
        <w:ind w:left="720" w:hanging="720"/>
        <w:jc w:val="both"/>
        <w:rPr>
          <w:rtl/>
        </w:rPr>
      </w:pPr>
    </w:p>
    <w:p w14:paraId="743A64E0" w14:textId="77777777" w:rsidR="00E868BD" w:rsidRDefault="00B17F2A">
      <w:pPr>
        <w:spacing w:line="360" w:lineRule="auto"/>
        <w:ind w:left="720" w:hanging="720"/>
        <w:jc w:val="both"/>
        <w:rPr>
          <w:rtl/>
        </w:rPr>
      </w:pPr>
      <w:r>
        <w:rPr>
          <w:rFonts w:hint="cs"/>
          <w:rtl/>
        </w:rPr>
        <w:t>1.</w:t>
      </w:r>
      <w:r>
        <w:rPr>
          <w:rFonts w:hint="cs"/>
          <w:rtl/>
        </w:rPr>
        <w:tab/>
      </w:r>
      <w:bookmarkStart w:id="5" w:name="ABSTRACT_START"/>
      <w:bookmarkEnd w:id="5"/>
      <w:r>
        <w:rPr>
          <w:rFonts w:hint="cs"/>
          <w:rtl/>
        </w:rPr>
        <w:t xml:space="preserve">הנאשם הורשע עפ"י הודאתו, במסגרת הסדר טיעון, בניסיון שידול להצתה </w:t>
      </w:r>
      <w:r>
        <w:rPr>
          <w:rtl/>
        </w:rPr>
        <w:t>–</w:t>
      </w:r>
      <w:r>
        <w:rPr>
          <w:rFonts w:hint="cs"/>
          <w:rtl/>
        </w:rPr>
        <w:t xml:space="preserve"> עבירה לפי </w:t>
      </w:r>
      <w:hyperlink r:id="rId12" w:history="1">
        <w:r w:rsidR="00D21437" w:rsidRPr="00D21437">
          <w:rPr>
            <w:color w:val="0000FF"/>
            <w:u w:val="single"/>
            <w:rtl/>
          </w:rPr>
          <w:t>סעיף 448</w:t>
        </w:r>
      </w:hyperlink>
      <w:r>
        <w:rPr>
          <w:rFonts w:hint="cs"/>
          <w:rtl/>
        </w:rPr>
        <w:t xml:space="preserve"> רישא בצירוף </w:t>
      </w:r>
      <w:hyperlink r:id="rId13" w:history="1">
        <w:r w:rsidR="00D21437" w:rsidRPr="00D21437">
          <w:rPr>
            <w:color w:val="0000FF"/>
            <w:u w:val="single"/>
            <w:rtl/>
          </w:rPr>
          <w:t>סעיף 33</w:t>
        </w:r>
      </w:hyperlink>
      <w:r>
        <w:rPr>
          <w:rFonts w:hint="cs"/>
          <w:rtl/>
        </w:rPr>
        <w:t xml:space="preserve"> ל</w:t>
      </w:r>
      <w:hyperlink r:id="rId14" w:history="1">
        <w:r w:rsidRPr="00B17F2A">
          <w:rPr>
            <w:color w:val="0000FF"/>
            <w:u w:val="single"/>
            <w:rtl/>
          </w:rPr>
          <w:t>חוק העונשין</w:t>
        </w:r>
      </w:hyperlink>
      <w:r>
        <w:rPr>
          <w:rFonts w:hint="cs"/>
          <w:rtl/>
        </w:rPr>
        <w:t>, התשל"ז</w:t>
      </w:r>
      <w:r>
        <w:rPr>
          <w:rFonts w:hint="cs"/>
          <w:position w:val="4"/>
          <w:rtl/>
        </w:rPr>
        <w:t>-</w:t>
      </w:r>
      <w:r>
        <w:rPr>
          <w:rFonts w:hint="cs"/>
          <w:rtl/>
        </w:rPr>
        <w:t>1977 (להלן: "</w:t>
      </w:r>
      <w:r>
        <w:rPr>
          <w:rFonts w:hint="cs"/>
          <w:b/>
          <w:bCs/>
          <w:rtl/>
        </w:rPr>
        <w:t>חוק העונשין</w:t>
      </w:r>
      <w:r>
        <w:rPr>
          <w:rFonts w:hint="cs"/>
          <w:rtl/>
        </w:rPr>
        <w:t>").</w:t>
      </w:r>
    </w:p>
    <w:p w14:paraId="7F3CE98C" w14:textId="77777777" w:rsidR="00E868BD" w:rsidRDefault="00E868BD">
      <w:pPr>
        <w:spacing w:line="360" w:lineRule="auto"/>
        <w:ind w:left="720" w:hanging="720"/>
        <w:jc w:val="both"/>
        <w:rPr>
          <w:rtl/>
        </w:rPr>
      </w:pPr>
      <w:bookmarkStart w:id="6" w:name="ABSTRACT_END"/>
      <w:bookmarkEnd w:id="6"/>
    </w:p>
    <w:p w14:paraId="5ED88995" w14:textId="77777777" w:rsidR="00E868BD" w:rsidRDefault="00B17F2A">
      <w:pPr>
        <w:spacing w:line="360" w:lineRule="auto"/>
        <w:ind w:left="720" w:hanging="720"/>
        <w:jc w:val="both"/>
        <w:rPr>
          <w:rtl/>
        </w:rPr>
      </w:pPr>
      <w:r>
        <w:rPr>
          <w:rFonts w:hint="cs"/>
          <w:rtl/>
        </w:rPr>
        <w:t>2.</w:t>
      </w:r>
      <w:r>
        <w:rPr>
          <w:rFonts w:hint="cs"/>
          <w:rtl/>
        </w:rPr>
        <w:tab/>
        <w:t>עפ"י הסיכום שבין הסוכן המשטרתי לאברהם ראש, הוא היה אמור להצית תמורת שכר בסך 2,000 ₪ את דלת בית מגורים של מי שחייב כספים לאברהם ראש.</w:t>
      </w:r>
    </w:p>
    <w:p w14:paraId="3422FE5C" w14:textId="77777777" w:rsidR="00E868BD" w:rsidRDefault="00B17F2A">
      <w:pPr>
        <w:spacing w:line="360" w:lineRule="auto"/>
        <w:ind w:left="720" w:hanging="720"/>
        <w:jc w:val="both"/>
        <w:rPr>
          <w:rtl/>
        </w:rPr>
      </w:pPr>
      <w:r>
        <w:rPr>
          <w:rFonts w:hint="cs"/>
          <w:rtl/>
        </w:rPr>
        <w:tab/>
        <w:t xml:space="preserve">עפ"י הסיכום שבין הסוכן המשטרתי לאברהם ראש </w:t>
      </w:r>
      <w:r>
        <w:rPr>
          <w:rtl/>
        </w:rPr>
        <w:t>–</w:t>
      </w:r>
      <w:r>
        <w:rPr>
          <w:rFonts w:hint="cs"/>
          <w:rtl/>
        </w:rPr>
        <w:t xml:space="preserve"> היה אמור הסוכן המשטרתי לשפוך ליטר וחצי בנזין על דלת בית החייב, לגרום לשריפה, ולברוח מהמקום.</w:t>
      </w:r>
    </w:p>
    <w:p w14:paraId="3D84D21C" w14:textId="77777777" w:rsidR="00E868BD" w:rsidRDefault="00E868BD">
      <w:pPr>
        <w:spacing w:line="360" w:lineRule="auto"/>
        <w:ind w:left="720" w:hanging="720"/>
        <w:jc w:val="both"/>
        <w:rPr>
          <w:rtl/>
        </w:rPr>
      </w:pPr>
    </w:p>
    <w:p w14:paraId="2B7D48FA" w14:textId="77777777" w:rsidR="00E868BD" w:rsidRDefault="00B17F2A">
      <w:pPr>
        <w:spacing w:line="360" w:lineRule="auto"/>
        <w:ind w:left="720" w:hanging="720"/>
        <w:jc w:val="both"/>
        <w:rPr>
          <w:rtl/>
        </w:rPr>
      </w:pPr>
      <w:r>
        <w:rPr>
          <w:rFonts w:hint="cs"/>
          <w:rtl/>
        </w:rPr>
        <w:t>3.</w:t>
      </w:r>
      <w:r>
        <w:rPr>
          <w:rFonts w:hint="cs"/>
          <w:rtl/>
        </w:rPr>
        <w:tab/>
        <w:t>הנאשם נשלח ע"י אברהם ראש להראות לסוכן המשטרתי את מקום מגורי החייב.</w:t>
      </w:r>
    </w:p>
    <w:p w14:paraId="00655945" w14:textId="77777777" w:rsidR="00E868BD" w:rsidRDefault="00E868BD">
      <w:pPr>
        <w:spacing w:line="360" w:lineRule="auto"/>
        <w:ind w:left="720" w:hanging="720"/>
        <w:jc w:val="both"/>
        <w:rPr>
          <w:rtl/>
        </w:rPr>
      </w:pPr>
    </w:p>
    <w:p w14:paraId="4B1E5341" w14:textId="77777777" w:rsidR="00E868BD" w:rsidRDefault="00B17F2A">
      <w:pPr>
        <w:spacing w:line="360" w:lineRule="auto"/>
        <w:ind w:left="720" w:hanging="720"/>
        <w:jc w:val="both"/>
        <w:rPr>
          <w:rtl/>
        </w:rPr>
      </w:pPr>
      <w:r>
        <w:rPr>
          <w:rFonts w:hint="cs"/>
          <w:rtl/>
        </w:rPr>
        <w:t>4.</w:t>
      </w:r>
      <w:r>
        <w:rPr>
          <w:rFonts w:hint="cs"/>
          <w:rtl/>
        </w:rPr>
        <w:tab/>
        <w:t>הנאשם הודה כי בתאריך 13.3.13, סמוך לשעה 14</w:t>
      </w:r>
      <w:r>
        <w:rPr>
          <w:rFonts w:hint="cs"/>
          <w:u w:val="single"/>
          <w:vertAlign w:val="superscript"/>
          <w:rtl/>
        </w:rPr>
        <w:t>00</w:t>
      </w:r>
      <w:r>
        <w:rPr>
          <w:rFonts w:hint="cs"/>
          <w:rtl/>
        </w:rPr>
        <w:t>, הוא נפגש עם הסוכן המשטרתי בחולון לאחר שהגיע למקום ברכבו של אברהם ראש. הוא הסיע את הסוכן המשטרתי לשכונת התקווה בתל</w:t>
      </w:r>
      <w:r>
        <w:rPr>
          <w:rFonts w:hint="cs"/>
          <w:position w:val="4"/>
          <w:rtl/>
        </w:rPr>
        <w:t>-</w:t>
      </w:r>
      <w:r>
        <w:rPr>
          <w:rFonts w:hint="cs"/>
          <w:rtl/>
        </w:rPr>
        <w:t xml:space="preserve">אביב, ושם הצביע לפניו על דלת עץ בבית החייב, ברח' הרב רפאל אלנקווה 4 </w:t>
      </w:r>
      <w:r>
        <w:rPr>
          <w:rtl/>
        </w:rPr>
        <w:t>–</w:t>
      </w:r>
      <w:r>
        <w:rPr>
          <w:rFonts w:hint="cs"/>
          <w:rtl/>
        </w:rPr>
        <w:t xml:space="preserve"> דלת שאותה היה אמור הסוכן להצית, וכן הציג הנאשם לפני הסוכן נתיב מילוט מהמקום.</w:t>
      </w:r>
    </w:p>
    <w:p w14:paraId="656CBE60" w14:textId="77777777" w:rsidR="00E868BD" w:rsidRDefault="00B17F2A">
      <w:pPr>
        <w:spacing w:line="360" w:lineRule="auto"/>
        <w:ind w:left="720"/>
        <w:jc w:val="both"/>
        <w:rPr>
          <w:rtl/>
        </w:rPr>
      </w:pPr>
      <w:r>
        <w:rPr>
          <w:rFonts w:hint="cs"/>
          <w:rtl/>
        </w:rPr>
        <w:t>הנאשם הואשם אפוא בכך שניסה לשדל, ביחד עם אברהם ראש, את הסוכן המשטרתי לשלח אש במזיד בדבר לא</w:t>
      </w:r>
      <w:r>
        <w:rPr>
          <w:rFonts w:hint="cs"/>
          <w:position w:val="4"/>
          <w:rtl/>
        </w:rPr>
        <w:t>-</w:t>
      </w:r>
      <w:r>
        <w:rPr>
          <w:rFonts w:hint="cs"/>
          <w:rtl/>
        </w:rPr>
        <w:t>לו.</w:t>
      </w:r>
    </w:p>
    <w:p w14:paraId="17D06855" w14:textId="77777777" w:rsidR="00E868BD" w:rsidRDefault="00E868BD">
      <w:pPr>
        <w:ind w:left="720"/>
        <w:jc w:val="both"/>
        <w:rPr>
          <w:rtl/>
        </w:rPr>
      </w:pPr>
    </w:p>
    <w:p w14:paraId="313F373B" w14:textId="77777777" w:rsidR="00E868BD" w:rsidRDefault="00B17F2A">
      <w:pPr>
        <w:spacing w:line="360" w:lineRule="auto"/>
        <w:jc w:val="both"/>
        <w:rPr>
          <w:b/>
          <w:bCs/>
          <w:sz w:val="28"/>
          <w:szCs w:val="28"/>
          <w:u w:val="single"/>
          <w:rtl/>
        </w:rPr>
      </w:pPr>
      <w:r>
        <w:rPr>
          <w:rFonts w:hint="cs"/>
          <w:sz w:val="28"/>
          <w:szCs w:val="28"/>
          <w:rtl/>
        </w:rPr>
        <w:t>ב.</w:t>
      </w:r>
      <w:r>
        <w:rPr>
          <w:rFonts w:hint="cs"/>
          <w:b/>
          <w:bCs/>
          <w:sz w:val="28"/>
          <w:szCs w:val="28"/>
          <w:rtl/>
        </w:rPr>
        <w:tab/>
      </w:r>
      <w:r>
        <w:rPr>
          <w:rFonts w:hint="cs"/>
          <w:b/>
          <w:bCs/>
          <w:sz w:val="28"/>
          <w:szCs w:val="28"/>
          <w:u w:val="single"/>
          <w:rtl/>
        </w:rPr>
        <w:t>הסדר הטיעון</w:t>
      </w:r>
    </w:p>
    <w:p w14:paraId="6136AEAB" w14:textId="77777777" w:rsidR="00E868BD" w:rsidRDefault="00E868BD">
      <w:pPr>
        <w:jc w:val="both"/>
        <w:rPr>
          <w:b/>
          <w:bCs/>
          <w:u w:val="single"/>
          <w:rtl/>
        </w:rPr>
      </w:pPr>
    </w:p>
    <w:p w14:paraId="09D7C6F7" w14:textId="77777777" w:rsidR="00E868BD" w:rsidRDefault="00B17F2A">
      <w:pPr>
        <w:spacing w:line="360" w:lineRule="auto"/>
        <w:ind w:left="720" w:hanging="720"/>
        <w:jc w:val="both"/>
        <w:rPr>
          <w:rtl/>
        </w:rPr>
      </w:pPr>
      <w:r>
        <w:rPr>
          <w:rFonts w:hint="cs"/>
          <w:rtl/>
        </w:rPr>
        <w:lastRenderedPageBreak/>
        <w:t>5.</w:t>
      </w:r>
      <w:r>
        <w:rPr>
          <w:rFonts w:hint="cs"/>
          <w:rtl/>
        </w:rPr>
        <w:tab/>
        <w:t>באי</w:t>
      </w:r>
      <w:r>
        <w:rPr>
          <w:rFonts w:hint="cs"/>
          <w:position w:val="4"/>
          <w:rtl/>
        </w:rPr>
        <w:t>-</w:t>
      </w:r>
      <w:r>
        <w:rPr>
          <w:rFonts w:hint="cs"/>
          <w:rtl/>
        </w:rPr>
        <w:t xml:space="preserve">כוח הצדדים הגיעו להסדר טיעון שלפיו עתרו במשותף לבית המשפט להטיל על הנאשם חמישה חודשי מאסר, עם אפשרות לריצוי בעבודות שירות </w:t>
      </w:r>
      <w:r>
        <w:rPr>
          <w:rtl/>
        </w:rPr>
        <w:t>–</w:t>
      </w:r>
      <w:r>
        <w:rPr>
          <w:rFonts w:hint="cs"/>
          <w:rtl/>
        </w:rPr>
        <w:t xml:space="preserve"> אם יימצא הנאשם מתאים לביצוע עבודות שירות, וכן מאסר על</w:t>
      </w:r>
      <w:r>
        <w:rPr>
          <w:rFonts w:hint="cs"/>
          <w:position w:val="4"/>
          <w:rtl/>
        </w:rPr>
        <w:t>-</w:t>
      </w:r>
      <w:r>
        <w:rPr>
          <w:rFonts w:hint="cs"/>
          <w:rtl/>
        </w:rPr>
        <w:t>תנאי וקנס בסך 10,000 ₪ או מאה ימי מאסר תמורתו.</w:t>
      </w:r>
    </w:p>
    <w:p w14:paraId="35F8BA56" w14:textId="77777777" w:rsidR="00E868BD" w:rsidRDefault="00E868BD">
      <w:pPr>
        <w:ind w:left="720" w:hanging="720"/>
        <w:jc w:val="both"/>
        <w:rPr>
          <w:rtl/>
        </w:rPr>
      </w:pPr>
    </w:p>
    <w:p w14:paraId="22114F75" w14:textId="77777777" w:rsidR="00E868BD" w:rsidRDefault="00B17F2A">
      <w:pPr>
        <w:spacing w:line="360" w:lineRule="auto"/>
        <w:ind w:left="720" w:hanging="720"/>
        <w:jc w:val="both"/>
        <w:rPr>
          <w:b/>
          <w:bCs/>
          <w:sz w:val="28"/>
          <w:szCs w:val="28"/>
          <w:u w:val="single"/>
          <w:rtl/>
        </w:rPr>
      </w:pPr>
      <w:r>
        <w:rPr>
          <w:rFonts w:hint="cs"/>
          <w:sz w:val="28"/>
          <w:szCs w:val="28"/>
          <w:rtl/>
        </w:rPr>
        <w:t>ג.</w:t>
      </w:r>
      <w:r>
        <w:rPr>
          <w:rFonts w:hint="cs"/>
          <w:b/>
          <w:bCs/>
          <w:sz w:val="28"/>
          <w:szCs w:val="28"/>
          <w:rtl/>
        </w:rPr>
        <w:tab/>
      </w:r>
      <w:r>
        <w:rPr>
          <w:rFonts w:hint="cs"/>
          <w:b/>
          <w:bCs/>
          <w:sz w:val="28"/>
          <w:szCs w:val="28"/>
          <w:u w:val="single"/>
          <w:rtl/>
        </w:rPr>
        <w:t>טיעוני באי</w:t>
      </w:r>
      <w:r>
        <w:rPr>
          <w:rFonts w:hint="cs"/>
          <w:b/>
          <w:bCs/>
          <w:position w:val="4"/>
          <w:u w:val="single"/>
          <w:rtl/>
        </w:rPr>
        <w:t>-</w:t>
      </w:r>
      <w:r>
        <w:rPr>
          <w:rFonts w:hint="cs"/>
          <w:b/>
          <w:bCs/>
          <w:sz w:val="28"/>
          <w:szCs w:val="28"/>
          <w:u w:val="single"/>
          <w:rtl/>
        </w:rPr>
        <w:t>כוח הצדדים</w:t>
      </w:r>
    </w:p>
    <w:p w14:paraId="0D2209A8" w14:textId="77777777" w:rsidR="00E868BD" w:rsidRDefault="00E868BD">
      <w:pPr>
        <w:ind w:left="720" w:hanging="720"/>
        <w:jc w:val="both"/>
        <w:rPr>
          <w:b/>
          <w:bCs/>
          <w:rtl/>
        </w:rPr>
      </w:pPr>
    </w:p>
    <w:p w14:paraId="6DD936D0" w14:textId="77777777" w:rsidR="00E868BD" w:rsidRDefault="00B17F2A">
      <w:pPr>
        <w:spacing w:line="360" w:lineRule="auto"/>
        <w:ind w:left="720" w:hanging="720"/>
        <w:jc w:val="both"/>
        <w:rPr>
          <w:rtl/>
        </w:rPr>
      </w:pPr>
      <w:r>
        <w:rPr>
          <w:rFonts w:hint="cs"/>
          <w:rtl/>
        </w:rPr>
        <w:t>6.</w:t>
      </w:r>
      <w:r>
        <w:rPr>
          <w:rFonts w:hint="cs"/>
          <w:rtl/>
        </w:rPr>
        <w:tab/>
        <w:t>באת</w:t>
      </w:r>
      <w:r>
        <w:rPr>
          <w:rFonts w:hint="cs"/>
          <w:position w:val="4"/>
          <w:rtl/>
        </w:rPr>
        <w:t>-</w:t>
      </w:r>
      <w:r>
        <w:rPr>
          <w:rFonts w:hint="cs"/>
          <w:rtl/>
        </w:rPr>
        <w:t>כוח המאשימה עתרה לבית המשפט לכבד את הסדר הטיעון, בהדגישה את חומרת העבירה ואת הקשיים הראייתיים שעמדו לפני התביעה בתיק דנן. לדבריה, העונש שעליו הסכימו באי</w:t>
      </w:r>
      <w:r>
        <w:rPr>
          <w:rFonts w:hint="cs"/>
          <w:position w:val="4"/>
          <w:rtl/>
        </w:rPr>
        <w:t>-</w:t>
      </w:r>
      <w:r>
        <w:rPr>
          <w:rFonts w:hint="cs"/>
          <w:rtl/>
        </w:rPr>
        <w:t>כוח הצדדים מתיישב עם חלקו של הנאשם בתיק דנן, לעומת חלקם של האחרים: שרון ראש, אשר נדון על</w:t>
      </w:r>
      <w:r>
        <w:rPr>
          <w:rFonts w:hint="cs"/>
          <w:position w:val="4"/>
          <w:rtl/>
        </w:rPr>
        <w:t>-</w:t>
      </w:r>
      <w:r>
        <w:rPr>
          <w:rFonts w:hint="cs"/>
          <w:rtl/>
        </w:rPr>
        <w:t xml:space="preserve">ידי מותב אחר (כבוד השופט צבי גורפינקל), לאחר גישור (לפני כבוד השופט גלעד נויטל), לשישה חודשי מאסר לריצוי בעבודות שירות. </w:t>
      </w:r>
    </w:p>
    <w:p w14:paraId="4118C006" w14:textId="77777777" w:rsidR="00E868BD" w:rsidRDefault="00B17F2A">
      <w:pPr>
        <w:spacing w:line="360" w:lineRule="auto"/>
        <w:ind w:left="720"/>
        <w:jc w:val="both"/>
        <w:rPr>
          <w:rtl/>
        </w:rPr>
      </w:pPr>
      <w:r>
        <w:rPr>
          <w:rFonts w:hint="cs"/>
          <w:rtl/>
        </w:rPr>
        <w:t xml:space="preserve">עוד לדבריה, תפקידו של הנאשם אף הוא היה תפקיד משני לעומת המבצע העיקרי </w:t>
      </w:r>
      <w:r>
        <w:rPr>
          <w:rtl/>
        </w:rPr>
        <w:t>–</w:t>
      </w:r>
      <w:r>
        <w:rPr>
          <w:rFonts w:hint="cs"/>
          <w:rtl/>
        </w:rPr>
        <w:t xml:space="preserve"> אברהם ראש. נוסף לכך מעשה ההצתה כביכול היה מבוים בסופו של דבר בידי הסוכן המשטרתי.</w:t>
      </w:r>
    </w:p>
    <w:p w14:paraId="6D8B86C3" w14:textId="77777777" w:rsidR="00E868BD" w:rsidRDefault="00E868BD">
      <w:pPr>
        <w:ind w:left="720"/>
        <w:jc w:val="both"/>
        <w:rPr>
          <w:rtl/>
        </w:rPr>
      </w:pPr>
    </w:p>
    <w:p w14:paraId="1CBDC5DA" w14:textId="77777777" w:rsidR="00E868BD" w:rsidRDefault="00B17F2A">
      <w:pPr>
        <w:spacing w:line="360" w:lineRule="auto"/>
        <w:ind w:left="720" w:hanging="720"/>
        <w:jc w:val="both"/>
        <w:rPr>
          <w:rtl/>
        </w:rPr>
      </w:pPr>
      <w:r>
        <w:rPr>
          <w:rFonts w:hint="cs"/>
          <w:rtl/>
        </w:rPr>
        <w:t>7.</w:t>
      </w:r>
      <w:r>
        <w:rPr>
          <w:rFonts w:hint="cs"/>
          <w:rtl/>
        </w:rPr>
        <w:tab/>
        <w:t>באת</w:t>
      </w:r>
      <w:r>
        <w:rPr>
          <w:rFonts w:hint="cs"/>
          <w:position w:val="4"/>
          <w:rtl/>
        </w:rPr>
        <w:t>-</w:t>
      </w:r>
      <w:r>
        <w:rPr>
          <w:rFonts w:hint="cs"/>
          <w:rtl/>
        </w:rPr>
        <w:t>כוח המאשימה התייחסה לגיליון הרשעותיו הקודמות של הנאשם (ת/1), הכולל עבירה של גניבה בידי עובד ממעביד (בשנת 1995), עת נדון הנאשם למאסר על</w:t>
      </w:r>
      <w:r>
        <w:rPr>
          <w:rFonts w:hint="cs"/>
          <w:position w:val="4"/>
          <w:rtl/>
        </w:rPr>
        <w:t>-</w:t>
      </w:r>
      <w:r>
        <w:rPr>
          <w:rFonts w:hint="cs"/>
          <w:rtl/>
        </w:rPr>
        <w:t xml:space="preserve">תנאי, קנס ותשלום פיצוי; עבירות לפי </w:t>
      </w:r>
      <w:hyperlink r:id="rId15" w:history="1">
        <w:r w:rsidRPr="00B17F2A">
          <w:rPr>
            <w:color w:val="0000FF"/>
            <w:u w:val="single"/>
            <w:rtl/>
          </w:rPr>
          <w:t>פקודת הסמים המסוכנים</w:t>
        </w:r>
      </w:hyperlink>
      <w:r>
        <w:rPr>
          <w:rFonts w:hint="cs"/>
          <w:rtl/>
        </w:rPr>
        <w:t xml:space="preserve"> של החזקה ושימוש בסמים לצריכה עצמית; ואת הרשעתו האחרונה של הנאשם משנת 2008 בגין מעשה עבירה משנת 2005 של תקיפה הגורמת חבלה של ממש.</w:t>
      </w:r>
    </w:p>
    <w:p w14:paraId="375BFBF6" w14:textId="77777777" w:rsidR="00E868BD" w:rsidRDefault="00B17F2A">
      <w:pPr>
        <w:spacing w:line="360" w:lineRule="auto"/>
        <w:ind w:left="1440" w:hanging="720"/>
        <w:jc w:val="both"/>
        <w:rPr>
          <w:rtl/>
        </w:rPr>
      </w:pPr>
      <w:r>
        <w:rPr>
          <w:rFonts w:hint="cs"/>
          <w:rtl/>
        </w:rPr>
        <w:t>אליבא דתביעה, עסקינן ברישום פלילי ישן ולא</w:t>
      </w:r>
      <w:r>
        <w:rPr>
          <w:rFonts w:hint="cs"/>
          <w:position w:val="4"/>
          <w:rtl/>
        </w:rPr>
        <w:t>-</w:t>
      </w:r>
      <w:r>
        <w:rPr>
          <w:rFonts w:hint="cs"/>
          <w:rtl/>
        </w:rPr>
        <w:t>רלוונטי.</w:t>
      </w:r>
    </w:p>
    <w:p w14:paraId="5EDDD5F2" w14:textId="77777777" w:rsidR="00E868BD" w:rsidRDefault="00E868BD">
      <w:pPr>
        <w:ind w:left="720" w:hanging="720"/>
        <w:jc w:val="both"/>
        <w:rPr>
          <w:rtl/>
        </w:rPr>
      </w:pPr>
    </w:p>
    <w:p w14:paraId="7F658CFC" w14:textId="77777777" w:rsidR="00E868BD" w:rsidRDefault="00B17F2A">
      <w:pPr>
        <w:spacing w:line="360" w:lineRule="auto"/>
        <w:ind w:left="720" w:hanging="720"/>
        <w:jc w:val="both"/>
        <w:rPr>
          <w:rtl/>
        </w:rPr>
      </w:pPr>
      <w:r>
        <w:rPr>
          <w:rFonts w:hint="cs"/>
          <w:rtl/>
        </w:rPr>
        <w:t>8.</w:t>
      </w:r>
      <w:r>
        <w:rPr>
          <w:rFonts w:hint="cs"/>
          <w:rtl/>
        </w:rPr>
        <w:tab/>
        <w:t>בא</w:t>
      </w:r>
      <w:r>
        <w:rPr>
          <w:rFonts w:hint="cs"/>
          <w:position w:val="4"/>
          <w:rtl/>
        </w:rPr>
        <w:t>-</w:t>
      </w:r>
      <w:r>
        <w:rPr>
          <w:rFonts w:hint="cs"/>
          <w:rtl/>
        </w:rPr>
        <w:t xml:space="preserve">כוח הנאשם עתר אף הוא לבית המשפט לכבד את הסדר הטיעון, בציינו כי הנאשם הודה מיד בבית המשפט וחסך הן מזמנו של בית המשפט הן מזמנם של העדים, וביקש לראות בהודיית הנאשם הבעת חרטה מצדו, וכן הוסיף כי בת זוגו של הנאשם </w:t>
      </w:r>
      <w:r>
        <w:rPr>
          <w:rtl/>
        </w:rPr>
        <w:t>–</w:t>
      </w:r>
      <w:r>
        <w:rPr>
          <w:rFonts w:hint="cs"/>
          <w:rtl/>
        </w:rPr>
        <w:t xml:space="preserve"> אחותם של בני משפחת ראש </w:t>
      </w:r>
      <w:r>
        <w:rPr>
          <w:rtl/>
        </w:rPr>
        <w:t>–</w:t>
      </w:r>
      <w:r>
        <w:rPr>
          <w:rFonts w:hint="cs"/>
          <w:rtl/>
        </w:rPr>
        <w:t xml:space="preserve"> כורעת ללדת בימים אלו.</w:t>
      </w:r>
    </w:p>
    <w:p w14:paraId="75DEAB36" w14:textId="77777777" w:rsidR="00E868BD" w:rsidRDefault="00E868BD">
      <w:pPr>
        <w:jc w:val="both"/>
        <w:rPr>
          <w:rtl/>
        </w:rPr>
      </w:pPr>
    </w:p>
    <w:p w14:paraId="7A5B26A2" w14:textId="77777777" w:rsidR="00E868BD" w:rsidRDefault="00B17F2A">
      <w:pPr>
        <w:spacing w:line="360" w:lineRule="auto"/>
        <w:jc w:val="both"/>
        <w:rPr>
          <w:b/>
          <w:bCs/>
          <w:sz w:val="28"/>
          <w:szCs w:val="28"/>
          <w:rtl/>
        </w:rPr>
      </w:pPr>
      <w:r>
        <w:rPr>
          <w:rFonts w:hint="cs"/>
          <w:sz w:val="28"/>
          <w:szCs w:val="28"/>
          <w:rtl/>
        </w:rPr>
        <w:t>ד.</w:t>
      </w:r>
      <w:r>
        <w:rPr>
          <w:rFonts w:hint="cs"/>
          <w:b/>
          <w:bCs/>
          <w:sz w:val="28"/>
          <w:szCs w:val="28"/>
          <w:rtl/>
        </w:rPr>
        <w:tab/>
      </w:r>
      <w:r>
        <w:rPr>
          <w:rFonts w:hint="cs"/>
          <w:b/>
          <w:bCs/>
          <w:sz w:val="28"/>
          <w:szCs w:val="28"/>
          <w:u w:val="single"/>
          <w:rtl/>
        </w:rPr>
        <w:t>דיון</w:t>
      </w:r>
    </w:p>
    <w:p w14:paraId="15E603F9" w14:textId="77777777" w:rsidR="00E868BD" w:rsidRDefault="00E868BD">
      <w:pPr>
        <w:ind w:left="720" w:hanging="720"/>
        <w:jc w:val="both"/>
        <w:rPr>
          <w:rtl/>
        </w:rPr>
      </w:pPr>
    </w:p>
    <w:p w14:paraId="34332952" w14:textId="77777777" w:rsidR="00E868BD" w:rsidRDefault="00B17F2A">
      <w:pPr>
        <w:spacing w:line="360" w:lineRule="auto"/>
        <w:ind w:left="720" w:hanging="720"/>
        <w:jc w:val="both"/>
        <w:rPr>
          <w:rtl/>
        </w:rPr>
      </w:pPr>
      <w:r>
        <w:rPr>
          <w:rFonts w:hint="cs"/>
          <w:rtl/>
        </w:rPr>
        <w:t>9.</w:t>
      </w:r>
      <w:r>
        <w:rPr>
          <w:rFonts w:hint="cs"/>
          <w:rtl/>
        </w:rPr>
        <w:tab/>
        <w:t>עסקינן בעבירה חמורה, אלא שהמשודל לביצוע העבירה היה סוכן משטרה, וכך ההצתה הייתה מבוימת. הנאשם שלפניי איננו העבריין העיקרי, אלא שותף משני שנפנה לעבור את העבירה כנראה בשל קשר משפחתי, ומכל מקום לא הוכחה קבלת תמורה בעבור המעשה. הנאשם הודה, וניתן לומר שהוא התרחק ממעשי פשיעה בתשע השנים האחרונות.</w:t>
      </w:r>
    </w:p>
    <w:p w14:paraId="29C4FBAB" w14:textId="77777777" w:rsidR="00E868BD" w:rsidRDefault="00B17F2A">
      <w:pPr>
        <w:spacing w:line="360" w:lineRule="auto"/>
        <w:ind w:left="720"/>
        <w:jc w:val="both"/>
        <w:rPr>
          <w:rtl/>
        </w:rPr>
      </w:pPr>
      <w:r>
        <w:rPr>
          <w:rFonts w:hint="cs"/>
          <w:rtl/>
        </w:rPr>
        <w:t>הנאשם משמש שף, ובכוונתו להמשיך ולעבוד בתפקיד זה לאחר ביצוע עבודות השירות, ואולי אף במהלכן, בשעות הערב.</w:t>
      </w:r>
    </w:p>
    <w:p w14:paraId="04F7908A" w14:textId="77777777" w:rsidR="00E868BD" w:rsidRDefault="00E868BD">
      <w:pPr>
        <w:ind w:left="720"/>
        <w:jc w:val="both"/>
        <w:rPr>
          <w:rtl/>
        </w:rPr>
      </w:pPr>
    </w:p>
    <w:p w14:paraId="2870A133" w14:textId="77777777" w:rsidR="00E868BD" w:rsidRDefault="00B17F2A">
      <w:pPr>
        <w:spacing w:line="360" w:lineRule="auto"/>
        <w:ind w:left="720" w:hanging="720"/>
        <w:jc w:val="both"/>
        <w:rPr>
          <w:rtl/>
        </w:rPr>
      </w:pPr>
      <w:r>
        <w:rPr>
          <w:rFonts w:hint="cs"/>
          <w:rtl/>
        </w:rPr>
        <w:lastRenderedPageBreak/>
        <w:t>10.</w:t>
      </w:r>
      <w:r>
        <w:rPr>
          <w:rFonts w:hint="cs"/>
          <w:rtl/>
        </w:rPr>
        <w:tab/>
        <w:t>סימן א1 לתיקון 113 ל</w:t>
      </w:r>
      <w:hyperlink r:id="rId16" w:history="1">
        <w:r w:rsidRPr="00B17F2A">
          <w:rPr>
            <w:color w:val="0000FF"/>
            <w:u w:val="single"/>
            <w:rtl/>
          </w:rPr>
          <w:t>חוק העונשין</w:t>
        </w:r>
      </w:hyperlink>
      <w:r>
        <w:rPr>
          <w:rFonts w:hint="cs"/>
          <w:rtl/>
        </w:rPr>
        <w:t>, התשע"ב</w:t>
      </w:r>
      <w:r>
        <w:rPr>
          <w:rtl/>
        </w:rPr>
        <w:t>–</w:t>
      </w:r>
      <w:r>
        <w:rPr>
          <w:rFonts w:hint="cs"/>
          <w:rtl/>
        </w:rPr>
        <w:t>2012, ,,הבניית שיקול הדעת השיפוטי בענישה'', אינו מתייחס מפורשות לענישה כאשר הצדדים מגיעים לסדר טיעון.</w:t>
      </w:r>
    </w:p>
    <w:p w14:paraId="03E4FBAC" w14:textId="77777777" w:rsidR="00E868BD" w:rsidRDefault="00B17F2A">
      <w:pPr>
        <w:spacing w:line="360" w:lineRule="auto"/>
        <w:ind w:left="720"/>
        <w:jc w:val="both"/>
        <w:rPr>
          <w:rtl/>
        </w:rPr>
      </w:pPr>
      <w:r>
        <w:rPr>
          <w:rFonts w:hint="cs"/>
          <w:rtl/>
        </w:rPr>
        <w:t>אין ספק כי שיקולי בית המשפט בעת גזירת העונש כאשר מוצג טווח ענישה מוסכם אינם זהים לשיקולים כאשר גזירת העונש אינה מצויה במסגרת הסדר.</w:t>
      </w:r>
    </w:p>
    <w:p w14:paraId="0297964F" w14:textId="77777777" w:rsidR="00E868BD" w:rsidRDefault="00B17F2A">
      <w:pPr>
        <w:spacing w:line="360" w:lineRule="auto"/>
        <w:ind w:left="720"/>
        <w:jc w:val="both"/>
        <w:rPr>
          <w:rtl/>
        </w:rPr>
      </w:pPr>
      <w:r>
        <w:rPr>
          <w:rFonts w:hint="cs"/>
          <w:rtl/>
        </w:rPr>
        <w:t xml:space="preserve">בעניין זה ראו הצעת </w:t>
      </w:r>
      <w:hyperlink r:id="rId17" w:history="1">
        <w:r w:rsidRPr="00B17F2A">
          <w:rPr>
            <w:color w:val="0000FF"/>
            <w:u w:val="single"/>
            <w:rtl/>
          </w:rPr>
          <w:t>חוק סדר הדין הפלילי</w:t>
        </w:r>
      </w:hyperlink>
      <w:r>
        <w:rPr>
          <w:rFonts w:hint="cs"/>
          <w:rtl/>
        </w:rPr>
        <w:t xml:space="preserve"> (תיקון מס' 65) (הסדר טיעון), התש"ע</w:t>
      </w:r>
      <w:r>
        <w:rPr>
          <w:rtl/>
        </w:rPr>
        <w:t>–</w:t>
      </w:r>
      <w:r>
        <w:rPr>
          <w:rFonts w:hint="cs"/>
          <w:rtl/>
        </w:rPr>
        <w:t xml:space="preserve">2010, שבה הוצע </w:t>
      </w:r>
      <w:hyperlink r:id="rId18" w:history="1">
        <w:r w:rsidR="00D21437" w:rsidRPr="00D21437">
          <w:rPr>
            <w:color w:val="0000FF"/>
            <w:u w:val="single"/>
            <w:rtl/>
          </w:rPr>
          <w:t>בסעיף 220יא(א)</w:t>
        </w:r>
      </w:hyperlink>
      <w:r>
        <w:rPr>
          <w:rFonts w:hint="cs"/>
          <w:rtl/>
        </w:rPr>
        <w:t xml:space="preserve"> לקבוע: ,,הציגו בעלי הדין בפני בית המשפט הסדר טיעון הנוגע לעונש או לתוצאות משפט אחרות[...] ינחה עצמו בית המשפט בגזירת הדין לפי הסדר הטיעון''.</w:t>
      </w:r>
    </w:p>
    <w:p w14:paraId="0C6DF73F" w14:textId="77777777" w:rsidR="00E868BD" w:rsidRDefault="00E868BD">
      <w:pPr>
        <w:ind w:left="720"/>
        <w:jc w:val="both"/>
        <w:rPr>
          <w:rtl/>
        </w:rPr>
      </w:pPr>
    </w:p>
    <w:p w14:paraId="71B2D53F" w14:textId="77777777" w:rsidR="00E868BD" w:rsidRDefault="00B17F2A">
      <w:pPr>
        <w:spacing w:line="360" w:lineRule="auto"/>
        <w:jc w:val="both"/>
        <w:rPr>
          <w:rtl/>
        </w:rPr>
      </w:pPr>
      <w:r>
        <w:rPr>
          <w:rFonts w:hint="cs"/>
          <w:rtl/>
        </w:rPr>
        <w:t>11.</w:t>
      </w:r>
      <w:r>
        <w:rPr>
          <w:rFonts w:hint="cs"/>
          <w:rtl/>
        </w:rPr>
        <w:tab/>
        <w:t>משהוצג הסדר טיעון והוא איננו פוגע באינטרס הציבורי נוטה בית המשפט לכבדו.</w:t>
      </w:r>
    </w:p>
    <w:p w14:paraId="74ABCCE8" w14:textId="77777777" w:rsidR="00E868BD" w:rsidRDefault="00E868BD">
      <w:pPr>
        <w:jc w:val="both"/>
        <w:rPr>
          <w:rtl/>
        </w:rPr>
      </w:pPr>
    </w:p>
    <w:p w14:paraId="7DE0DB16" w14:textId="77777777" w:rsidR="00E868BD" w:rsidRDefault="00B17F2A">
      <w:pPr>
        <w:spacing w:line="360" w:lineRule="auto"/>
        <w:jc w:val="both"/>
        <w:rPr>
          <w:rtl/>
        </w:rPr>
      </w:pPr>
      <w:r>
        <w:rPr>
          <w:rFonts w:hint="cs"/>
          <w:rtl/>
        </w:rPr>
        <w:tab/>
        <w:t>לאור כל המקובץ לעיל אני מטילה על הנאשם העונשים כדלקמן:</w:t>
      </w:r>
    </w:p>
    <w:p w14:paraId="3641D01B" w14:textId="77777777" w:rsidR="00E868BD" w:rsidRDefault="00E868BD">
      <w:pPr>
        <w:jc w:val="both"/>
        <w:rPr>
          <w:rtl/>
        </w:rPr>
      </w:pPr>
    </w:p>
    <w:p w14:paraId="15D9720E" w14:textId="77777777" w:rsidR="00E868BD" w:rsidRDefault="00B17F2A">
      <w:pPr>
        <w:spacing w:line="360" w:lineRule="auto"/>
        <w:ind w:left="1440" w:hanging="720"/>
        <w:jc w:val="both"/>
        <w:rPr>
          <w:rtl/>
        </w:rPr>
      </w:pPr>
      <w:r>
        <w:rPr>
          <w:rFonts w:hint="cs"/>
          <w:rtl/>
        </w:rPr>
        <w:t>א)</w:t>
      </w:r>
      <w:r>
        <w:rPr>
          <w:rFonts w:hint="cs"/>
          <w:rtl/>
        </w:rPr>
        <w:tab/>
        <w:t>חמישה חודשי מאסר, שירוצו בעבודות שירות בבית יהודי בוכרה ברח' הכינור 2, קריית</w:t>
      </w:r>
      <w:r>
        <w:rPr>
          <w:rFonts w:hint="cs"/>
          <w:position w:val="4"/>
          <w:rtl/>
        </w:rPr>
        <w:t>-</w:t>
      </w:r>
      <w:r>
        <w:rPr>
          <w:rFonts w:hint="cs"/>
          <w:rtl/>
        </w:rPr>
        <w:t>שלום, תל</w:t>
      </w:r>
      <w:r>
        <w:rPr>
          <w:rFonts w:hint="cs"/>
          <w:position w:val="4"/>
          <w:rtl/>
        </w:rPr>
        <w:t>-</w:t>
      </w:r>
      <w:r>
        <w:rPr>
          <w:rFonts w:hint="cs"/>
          <w:rtl/>
        </w:rPr>
        <w:t>אביב, בימים א</w:t>
      </w:r>
      <w:r>
        <w:rPr>
          <w:rtl/>
        </w:rPr>
        <w:t>–</w:t>
      </w:r>
      <w:r>
        <w:rPr>
          <w:rFonts w:hint="cs"/>
          <w:rtl/>
        </w:rPr>
        <w:t>ה, 8.5 שעות עבודה יומיות.</w:t>
      </w:r>
    </w:p>
    <w:p w14:paraId="51F9392F" w14:textId="77777777" w:rsidR="00E868BD" w:rsidRDefault="00B17F2A">
      <w:pPr>
        <w:spacing w:line="360" w:lineRule="auto"/>
        <w:ind w:left="1440"/>
        <w:jc w:val="both"/>
        <w:rPr>
          <w:rtl/>
        </w:rPr>
      </w:pPr>
      <w:r>
        <w:rPr>
          <w:rFonts w:hint="cs"/>
          <w:rtl/>
        </w:rPr>
        <w:t>הנאשם יתייצב לתחילת ביצוע עבודות השירות בתאריך 10.4.14 במפקדת מחוז מרכז, יחידת עבודות השירות;</w:t>
      </w:r>
    </w:p>
    <w:p w14:paraId="61139F75" w14:textId="77777777" w:rsidR="00E868BD" w:rsidRDefault="00E868BD">
      <w:pPr>
        <w:jc w:val="both"/>
        <w:rPr>
          <w:rtl/>
        </w:rPr>
      </w:pPr>
    </w:p>
    <w:p w14:paraId="48D92E1C" w14:textId="77777777" w:rsidR="00E868BD" w:rsidRDefault="00B17F2A">
      <w:pPr>
        <w:spacing w:line="360" w:lineRule="auto"/>
        <w:ind w:left="1440" w:hanging="720"/>
        <w:jc w:val="both"/>
        <w:rPr>
          <w:rtl/>
        </w:rPr>
      </w:pPr>
      <w:r>
        <w:rPr>
          <w:rFonts w:hint="cs"/>
          <w:rtl/>
        </w:rPr>
        <w:t>ב)</w:t>
      </w:r>
      <w:r>
        <w:rPr>
          <w:rFonts w:hint="cs"/>
          <w:rtl/>
        </w:rPr>
        <w:tab/>
        <w:t>12 חודשי מאסר על</w:t>
      </w:r>
      <w:r>
        <w:rPr>
          <w:rFonts w:hint="cs"/>
          <w:position w:val="4"/>
          <w:rtl/>
        </w:rPr>
        <w:t>-</w:t>
      </w:r>
      <w:r>
        <w:rPr>
          <w:rFonts w:hint="cs"/>
          <w:rtl/>
        </w:rPr>
        <w:t>תנאי, והתנאי הוא שלא יעבור תוך שלוש שנים מתוך ריצוי עבודות השירות העבירה שבה הורשע או כל עבירת אלימות מסוג פשע;</w:t>
      </w:r>
    </w:p>
    <w:p w14:paraId="4ECAC382" w14:textId="77777777" w:rsidR="00E868BD" w:rsidRDefault="00E868BD">
      <w:pPr>
        <w:ind w:left="1440" w:hanging="720"/>
        <w:jc w:val="both"/>
        <w:rPr>
          <w:rtl/>
        </w:rPr>
      </w:pPr>
    </w:p>
    <w:p w14:paraId="53BB3C2D" w14:textId="77777777" w:rsidR="00E868BD" w:rsidRDefault="00B17F2A">
      <w:pPr>
        <w:spacing w:line="360" w:lineRule="auto"/>
        <w:ind w:left="1440" w:hanging="720"/>
        <w:jc w:val="both"/>
        <w:rPr>
          <w:rtl/>
        </w:rPr>
      </w:pPr>
      <w:r>
        <w:rPr>
          <w:rFonts w:hint="cs"/>
          <w:rtl/>
        </w:rPr>
        <w:t>ג)</w:t>
      </w:r>
      <w:r>
        <w:rPr>
          <w:rFonts w:hint="cs"/>
          <w:rtl/>
        </w:rPr>
        <w:tab/>
        <w:t xml:space="preserve">קנס בסך 10,000 ₪ או מאה ימי מאסר תמורתו. </w:t>
      </w:r>
    </w:p>
    <w:p w14:paraId="51005E0B" w14:textId="77777777" w:rsidR="00E868BD" w:rsidRDefault="00B17F2A">
      <w:pPr>
        <w:spacing w:line="360" w:lineRule="auto"/>
        <w:ind w:left="1440"/>
        <w:jc w:val="both"/>
        <w:rPr>
          <w:rtl/>
        </w:rPr>
      </w:pPr>
      <w:r>
        <w:rPr>
          <w:rFonts w:hint="cs"/>
          <w:rtl/>
        </w:rPr>
        <w:t>אם אכן הופקדו 2,000 ₪ להבטחת התייצבותו של הנאשם בתיק מעצרים בירושלים, כנטען מפי בא</w:t>
      </w:r>
      <w:r>
        <w:rPr>
          <w:rFonts w:hint="cs"/>
          <w:position w:val="4"/>
          <w:rtl/>
        </w:rPr>
        <w:t>-</w:t>
      </w:r>
      <w:r>
        <w:rPr>
          <w:rFonts w:hint="cs"/>
          <w:rtl/>
        </w:rPr>
        <w:t xml:space="preserve">כוחו </w:t>
      </w:r>
      <w:r>
        <w:rPr>
          <w:rtl/>
        </w:rPr>
        <w:t>–</w:t>
      </w:r>
      <w:r>
        <w:rPr>
          <w:rFonts w:hint="cs"/>
          <w:rtl/>
        </w:rPr>
        <w:t xml:space="preserve"> יקוזז סכום זה מסכום הקנס לאחר שהסנגור ימציא למזכירות בית המשפט את מספר התיק שבו הופקד הסכום האמור לעיל.</w:t>
      </w:r>
    </w:p>
    <w:p w14:paraId="1624A1B8" w14:textId="77777777" w:rsidR="00E868BD" w:rsidRDefault="00B17F2A">
      <w:pPr>
        <w:spacing w:line="360" w:lineRule="auto"/>
        <w:ind w:left="1440"/>
        <w:jc w:val="both"/>
        <w:rPr>
          <w:rtl/>
        </w:rPr>
      </w:pPr>
      <w:r>
        <w:rPr>
          <w:rFonts w:hint="cs"/>
          <w:rtl/>
        </w:rPr>
        <w:t>יתרת הסכום (אם אכן הופקד הסכום בסך 2,000 ₪ כאמור) תשולם בארבעה תשלומים חודשיים שווים, החל בתאריך 1.4.14.</w:t>
      </w:r>
    </w:p>
    <w:p w14:paraId="165CBB88" w14:textId="77777777" w:rsidR="00E868BD" w:rsidRDefault="00E868BD">
      <w:pPr>
        <w:ind w:left="1440"/>
        <w:jc w:val="both"/>
        <w:rPr>
          <w:rtl/>
        </w:rPr>
      </w:pPr>
    </w:p>
    <w:p w14:paraId="7E92FFE8" w14:textId="77777777" w:rsidR="00E868BD" w:rsidRDefault="00B17F2A">
      <w:pPr>
        <w:spacing w:line="360" w:lineRule="auto"/>
        <w:ind w:left="720"/>
        <w:jc w:val="both"/>
        <w:rPr>
          <w:rtl/>
        </w:rPr>
      </w:pPr>
      <w:r>
        <w:rPr>
          <w:rFonts w:hint="cs"/>
          <w:rtl/>
        </w:rPr>
        <w:t>הודע לנאשם על זכותו לערער בבית המשפט העליון תוך 45 ימים מהיום.</w:t>
      </w:r>
    </w:p>
    <w:p w14:paraId="68706DA0" w14:textId="77777777" w:rsidR="00E868BD" w:rsidRDefault="00B17F2A">
      <w:pPr>
        <w:spacing w:line="360" w:lineRule="auto"/>
        <w:ind w:left="1440" w:hanging="720"/>
        <w:jc w:val="both"/>
        <w:rPr>
          <w:sz w:val="6"/>
          <w:szCs w:val="6"/>
          <w:rtl/>
        </w:rPr>
      </w:pPr>
      <w:r>
        <w:rPr>
          <w:sz w:val="6"/>
          <w:szCs w:val="6"/>
          <w:rtl/>
        </w:rPr>
        <w:t>&lt;#6#&gt;</w:t>
      </w:r>
    </w:p>
    <w:p w14:paraId="3C2A8731" w14:textId="77777777" w:rsidR="00E868BD" w:rsidRDefault="00E868BD">
      <w:pPr>
        <w:jc w:val="right"/>
        <w:rPr>
          <w:rtl/>
        </w:rPr>
      </w:pPr>
    </w:p>
    <w:p w14:paraId="46912423" w14:textId="77777777" w:rsidR="00E868BD" w:rsidRDefault="00B17F2A">
      <w:pPr>
        <w:jc w:val="both"/>
        <w:rPr>
          <w:sz w:val="14"/>
          <w:szCs w:val="14"/>
          <w:rtl/>
        </w:rPr>
      </w:pPr>
      <w:bookmarkStart w:id="7" w:name="_GoBack"/>
      <w:bookmarkEnd w:id="7"/>
      <w:r w:rsidRPr="00B17F2A">
        <w:rPr>
          <w:b/>
          <w:bCs/>
          <w:color w:val="FFFFFF"/>
          <w:sz w:val="2"/>
          <w:szCs w:val="2"/>
          <w:rtl/>
        </w:rPr>
        <w:t>5129371</w:t>
      </w:r>
      <w:r>
        <w:rPr>
          <w:b/>
          <w:bCs/>
          <w:rtl/>
        </w:rPr>
        <w:t xml:space="preserve">ניתנה והודעה היום, י' אדר תשע"ד (10 בפברואר 2014), במעמד הנוכחים. </w:t>
      </w:r>
    </w:p>
    <w:tbl>
      <w:tblPr>
        <w:bidiVisual/>
        <w:tblW w:w="0" w:type="auto"/>
        <w:jc w:val="right"/>
        <w:tblLook w:val="01E0" w:firstRow="1" w:lastRow="1" w:firstColumn="1" w:lastColumn="1" w:noHBand="0" w:noVBand="0"/>
      </w:tblPr>
      <w:tblGrid>
        <w:gridCol w:w="2708"/>
      </w:tblGrid>
      <w:tr w:rsidR="00E868BD" w14:paraId="0E0CFB65" w14:textId="77777777">
        <w:trPr>
          <w:trHeight w:val="1022"/>
          <w:jc w:val="right"/>
        </w:trPr>
        <w:tc>
          <w:tcPr>
            <w:tcW w:w="2708" w:type="dxa"/>
            <w:tcBorders>
              <w:top w:val="nil"/>
              <w:left w:val="nil"/>
              <w:bottom w:val="single" w:sz="4" w:space="0" w:color="auto"/>
              <w:right w:val="nil"/>
            </w:tcBorders>
            <w:vAlign w:val="center"/>
          </w:tcPr>
          <w:p w14:paraId="49243B8A" w14:textId="77777777" w:rsidR="00E868BD" w:rsidRPr="00B17F2A" w:rsidRDefault="00B17F2A">
            <w:pPr>
              <w:jc w:val="center"/>
              <w:rPr>
                <w:rFonts w:ascii="Courier New" w:eastAsia="Times New Roman" w:hAnsi="Courier New"/>
                <w:b/>
                <w:bCs/>
                <w:color w:val="FFFFFF"/>
                <w:sz w:val="2"/>
                <w:szCs w:val="2"/>
              </w:rPr>
            </w:pPr>
            <w:r w:rsidRPr="00B17F2A">
              <w:rPr>
                <w:rFonts w:ascii="Courier New" w:eastAsia="Times New Roman" w:hAnsi="Courier New"/>
                <w:b/>
                <w:bCs/>
                <w:color w:val="FFFFFF"/>
                <w:sz w:val="2"/>
                <w:szCs w:val="2"/>
                <w:rtl/>
              </w:rPr>
              <w:t>54678313</w:t>
            </w:r>
          </w:p>
        </w:tc>
      </w:tr>
      <w:tr w:rsidR="00E868BD" w14:paraId="3B32126D" w14:textId="77777777">
        <w:trPr>
          <w:jc w:val="right"/>
        </w:trPr>
        <w:tc>
          <w:tcPr>
            <w:tcW w:w="2708" w:type="dxa"/>
            <w:tcBorders>
              <w:top w:val="single" w:sz="4" w:space="0" w:color="auto"/>
              <w:left w:val="nil"/>
              <w:bottom w:val="nil"/>
              <w:right w:val="nil"/>
            </w:tcBorders>
          </w:tcPr>
          <w:p w14:paraId="23151880" w14:textId="77777777" w:rsidR="00E868BD" w:rsidRDefault="00B17F2A">
            <w:pPr>
              <w:jc w:val="center"/>
              <w:rPr>
                <w:rFonts w:ascii="Courier New" w:eastAsia="Times New Roman" w:hAnsi="Courier New"/>
                <w:b/>
                <w:bCs/>
                <w:rtl/>
              </w:rPr>
            </w:pPr>
            <w:r>
              <w:rPr>
                <w:rFonts w:ascii="Courier New" w:eastAsia="Times New Roman" w:hAnsi="Courier New" w:hint="cs"/>
                <w:b/>
                <w:bCs/>
                <w:rtl/>
              </w:rPr>
              <w:t>יהודית אמסטרדם, שופטת</w:t>
            </w:r>
          </w:p>
          <w:p w14:paraId="7B59B2EC" w14:textId="77777777" w:rsidR="00E868BD" w:rsidRDefault="00E868BD">
            <w:pPr>
              <w:jc w:val="center"/>
              <w:rPr>
                <w:rFonts w:ascii="Courier New" w:eastAsia="Times New Roman" w:hAnsi="Courier New"/>
                <w:b/>
                <w:bCs/>
              </w:rPr>
            </w:pPr>
          </w:p>
        </w:tc>
      </w:tr>
    </w:tbl>
    <w:p w14:paraId="0AF9C1D5" w14:textId="77777777" w:rsidR="00E868BD" w:rsidRDefault="00B17F2A">
      <w:pPr>
        <w:jc w:val="both"/>
        <w:rPr>
          <w:rtl/>
        </w:rPr>
      </w:pPr>
      <w:r>
        <w:rPr>
          <w:rFonts w:hint="cs"/>
          <w:sz w:val="14"/>
          <w:szCs w:val="14"/>
          <w:rtl/>
        </w:rPr>
        <w:t>רשמו ש' ונונו וא' לביא</w:t>
      </w:r>
      <w:r>
        <w:rPr>
          <w:sz w:val="14"/>
          <w:szCs w:val="14"/>
          <w:rtl/>
        </w:rPr>
        <w:t xml:space="preserve"> </w:t>
      </w:r>
    </w:p>
    <w:p w14:paraId="2A8DC0E0" w14:textId="77777777" w:rsidR="00E868BD" w:rsidRDefault="00B17F2A">
      <w:r>
        <w:rPr>
          <w:rtl/>
        </w:rPr>
        <w:t>הוקלד</w:t>
      </w:r>
      <w:r>
        <w:t xml:space="preserve"> </w:t>
      </w:r>
      <w:r>
        <w:rPr>
          <w:rtl/>
        </w:rPr>
        <w:t>על</w:t>
      </w:r>
      <w:r>
        <w:t xml:space="preserve"> </w:t>
      </w:r>
      <w:r>
        <w:rPr>
          <w:rtl/>
        </w:rPr>
        <w:t>ידי</w:t>
      </w:r>
      <w:r>
        <w:t xml:space="preserve"> </w:t>
      </w:r>
      <w:r>
        <w:rPr>
          <w:rtl/>
        </w:rPr>
        <w:t>שלי</w:t>
      </w:r>
      <w:r>
        <w:t xml:space="preserve"> </w:t>
      </w:r>
      <w:r>
        <w:rPr>
          <w:rtl/>
        </w:rPr>
        <w:t>ונונו</w:t>
      </w:r>
    </w:p>
    <w:p w14:paraId="1B2D2991" w14:textId="77777777" w:rsidR="00B17F2A" w:rsidRPr="00B17F2A" w:rsidRDefault="00B17F2A" w:rsidP="00B17F2A">
      <w:pPr>
        <w:keepNext/>
        <w:rPr>
          <w:color w:val="000000"/>
          <w:sz w:val="22"/>
          <w:szCs w:val="22"/>
          <w:rtl/>
        </w:rPr>
      </w:pPr>
    </w:p>
    <w:p w14:paraId="2EA07180" w14:textId="77777777" w:rsidR="00B17F2A" w:rsidRPr="00B17F2A" w:rsidRDefault="00B17F2A" w:rsidP="00B17F2A">
      <w:pPr>
        <w:keepNext/>
        <w:rPr>
          <w:color w:val="000000"/>
          <w:sz w:val="22"/>
          <w:szCs w:val="22"/>
          <w:rtl/>
        </w:rPr>
      </w:pPr>
      <w:r w:rsidRPr="00B17F2A">
        <w:rPr>
          <w:color w:val="000000"/>
          <w:sz w:val="22"/>
          <w:szCs w:val="22"/>
          <w:rtl/>
        </w:rPr>
        <w:t>יהודית אמסטרדם 54678313</w:t>
      </w:r>
    </w:p>
    <w:p w14:paraId="5C2EFC76" w14:textId="77777777" w:rsidR="00B17F2A" w:rsidRDefault="00B17F2A" w:rsidP="00B17F2A">
      <w:r w:rsidRPr="00B17F2A">
        <w:rPr>
          <w:color w:val="000000"/>
          <w:rtl/>
        </w:rPr>
        <w:t>נוסח מסמך זה כפוף לשינויי ניסוח ועריכה</w:t>
      </w:r>
    </w:p>
    <w:p w14:paraId="11982737" w14:textId="77777777" w:rsidR="00B17F2A" w:rsidRDefault="00B17F2A" w:rsidP="00B17F2A">
      <w:pPr>
        <w:rPr>
          <w:rtl/>
        </w:rPr>
      </w:pPr>
    </w:p>
    <w:p w14:paraId="1525357C" w14:textId="77777777" w:rsidR="00B17F2A" w:rsidRDefault="00B17F2A" w:rsidP="00B17F2A">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4F819AFB" w14:textId="77777777" w:rsidR="00E868BD" w:rsidRPr="00B17F2A" w:rsidRDefault="00E868BD" w:rsidP="00B17F2A">
      <w:pPr>
        <w:jc w:val="center"/>
        <w:rPr>
          <w:color w:val="0000FF"/>
          <w:u w:val="single"/>
        </w:rPr>
      </w:pPr>
    </w:p>
    <w:sectPr w:rsidR="00E868BD" w:rsidRPr="00B17F2A" w:rsidSect="00B17F2A">
      <w:headerReference w:type="even" r:id="rId20"/>
      <w:headerReference w:type="default" r:id="rId21"/>
      <w:footerReference w:type="even" r:id="rId22"/>
      <w:footerReference w:type="default" r:id="rId2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DA436" w14:textId="77777777" w:rsidR="00CF7CD0" w:rsidRPr="00831E68" w:rsidRDefault="00CF7CD0">
      <w:pPr>
        <w:rPr>
          <w:rFonts w:cs="Arial"/>
          <w:szCs w:val="20"/>
        </w:rPr>
      </w:pPr>
      <w:r>
        <w:separator/>
      </w:r>
    </w:p>
  </w:endnote>
  <w:endnote w:type="continuationSeparator" w:id="0">
    <w:p w14:paraId="77522FD4" w14:textId="77777777" w:rsidR="00CF7CD0" w:rsidRPr="00831E68" w:rsidRDefault="00CF7CD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BC125" w14:textId="77777777" w:rsidR="00B17F2A" w:rsidRDefault="00B17F2A" w:rsidP="00B17F2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242D5D31" w14:textId="77777777" w:rsidR="00E868BD" w:rsidRPr="00B17F2A" w:rsidRDefault="00B17F2A" w:rsidP="00B17F2A">
    <w:pPr>
      <w:pStyle w:val="a4"/>
      <w:pBdr>
        <w:top w:val="single" w:sz="4" w:space="1" w:color="auto"/>
        <w:between w:val="single" w:sz="4" w:space="0" w:color="auto"/>
      </w:pBdr>
      <w:spacing w:after="60"/>
      <w:jc w:val="center"/>
      <w:rPr>
        <w:rFonts w:ascii="FrankRuehl" w:hAnsi="FrankRuehl" w:cs="FrankRuehl"/>
        <w:color w:val="000000"/>
      </w:rPr>
    </w:pPr>
    <w:r w:rsidRPr="00B17F2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03F87" w14:textId="77777777" w:rsidR="00B17F2A" w:rsidRDefault="00B17F2A" w:rsidP="00B17F2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96144">
      <w:rPr>
        <w:rFonts w:ascii="FrankRuehl" w:hAnsi="FrankRuehl" w:cs="FrankRuehl"/>
        <w:noProof/>
        <w:rtl/>
      </w:rPr>
      <w:t>1</w:t>
    </w:r>
    <w:r>
      <w:rPr>
        <w:rFonts w:ascii="FrankRuehl" w:hAnsi="FrankRuehl" w:cs="FrankRuehl"/>
        <w:rtl/>
      </w:rPr>
      <w:fldChar w:fldCharType="end"/>
    </w:r>
  </w:p>
  <w:p w14:paraId="79A1F2C9" w14:textId="77777777" w:rsidR="00E868BD" w:rsidRPr="00B17F2A" w:rsidRDefault="00B17F2A" w:rsidP="00B17F2A">
    <w:pPr>
      <w:pStyle w:val="a4"/>
      <w:pBdr>
        <w:top w:val="single" w:sz="4" w:space="1" w:color="auto"/>
        <w:between w:val="single" w:sz="4" w:space="0" w:color="auto"/>
      </w:pBdr>
      <w:spacing w:after="60"/>
      <w:jc w:val="center"/>
      <w:rPr>
        <w:rFonts w:ascii="FrankRuehl" w:hAnsi="FrankRuehl" w:cs="FrankRuehl"/>
        <w:color w:val="000000"/>
      </w:rPr>
    </w:pPr>
    <w:r w:rsidRPr="00B17F2A">
      <w:rPr>
        <w:rFonts w:ascii="FrankRuehl" w:hAnsi="FrankRuehl" w:cs="FrankRuehl"/>
        <w:color w:val="000000"/>
      </w:rPr>
      <w:pict w14:anchorId="470614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1D59B" w14:textId="77777777" w:rsidR="00CF7CD0" w:rsidRPr="00831E68" w:rsidRDefault="00CF7CD0">
      <w:pPr>
        <w:rPr>
          <w:rFonts w:cs="Arial"/>
          <w:szCs w:val="20"/>
        </w:rPr>
      </w:pPr>
      <w:r>
        <w:separator/>
      </w:r>
    </w:p>
  </w:footnote>
  <w:footnote w:type="continuationSeparator" w:id="0">
    <w:p w14:paraId="338E8426" w14:textId="77777777" w:rsidR="00CF7CD0" w:rsidRPr="00831E68" w:rsidRDefault="00CF7CD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BF7AA" w14:textId="77777777" w:rsidR="00B17F2A" w:rsidRPr="00B17F2A" w:rsidRDefault="00B17F2A" w:rsidP="00B17F2A">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47020-12-13</w:t>
    </w:r>
    <w:r>
      <w:rPr>
        <w:color w:val="000000"/>
        <w:sz w:val="22"/>
        <w:szCs w:val="22"/>
        <w:rtl/>
      </w:rPr>
      <w:tab/>
      <w:t xml:space="preserve"> מדינת ישראל נ' דרור כהן התייצב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16F94" w14:textId="77777777" w:rsidR="00B17F2A" w:rsidRPr="00B17F2A" w:rsidRDefault="00B17F2A" w:rsidP="00B17F2A">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47020-12-13</w:t>
    </w:r>
    <w:r>
      <w:rPr>
        <w:color w:val="000000"/>
        <w:sz w:val="22"/>
        <w:szCs w:val="22"/>
        <w:rtl/>
      </w:rPr>
      <w:tab/>
      <w:t xml:space="preserve"> מדינת ישראל נ' דרור כהן התייצב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868BD"/>
    <w:rsid w:val="00384358"/>
    <w:rsid w:val="00B17F2A"/>
    <w:rsid w:val="00CF7CD0"/>
    <w:rsid w:val="00D21437"/>
    <w:rsid w:val="00E27DF0"/>
    <w:rsid w:val="00E868BD"/>
    <w:rsid w:val="00E961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36903BE"/>
  <w15:chartTrackingRefBased/>
  <w15:docId w15:val="{A3472A6C-F52B-4640-AB2E-8B6B8B36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68BD"/>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868BD"/>
    <w:pPr>
      <w:tabs>
        <w:tab w:val="center" w:pos="4153"/>
        <w:tab w:val="right" w:pos="8306"/>
      </w:tabs>
    </w:pPr>
  </w:style>
  <w:style w:type="paragraph" w:styleId="a4">
    <w:name w:val="footer"/>
    <w:basedOn w:val="a"/>
    <w:rsid w:val="00E868BD"/>
    <w:pPr>
      <w:tabs>
        <w:tab w:val="center" w:pos="4153"/>
        <w:tab w:val="right" w:pos="8306"/>
      </w:tabs>
    </w:pPr>
  </w:style>
  <w:style w:type="character" w:styleId="a5">
    <w:name w:val="page number"/>
    <w:basedOn w:val="a0"/>
    <w:rsid w:val="00E868BD"/>
  </w:style>
  <w:style w:type="character" w:customStyle="1" w:styleId="TimesNewRomanTimesNewRoman">
    <w:name w:val="סגנון (לטיני) Times New Roman (עברית ושפות אחרות) Times New Roman..."/>
    <w:basedOn w:val="a0"/>
    <w:rsid w:val="00E868BD"/>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E868BD"/>
    <w:rPr>
      <w:rFonts w:ascii="Times New Roman" w:eastAsia="Times New Roman" w:hAnsi="Times New Roman"/>
      <w:b/>
      <w:bCs/>
      <w:u w:val="single"/>
    </w:rPr>
  </w:style>
  <w:style w:type="character" w:styleId="a6">
    <w:name w:val="line number"/>
    <w:basedOn w:val="a0"/>
    <w:rsid w:val="00E868BD"/>
  </w:style>
  <w:style w:type="character" w:styleId="Hyperlink">
    <w:name w:val="Hyperlink"/>
    <w:basedOn w:val="a0"/>
    <w:rsid w:val="00B17F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48" TargetMode="External"/><Relationship Id="rId13" Type="http://schemas.openxmlformats.org/officeDocument/2006/relationships/hyperlink" Target="http://www.nevo.co.il/law/70301/33" TargetMode="External"/><Relationship Id="rId18" Type="http://schemas.openxmlformats.org/officeDocument/2006/relationships/hyperlink" Target="http://www.nevo.co.il/law/74903/220ja.a"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33" TargetMode="External"/><Relationship Id="rId12" Type="http://schemas.openxmlformats.org/officeDocument/2006/relationships/hyperlink" Target="http://www.nevo.co.il/law/70301/448" TargetMode="External"/><Relationship Id="rId17" Type="http://schemas.openxmlformats.org/officeDocument/2006/relationships/hyperlink" Target="http://www.nevo.co.il/law/74903"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4903/220ja.a"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footer" Target="footer2.xml"/><Relationship Id="rId10" Type="http://schemas.openxmlformats.org/officeDocument/2006/relationships/hyperlink" Target="http://www.nevo.co.il/law/74903"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law/70301"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939</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5628</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2555966</vt:i4>
      </vt:variant>
      <vt:variant>
        <vt:i4>36</vt:i4>
      </vt:variant>
      <vt:variant>
        <vt:i4>0</vt:i4>
      </vt:variant>
      <vt:variant>
        <vt:i4>5</vt:i4>
      </vt:variant>
      <vt:variant>
        <vt:lpwstr>http://www.nevo.co.il/law/74903/220ja.a</vt:lpwstr>
      </vt:variant>
      <vt:variant>
        <vt:lpwstr/>
      </vt:variant>
      <vt:variant>
        <vt:i4>8257646</vt:i4>
      </vt:variant>
      <vt:variant>
        <vt:i4>33</vt:i4>
      </vt:variant>
      <vt:variant>
        <vt:i4>0</vt:i4>
      </vt:variant>
      <vt:variant>
        <vt:i4>5</vt:i4>
      </vt:variant>
      <vt:variant>
        <vt:lpwstr>http://www.nevo.co.il/law/74903</vt:lpwstr>
      </vt:variant>
      <vt:variant>
        <vt:lpwstr/>
      </vt:variant>
      <vt:variant>
        <vt:i4>7995492</vt:i4>
      </vt:variant>
      <vt:variant>
        <vt:i4>30</vt:i4>
      </vt:variant>
      <vt:variant>
        <vt:i4>0</vt:i4>
      </vt:variant>
      <vt:variant>
        <vt:i4>5</vt:i4>
      </vt:variant>
      <vt:variant>
        <vt:lpwstr>http://www.nevo.co.il/law/70301</vt:lpwstr>
      </vt:variant>
      <vt:variant>
        <vt:lpwstr/>
      </vt:variant>
      <vt:variant>
        <vt:i4>8257637</vt:i4>
      </vt:variant>
      <vt:variant>
        <vt:i4>27</vt:i4>
      </vt:variant>
      <vt:variant>
        <vt:i4>0</vt:i4>
      </vt:variant>
      <vt:variant>
        <vt:i4>5</vt:i4>
      </vt:variant>
      <vt:variant>
        <vt:lpwstr>http://www.nevo.co.il/law/4216</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6684774</vt:i4>
      </vt:variant>
      <vt:variant>
        <vt:i4>21</vt:i4>
      </vt:variant>
      <vt:variant>
        <vt:i4>0</vt:i4>
      </vt:variant>
      <vt:variant>
        <vt:i4>5</vt:i4>
      </vt:variant>
      <vt:variant>
        <vt:lpwstr>http://www.nevo.co.il/law/70301/33</vt:lpwstr>
      </vt:variant>
      <vt:variant>
        <vt:lpwstr/>
      </vt:variant>
      <vt:variant>
        <vt:i4>6357089</vt:i4>
      </vt:variant>
      <vt:variant>
        <vt:i4>18</vt:i4>
      </vt:variant>
      <vt:variant>
        <vt:i4>0</vt:i4>
      </vt:variant>
      <vt:variant>
        <vt:i4>5</vt:i4>
      </vt:variant>
      <vt:variant>
        <vt:lpwstr>http://www.nevo.co.il/law/70301/448</vt:lpwstr>
      </vt:variant>
      <vt:variant>
        <vt:lpwstr/>
      </vt:variant>
      <vt:variant>
        <vt:i4>2555966</vt:i4>
      </vt:variant>
      <vt:variant>
        <vt:i4>15</vt:i4>
      </vt:variant>
      <vt:variant>
        <vt:i4>0</vt:i4>
      </vt:variant>
      <vt:variant>
        <vt:i4>5</vt:i4>
      </vt:variant>
      <vt:variant>
        <vt:lpwstr>http://www.nevo.co.il/law/74903/220ja.a</vt:lpwstr>
      </vt:variant>
      <vt:variant>
        <vt:lpwstr/>
      </vt:variant>
      <vt:variant>
        <vt:i4>8257646</vt:i4>
      </vt:variant>
      <vt:variant>
        <vt:i4>12</vt:i4>
      </vt:variant>
      <vt:variant>
        <vt:i4>0</vt:i4>
      </vt:variant>
      <vt:variant>
        <vt:i4>5</vt:i4>
      </vt:variant>
      <vt:variant>
        <vt:lpwstr>http://www.nevo.co.il/law/74903</vt:lpwstr>
      </vt:variant>
      <vt:variant>
        <vt:lpwstr/>
      </vt:variant>
      <vt:variant>
        <vt:i4>8257637</vt:i4>
      </vt:variant>
      <vt:variant>
        <vt:i4>9</vt:i4>
      </vt:variant>
      <vt:variant>
        <vt:i4>0</vt:i4>
      </vt:variant>
      <vt:variant>
        <vt:i4>5</vt:i4>
      </vt:variant>
      <vt:variant>
        <vt:lpwstr>http://www.nevo.co.il/law/4216</vt:lpwstr>
      </vt:variant>
      <vt:variant>
        <vt:lpwstr/>
      </vt:variant>
      <vt:variant>
        <vt:i4>6357089</vt:i4>
      </vt:variant>
      <vt:variant>
        <vt:i4>6</vt:i4>
      </vt:variant>
      <vt:variant>
        <vt:i4>0</vt:i4>
      </vt:variant>
      <vt:variant>
        <vt:i4>5</vt:i4>
      </vt:variant>
      <vt:variant>
        <vt:lpwstr>http://www.nevo.co.il/law/70301/448</vt:lpwstr>
      </vt:variant>
      <vt:variant>
        <vt:lpwstr/>
      </vt:variant>
      <vt:variant>
        <vt:i4>6684774</vt:i4>
      </vt:variant>
      <vt:variant>
        <vt:i4>3</vt:i4>
      </vt:variant>
      <vt:variant>
        <vt:i4>0</vt:i4>
      </vt:variant>
      <vt:variant>
        <vt:i4>5</vt:i4>
      </vt:variant>
      <vt:variant>
        <vt:lpwstr>http://www.nevo.co.il/law/70301/33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2025-04-22T20:32:00Z</dcterms:created>
  <dcterms:modified xsi:type="dcterms:W3CDTF">2025-04-22T20:32:00Z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47020</vt:lpwstr>
  </property>
  <property fmtid="{D5CDD505-2E9C-101B-9397-08002B2CF9AE}" pid="6" name="NEWPARTB">
    <vt:lpwstr>12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דרור כהן התייצב</vt:lpwstr>
  </property>
  <property fmtid="{D5CDD505-2E9C-101B-9397-08002B2CF9AE}" pid="10" name="LAWYER">
    <vt:lpwstr>רוני מודריק;שחר חצרוני</vt:lpwstr>
  </property>
  <property fmtid="{D5CDD505-2E9C-101B-9397-08002B2CF9AE}" pid="11" name="JUDGE">
    <vt:lpwstr>יהודית אמסטרדם</vt:lpwstr>
  </property>
  <property fmtid="{D5CDD505-2E9C-101B-9397-08002B2CF9AE}" pid="12" name="CITY">
    <vt:lpwstr>ת"א</vt:lpwstr>
  </property>
  <property fmtid="{D5CDD505-2E9C-101B-9397-08002B2CF9AE}" pid="13" name="DATE">
    <vt:lpwstr>20140210</vt:lpwstr>
  </property>
  <property fmtid="{D5CDD505-2E9C-101B-9397-08002B2CF9AE}" pid="14" name="TYPE_N_DATE">
    <vt:lpwstr>39020140210</vt:lpwstr>
  </property>
  <property fmtid="{D5CDD505-2E9C-101B-9397-08002B2CF9AE}" pid="15" name="WORDNUMPAGES">
    <vt:lpwstr>4</vt:lpwstr>
  </property>
  <property fmtid="{D5CDD505-2E9C-101B-9397-08002B2CF9AE}" pid="16" name="TYPE_ABS_DATE">
    <vt:lpwstr>390020140210</vt:lpwstr>
  </property>
  <property fmtid="{D5CDD505-2E9C-101B-9397-08002B2CF9AE}" pid="17" name="ISABSTRACT">
    <vt:lpwstr>Y</vt:lpwstr>
  </property>
  <property fmtid="{D5CDD505-2E9C-101B-9397-08002B2CF9AE}" pid="18" name="LAWLISTTMP1">
    <vt:lpwstr>70301/448;033</vt:lpwstr>
  </property>
  <property fmtid="{D5CDD505-2E9C-101B-9397-08002B2CF9AE}" pid="19" name="LAWLISTTMP2">
    <vt:lpwstr>4216</vt:lpwstr>
  </property>
  <property fmtid="{D5CDD505-2E9C-101B-9397-08002B2CF9AE}" pid="20" name="LAWLISTTMP3">
    <vt:lpwstr>74903/220ja.a</vt:lpwstr>
  </property>
</Properties>
</file>