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4338D4" w:rsidRPr="00612864" w14:paraId="1467DBCF" w14:textId="77777777">
        <w:trPr>
          <w:trHeight w:hRule="exact" w:val="418"/>
          <w:jc w:val="center"/>
        </w:trPr>
        <w:tc>
          <w:tcPr>
            <w:tcW w:w="8721" w:type="dxa"/>
            <w:gridSpan w:val="2"/>
          </w:tcPr>
          <w:p w14:paraId="2C31FA9B" w14:textId="77777777" w:rsidR="004338D4" w:rsidRPr="00612864" w:rsidRDefault="00612864">
            <w:pPr>
              <w:pStyle w:val="a3"/>
              <w:jc w:val="center"/>
              <w:rPr>
                <w:rFonts w:ascii="Tahoma" w:hAnsi="Tahoma" w:cs="Tahoma"/>
                <w:color w:val="000080"/>
                <w:rtl/>
              </w:rPr>
            </w:pPr>
            <w:bookmarkStart w:id="0" w:name="LastJudge"/>
            <w:r w:rsidRPr="00612864">
              <w:rPr>
                <w:rFonts w:ascii="Tahoma" w:hAnsi="Tahoma" w:cs="Tahoma"/>
                <w:b/>
                <w:bCs/>
                <w:color w:val="000080"/>
                <w:rtl/>
              </w:rPr>
              <w:t>בית המשפט המחוזי בחיפה</w:t>
            </w:r>
          </w:p>
        </w:tc>
      </w:tr>
      <w:tr w:rsidR="004338D4" w:rsidRPr="00612864" w14:paraId="6BCF44AB" w14:textId="77777777">
        <w:trPr>
          <w:trHeight w:val="337"/>
          <w:jc w:val="center"/>
        </w:trPr>
        <w:tc>
          <w:tcPr>
            <w:tcW w:w="5057" w:type="dxa"/>
          </w:tcPr>
          <w:p w14:paraId="6F686352" w14:textId="77777777" w:rsidR="004338D4" w:rsidRPr="00612864" w:rsidRDefault="00612864">
            <w:pPr>
              <w:rPr>
                <w:rFonts w:cs="FrankRuehl"/>
                <w:sz w:val="28"/>
                <w:szCs w:val="28"/>
                <w:rtl/>
              </w:rPr>
            </w:pPr>
            <w:r w:rsidRPr="00612864">
              <w:rPr>
                <w:rFonts w:cs="FrankRuehl"/>
                <w:sz w:val="28"/>
                <w:szCs w:val="28"/>
                <w:rtl/>
              </w:rPr>
              <w:t>ת"פ</w:t>
            </w:r>
            <w:r w:rsidRPr="00612864">
              <w:rPr>
                <w:rFonts w:cs="FrankRuehl" w:hint="cs"/>
                <w:sz w:val="28"/>
                <w:szCs w:val="28"/>
                <w:rtl/>
              </w:rPr>
              <w:t xml:space="preserve"> </w:t>
            </w:r>
            <w:r w:rsidRPr="00612864">
              <w:rPr>
                <w:rFonts w:cs="FrankRuehl"/>
                <w:sz w:val="28"/>
                <w:szCs w:val="28"/>
                <w:rtl/>
              </w:rPr>
              <w:t>16958-01-14</w:t>
            </w:r>
            <w:r w:rsidRPr="00612864">
              <w:rPr>
                <w:rFonts w:cs="FrankRuehl" w:hint="cs"/>
                <w:sz w:val="28"/>
                <w:szCs w:val="28"/>
                <w:rtl/>
              </w:rPr>
              <w:t xml:space="preserve"> </w:t>
            </w:r>
            <w:r w:rsidRPr="00612864">
              <w:rPr>
                <w:rFonts w:cs="FrankRuehl"/>
                <w:sz w:val="28"/>
                <w:szCs w:val="28"/>
                <w:rtl/>
              </w:rPr>
              <w:t>מדינת ישראל נ' חייק(עציר)</w:t>
            </w:r>
          </w:p>
          <w:p w14:paraId="12B739CD" w14:textId="77777777" w:rsidR="004338D4" w:rsidRPr="00612864" w:rsidRDefault="004338D4">
            <w:pPr>
              <w:pStyle w:val="a3"/>
              <w:rPr>
                <w:rFonts w:cs="FrankRuehl"/>
                <w:sz w:val="28"/>
                <w:szCs w:val="28"/>
                <w:rtl/>
              </w:rPr>
            </w:pPr>
          </w:p>
        </w:tc>
        <w:tc>
          <w:tcPr>
            <w:tcW w:w="3664" w:type="dxa"/>
          </w:tcPr>
          <w:p w14:paraId="1A312E70" w14:textId="77777777" w:rsidR="004338D4" w:rsidRPr="00612864" w:rsidRDefault="004338D4">
            <w:pPr>
              <w:pStyle w:val="a3"/>
              <w:jc w:val="right"/>
              <w:rPr>
                <w:rFonts w:cs="FrankRuehl"/>
                <w:sz w:val="28"/>
                <w:szCs w:val="28"/>
                <w:rtl/>
              </w:rPr>
            </w:pPr>
          </w:p>
        </w:tc>
      </w:tr>
    </w:tbl>
    <w:p w14:paraId="098A46FD" w14:textId="77777777" w:rsidR="004338D4" w:rsidRPr="00612864" w:rsidRDefault="00612864">
      <w:pPr>
        <w:pStyle w:val="a3"/>
        <w:rPr>
          <w:rtl/>
        </w:rPr>
      </w:pPr>
      <w:r w:rsidRPr="00612864">
        <w:rPr>
          <w:rFonts w:hint="cs"/>
          <w:rtl/>
        </w:rPr>
        <w:t xml:space="preserve"> </w:t>
      </w:r>
    </w:p>
    <w:p w14:paraId="18D21CEC" w14:textId="77777777" w:rsidR="004338D4" w:rsidRPr="00612864" w:rsidRDefault="004338D4">
      <w:pPr>
        <w:spacing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338D4" w:rsidRPr="00612864" w14:paraId="25F05BD7" w14:textId="77777777">
        <w:trPr>
          <w:trHeight w:val="295"/>
          <w:jc w:val="center"/>
        </w:trPr>
        <w:tc>
          <w:tcPr>
            <w:tcW w:w="923" w:type="dxa"/>
            <w:tcBorders>
              <w:top w:val="nil"/>
              <w:left w:val="nil"/>
              <w:bottom w:val="nil"/>
              <w:right w:val="nil"/>
            </w:tcBorders>
          </w:tcPr>
          <w:p w14:paraId="4FAC4860" w14:textId="77777777" w:rsidR="004338D4" w:rsidRPr="00612864" w:rsidRDefault="00612864">
            <w:pPr>
              <w:spacing w:line="360" w:lineRule="auto"/>
              <w:jc w:val="both"/>
              <w:rPr>
                <w:rFonts w:ascii="Arial" w:hAnsi="Arial"/>
                <w:sz w:val="28"/>
                <w:szCs w:val="28"/>
              </w:rPr>
            </w:pPr>
            <w:r w:rsidRPr="00612864">
              <w:rPr>
                <w:rFonts w:ascii="Arial" w:hAnsi="Arial" w:hint="cs"/>
                <w:sz w:val="28"/>
                <w:szCs w:val="28"/>
                <w:rtl/>
              </w:rPr>
              <w:t>ב</w:t>
            </w:r>
            <w:r w:rsidRPr="00612864">
              <w:rPr>
                <w:rFonts w:ascii="Arial" w:hAnsi="Arial"/>
                <w:sz w:val="28"/>
                <w:szCs w:val="28"/>
                <w:rtl/>
              </w:rPr>
              <w:t xml:space="preserve">פני </w:t>
            </w:r>
          </w:p>
        </w:tc>
        <w:tc>
          <w:tcPr>
            <w:tcW w:w="7897" w:type="dxa"/>
            <w:gridSpan w:val="2"/>
            <w:tcBorders>
              <w:top w:val="nil"/>
              <w:left w:val="nil"/>
              <w:bottom w:val="nil"/>
              <w:right w:val="nil"/>
            </w:tcBorders>
          </w:tcPr>
          <w:p w14:paraId="1F615F06" w14:textId="77777777" w:rsidR="004338D4" w:rsidRPr="00612864" w:rsidRDefault="00612864">
            <w:pPr>
              <w:spacing w:line="360" w:lineRule="auto"/>
              <w:jc w:val="both"/>
              <w:rPr>
                <w:rFonts w:ascii="Arial" w:hAnsi="Arial"/>
                <w:b/>
                <w:bCs/>
                <w:rtl/>
              </w:rPr>
            </w:pPr>
            <w:r w:rsidRPr="00612864">
              <w:rPr>
                <w:rFonts w:ascii="Arial" w:hAnsi="Arial" w:hint="cs"/>
                <w:b/>
                <w:bCs/>
                <w:rtl/>
              </w:rPr>
              <w:t>כב' ה</w:t>
            </w:r>
            <w:r w:rsidRPr="00612864">
              <w:rPr>
                <w:rFonts w:hint="cs"/>
                <w:rtl/>
              </w:rPr>
              <w:t>שופט</w:t>
            </w:r>
            <w:r w:rsidRPr="00612864">
              <w:rPr>
                <w:rFonts w:ascii="Arial" w:hAnsi="Arial" w:hint="cs"/>
                <w:b/>
                <w:bCs/>
                <w:rtl/>
              </w:rPr>
              <w:t xml:space="preserve">  </w:t>
            </w:r>
            <w:r w:rsidRPr="00612864">
              <w:rPr>
                <w:rFonts w:hint="cs"/>
                <w:rtl/>
              </w:rPr>
              <w:t>יחיאל ליפשיץ</w:t>
            </w:r>
          </w:p>
          <w:p w14:paraId="75871BFA" w14:textId="77777777" w:rsidR="004338D4" w:rsidRPr="00612864" w:rsidRDefault="004338D4">
            <w:pPr>
              <w:spacing w:line="360" w:lineRule="auto"/>
              <w:jc w:val="both"/>
              <w:rPr>
                <w:rtl/>
              </w:rPr>
            </w:pPr>
          </w:p>
          <w:p w14:paraId="5B494BDE" w14:textId="77777777" w:rsidR="004338D4" w:rsidRPr="00612864" w:rsidRDefault="004338D4">
            <w:pPr>
              <w:spacing w:line="360" w:lineRule="auto"/>
              <w:jc w:val="both"/>
              <w:rPr>
                <w:rFonts w:ascii="Arial" w:hAnsi="Arial"/>
                <w:sz w:val="28"/>
                <w:szCs w:val="28"/>
              </w:rPr>
            </w:pPr>
          </w:p>
        </w:tc>
      </w:tr>
      <w:tr w:rsidR="004338D4" w:rsidRPr="00612864" w14:paraId="637B6AA1" w14:textId="77777777">
        <w:trPr>
          <w:trHeight w:val="355"/>
          <w:jc w:val="center"/>
        </w:trPr>
        <w:tc>
          <w:tcPr>
            <w:tcW w:w="923" w:type="dxa"/>
            <w:tcBorders>
              <w:top w:val="nil"/>
              <w:left w:val="nil"/>
              <w:bottom w:val="nil"/>
              <w:right w:val="nil"/>
            </w:tcBorders>
          </w:tcPr>
          <w:p w14:paraId="110018EE" w14:textId="77777777" w:rsidR="004338D4" w:rsidRPr="00612864" w:rsidRDefault="00612864">
            <w:pPr>
              <w:spacing w:line="360" w:lineRule="auto"/>
              <w:jc w:val="both"/>
              <w:rPr>
                <w:rFonts w:ascii="Arial" w:hAnsi="Arial"/>
                <w:sz w:val="28"/>
                <w:szCs w:val="28"/>
              </w:rPr>
            </w:pPr>
            <w:bookmarkStart w:id="1" w:name="FirstAppellant"/>
            <w:r w:rsidRPr="00612864">
              <w:rPr>
                <w:rFonts w:ascii="Arial" w:hAnsi="Arial" w:hint="cs"/>
                <w:sz w:val="28"/>
                <w:szCs w:val="28"/>
                <w:rtl/>
              </w:rPr>
              <w:t>בעניין:</w:t>
            </w:r>
          </w:p>
        </w:tc>
        <w:tc>
          <w:tcPr>
            <w:tcW w:w="4126" w:type="dxa"/>
            <w:tcBorders>
              <w:top w:val="nil"/>
              <w:left w:val="nil"/>
              <w:bottom w:val="nil"/>
              <w:right w:val="nil"/>
            </w:tcBorders>
          </w:tcPr>
          <w:p w14:paraId="4BC9236C" w14:textId="77777777" w:rsidR="004338D4" w:rsidRPr="00612864" w:rsidRDefault="00612864">
            <w:pPr>
              <w:tabs>
                <w:tab w:val="center" w:pos="1955"/>
              </w:tabs>
              <w:spacing w:line="360" w:lineRule="auto"/>
              <w:jc w:val="both"/>
              <w:rPr>
                <w:b/>
                <w:bCs/>
              </w:rPr>
            </w:pPr>
            <w:r w:rsidRPr="00612864">
              <w:rPr>
                <w:rFonts w:hint="cs"/>
                <w:b/>
                <w:bCs/>
                <w:rtl/>
              </w:rPr>
              <w:t>מדינת ישראל על ידי עוה"ד גב' סופי גרניט</w:t>
            </w:r>
          </w:p>
        </w:tc>
        <w:tc>
          <w:tcPr>
            <w:tcW w:w="3771" w:type="dxa"/>
            <w:tcBorders>
              <w:top w:val="nil"/>
              <w:left w:val="nil"/>
              <w:bottom w:val="nil"/>
              <w:right w:val="nil"/>
            </w:tcBorders>
          </w:tcPr>
          <w:p w14:paraId="7E60D294" w14:textId="77777777" w:rsidR="004338D4" w:rsidRPr="00612864" w:rsidRDefault="00612864">
            <w:pPr>
              <w:spacing w:line="360" w:lineRule="auto"/>
              <w:jc w:val="both"/>
              <w:rPr>
                <w:rFonts w:ascii="Arial" w:hAnsi="Arial"/>
                <w:b/>
                <w:bCs/>
                <w:sz w:val="28"/>
                <w:szCs w:val="28"/>
                <w:rtl/>
              </w:rPr>
            </w:pPr>
            <w:r w:rsidRPr="00612864">
              <w:rPr>
                <w:rFonts w:ascii="Arial" w:hAnsi="Arial" w:hint="cs"/>
                <w:b/>
                <w:bCs/>
                <w:sz w:val="28"/>
                <w:szCs w:val="28"/>
                <w:rtl/>
              </w:rPr>
              <w:t>המאשימה</w:t>
            </w:r>
          </w:p>
        </w:tc>
      </w:tr>
      <w:bookmarkEnd w:id="1"/>
      <w:tr w:rsidR="004338D4" w:rsidRPr="00612864" w14:paraId="27DC98B1" w14:textId="77777777">
        <w:trPr>
          <w:trHeight w:val="355"/>
          <w:jc w:val="center"/>
        </w:trPr>
        <w:tc>
          <w:tcPr>
            <w:tcW w:w="923" w:type="dxa"/>
            <w:tcBorders>
              <w:top w:val="nil"/>
              <w:left w:val="nil"/>
              <w:bottom w:val="nil"/>
              <w:right w:val="nil"/>
            </w:tcBorders>
          </w:tcPr>
          <w:p w14:paraId="10B68DDD" w14:textId="77777777" w:rsidR="004338D4" w:rsidRPr="00612864" w:rsidRDefault="004338D4">
            <w:pPr>
              <w:spacing w:line="360" w:lineRule="auto"/>
              <w:jc w:val="both"/>
              <w:rPr>
                <w:rFonts w:ascii="Arial" w:hAnsi="Arial"/>
                <w:sz w:val="28"/>
                <w:szCs w:val="28"/>
                <w:rtl/>
              </w:rPr>
            </w:pPr>
          </w:p>
        </w:tc>
        <w:tc>
          <w:tcPr>
            <w:tcW w:w="4126" w:type="dxa"/>
            <w:tcBorders>
              <w:top w:val="nil"/>
              <w:left w:val="nil"/>
              <w:bottom w:val="nil"/>
              <w:right w:val="nil"/>
            </w:tcBorders>
          </w:tcPr>
          <w:p w14:paraId="466D15ED" w14:textId="77777777" w:rsidR="004338D4" w:rsidRPr="00612864" w:rsidRDefault="004338D4">
            <w:pPr>
              <w:spacing w:line="360" w:lineRule="auto"/>
              <w:jc w:val="both"/>
              <w:rPr>
                <w:rtl/>
              </w:rPr>
            </w:pPr>
          </w:p>
        </w:tc>
        <w:tc>
          <w:tcPr>
            <w:tcW w:w="3771" w:type="dxa"/>
            <w:tcBorders>
              <w:top w:val="nil"/>
              <w:left w:val="nil"/>
              <w:bottom w:val="nil"/>
              <w:right w:val="nil"/>
            </w:tcBorders>
          </w:tcPr>
          <w:p w14:paraId="61EEF93E" w14:textId="77777777" w:rsidR="004338D4" w:rsidRPr="00612864" w:rsidRDefault="004338D4">
            <w:pPr>
              <w:spacing w:line="360" w:lineRule="auto"/>
              <w:jc w:val="both"/>
              <w:rPr>
                <w:rFonts w:ascii="Arial" w:hAnsi="Arial"/>
                <w:b/>
                <w:bCs/>
                <w:sz w:val="28"/>
                <w:szCs w:val="28"/>
                <w:rtl/>
              </w:rPr>
            </w:pPr>
          </w:p>
        </w:tc>
      </w:tr>
      <w:tr w:rsidR="004338D4" w:rsidRPr="00612864" w14:paraId="13D3E1F3" w14:textId="77777777">
        <w:trPr>
          <w:trHeight w:val="355"/>
          <w:jc w:val="center"/>
        </w:trPr>
        <w:tc>
          <w:tcPr>
            <w:tcW w:w="923" w:type="dxa"/>
            <w:tcBorders>
              <w:top w:val="nil"/>
              <w:left w:val="nil"/>
              <w:bottom w:val="nil"/>
              <w:right w:val="nil"/>
            </w:tcBorders>
          </w:tcPr>
          <w:p w14:paraId="54DA779F" w14:textId="77777777" w:rsidR="004338D4" w:rsidRPr="00612864" w:rsidRDefault="004338D4">
            <w:pPr>
              <w:spacing w:line="360" w:lineRule="auto"/>
              <w:jc w:val="both"/>
              <w:rPr>
                <w:rFonts w:ascii="Arial" w:hAnsi="Arial"/>
                <w:sz w:val="28"/>
                <w:szCs w:val="28"/>
                <w:rtl/>
              </w:rPr>
            </w:pPr>
          </w:p>
        </w:tc>
        <w:tc>
          <w:tcPr>
            <w:tcW w:w="7897" w:type="dxa"/>
            <w:gridSpan w:val="2"/>
            <w:tcBorders>
              <w:top w:val="nil"/>
              <w:left w:val="nil"/>
              <w:bottom w:val="nil"/>
              <w:right w:val="nil"/>
            </w:tcBorders>
          </w:tcPr>
          <w:p w14:paraId="5C2BE6E0" w14:textId="77777777" w:rsidR="004338D4" w:rsidRPr="00612864" w:rsidRDefault="004338D4">
            <w:pPr>
              <w:spacing w:line="360" w:lineRule="auto"/>
              <w:jc w:val="both"/>
              <w:rPr>
                <w:rFonts w:ascii="Arial" w:hAnsi="Arial"/>
                <w:b/>
                <w:bCs/>
                <w:sz w:val="28"/>
                <w:szCs w:val="28"/>
                <w:rtl/>
              </w:rPr>
            </w:pPr>
          </w:p>
          <w:p w14:paraId="1B451098" w14:textId="77777777" w:rsidR="004338D4" w:rsidRPr="00612864" w:rsidRDefault="00612864">
            <w:pPr>
              <w:spacing w:line="360" w:lineRule="auto"/>
              <w:jc w:val="both"/>
              <w:rPr>
                <w:rFonts w:ascii="Arial" w:hAnsi="Arial"/>
                <w:b/>
                <w:bCs/>
                <w:sz w:val="28"/>
                <w:szCs w:val="28"/>
                <w:rtl/>
              </w:rPr>
            </w:pPr>
            <w:r w:rsidRPr="00612864">
              <w:rPr>
                <w:rFonts w:ascii="Arial" w:hAnsi="Arial"/>
                <w:b/>
                <w:bCs/>
                <w:sz w:val="28"/>
                <w:szCs w:val="28"/>
                <w:rtl/>
              </w:rPr>
              <w:t>נגד</w:t>
            </w:r>
          </w:p>
          <w:p w14:paraId="439A5C4E" w14:textId="77777777" w:rsidR="004338D4" w:rsidRPr="00612864" w:rsidRDefault="004338D4">
            <w:pPr>
              <w:spacing w:line="360" w:lineRule="auto"/>
              <w:jc w:val="both"/>
              <w:rPr>
                <w:rFonts w:ascii="Arial" w:hAnsi="Arial"/>
                <w:sz w:val="28"/>
                <w:szCs w:val="28"/>
              </w:rPr>
            </w:pPr>
          </w:p>
        </w:tc>
      </w:tr>
      <w:tr w:rsidR="004338D4" w:rsidRPr="00612864" w14:paraId="2EE93ECF" w14:textId="77777777">
        <w:trPr>
          <w:trHeight w:val="355"/>
          <w:jc w:val="center"/>
        </w:trPr>
        <w:tc>
          <w:tcPr>
            <w:tcW w:w="923" w:type="dxa"/>
            <w:tcBorders>
              <w:top w:val="nil"/>
              <w:left w:val="nil"/>
              <w:bottom w:val="nil"/>
              <w:right w:val="nil"/>
            </w:tcBorders>
          </w:tcPr>
          <w:p w14:paraId="428FD0F0" w14:textId="77777777" w:rsidR="004338D4" w:rsidRPr="00612864" w:rsidRDefault="004338D4">
            <w:pPr>
              <w:spacing w:line="360" w:lineRule="auto"/>
              <w:jc w:val="both"/>
              <w:rPr>
                <w:rFonts w:ascii="Arial" w:hAnsi="Arial"/>
                <w:sz w:val="28"/>
                <w:szCs w:val="28"/>
                <w:rtl/>
              </w:rPr>
            </w:pPr>
          </w:p>
        </w:tc>
        <w:tc>
          <w:tcPr>
            <w:tcW w:w="4126" w:type="dxa"/>
            <w:tcBorders>
              <w:top w:val="nil"/>
              <w:left w:val="nil"/>
              <w:bottom w:val="nil"/>
              <w:right w:val="nil"/>
            </w:tcBorders>
          </w:tcPr>
          <w:p w14:paraId="224F60BB" w14:textId="77777777" w:rsidR="004338D4" w:rsidRPr="00612864" w:rsidRDefault="00612864">
            <w:pPr>
              <w:spacing w:line="360" w:lineRule="auto"/>
              <w:jc w:val="both"/>
              <w:rPr>
                <w:rtl/>
              </w:rPr>
            </w:pPr>
            <w:r w:rsidRPr="00612864">
              <w:rPr>
                <w:rFonts w:hint="cs"/>
                <w:b/>
                <w:bCs/>
                <w:rtl/>
              </w:rPr>
              <w:t>מוריס יניב חייק (עציר) על ידי עוה"ד מיכאל כרמל</w:t>
            </w:r>
          </w:p>
        </w:tc>
        <w:tc>
          <w:tcPr>
            <w:tcW w:w="3771" w:type="dxa"/>
            <w:tcBorders>
              <w:top w:val="nil"/>
              <w:left w:val="nil"/>
              <w:bottom w:val="nil"/>
              <w:right w:val="nil"/>
            </w:tcBorders>
          </w:tcPr>
          <w:p w14:paraId="5A3E9BBB" w14:textId="77777777" w:rsidR="004338D4" w:rsidRPr="00612864" w:rsidRDefault="004338D4">
            <w:pPr>
              <w:spacing w:line="360" w:lineRule="auto"/>
              <w:jc w:val="both"/>
              <w:rPr>
                <w:rFonts w:ascii="Arial" w:hAnsi="Arial"/>
                <w:sz w:val="28"/>
                <w:szCs w:val="28"/>
              </w:rPr>
            </w:pPr>
          </w:p>
        </w:tc>
      </w:tr>
      <w:tr w:rsidR="004338D4" w:rsidRPr="00612864" w14:paraId="14B93150" w14:textId="77777777">
        <w:trPr>
          <w:trHeight w:val="355"/>
          <w:jc w:val="center"/>
        </w:trPr>
        <w:tc>
          <w:tcPr>
            <w:tcW w:w="923" w:type="dxa"/>
            <w:tcBorders>
              <w:top w:val="nil"/>
              <w:left w:val="nil"/>
              <w:bottom w:val="nil"/>
              <w:right w:val="nil"/>
            </w:tcBorders>
          </w:tcPr>
          <w:p w14:paraId="451B57ED" w14:textId="77777777" w:rsidR="004338D4" w:rsidRPr="00612864" w:rsidRDefault="004338D4">
            <w:pPr>
              <w:spacing w:line="360" w:lineRule="auto"/>
              <w:jc w:val="both"/>
              <w:rPr>
                <w:rFonts w:ascii="Arial" w:hAnsi="Arial"/>
                <w:sz w:val="28"/>
                <w:szCs w:val="28"/>
                <w:rtl/>
              </w:rPr>
            </w:pPr>
          </w:p>
        </w:tc>
        <w:tc>
          <w:tcPr>
            <w:tcW w:w="4126" w:type="dxa"/>
            <w:tcBorders>
              <w:top w:val="nil"/>
              <w:left w:val="nil"/>
              <w:bottom w:val="nil"/>
              <w:right w:val="nil"/>
            </w:tcBorders>
          </w:tcPr>
          <w:p w14:paraId="4508F8F0" w14:textId="77777777" w:rsidR="004338D4" w:rsidRPr="00612864" w:rsidRDefault="004338D4">
            <w:pPr>
              <w:spacing w:line="360" w:lineRule="auto"/>
              <w:jc w:val="both"/>
              <w:rPr>
                <w:rtl/>
              </w:rPr>
            </w:pPr>
          </w:p>
        </w:tc>
        <w:tc>
          <w:tcPr>
            <w:tcW w:w="3771" w:type="dxa"/>
            <w:tcBorders>
              <w:top w:val="nil"/>
              <w:left w:val="nil"/>
              <w:bottom w:val="nil"/>
              <w:right w:val="nil"/>
            </w:tcBorders>
          </w:tcPr>
          <w:p w14:paraId="0442E0DD" w14:textId="77777777" w:rsidR="004338D4" w:rsidRPr="00612864" w:rsidRDefault="00612864">
            <w:pPr>
              <w:spacing w:line="360" w:lineRule="auto"/>
              <w:jc w:val="both"/>
              <w:rPr>
                <w:rFonts w:ascii="Arial" w:hAnsi="Arial"/>
                <w:b/>
                <w:bCs/>
                <w:sz w:val="28"/>
                <w:szCs w:val="28"/>
              </w:rPr>
            </w:pPr>
            <w:r w:rsidRPr="00612864">
              <w:rPr>
                <w:rFonts w:ascii="Arial" w:hAnsi="Arial" w:hint="cs"/>
                <w:b/>
                <w:bCs/>
                <w:sz w:val="28"/>
                <w:szCs w:val="28"/>
                <w:rtl/>
              </w:rPr>
              <w:t>הנאשם</w:t>
            </w:r>
          </w:p>
        </w:tc>
      </w:tr>
    </w:tbl>
    <w:p w14:paraId="1FA5984A" w14:textId="77777777" w:rsidR="00C779ED" w:rsidRDefault="00C779ED">
      <w:pPr>
        <w:spacing w:line="360" w:lineRule="auto"/>
        <w:jc w:val="both"/>
        <w:rPr>
          <w:rtl/>
        </w:rPr>
      </w:pPr>
      <w:bookmarkStart w:id="2" w:name="LawTable"/>
      <w:bookmarkEnd w:id="2"/>
    </w:p>
    <w:p w14:paraId="2ED01AA3" w14:textId="77777777" w:rsidR="00C779ED" w:rsidRPr="00C779ED" w:rsidRDefault="00C779ED" w:rsidP="00C779ED">
      <w:pPr>
        <w:spacing w:after="120" w:line="240" w:lineRule="exact"/>
        <w:ind w:left="283" w:hanging="283"/>
        <w:jc w:val="both"/>
        <w:rPr>
          <w:rFonts w:ascii="FrankRuehl" w:hAnsi="FrankRuehl" w:cs="FrankRuehl"/>
          <w:rtl/>
        </w:rPr>
      </w:pPr>
      <w:r w:rsidRPr="00C779ED">
        <w:rPr>
          <w:rFonts w:ascii="FrankRuehl" w:hAnsi="FrankRuehl" w:cs="FrankRuehl"/>
          <w:rtl/>
        </w:rPr>
        <w:t xml:space="preserve">חקיקה שאוזכרה: </w:t>
      </w:r>
    </w:p>
    <w:p w14:paraId="009AAB32" w14:textId="77777777" w:rsidR="00C779ED" w:rsidRPr="00C779ED" w:rsidRDefault="00C779ED" w:rsidP="00C779ED">
      <w:pPr>
        <w:spacing w:after="120" w:line="240" w:lineRule="exact"/>
        <w:ind w:left="283" w:hanging="283"/>
        <w:jc w:val="both"/>
        <w:rPr>
          <w:rFonts w:ascii="FrankRuehl" w:hAnsi="FrankRuehl" w:cs="FrankRuehl"/>
          <w:rtl/>
        </w:rPr>
      </w:pPr>
      <w:hyperlink r:id="rId6" w:history="1">
        <w:r w:rsidRPr="00C779ED">
          <w:rPr>
            <w:rFonts w:ascii="FrankRuehl" w:hAnsi="FrankRuehl" w:cs="FrankRuehl"/>
            <w:color w:val="0000FF"/>
            <w:u w:val="single"/>
            <w:rtl/>
          </w:rPr>
          <w:t>פקודת הסמים המסוכנים [נוסח חדש], תשל"ג-1973</w:t>
        </w:r>
      </w:hyperlink>
      <w:r w:rsidRPr="00C779ED">
        <w:rPr>
          <w:rFonts w:ascii="FrankRuehl" w:hAnsi="FrankRuehl" w:cs="FrankRuehl"/>
          <w:rtl/>
        </w:rPr>
        <w:t xml:space="preserve">: סע'  </w:t>
      </w:r>
      <w:hyperlink r:id="rId7" w:history="1">
        <w:r w:rsidRPr="00C779ED">
          <w:rPr>
            <w:rFonts w:ascii="FrankRuehl" w:hAnsi="FrankRuehl" w:cs="FrankRuehl"/>
            <w:color w:val="0000FF"/>
            <w:u w:val="single"/>
            <w:rtl/>
          </w:rPr>
          <w:t>6</w:t>
        </w:r>
      </w:hyperlink>
      <w:r w:rsidRPr="00C779ED">
        <w:rPr>
          <w:rFonts w:ascii="FrankRuehl" w:hAnsi="FrankRuehl" w:cs="FrankRuehl"/>
          <w:rtl/>
        </w:rPr>
        <w:t xml:space="preserve">, </w:t>
      </w:r>
      <w:hyperlink r:id="rId8" w:history="1">
        <w:r w:rsidRPr="00C779ED">
          <w:rPr>
            <w:rFonts w:ascii="FrankRuehl" w:hAnsi="FrankRuehl" w:cs="FrankRuehl"/>
            <w:color w:val="0000FF"/>
            <w:u w:val="single"/>
            <w:rtl/>
          </w:rPr>
          <w:t>7.א.</w:t>
        </w:r>
      </w:hyperlink>
      <w:r w:rsidRPr="00C779ED">
        <w:rPr>
          <w:rFonts w:ascii="FrankRuehl" w:hAnsi="FrankRuehl" w:cs="FrankRuehl"/>
          <w:rtl/>
        </w:rPr>
        <w:t xml:space="preserve">, </w:t>
      </w:r>
      <w:hyperlink r:id="rId9" w:history="1">
        <w:r w:rsidRPr="00C779ED">
          <w:rPr>
            <w:rFonts w:ascii="FrankRuehl" w:hAnsi="FrankRuehl" w:cs="FrankRuehl"/>
            <w:color w:val="0000FF"/>
            <w:u w:val="single"/>
            <w:rtl/>
          </w:rPr>
          <w:t>7.ג</w:t>
        </w:r>
      </w:hyperlink>
      <w:r w:rsidRPr="00C779ED">
        <w:rPr>
          <w:rFonts w:ascii="FrankRuehl" w:hAnsi="FrankRuehl" w:cs="FrankRuehl"/>
          <w:rtl/>
        </w:rPr>
        <w:t xml:space="preserve">, </w:t>
      </w:r>
      <w:hyperlink r:id="rId10" w:history="1">
        <w:r w:rsidRPr="00C779ED">
          <w:rPr>
            <w:rFonts w:ascii="FrankRuehl" w:hAnsi="FrankRuehl" w:cs="FrankRuehl"/>
            <w:color w:val="0000FF"/>
            <w:u w:val="single"/>
            <w:rtl/>
          </w:rPr>
          <w:t>10</w:t>
        </w:r>
      </w:hyperlink>
    </w:p>
    <w:p w14:paraId="48A657AF" w14:textId="77777777" w:rsidR="00C779ED" w:rsidRPr="00C779ED" w:rsidRDefault="00C779ED" w:rsidP="00C779ED">
      <w:pPr>
        <w:spacing w:after="120" w:line="240" w:lineRule="exact"/>
        <w:ind w:left="283" w:hanging="283"/>
        <w:jc w:val="both"/>
        <w:rPr>
          <w:rFonts w:ascii="FrankRuehl" w:hAnsi="FrankRuehl" w:cs="FrankRuehl"/>
          <w:rtl/>
        </w:rPr>
      </w:pPr>
      <w:hyperlink r:id="rId11" w:history="1">
        <w:r w:rsidRPr="00C779ED">
          <w:rPr>
            <w:rFonts w:ascii="FrankRuehl" w:hAnsi="FrankRuehl" w:cs="FrankRuehl"/>
            <w:color w:val="0000FF"/>
            <w:u w:val="single"/>
            <w:rtl/>
          </w:rPr>
          <w:t>חוק העונשין, תשל"ז-1977</w:t>
        </w:r>
      </w:hyperlink>
      <w:r w:rsidRPr="00C779ED">
        <w:rPr>
          <w:rFonts w:ascii="FrankRuehl" w:hAnsi="FrankRuehl" w:cs="FrankRuehl"/>
          <w:rtl/>
        </w:rPr>
        <w:t xml:space="preserve">: סע'  </w:t>
      </w:r>
      <w:hyperlink r:id="rId12" w:history="1">
        <w:r w:rsidRPr="00C779ED">
          <w:rPr>
            <w:rFonts w:ascii="FrankRuehl" w:hAnsi="FrankRuehl" w:cs="FrankRuehl"/>
            <w:color w:val="0000FF"/>
            <w:u w:val="single"/>
            <w:rtl/>
          </w:rPr>
          <w:t>40 יא'</w:t>
        </w:r>
      </w:hyperlink>
    </w:p>
    <w:p w14:paraId="307EA919" w14:textId="77777777" w:rsidR="00C779ED" w:rsidRPr="00C779ED" w:rsidRDefault="00C779ED" w:rsidP="00C779ED">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338D4" w:rsidRPr="00612864" w14:paraId="442D8D10" w14:textId="77777777">
        <w:trPr>
          <w:trHeight w:val="355"/>
          <w:jc w:val="center"/>
        </w:trPr>
        <w:tc>
          <w:tcPr>
            <w:tcW w:w="8820" w:type="dxa"/>
            <w:tcBorders>
              <w:top w:val="nil"/>
              <w:left w:val="nil"/>
              <w:bottom w:val="nil"/>
              <w:right w:val="nil"/>
            </w:tcBorders>
          </w:tcPr>
          <w:p w14:paraId="0629DED4" w14:textId="77777777" w:rsidR="00612864" w:rsidRPr="00612864" w:rsidRDefault="00612864" w:rsidP="00612864">
            <w:pPr>
              <w:spacing w:line="360" w:lineRule="auto"/>
              <w:jc w:val="center"/>
              <w:rPr>
                <w:rFonts w:ascii="Arial" w:hAnsi="Arial"/>
                <w:b/>
                <w:bCs/>
                <w:sz w:val="32"/>
                <w:szCs w:val="32"/>
                <w:rtl/>
              </w:rPr>
            </w:pPr>
            <w:bookmarkStart w:id="3" w:name="LawTable_End"/>
            <w:bookmarkStart w:id="4" w:name="PsakDin" w:colFirst="0" w:colLast="0"/>
            <w:bookmarkEnd w:id="0"/>
            <w:bookmarkEnd w:id="3"/>
          </w:p>
          <w:p w14:paraId="0F562E14" w14:textId="77777777" w:rsidR="00612864" w:rsidRPr="00612864" w:rsidRDefault="00612864" w:rsidP="00612864">
            <w:pPr>
              <w:spacing w:line="360" w:lineRule="auto"/>
              <w:jc w:val="center"/>
              <w:rPr>
                <w:rFonts w:ascii="Arial" w:hAnsi="Arial"/>
                <w:b/>
                <w:bCs/>
                <w:sz w:val="32"/>
                <w:szCs w:val="32"/>
                <w:rtl/>
              </w:rPr>
            </w:pPr>
            <w:r w:rsidRPr="00612864">
              <w:rPr>
                <w:rFonts w:ascii="Arial" w:hAnsi="Arial"/>
                <w:b/>
                <w:bCs/>
                <w:sz w:val="32"/>
                <w:szCs w:val="32"/>
                <w:rtl/>
              </w:rPr>
              <w:t>גזר דין</w:t>
            </w:r>
          </w:p>
          <w:p w14:paraId="78327E8B" w14:textId="77777777" w:rsidR="004338D4" w:rsidRPr="00612864" w:rsidRDefault="004338D4" w:rsidP="00612864">
            <w:pPr>
              <w:spacing w:line="360" w:lineRule="auto"/>
              <w:jc w:val="center"/>
              <w:rPr>
                <w:rFonts w:ascii="Arial" w:hAnsi="Arial"/>
                <w:bCs/>
                <w:sz w:val="32"/>
                <w:szCs w:val="32"/>
                <w:rtl/>
              </w:rPr>
            </w:pPr>
          </w:p>
        </w:tc>
      </w:tr>
      <w:bookmarkEnd w:id="4"/>
    </w:tbl>
    <w:p w14:paraId="22896E50" w14:textId="77777777" w:rsidR="004338D4" w:rsidRDefault="004338D4">
      <w:pPr>
        <w:spacing w:line="360" w:lineRule="auto"/>
        <w:jc w:val="both"/>
        <w:rPr>
          <w:rFonts w:ascii="Arial" w:hAnsi="Arial"/>
          <w:rtl/>
        </w:rPr>
      </w:pPr>
    </w:p>
    <w:p w14:paraId="0D59C231" w14:textId="77777777" w:rsidR="004338D4" w:rsidRDefault="00612864">
      <w:pPr>
        <w:spacing w:line="360" w:lineRule="auto"/>
        <w:jc w:val="both"/>
        <w:rPr>
          <w:rFonts w:ascii="Arial" w:hAnsi="Arial"/>
          <w:rtl/>
        </w:rPr>
      </w:pPr>
      <w:r>
        <w:rPr>
          <w:rFonts w:ascii="Arial" w:hAnsi="Arial"/>
          <w:rtl/>
        </w:rPr>
        <w:t>1.</w:t>
      </w:r>
      <w:r>
        <w:rPr>
          <w:rFonts w:ascii="Arial" w:hAnsi="Arial"/>
          <w:rtl/>
        </w:rPr>
        <w:tab/>
      </w:r>
      <w:bookmarkStart w:id="5" w:name="ABSTRACT_START"/>
      <w:bookmarkEnd w:id="5"/>
      <w:r>
        <w:rPr>
          <w:rFonts w:ascii="Arial" w:hAnsi="Arial"/>
          <w:rtl/>
        </w:rPr>
        <w:t>הנאשם הורשע, עפ"י הודאתו, בעבירות הבאות מ</w:t>
      </w:r>
      <w:hyperlink r:id="rId13" w:history="1">
        <w:r w:rsidRPr="00612864">
          <w:rPr>
            <w:rFonts w:ascii="Arial" w:hAnsi="Arial"/>
            <w:color w:val="0000FF"/>
            <w:u w:val="single"/>
            <w:rtl/>
          </w:rPr>
          <w:t>פקודת הסמים המסוכנים</w:t>
        </w:r>
      </w:hyperlink>
      <w:r>
        <w:rPr>
          <w:rFonts w:ascii="Arial" w:hAnsi="Arial"/>
          <w:rtl/>
        </w:rPr>
        <w:t xml:space="preserve"> [נוסח חדש] </w:t>
      </w:r>
    </w:p>
    <w:p w14:paraId="477B7E15" w14:textId="77777777" w:rsidR="004338D4" w:rsidRDefault="00612864">
      <w:pPr>
        <w:spacing w:line="360" w:lineRule="auto"/>
        <w:ind w:left="720"/>
        <w:jc w:val="both"/>
        <w:rPr>
          <w:rFonts w:ascii="Arial" w:hAnsi="Arial"/>
          <w:rtl/>
        </w:rPr>
      </w:pPr>
      <w:r>
        <w:rPr>
          <w:rFonts w:ascii="Arial" w:hAnsi="Arial"/>
          <w:rtl/>
        </w:rPr>
        <w:t xml:space="preserve">תשל"ג – 1973 (להלן: </w:t>
      </w:r>
      <w:r>
        <w:rPr>
          <w:rFonts w:ascii="Arial" w:hAnsi="Arial"/>
          <w:b/>
          <w:bCs/>
          <w:rtl/>
        </w:rPr>
        <w:t>הפקודה</w:t>
      </w:r>
      <w:r>
        <w:rPr>
          <w:rFonts w:ascii="Arial" w:hAnsi="Arial"/>
          <w:rtl/>
        </w:rPr>
        <w:t xml:space="preserve">): יצור הכנה והפקה, לפי </w:t>
      </w:r>
      <w:hyperlink r:id="rId14" w:history="1">
        <w:r w:rsidR="00C779ED" w:rsidRPr="00C779ED">
          <w:rPr>
            <w:rFonts w:ascii="Arial" w:hAnsi="Arial"/>
            <w:color w:val="0000FF"/>
            <w:u w:val="single"/>
            <w:rtl/>
          </w:rPr>
          <w:t>סעיף 6</w:t>
        </w:r>
      </w:hyperlink>
      <w:r>
        <w:rPr>
          <w:rFonts w:ascii="Arial" w:hAnsi="Arial"/>
          <w:rtl/>
        </w:rPr>
        <w:t xml:space="preserve"> לפקודה; החזקה ושימוש שלא לצריכה עצמית, לפי </w:t>
      </w:r>
      <w:hyperlink r:id="rId15" w:history="1">
        <w:r w:rsidR="00C779ED" w:rsidRPr="00C779ED">
          <w:rPr>
            <w:rFonts w:ascii="Arial" w:hAnsi="Arial"/>
            <w:color w:val="0000FF"/>
            <w:u w:val="single"/>
            <w:rtl/>
          </w:rPr>
          <w:t>סעיף 7(א)+(ג)</w:t>
        </w:r>
      </w:hyperlink>
      <w:r>
        <w:rPr>
          <w:rFonts w:ascii="Arial" w:hAnsi="Arial"/>
          <w:rtl/>
        </w:rPr>
        <w:t xml:space="preserve"> רישא לפקודה; והחזקת כלים, לפי </w:t>
      </w:r>
      <w:hyperlink r:id="rId16" w:history="1">
        <w:r w:rsidR="00C779ED" w:rsidRPr="00C779ED">
          <w:rPr>
            <w:rFonts w:ascii="Arial" w:hAnsi="Arial"/>
            <w:color w:val="0000FF"/>
            <w:u w:val="single"/>
            <w:rtl/>
          </w:rPr>
          <w:t>סעיף 10</w:t>
        </w:r>
      </w:hyperlink>
      <w:r>
        <w:rPr>
          <w:rFonts w:ascii="Arial" w:hAnsi="Arial"/>
          <w:rtl/>
        </w:rPr>
        <w:t xml:space="preserve"> לפקודה. </w:t>
      </w:r>
    </w:p>
    <w:p w14:paraId="67A0D2E1" w14:textId="77777777" w:rsidR="004338D4" w:rsidRDefault="004338D4">
      <w:pPr>
        <w:spacing w:line="360" w:lineRule="auto"/>
        <w:jc w:val="both"/>
        <w:rPr>
          <w:rFonts w:ascii="Arial" w:hAnsi="Arial"/>
          <w:rtl/>
        </w:rPr>
      </w:pPr>
      <w:bookmarkStart w:id="6" w:name="ABSTRACT_END"/>
      <w:bookmarkEnd w:id="6"/>
    </w:p>
    <w:p w14:paraId="1FC6E71E" w14:textId="77777777" w:rsidR="004338D4" w:rsidRDefault="00612864">
      <w:pPr>
        <w:spacing w:line="360" w:lineRule="auto"/>
        <w:jc w:val="both"/>
        <w:rPr>
          <w:rFonts w:ascii="Arial" w:hAnsi="Arial"/>
          <w:rtl/>
        </w:rPr>
      </w:pPr>
      <w:r>
        <w:rPr>
          <w:rFonts w:ascii="Arial" w:hAnsi="Arial"/>
          <w:rtl/>
        </w:rPr>
        <w:t>2.</w:t>
      </w:r>
      <w:r>
        <w:rPr>
          <w:rFonts w:ascii="Arial" w:hAnsi="Arial"/>
          <w:rtl/>
        </w:rPr>
        <w:tab/>
        <w:t xml:space="preserve">על פי המתואר בעובדות כתב האישום, ביום 01.1.14, ובתקופה שקדמה לכך גידל והחזיק </w:t>
      </w:r>
    </w:p>
    <w:p w14:paraId="2C9D3A86" w14:textId="77777777" w:rsidR="004338D4" w:rsidRDefault="00612864">
      <w:pPr>
        <w:spacing w:line="360" w:lineRule="auto"/>
        <w:ind w:left="720"/>
        <w:jc w:val="both"/>
        <w:rPr>
          <w:rFonts w:ascii="Arial" w:hAnsi="Arial"/>
          <w:rtl/>
        </w:rPr>
      </w:pPr>
      <w:r>
        <w:rPr>
          <w:rFonts w:ascii="Arial" w:hAnsi="Arial"/>
          <w:rtl/>
        </w:rPr>
        <w:t xml:space="preserve">הנאשם שתילים רבים של סם מסוג קנביס בעציצים ובמשקל כולל של כ – 60 ק"ג, וזאת במבנה הממוקם באזור התעשייה בקרית ים. בנוסף, החזיק הנאשם במבנה לעיל  חומרי </w:t>
      </w:r>
      <w:r>
        <w:rPr>
          <w:rFonts w:ascii="Arial" w:hAnsi="Arial"/>
          <w:rtl/>
        </w:rPr>
        <w:lastRenderedPageBreak/>
        <w:t xml:space="preserve">דישון, משקלים אלקטרוניים, מדי טמפרטורה, מערכת תאורה, גופי חימום ועציצים ששימשו אותו להכנת הסם. </w:t>
      </w:r>
    </w:p>
    <w:p w14:paraId="26DAEB3E" w14:textId="77777777" w:rsidR="004338D4" w:rsidRDefault="004338D4">
      <w:pPr>
        <w:spacing w:line="360" w:lineRule="auto"/>
        <w:jc w:val="both"/>
        <w:rPr>
          <w:rFonts w:ascii="Arial" w:hAnsi="Arial"/>
          <w:rtl/>
        </w:rPr>
      </w:pPr>
    </w:p>
    <w:p w14:paraId="377F64B8" w14:textId="77777777" w:rsidR="004338D4" w:rsidRDefault="00612864">
      <w:pPr>
        <w:spacing w:line="360" w:lineRule="auto"/>
        <w:jc w:val="both"/>
        <w:rPr>
          <w:rFonts w:ascii="Arial" w:hAnsi="Arial"/>
          <w:rtl/>
        </w:rPr>
      </w:pPr>
      <w:r>
        <w:rPr>
          <w:rFonts w:ascii="Arial" w:hAnsi="Arial"/>
          <w:rtl/>
        </w:rPr>
        <w:t>3.</w:t>
      </w:r>
      <w:r>
        <w:rPr>
          <w:rFonts w:ascii="Arial" w:hAnsi="Arial"/>
          <w:rtl/>
        </w:rPr>
        <w:tab/>
        <w:t xml:space="preserve">שירות המבחן הכין תסקיר ואסקור את עיקריו: הנאשם הינו בן 38, גרוש ואב לשלושה </w:t>
      </w:r>
    </w:p>
    <w:p w14:paraId="2D47AD5A" w14:textId="77777777" w:rsidR="004338D4" w:rsidRDefault="00612864">
      <w:pPr>
        <w:spacing w:line="360" w:lineRule="auto"/>
        <w:ind w:left="720"/>
        <w:jc w:val="both"/>
        <w:rPr>
          <w:rFonts w:ascii="Arial" w:hAnsi="Arial"/>
          <w:rtl/>
        </w:rPr>
      </w:pPr>
      <w:r>
        <w:rPr>
          <w:rFonts w:ascii="Arial" w:hAnsi="Arial"/>
          <w:rtl/>
        </w:rPr>
        <w:t xml:space="preserve">ילדים: שניים בגילאי ההתבגרות מנישואיו הראשונים והמתגוררים עם אמם והשלישי, תינוק כבן שנה וחצי, ממערכת יחסים עם בת זוגו הנוכחית. שירות המבחן סקר את קורותיו של הנאשם - מדובר בנאשם שנשר מספסל הלימודים לאחר 7 שנים ועבד עד לגיוסו. הנאשם שירת כשנתיים בצבא ושוחרר על רקע בעיות שונות ובכללן בעיות משפחתיות. לאחר שחרורו, החל לעבוד בענף הפירות והירקות ועשה זאת עד למעצרו. הנאשם מסר כי החל מגיל 16 הוא החל להשתמש בסם מסוג גראס – תחילה באופן מזדמן ולאחר שירותו הצבאי באופן אינטנסיבי ויומיומי. לפני כשנה וחצי עבר ניתוח בגבו ועל רקע זה חלה החמרה בהתמכרותו לסם. הנאשם קיבל אחריות לביצוע העבירות המיוחסות לו ותלה זאת בניתוח שעבר בגבו. יחד עם זאת, מיזער את מעשיו וטען כי מדובר בגידול לשימוש עצמי. אציין בהקשר זה, כי במסגרת הדיון מתאריך 23.4.14 חזר בו הנאשם מהטענה לעיל ואישר כי אין מדובר בגידול לשימוש עצמי. שירות המבחן העלה את האפשרות (תוך שהובאה התלבטות שירות המבחן בהקשר זה) כי הנאשם יופנה לגמילה מחוץ לכותלי הכלא. מחד, הפנה שירות המבחן לחומרת התמכרותו של הנאשם ולקשייו הרגשיים שלא עובדו עד כה. עוד הפנה שירות המבחן להכרתו הראשונית של הנאשם לכך שהוא במצב התמכרותי-בעייתי ולכך שהוא צריך לקבל מענה טיפולי. מנגד, הפנה שירות המבחן לכך כי עד כה לא סבר הנאשם כי הוא זקוק לטיפול וקיימים סימני שאלה לגבי הפרוגנוזה הטיפולית ומידת יכולתו להתמיד בטיפול לאורך זמן. </w:t>
      </w:r>
    </w:p>
    <w:p w14:paraId="31D22C9D" w14:textId="77777777" w:rsidR="004338D4" w:rsidRDefault="004338D4">
      <w:pPr>
        <w:spacing w:line="360" w:lineRule="auto"/>
        <w:jc w:val="both"/>
        <w:rPr>
          <w:rFonts w:ascii="Arial" w:hAnsi="Arial"/>
          <w:rtl/>
        </w:rPr>
      </w:pPr>
    </w:p>
    <w:p w14:paraId="6706517C" w14:textId="77777777" w:rsidR="004338D4" w:rsidRDefault="00612864">
      <w:pPr>
        <w:spacing w:line="360" w:lineRule="auto"/>
        <w:jc w:val="both"/>
        <w:rPr>
          <w:rFonts w:ascii="Arial" w:hAnsi="Arial"/>
          <w:rtl/>
        </w:rPr>
      </w:pPr>
      <w:r>
        <w:rPr>
          <w:rFonts w:ascii="Arial" w:hAnsi="Arial"/>
          <w:rtl/>
        </w:rPr>
        <w:t>4.</w:t>
      </w:r>
      <w:r>
        <w:rPr>
          <w:rFonts w:ascii="Arial" w:hAnsi="Arial"/>
          <w:rtl/>
        </w:rPr>
        <w:tab/>
        <w:t xml:space="preserve">כראיות לעונש הביאה המאשימה את פלט הרשעותיו הקודמות של הנאשם (ת/1)  ממנו </w:t>
      </w:r>
    </w:p>
    <w:p w14:paraId="7870E2B4" w14:textId="77777777" w:rsidR="004338D4" w:rsidRDefault="00612864">
      <w:pPr>
        <w:spacing w:line="360" w:lineRule="auto"/>
        <w:ind w:left="720"/>
        <w:jc w:val="both"/>
        <w:rPr>
          <w:rFonts w:ascii="Arial" w:hAnsi="Arial"/>
          <w:rtl/>
        </w:rPr>
      </w:pPr>
      <w:r>
        <w:rPr>
          <w:rFonts w:ascii="Arial" w:hAnsi="Arial"/>
          <w:rtl/>
        </w:rPr>
        <w:t>עולה כי בשנת 2001 הורשע בעבירה של החזקת סמים ותגרה במקום ציבורי ונידון למאסר על תנאי; ובשנת 2007 הורשע בגין עבירות של תקיפת עובד ציבור ואיומים ונידון למאסר על תנאי וקנס. המאשימה אף הציגה דיסק (ת/2) ובו תצלומים של המבנה על תכולתו.</w:t>
      </w:r>
    </w:p>
    <w:p w14:paraId="1DB5F95F" w14:textId="77777777" w:rsidR="004338D4" w:rsidRDefault="004338D4">
      <w:pPr>
        <w:spacing w:line="360" w:lineRule="auto"/>
        <w:jc w:val="both"/>
        <w:rPr>
          <w:rFonts w:ascii="Arial" w:hAnsi="Arial"/>
          <w:rtl/>
        </w:rPr>
      </w:pPr>
    </w:p>
    <w:p w14:paraId="692C6D3A" w14:textId="77777777" w:rsidR="004338D4" w:rsidRDefault="00612864">
      <w:pPr>
        <w:spacing w:line="360" w:lineRule="auto"/>
        <w:jc w:val="both"/>
        <w:rPr>
          <w:rFonts w:ascii="Arial" w:hAnsi="Arial"/>
          <w:rtl/>
        </w:rPr>
      </w:pPr>
      <w:r>
        <w:rPr>
          <w:rFonts w:ascii="Arial" w:hAnsi="Arial"/>
          <w:rtl/>
        </w:rPr>
        <w:t>5.</w:t>
      </w:r>
      <w:r>
        <w:rPr>
          <w:rFonts w:ascii="Arial" w:hAnsi="Arial"/>
          <w:rtl/>
        </w:rPr>
        <w:tab/>
        <w:t xml:space="preserve">הנאשם הביא במסגרת ראיותיו חוות דעת (נ/1) ממנה עולה כי הגם שהחומר שנתפס על ידי </w:t>
      </w:r>
    </w:p>
    <w:p w14:paraId="6867415B" w14:textId="77777777" w:rsidR="004338D4" w:rsidRDefault="00612864">
      <w:pPr>
        <w:spacing w:line="360" w:lineRule="auto"/>
        <w:jc w:val="both"/>
        <w:rPr>
          <w:rFonts w:ascii="Arial" w:hAnsi="Arial"/>
          <w:rtl/>
        </w:rPr>
      </w:pPr>
      <w:r>
        <w:rPr>
          <w:rFonts w:ascii="Arial" w:hAnsi="Arial" w:hint="cs"/>
          <w:rtl/>
        </w:rPr>
        <w:tab/>
      </w:r>
      <w:r>
        <w:rPr>
          <w:rFonts w:ascii="Arial" w:hAnsi="Arial"/>
          <w:rtl/>
        </w:rPr>
        <w:t xml:space="preserve">המשטרה היה במשקל של כ 60 ק"ג, כמות המים בצמח היתה:"בלתי מבוטלת". </w:t>
      </w:r>
    </w:p>
    <w:p w14:paraId="5C43207D" w14:textId="77777777" w:rsidR="004338D4" w:rsidRDefault="004338D4">
      <w:pPr>
        <w:spacing w:line="360" w:lineRule="auto"/>
        <w:jc w:val="both"/>
        <w:rPr>
          <w:rFonts w:ascii="Arial" w:hAnsi="Arial"/>
          <w:rtl/>
        </w:rPr>
      </w:pPr>
    </w:p>
    <w:p w14:paraId="164252D9" w14:textId="77777777" w:rsidR="004338D4" w:rsidRDefault="00612864">
      <w:pPr>
        <w:spacing w:line="360" w:lineRule="auto"/>
        <w:jc w:val="both"/>
        <w:rPr>
          <w:rFonts w:ascii="Arial" w:hAnsi="Arial"/>
          <w:rtl/>
        </w:rPr>
      </w:pPr>
      <w:r>
        <w:rPr>
          <w:rFonts w:ascii="Arial" w:hAnsi="Arial"/>
          <w:rtl/>
        </w:rPr>
        <w:t>6.</w:t>
      </w:r>
      <w:r>
        <w:rPr>
          <w:rFonts w:ascii="Arial" w:hAnsi="Arial"/>
          <w:rtl/>
        </w:rPr>
        <w:tab/>
        <w:t xml:space="preserve">במסגרת טיעוניה לעונש עמדה המאשימה על חומרת מעשיו הנאשם ועל הערך החברתי </w:t>
      </w:r>
    </w:p>
    <w:p w14:paraId="097116D7" w14:textId="77777777" w:rsidR="004338D4" w:rsidRDefault="00612864">
      <w:pPr>
        <w:spacing w:line="360" w:lineRule="auto"/>
        <w:ind w:left="720"/>
        <w:jc w:val="both"/>
        <w:rPr>
          <w:rFonts w:ascii="Arial" w:hAnsi="Arial"/>
          <w:rtl/>
        </w:rPr>
      </w:pPr>
      <w:r>
        <w:rPr>
          <w:rFonts w:ascii="Arial" w:hAnsi="Arial"/>
          <w:rtl/>
        </w:rPr>
        <w:t xml:space="preserve">שנפגע. מדובר במי שגידל סם מסוכן בכמויות ניכרות והיווה חלק מרכזי בשרשרת עבירות הסם. כמות הסם שגודלה על ידי הנאשם משליכה באופן ישיר על מידת הפגיעה בערך החברתי. כאמור לעיל, המאשימה אף הפנתה לתצלומי הגידולים והציוד במבנה כהוכחה להיקף פעילות הנאשם. </w:t>
      </w:r>
    </w:p>
    <w:p w14:paraId="5285FEEF" w14:textId="77777777" w:rsidR="004338D4" w:rsidRDefault="004338D4">
      <w:pPr>
        <w:spacing w:line="360" w:lineRule="auto"/>
        <w:jc w:val="both"/>
        <w:rPr>
          <w:rFonts w:ascii="Arial" w:hAnsi="Arial"/>
          <w:rtl/>
        </w:rPr>
      </w:pPr>
    </w:p>
    <w:p w14:paraId="799205F1" w14:textId="77777777" w:rsidR="004338D4" w:rsidRDefault="00612864">
      <w:pPr>
        <w:spacing w:line="360" w:lineRule="auto"/>
        <w:ind w:left="720"/>
        <w:jc w:val="both"/>
        <w:rPr>
          <w:rFonts w:ascii="Arial" w:hAnsi="Arial"/>
          <w:rtl/>
        </w:rPr>
      </w:pPr>
      <w:r>
        <w:rPr>
          <w:rFonts w:ascii="Arial" w:hAnsi="Arial"/>
          <w:rtl/>
        </w:rPr>
        <w:t xml:space="preserve">לעניין רמת הענישה הנוהגת הפנתה המאשימה לפסיקה מגוונת: </w:t>
      </w:r>
      <w:hyperlink r:id="rId17" w:history="1">
        <w:r w:rsidRPr="00612864">
          <w:rPr>
            <w:rFonts w:ascii="Arial" w:hAnsi="Arial"/>
            <w:color w:val="0000FF"/>
            <w:u w:val="single"/>
            <w:rtl/>
          </w:rPr>
          <w:t>ת"פ (מחוזי מרכז) 30278-05-12</w:t>
        </w:r>
      </w:hyperlink>
      <w:r>
        <w:rPr>
          <w:rFonts w:ascii="Arial" w:hAnsi="Arial"/>
          <w:rtl/>
        </w:rPr>
        <w:t xml:space="preserve"> </w:t>
      </w:r>
      <w:r>
        <w:rPr>
          <w:rFonts w:ascii="Arial" w:hAnsi="Arial"/>
          <w:b/>
          <w:bCs/>
          <w:rtl/>
        </w:rPr>
        <w:t>מ"י נ' בן שמעון</w:t>
      </w:r>
      <w:r>
        <w:rPr>
          <w:rFonts w:ascii="Arial" w:hAnsi="Arial"/>
          <w:rtl/>
        </w:rPr>
        <w:t xml:space="preserve">, 20.2.14 - באותו מקרה גידל הנאשם קנביס במשקל של כ – 33 ק"ג. ביהמ"ש קבע מתחם בין 18 ל 30 חודשי מאסר והשית (לאחר הליך של גמילה) 23 חודשי מאסר בפועל; </w:t>
      </w:r>
      <w:hyperlink r:id="rId18" w:history="1">
        <w:r w:rsidRPr="00612864">
          <w:rPr>
            <w:rFonts w:ascii="Arial" w:hAnsi="Arial"/>
            <w:color w:val="0000FF"/>
            <w:u w:val="single"/>
            <w:rtl/>
          </w:rPr>
          <w:t>ת"פ (מחוזי נצרת) 47406-05-12</w:t>
        </w:r>
      </w:hyperlink>
      <w:r>
        <w:rPr>
          <w:rFonts w:ascii="Arial" w:hAnsi="Arial"/>
          <w:rtl/>
        </w:rPr>
        <w:t xml:space="preserve"> </w:t>
      </w:r>
      <w:r>
        <w:rPr>
          <w:rFonts w:ascii="Arial" w:hAnsi="Arial"/>
          <w:b/>
          <w:bCs/>
          <w:rtl/>
        </w:rPr>
        <w:t>מ"י נ' קלופ</w:t>
      </w:r>
      <w:r>
        <w:rPr>
          <w:rFonts w:ascii="Arial" w:hAnsi="Arial"/>
          <w:rtl/>
        </w:rPr>
        <w:t xml:space="preserve">, 2.12.12 – באותו מקרה נידון עניינו של נאשם, נעדר עבר פלילי, שגידל קנביס במשקל של כ 24 ק"ג. ביהמ"ש קבע מתחם של בין שנה ל 6 שנות מאסר וגזר בסופו של דבר 30 חודשי מאסר וכן קנס של 50,000 ₪; </w:t>
      </w:r>
      <w:hyperlink r:id="rId19" w:history="1">
        <w:r w:rsidRPr="00612864">
          <w:rPr>
            <w:rFonts w:ascii="Arial" w:hAnsi="Arial"/>
            <w:color w:val="0000FF"/>
            <w:u w:val="single"/>
            <w:rtl/>
          </w:rPr>
          <w:t>רע"פ 6987/13</w:t>
        </w:r>
      </w:hyperlink>
      <w:r>
        <w:rPr>
          <w:rFonts w:ascii="Arial" w:hAnsi="Arial"/>
          <w:rtl/>
        </w:rPr>
        <w:t xml:space="preserve"> </w:t>
      </w:r>
      <w:r>
        <w:rPr>
          <w:rFonts w:ascii="Arial" w:hAnsi="Arial"/>
          <w:b/>
          <w:bCs/>
          <w:rtl/>
        </w:rPr>
        <w:t>אברמוב נ' מ"י</w:t>
      </w:r>
      <w:r>
        <w:rPr>
          <w:rFonts w:ascii="Arial" w:hAnsi="Arial"/>
          <w:rtl/>
        </w:rPr>
        <w:t xml:space="preserve">, 21.10.13 - נדחתה רשות ערעור על מי שגידל כ – 10 ק"ג קנביס ונידון ל 12 חודשי מאסר. ע"פ (מחוזי מרכז) 18489-01-14 </w:t>
      </w:r>
      <w:r>
        <w:rPr>
          <w:rFonts w:ascii="Arial" w:hAnsi="Arial"/>
          <w:b/>
          <w:bCs/>
          <w:rtl/>
        </w:rPr>
        <w:t>בן משה נ' מ"י</w:t>
      </w:r>
      <w:r>
        <w:rPr>
          <w:rFonts w:ascii="Arial" w:hAnsi="Arial"/>
          <w:rtl/>
        </w:rPr>
        <w:t xml:space="preserve">, 21.3.14 שם נדחה ערעורו של מי שגידל 41 ק"ג קנביס ונדון ל 28 חודשי מאסר וכן קנס של 45,000 ₪. </w:t>
      </w:r>
    </w:p>
    <w:p w14:paraId="71FAD6B3" w14:textId="77777777" w:rsidR="004338D4" w:rsidRDefault="004338D4">
      <w:pPr>
        <w:spacing w:line="360" w:lineRule="auto"/>
        <w:jc w:val="both"/>
        <w:rPr>
          <w:rFonts w:ascii="Arial" w:hAnsi="Arial"/>
          <w:rtl/>
        </w:rPr>
      </w:pPr>
    </w:p>
    <w:p w14:paraId="3F0B7D73" w14:textId="77777777" w:rsidR="004338D4" w:rsidRDefault="00612864">
      <w:pPr>
        <w:spacing w:line="360" w:lineRule="auto"/>
        <w:ind w:left="720"/>
        <w:jc w:val="both"/>
        <w:rPr>
          <w:rFonts w:ascii="Arial" w:hAnsi="Arial"/>
          <w:rtl/>
        </w:rPr>
      </w:pPr>
      <w:r>
        <w:rPr>
          <w:rFonts w:ascii="Arial" w:hAnsi="Arial"/>
          <w:rtl/>
        </w:rPr>
        <w:t xml:space="preserve">המאשימה הדגישה את האופי השיטתי והמחושב שבמעשי הנאשם. מעבר לסוגיית הכמות, ניתן דגש לאמצעים בהם הצטייד הנאשם (משקלים אלקטרוניים, מדי טמפרטורה, מערכות תאורה וגופי חימום וכו'). עוד הופנה בית המשפט  לנזק שהיה צפוי להיגרם מביצוע העבירה. מדובר בכמות אדירה שיכולה היתה – אלמלא נתפסה – להיות מופצת לצרכני סמים רבים והכל בשל בצע כסף. </w:t>
      </w:r>
    </w:p>
    <w:p w14:paraId="36D87853" w14:textId="77777777" w:rsidR="004338D4" w:rsidRDefault="004338D4">
      <w:pPr>
        <w:spacing w:line="360" w:lineRule="auto"/>
        <w:jc w:val="both"/>
        <w:rPr>
          <w:rFonts w:ascii="Arial" w:hAnsi="Arial"/>
          <w:rtl/>
        </w:rPr>
      </w:pPr>
    </w:p>
    <w:p w14:paraId="298CCFEF" w14:textId="77777777" w:rsidR="004338D4" w:rsidRDefault="00612864">
      <w:pPr>
        <w:spacing w:line="360" w:lineRule="auto"/>
        <w:ind w:left="720"/>
        <w:jc w:val="both"/>
        <w:rPr>
          <w:rFonts w:ascii="Arial" w:hAnsi="Arial"/>
          <w:rtl/>
        </w:rPr>
      </w:pPr>
      <w:r>
        <w:rPr>
          <w:rFonts w:ascii="Arial" w:hAnsi="Arial"/>
          <w:rtl/>
        </w:rPr>
        <w:t xml:space="preserve">לכן, טענה המאשימה כי מתחם העונש ההולם  בעניינו של הנאשם הינו בן 3 ל – 6 שנות מאסר. </w:t>
      </w:r>
    </w:p>
    <w:p w14:paraId="1A11DE1E" w14:textId="77777777" w:rsidR="004338D4" w:rsidRDefault="004338D4">
      <w:pPr>
        <w:spacing w:line="360" w:lineRule="auto"/>
        <w:jc w:val="both"/>
        <w:rPr>
          <w:rFonts w:ascii="Arial" w:hAnsi="Arial"/>
          <w:rtl/>
        </w:rPr>
      </w:pPr>
    </w:p>
    <w:p w14:paraId="3A82D3A8" w14:textId="77777777" w:rsidR="004338D4" w:rsidRDefault="00612864">
      <w:pPr>
        <w:spacing w:line="360" w:lineRule="auto"/>
        <w:ind w:left="720"/>
        <w:jc w:val="both"/>
        <w:rPr>
          <w:rFonts w:ascii="Arial" w:hAnsi="Arial"/>
          <w:rtl/>
        </w:rPr>
      </w:pPr>
      <w:r>
        <w:rPr>
          <w:rFonts w:ascii="Arial" w:hAnsi="Arial"/>
          <w:rtl/>
        </w:rPr>
        <w:t xml:space="preserve">באשר לקביעת העונש בתוך המתחם, טענה המאשימה כי לאור חומרת המעשים, אין ליתן לנסיבותיו של הנאשם משקל משמעותי וכי יש לתת דגש לאינטרס הציבורי. עוד הופנה בית המשפט להרשעותיו הקודמות של הנאשם (הגם שאינן מכבידות באופן יחסי) ולכך כי יש מקום ליתן משקל לשיקול הרתעת הרבים בתוך מתחם העונש. </w:t>
      </w:r>
    </w:p>
    <w:p w14:paraId="47FE94B2" w14:textId="77777777" w:rsidR="004338D4" w:rsidRDefault="004338D4">
      <w:pPr>
        <w:spacing w:line="360" w:lineRule="auto"/>
        <w:jc w:val="both"/>
        <w:rPr>
          <w:rFonts w:ascii="Arial" w:hAnsi="Arial"/>
          <w:rtl/>
        </w:rPr>
      </w:pPr>
    </w:p>
    <w:p w14:paraId="0C9B4124" w14:textId="77777777" w:rsidR="004338D4" w:rsidRDefault="00612864">
      <w:pPr>
        <w:spacing w:line="360" w:lineRule="auto"/>
        <w:ind w:firstLine="720"/>
        <w:jc w:val="both"/>
        <w:rPr>
          <w:rFonts w:ascii="Arial" w:hAnsi="Arial"/>
          <w:rtl/>
        </w:rPr>
      </w:pPr>
      <w:r>
        <w:rPr>
          <w:rFonts w:ascii="Arial" w:hAnsi="Arial"/>
          <w:rtl/>
        </w:rPr>
        <w:t>לכן, סברה המאשימה כי יש למקם את עונשו של הנאשם במרכזו של מתחם העונש לעיל.</w:t>
      </w:r>
    </w:p>
    <w:p w14:paraId="3B1EB8B4" w14:textId="77777777" w:rsidR="004338D4" w:rsidRDefault="00612864">
      <w:pPr>
        <w:spacing w:line="360" w:lineRule="auto"/>
        <w:jc w:val="both"/>
        <w:rPr>
          <w:rFonts w:ascii="Arial" w:hAnsi="Arial"/>
          <w:rtl/>
        </w:rPr>
      </w:pPr>
      <w:r>
        <w:rPr>
          <w:rFonts w:ascii="Arial" w:hAnsi="Arial"/>
          <w:rtl/>
        </w:rPr>
        <w:t xml:space="preserve"> </w:t>
      </w:r>
    </w:p>
    <w:p w14:paraId="24A094D4" w14:textId="77777777" w:rsidR="004338D4" w:rsidRDefault="00612864">
      <w:pPr>
        <w:spacing w:line="360" w:lineRule="auto"/>
        <w:jc w:val="both"/>
        <w:rPr>
          <w:rFonts w:ascii="Arial" w:hAnsi="Arial"/>
          <w:rtl/>
        </w:rPr>
      </w:pPr>
      <w:r>
        <w:rPr>
          <w:rFonts w:ascii="Arial" w:hAnsi="Arial"/>
          <w:rtl/>
        </w:rPr>
        <w:t>7.</w:t>
      </w:r>
      <w:r>
        <w:rPr>
          <w:rFonts w:ascii="Arial" w:hAnsi="Arial"/>
          <w:rtl/>
        </w:rPr>
        <w:tab/>
        <w:t xml:space="preserve">ב"כ הנאשם לא חלק על חומרת המעשים בהם הורשע הנאשם. יחד עם זאת, ומבלי להפחית </w:t>
      </w:r>
    </w:p>
    <w:p w14:paraId="3F7A4EC6" w14:textId="77777777" w:rsidR="004338D4" w:rsidRDefault="00612864">
      <w:pPr>
        <w:spacing w:line="360" w:lineRule="auto"/>
        <w:ind w:left="720"/>
        <w:jc w:val="both"/>
        <w:rPr>
          <w:rFonts w:ascii="Arial" w:hAnsi="Arial"/>
          <w:rtl/>
        </w:rPr>
      </w:pPr>
      <w:r>
        <w:rPr>
          <w:rFonts w:ascii="Arial" w:hAnsi="Arial"/>
          <w:rtl/>
        </w:rPr>
        <w:t xml:space="preserve">מחומרת המעשים, נטען כי הכמות המצויינת בכתב האישום (כ 60 ק"ג) עשויה להטעות שכן אלמלא היה הנאשם נתפס, כמות הסם שהיתה מגיע בסופו של דבר ל"שימוש" היתה קטנה בהרבה. </w:t>
      </w:r>
    </w:p>
    <w:p w14:paraId="522CDFE4" w14:textId="77777777" w:rsidR="004338D4" w:rsidRDefault="004338D4">
      <w:pPr>
        <w:spacing w:line="360" w:lineRule="auto"/>
        <w:jc w:val="both"/>
        <w:rPr>
          <w:rFonts w:ascii="Arial" w:hAnsi="Arial"/>
          <w:rtl/>
        </w:rPr>
      </w:pPr>
    </w:p>
    <w:p w14:paraId="1E95FF21" w14:textId="77777777" w:rsidR="004338D4" w:rsidRDefault="00612864">
      <w:pPr>
        <w:spacing w:line="360" w:lineRule="auto"/>
        <w:ind w:left="720"/>
        <w:jc w:val="both"/>
        <w:rPr>
          <w:rFonts w:ascii="Arial" w:hAnsi="Arial"/>
          <w:rtl/>
        </w:rPr>
      </w:pPr>
      <w:r>
        <w:rPr>
          <w:rFonts w:ascii="Arial" w:hAnsi="Arial"/>
          <w:rtl/>
        </w:rPr>
        <w:t xml:space="preserve">לעניין רמת הענישה הנוהגת הפנה ב"כ הנאשם לפסיקה אשר תומכת ברמת ענישה נמוכה מזו שלה טענה המאשימה: </w:t>
      </w:r>
      <w:hyperlink r:id="rId20" w:history="1">
        <w:r w:rsidRPr="00612864">
          <w:rPr>
            <w:rFonts w:ascii="Arial" w:hAnsi="Arial"/>
            <w:color w:val="0000FF"/>
            <w:u w:val="single"/>
            <w:rtl/>
          </w:rPr>
          <w:t>ע"פ 51112/12</w:t>
        </w:r>
      </w:hyperlink>
      <w:r>
        <w:rPr>
          <w:rFonts w:ascii="Arial" w:hAnsi="Arial"/>
          <w:rtl/>
        </w:rPr>
        <w:t xml:space="preserve"> </w:t>
      </w:r>
      <w:r>
        <w:rPr>
          <w:rFonts w:ascii="Arial" w:hAnsi="Arial"/>
          <w:b/>
          <w:bCs/>
          <w:rtl/>
        </w:rPr>
        <w:t>ברכה ואח' נ' מ"י</w:t>
      </w:r>
      <w:r>
        <w:rPr>
          <w:rFonts w:ascii="Arial" w:hAnsi="Arial"/>
          <w:rtl/>
        </w:rPr>
        <w:t xml:space="preserve">, 18.11.12 – באותו מקרה נתפסו אצל הנאשמים כ – 60 ק"ג סם מסוכן מסוג חשיש (ולא צמחי קנביס כבמקרה שבפנינו) והנאשמים הורשעו בעבירות חמורות אחרות של סחר. חרף זאת רף הענישה העליון באותה פרשה היה 3 שנות מאסר; </w:t>
      </w:r>
      <w:hyperlink r:id="rId21" w:history="1">
        <w:r w:rsidRPr="00612864">
          <w:rPr>
            <w:rFonts w:ascii="Arial" w:hAnsi="Arial"/>
            <w:color w:val="0000FF"/>
            <w:u w:val="single"/>
            <w:rtl/>
          </w:rPr>
          <w:t>ת.פ. (מחוזי מרכז) 32746-11-09</w:t>
        </w:r>
      </w:hyperlink>
      <w:r>
        <w:rPr>
          <w:rFonts w:ascii="Arial" w:hAnsi="Arial"/>
          <w:rtl/>
        </w:rPr>
        <w:t xml:space="preserve">, </w:t>
      </w:r>
      <w:r>
        <w:rPr>
          <w:rFonts w:ascii="Arial" w:hAnsi="Arial"/>
          <w:b/>
          <w:bCs/>
          <w:rtl/>
        </w:rPr>
        <w:t xml:space="preserve">מ"י נ' ביטון </w:t>
      </w:r>
      <w:r>
        <w:rPr>
          <w:rFonts w:ascii="Arial" w:hAnsi="Arial"/>
          <w:rtl/>
        </w:rPr>
        <w:t xml:space="preserve">ואח', 12.7.10 – הנאשמים גידלו קנביס במשקל של כ 90 ק"ג ונידונו ל – 18 חודשי מאסר; </w:t>
      </w:r>
      <w:hyperlink r:id="rId22" w:history="1">
        <w:r w:rsidRPr="00612864">
          <w:rPr>
            <w:rFonts w:ascii="Arial" w:hAnsi="Arial"/>
            <w:color w:val="0000FF"/>
            <w:u w:val="single"/>
            <w:rtl/>
          </w:rPr>
          <w:t>ת"פ (מחוזי ירושלים) 213/08</w:t>
        </w:r>
      </w:hyperlink>
      <w:r>
        <w:rPr>
          <w:rFonts w:ascii="Arial" w:hAnsi="Arial"/>
          <w:rtl/>
        </w:rPr>
        <w:t xml:space="preserve"> </w:t>
      </w:r>
      <w:r>
        <w:rPr>
          <w:rFonts w:ascii="Arial" w:hAnsi="Arial"/>
          <w:b/>
          <w:bCs/>
          <w:rtl/>
        </w:rPr>
        <w:t>מ"י נ' חסון</w:t>
      </w:r>
      <w:r>
        <w:rPr>
          <w:rFonts w:ascii="Arial" w:hAnsi="Arial"/>
          <w:rtl/>
        </w:rPr>
        <w:t xml:space="preserve">, 25.6.09 – הנאשמים הורשעו במספר מקרים שבהם גידלו סם מסוכן מסוג חשיש וכן בעבירות סחר שונות ונידונו ל- 30 חודשי מאסר. </w:t>
      </w:r>
      <w:hyperlink r:id="rId23" w:history="1">
        <w:r w:rsidRPr="00612864">
          <w:rPr>
            <w:rFonts w:ascii="Arial" w:hAnsi="Arial"/>
            <w:color w:val="0000FF"/>
            <w:u w:val="single"/>
            <w:rtl/>
          </w:rPr>
          <w:t>ת"פ (שלום פתח תקווה) 3001-08-12</w:t>
        </w:r>
      </w:hyperlink>
      <w:r>
        <w:rPr>
          <w:rFonts w:ascii="Arial" w:hAnsi="Arial"/>
          <w:rtl/>
        </w:rPr>
        <w:t xml:space="preserve"> </w:t>
      </w:r>
      <w:r>
        <w:rPr>
          <w:rFonts w:ascii="Arial" w:hAnsi="Arial"/>
          <w:b/>
          <w:bCs/>
          <w:rtl/>
        </w:rPr>
        <w:t>מ"י נ' עמר</w:t>
      </w:r>
      <w:r>
        <w:rPr>
          <w:rFonts w:ascii="Arial" w:hAnsi="Arial"/>
          <w:rtl/>
        </w:rPr>
        <w:t xml:space="preserve">, 24.3.14 – הנאשם גידל קנביס במשקל של כ 36 ק"ג ונידון ל 13 חודשי מאסר. </w:t>
      </w:r>
      <w:hyperlink r:id="rId24" w:history="1">
        <w:r w:rsidRPr="00612864">
          <w:rPr>
            <w:rFonts w:ascii="Arial" w:hAnsi="Arial"/>
            <w:color w:val="0000FF"/>
            <w:u w:val="single"/>
            <w:rtl/>
          </w:rPr>
          <w:t>ת"פ (מחוזי חיפה) 22336-05-12</w:t>
        </w:r>
      </w:hyperlink>
      <w:r>
        <w:rPr>
          <w:rFonts w:ascii="Arial" w:hAnsi="Arial"/>
          <w:rtl/>
        </w:rPr>
        <w:t xml:space="preserve"> </w:t>
      </w:r>
      <w:r>
        <w:rPr>
          <w:rFonts w:ascii="Arial" w:hAnsi="Arial"/>
          <w:b/>
          <w:bCs/>
          <w:rtl/>
        </w:rPr>
        <w:t>מ"י נ' אלרואי</w:t>
      </w:r>
      <w:r>
        <w:rPr>
          <w:rFonts w:ascii="Arial" w:hAnsi="Arial"/>
          <w:rtl/>
        </w:rPr>
        <w:t xml:space="preserve">, 18.7.12 – הנאשם גידל כ 30 ק"ג קנביס ונידון ל – 16 חודשי מאסר. </w:t>
      </w:r>
      <w:hyperlink r:id="rId25" w:history="1">
        <w:r w:rsidRPr="00612864">
          <w:rPr>
            <w:rFonts w:ascii="Arial" w:hAnsi="Arial"/>
            <w:color w:val="0000FF"/>
            <w:u w:val="single"/>
            <w:rtl/>
          </w:rPr>
          <w:t>ת"פ (מחוזי חיפה) 13739-03-09</w:t>
        </w:r>
      </w:hyperlink>
      <w:r>
        <w:rPr>
          <w:rFonts w:ascii="Arial" w:hAnsi="Arial"/>
          <w:rtl/>
        </w:rPr>
        <w:t xml:space="preserve"> </w:t>
      </w:r>
      <w:r>
        <w:rPr>
          <w:rFonts w:ascii="Arial" w:hAnsi="Arial"/>
          <w:b/>
          <w:bCs/>
          <w:rtl/>
        </w:rPr>
        <w:t>מ"י נ' ואן אוסט</w:t>
      </w:r>
      <w:r>
        <w:rPr>
          <w:rFonts w:ascii="Arial" w:hAnsi="Arial"/>
          <w:rtl/>
        </w:rPr>
        <w:t xml:space="preserve">, 11.1.10 – הנאשם גידל קנביס במשקל של כ  87 ק"ג ונידון ל – 27 חודשי מאסר. </w:t>
      </w:r>
    </w:p>
    <w:p w14:paraId="7B694B88" w14:textId="77777777" w:rsidR="004338D4" w:rsidRDefault="004338D4">
      <w:pPr>
        <w:spacing w:line="360" w:lineRule="auto"/>
        <w:jc w:val="both"/>
        <w:rPr>
          <w:rFonts w:ascii="Arial" w:hAnsi="Arial"/>
          <w:rtl/>
        </w:rPr>
      </w:pPr>
    </w:p>
    <w:p w14:paraId="1183A99A" w14:textId="77777777" w:rsidR="004338D4" w:rsidRDefault="00612864">
      <w:pPr>
        <w:spacing w:line="360" w:lineRule="auto"/>
        <w:ind w:left="720"/>
        <w:jc w:val="both"/>
        <w:rPr>
          <w:rFonts w:ascii="Arial" w:hAnsi="Arial"/>
          <w:rtl/>
        </w:rPr>
      </w:pPr>
      <w:r>
        <w:rPr>
          <w:rFonts w:ascii="Arial" w:hAnsi="Arial"/>
          <w:rtl/>
        </w:rPr>
        <w:t xml:space="preserve">על רקע האמור לעיל, טען ב"כ הנאשם כי מתחם העונש הראוי צריך לנוע בין מספר חודשי מאסר ועד כ 30 חודשי מאסר. לעניין העונש בתוך המתחם נטען כי אם בית המשפט לא יורה על הליך גמילה (כשלגבי הליך זה נטען בצורה רפה, ובצדק) העונש צריך להיות באזור הרף התחתון וזאת משום שהנאשם אינו נושא לחובתו עבר פלילי משמעותי וכן משום הודייתו בפתח משפטו. בהקשר האחרון נטען כי חרף העובדה שבידי הנאשם היתה פתוחה האפשרות לטעון לשחרור, הוא בחר להיוותר עצור כדי שיוכל לסיים את ההליך המשפטי במהירות האפשרית ולשקם את חייו. </w:t>
      </w:r>
    </w:p>
    <w:p w14:paraId="030E42E7" w14:textId="77777777" w:rsidR="004338D4" w:rsidRDefault="004338D4">
      <w:pPr>
        <w:spacing w:line="360" w:lineRule="auto"/>
        <w:jc w:val="both"/>
        <w:rPr>
          <w:rFonts w:ascii="Arial" w:hAnsi="Arial"/>
          <w:rtl/>
        </w:rPr>
      </w:pPr>
    </w:p>
    <w:p w14:paraId="5529561C" w14:textId="77777777" w:rsidR="004338D4" w:rsidRDefault="00612864">
      <w:pPr>
        <w:spacing w:line="360" w:lineRule="auto"/>
        <w:jc w:val="both"/>
        <w:rPr>
          <w:rFonts w:ascii="Arial" w:hAnsi="Arial"/>
          <w:rtl/>
        </w:rPr>
      </w:pPr>
      <w:r>
        <w:rPr>
          <w:rFonts w:ascii="Arial" w:hAnsi="Arial"/>
          <w:rtl/>
        </w:rPr>
        <w:t>8.</w:t>
      </w:r>
      <w:r>
        <w:rPr>
          <w:rFonts w:ascii="Arial" w:hAnsi="Arial"/>
          <w:rtl/>
        </w:rPr>
        <w:tab/>
        <w:t xml:space="preserve">בדבריו בטרם גזר הדין טען הנאשם כי הוא מצטער על מעשיו. עוד מסר הנאשם כי מאסרו </w:t>
      </w:r>
    </w:p>
    <w:p w14:paraId="2DD940E0" w14:textId="77777777" w:rsidR="004338D4" w:rsidRDefault="00612864">
      <w:pPr>
        <w:spacing w:line="360" w:lineRule="auto"/>
        <w:jc w:val="both"/>
        <w:rPr>
          <w:rFonts w:ascii="Arial" w:hAnsi="Arial"/>
          <w:rtl/>
        </w:rPr>
      </w:pPr>
      <w:r>
        <w:rPr>
          <w:rFonts w:ascii="Arial" w:hAnsi="Arial" w:hint="cs"/>
          <w:rtl/>
        </w:rPr>
        <w:tab/>
      </w:r>
      <w:r>
        <w:rPr>
          <w:rFonts w:ascii="Arial" w:hAnsi="Arial"/>
          <w:rtl/>
        </w:rPr>
        <w:t xml:space="preserve">אינו קל לו וכי הוא מקווה להשתלב בגמילה בין כותלי הכלא. </w:t>
      </w:r>
    </w:p>
    <w:p w14:paraId="029A8D8C" w14:textId="77777777" w:rsidR="004338D4" w:rsidRDefault="004338D4">
      <w:pPr>
        <w:spacing w:line="360" w:lineRule="auto"/>
        <w:jc w:val="both"/>
        <w:rPr>
          <w:rFonts w:ascii="Arial" w:hAnsi="Arial"/>
          <w:rtl/>
        </w:rPr>
      </w:pPr>
    </w:p>
    <w:p w14:paraId="7E34E1DD" w14:textId="77777777" w:rsidR="004338D4" w:rsidRDefault="00612864">
      <w:pPr>
        <w:spacing w:line="360" w:lineRule="auto"/>
        <w:jc w:val="both"/>
        <w:rPr>
          <w:rFonts w:ascii="Arial" w:hAnsi="Arial"/>
          <w:rtl/>
        </w:rPr>
      </w:pPr>
      <w:r>
        <w:rPr>
          <w:rFonts w:ascii="Arial" w:hAnsi="Arial"/>
          <w:rtl/>
        </w:rPr>
        <w:t>9.</w:t>
      </w:r>
      <w:r>
        <w:rPr>
          <w:rFonts w:ascii="Arial" w:hAnsi="Arial"/>
          <w:rtl/>
        </w:rPr>
        <w:tab/>
        <w:t xml:space="preserve">לשם גזירת דינו של הנאשם יש להבנות את העונש לפי הקווים המנחים שהתווה תיקון 113 </w:t>
      </w:r>
    </w:p>
    <w:p w14:paraId="4DC9C95B" w14:textId="77777777" w:rsidR="004338D4" w:rsidRDefault="00612864">
      <w:pPr>
        <w:spacing w:line="360" w:lineRule="auto"/>
        <w:ind w:left="720"/>
        <w:jc w:val="both"/>
        <w:rPr>
          <w:rFonts w:ascii="Arial" w:hAnsi="Arial"/>
          <w:rtl/>
        </w:rPr>
      </w:pPr>
      <w:r>
        <w:rPr>
          <w:rFonts w:ascii="Arial" w:hAnsi="Arial"/>
          <w:rtl/>
        </w:rPr>
        <w:t>ל</w:t>
      </w:r>
      <w:hyperlink r:id="rId26" w:history="1">
        <w:r w:rsidRPr="00612864">
          <w:rPr>
            <w:rFonts w:ascii="Arial" w:hAnsi="Arial"/>
            <w:color w:val="0000FF"/>
            <w:u w:val="single"/>
            <w:rtl/>
          </w:rPr>
          <w:t>חוק העונשין</w:t>
        </w:r>
      </w:hyperlink>
      <w:r>
        <w:rPr>
          <w:rFonts w:ascii="Arial" w:hAnsi="Arial"/>
          <w:rtl/>
        </w:rPr>
        <w:t>. העיקרון המנחה בענישה הוא עקרון ההלימה, היינו קיומו של יחס הולם בין חומרת מעשה העבירה בנסיבותיו ומידת אשמו של הנאשם ובין סוג ומידת העונש המוטל עליו; ובקצרה, העונש הראוי לעבריין ייגזר ממידת אשמו ומחומרת מעשיו. תיקון 113 הגדיר את ההיררכיה בין שיקולי הענישה, וזאת לפי הסדר הבא: הלימה, שיקום, הגנה על שלום הציבור, הרתעה אישית והרתעת הרבים. בעוד שיקול ההלימה הוא שיקול גמולי; יתר השיקולים הינם שיקולים תועלתניים (ולהרחבה בהקשר זה ר' את מאמרו של כב' השופט עמי קובו, "</w:t>
      </w:r>
      <w:r>
        <w:rPr>
          <w:rFonts w:ascii="Arial" w:hAnsi="Arial"/>
          <w:b/>
          <w:bCs/>
          <w:rtl/>
        </w:rPr>
        <w:t>מבחן הולם למערכת המשפט</w:t>
      </w:r>
      <w:r>
        <w:rPr>
          <w:rFonts w:ascii="Arial" w:hAnsi="Arial"/>
          <w:rtl/>
        </w:rPr>
        <w:t xml:space="preserve">", ירחון הסניגור ינואר 2014 עמ' 76). קביעת העונש נעשית במספר שלבים. בשלב המקדמי יש לבחון באם מדובר בהרשעה בעבירה אחת או במספר עבירות. באם מדובר בהרשעה במספר עבירות, אזי יש לקבוע באם הן מהוות אירוע אחד, או כמה אירועים נפרדים. בענייננו, מדובר באירוע אחד ועבירה אחת. </w:t>
      </w:r>
    </w:p>
    <w:p w14:paraId="513E9262" w14:textId="77777777" w:rsidR="004338D4" w:rsidRDefault="004338D4">
      <w:pPr>
        <w:spacing w:line="360" w:lineRule="auto"/>
        <w:jc w:val="both"/>
        <w:rPr>
          <w:rFonts w:ascii="Arial" w:hAnsi="Arial"/>
          <w:rtl/>
        </w:rPr>
      </w:pPr>
    </w:p>
    <w:p w14:paraId="688289C6" w14:textId="77777777" w:rsidR="004338D4" w:rsidRDefault="00612864">
      <w:pPr>
        <w:spacing w:line="360" w:lineRule="auto"/>
        <w:jc w:val="both"/>
        <w:rPr>
          <w:rFonts w:ascii="Arial" w:hAnsi="Arial"/>
          <w:rtl/>
        </w:rPr>
      </w:pPr>
      <w:r>
        <w:rPr>
          <w:rFonts w:ascii="Arial" w:hAnsi="Arial"/>
          <w:rtl/>
        </w:rPr>
        <w:t>10.</w:t>
      </w:r>
      <w:r>
        <w:rPr>
          <w:rFonts w:ascii="Arial" w:hAnsi="Arial"/>
          <w:rtl/>
        </w:rPr>
        <w:tab/>
        <w:t xml:space="preserve"> השלב הבא הוא שלב קביעת מתחם העונש ההולם. מדובר במתחם נורמטיבי אובייקטיבי, </w:t>
      </w:r>
    </w:p>
    <w:p w14:paraId="72EC5867" w14:textId="77777777" w:rsidR="004338D4" w:rsidRDefault="00612864">
      <w:pPr>
        <w:spacing w:line="360" w:lineRule="auto"/>
        <w:ind w:left="720"/>
        <w:jc w:val="both"/>
        <w:rPr>
          <w:rFonts w:ascii="Arial" w:hAnsi="Arial"/>
          <w:rtl/>
        </w:rPr>
      </w:pPr>
      <w:r>
        <w:rPr>
          <w:rFonts w:ascii="Arial" w:hAnsi="Arial"/>
          <w:rtl/>
        </w:rPr>
        <w:t>כאשר לשם כך נלקחים במסגרת השיקולים: (1) הערך החברתי שנפגע מביצוע העבירה ומידת הפגיעה בערך זה; (2) מדיניות הענישה הנהוגה; ו(3) נסיבות הקשורות בביצוע העבירה. המתחם מתייחס למקרה קונקרטי ולא ניתן לקבוע מראש מתחם על פי העבירה בלבד (ור' בנדון, לדוגמה, האמור ב</w:t>
      </w:r>
      <w:hyperlink r:id="rId27" w:history="1">
        <w:r w:rsidRPr="00612864">
          <w:rPr>
            <w:rFonts w:ascii="Arial" w:hAnsi="Arial"/>
            <w:color w:val="0000FF"/>
            <w:u w:val="single"/>
            <w:rtl/>
          </w:rPr>
          <w:t>רע"פ 4088/13</w:t>
        </w:r>
      </w:hyperlink>
      <w:r>
        <w:rPr>
          <w:rFonts w:ascii="Arial" w:hAnsi="Arial"/>
          <w:rtl/>
        </w:rPr>
        <w:t xml:space="preserve"> </w:t>
      </w:r>
      <w:r>
        <w:rPr>
          <w:rFonts w:ascii="Arial" w:hAnsi="Arial"/>
          <w:b/>
          <w:bCs/>
          <w:rtl/>
        </w:rPr>
        <w:t>אחמד הדרי נ' מ"י</w:t>
      </w:r>
      <w:r>
        <w:rPr>
          <w:rFonts w:ascii="Arial" w:hAnsi="Arial"/>
          <w:rtl/>
        </w:rPr>
        <w:t xml:space="preserve">, 11.6.13; </w:t>
      </w:r>
      <w:hyperlink r:id="rId28" w:history="1">
        <w:r w:rsidRPr="00612864">
          <w:rPr>
            <w:rFonts w:ascii="Arial" w:hAnsi="Arial"/>
            <w:color w:val="0000FF"/>
            <w:u w:val="single"/>
            <w:rtl/>
          </w:rPr>
          <w:t>ע"פ 8641/12</w:t>
        </w:r>
      </w:hyperlink>
      <w:r>
        <w:rPr>
          <w:rFonts w:ascii="Arial" w:hAnsi="Arial"/>
          <w:rtl/>
        </w:rPr>
        <w:t xml:space="preserve"> </w:t>
      </w:r>
      <w:r>
        <w:rPr>
          <w:rFonts w:ascii="Arial" w:hAnsi="Arial"/>
          <w:b/>
          <w:bCs/>
          <w:rtl/>
        </w:rPr>
        <w:t>סעד נ' מ"י</w:t>
      </w:r>
      <w:r>
        <w:rPr>
          <w:rFonts w:ascii="Arial" w:hAnsi="Arial"/>
          <w:rtl/>
        </w:rPr>
        <w:t xml:space="preserve">, 5.8.13; </w:t>
      </w:r>
      <w:hyperlink r:id="rId29" w:history="1">
        <w:r w:rsidRPr="00612864">
          <w:rPr>
            <w:rFonts w:ascii="Arial" w:hAnsi="Arial"/>
            <w:color w:val="0000FF"/>
            <w:u w:val="single"/>
            <w:rtl/>
          </w:rPr>
          <w:t>ע"פ 1323/13</w:t>
        </w:r>
      </w:hyperlink>
      <w:r>
        <w:rPr>
          <w:rFonts w:ascii="Arial" w:hAnsi="Arial"/>
          <w:rtl/>
        </w:rPr>
        <w:t xml:space="preserve"> </w:t>
      </w:r>
      <w:r>
        <w:rPr>
          <w:rFonts w:ascii="Arial" w:hAnsi="Arial"/>
          <w:b/>
          <w:bCs/>
          <w:rtl/>
        </w:rPr>
        <w:t>חסן ואח' נ' מ"י</w:t>
      </w:r>
      <w:r>
        <w:rPr>
          <w:rFonts w:ascii="Arial" w:hAnsi="Arial"/>
          <w:rtl/>
        </w:rPr>
        <w:t xml:space="preserve"> 5.6.13. </w:t>
      </w:r>
    </w:p>
    <w:p w14:paraId="700861B3" w14:textId="77777777" w:rsidR="004338D4" w:rsidRDefault="004338D4">
      <w:pPr>
        <w:spacing w:line="360" w:lineRule="auto"/>
        <w:jc w:val="both"/>
        <w:rPr>
          <w:rFonts w:ascii="Arial" w:hAnsi="Arial"/>
          <w:rtl/>
        </w:rPr>
      </w:pPr>
    </w:p>
    <w:p w14:paraId="0C98FAA7" w14:textId="77777777" w:rsidR="004338D4" w:rsidRDefault="00612864">
      <w:pPr>
        <w:spacing w:line="360" w:lineRule="auto"/>
        <w:jc w:val="both"/>
        <w:rPr>
          <w:rFonts w:ascii="Arial" w:hAnsi="Arial"/>
          <w:rtl/>
        </w:rPr>
      </w:pPr>
      <w:r>
        <w:rPr>
          <w:rFonts w:ascii="Arial" w:hAnsi="Arial"/>
          <w:rtl/>
        </w:rPr>
        <w:t>11.</w:t>
      </w:r>
      <w:r>
        <w:rPr>
          <w:rFonts w:ascii="Arial" w:hAnsi="Arial"/>
          <w:rtl/>
        </w:rPr>
        <w:tab/>
        <w:t xml:space="preserve"> הערך החברתי שנפגע בענייננו הוא ההגנה מפני נזקי השימוש בסמים קשים – הן הישירים </w:t>
      </w:r>
    </w:p>
    <w:p w14:paraId="63D49E6D" w14:textId="77777777" w:rsidR="004338D4" w:rsidRDefault="00612864">
      <w:pPr>
        <w:spacing w:line="360" w:lineRule="auto"/>
        <w:ind w:left="720"/>
        <w:jc w:val="both"/>
        <w:rPr>
          <w:rFonts w:ascii="Arial" w:hAnsi="Arial"/>
          <w:rtl/>
        </w:rPr>
      </w:pPr>
      <w:r>
        <w:rPr>
          <w:rFonts w:ascii="Arial" w:hAnsi="Arial"/>
          <w:rtl/>
        </w:rPr>
        <w:t xml:space="preserve">והן העקיפים. בתי המשפט עמדו לא פעם על השפעתם ההרסנית של הסמים הקשים ועל האינטרס הציבורי הקיים בהשתת עונשים משמעותיים על מגדלי ומפיצי הסמים (ר' לדוגמה </w:t>
      </w:r>
      <w:hyperlink r:id="rId30" w:history="1">
        <w:r w:rsidRPr="00612864">
          <w:rPr>
            <w:rFonts w:ascii="Arial" w:hAnsi="Arial"/>
            <w:color w:val="0000FF"/>
            <w:u w:val="single"/>
            <w:rtl/>
          </w:rPr>
          <w:t>ע"פ 3820/09</w:t>
        </w:r>
      </w:hyperlink>
      <w:r>
        <w:rPr>
          <w:rFonts w:ascii="Arial" w:hAnsi="Arial"/>
          <w:rtl/>
        </w:rPr>
        <w:t xml:space="preserve"> </w:t>
      </w:r>
      <w:r>
        <w:rPr>
          <w:rFonts w:ascii="Arial" w:hAnsi="Arial"/>
          <w:b/>
          <w:bCs/>
          <w:rtl/>
        </w:rPr>
        <w:t>מ"י נ' אוחיון</w:t>
      </w:r>
      <w:r>
        <w:rPr>
          <w:rFonts w:ascii="Arial" w:hAnsi="Arial"/>
          <w:rtl/>
        </w:rPr>
        <w:t xml:space="preserve">, 1.9.09; </w:t>
      </w:r>
      <w:hyperlink r:id="rId31" w:history="1">
        <w:r w:rsidRPr="00612864">
          <w:rPr>
            <w:rFonts w:ascii="Arial" w:hAnsi="Arial"/>
            <w:color w:val="0000FF"/>
            <w:u w:val="single"/>
            <w:rtl/>
          </w:rPr>
          <w:t>ע"פ 2000/06</w:t>
        </w:r>
      </w:hyperlink>
      <w:r>
        <w:rPr>
          <w:rFonts w:ascii="Arial" w:hAnsi="Arial"/>
          <w:rtl/>
        </w:rPr>
        <w:t xml:space="preserve"> </w:t>
      </w:r>
      <w:r>
        <w:rPr>
          <w:rFonts w:ascii="Arial" w:hAnsi="Arial"/>
          <w:b/>
          <w:bCs/>
          <w:rtl/>
        </w:rPr>
        <w:t>מ"י נ' ויצמן</w:t>
      </w:r>
      <w:r>
        <w:rPr>
          <w:rFonts w:ascii="Arial" w:hAnsi="Arial"/>
          <w:rtl/>
        </w:rPr>
        <w:t xml:space="preserve">, 20.7.06). מידת הפגיעה בערכים אלה הינה ברמה בינונית – גבוהה, וזאת לנוכח כמות הסם והאופי ה"תעשייתי – חקלאי" שבמעשי הנאשם. </w:t>
      </w:r>
    </w:p>
    <w:p w14:paraId="6ECE998E" w14:textId="77777777" w:rsidR="004338D4" w:rsidRDefault="004338D4">
      <w:pPr>
        <w:spacing w:line="360" w:lineRule="auto"/>
        <w:jc w:val="both"/>
        <w:rPr>
          <w:rFonts w:ascii="Arial" w:hAnsi="Arial"/>
          <w:rtl/>
        </w:rPr>
      </w:pPr>
    </w:p>
    <w:p w14:paraId="06E5D440" w14:textId="77777777" w:rsidR="004338D4" w:rsidRDefault="00612864">
      <w:pPr>
        <w:spacing w:line="360" w:lineRule="auto"/>
        <w:jc w:val="both"/>
        <w:rPr>
          <w:rFonts w:ascii="Arial" w:hAnsi="Arial"/>
          <w:rtl/>
        </w:rPr>
      </w:pPr>
      <w:r>
        <w:rPr>
          <w:rFonts w:ascii="Arial" w:hAnsi="Arial"/>
          <w:rtl/>
        </w:rPr>
        <w:t>12.</w:t>
      </w:r>
      <w:r>
        <w:rPr>
          <w:rFonts w:ascii="Arial" w:hAnsi="Arial"/>
          <w:rtl/>
        </w:rPr>
        <w:tab/>
        <w:t xml:space="preserve">לעניין מדיניות הענישה הנוהגת, אין לי אלא להפנות לפסיקה המגוונת אליה הפנו ב"כ </w:t>
      </w:r>
    </w:p>
    <w:p w14:paraId="3A0C51E0" w14:textId="77777777" w:rsidR="004338D4" w:rsidRDefault="00612864">
      <w:pPr>
        <w:spacing w:line="360" w:lineRule="auto"/>
        <w:ind w:left="720"/>
        <w:jc w:val="both"/>
        <w:rPr>
          <w:rFonts w:ascii="Arial" w:hAnsi="Arial"/>
          <w:rtl/>
        </w:rPr>
      </w:pPr>
      <w:r>
        <w:rPr>
          <w:rFonts w:ascii="Arial" w:hAnsi="Arial"/>
          <w:rtl/>
        </w:rPr>
        <w:t>הצדדים. ניתן לומר כי כאשר מדובר "רק" בגידול קנביס במשקל של מספר עשרות ק"ג, רמת הענישה הינה בין 12 ל 30 חודשי מאסר (כתלות בעבר פלילי ומשקל הסם) וכאשר מדובר בכמויות קטנות יותר של מספר ק"ג "בלבד" מושתים לעתים אף עונשי מאסר לריצוי בעבודות שירות (ור' בנדון בפסיקה אשר נדונה ב</w:t>
      </w:r>
      <w:hyperlink r:id="rId32" w:history="1">
        <w:r w:rsidRPr="00612864">
          <w:rPr>
            <w:rFonts w:ascii="Arial" w:hAnsi="Arial"/>
            <w:color w:val="0000FF"/>
            <w:u w:val="single"/>
            <w:rtl/>
          </w:rPr>
          <w:t>ת.פ. 3001-08-12</w:t>
        </w:r>
      </w:hyperlink>
      <w:r>
        <w:rPr>
          <w:rFonts w:ascii="Arial" w:hAnsi="Arial"/>
          <w:rtl/>
        </w:rPr>
        <w:t xml:space="preserve"> שהוזכר לעיל בפסקה 7). </w:t>
      </w:r>
    </w:p>
    <w:p w14:paraId="05ADC1D0" w14:textId="77777777" w:rsidR="004338D4" w:rsidRDefault="004338D4">
      <w:pPr>
        <w:spacing w:line="360" w:lineRule="auto"/>
        <w:jc w:val="both"/>
        <w:rPr>
          <w:rFonts w:ascii="Arial" w:hAnsi="Arial"/>
          <w:rtl/>
        </w:rPr>
      </w:pPr>
    </w:p>
    <w:p w14:paraId="75F10E51" w14:textId="77777777" w:rsidR="004338D4" w:rsidRDefault="00612864">
      <w:pPr>
        <w:spacing w:line="360" w:lineRule="auto"/>
        <w:jc w:val="both"/>
        <w:rPr>
          <w:rFonts w:ascii="Arial" w:hAnsi="Arial"/>
          <w:rtl/>
        </w:rPr>
      </w:pPr>
      <w:r>
        <w:rPr>
          <w:rFonts w:ascii="Arial" w:hAnsi="Arial"/>
          <w:rtl/>
        </w:rPr>
        <w:t>13.</w:t>
      </w:r>
      <w:r>
        <w:rPr>
          <w:rFonts w:ascii="Arial" w:hAnsi="Arial"/>
          <w:rtl/>
        </w:rPr>
        <w:tab/>
        <w:t xml:space="preserve"> לגבי הנסיבות הנוגעות לביצוע העבירה, אין לי אלא להפנות לדבריי לעיל בנוגע לאופן </w:t>
      </w:r>
    </w:p>
    <w:p w14:paraId="3BBF3DC0" w14:textId="77777777" w:rsidR="004338D4" w:rsidRDefault="00612864">
      <w:pPr>
        <w:spacing w:line="360" w:lineRule="auto"/>
        <w:ind w:left="720"/>
        <w:jc w:val="both"/>
        <w:rPr>
          <w:rFonts w:ascii="Arial" w:hAnsi="Arial"/>
          <w:rtl/>
        </w:rPr>
      </w:pPr>
      <w:r>
        <w:rPr>
          <w:rFonts w:ascii="Arial" w:hAnsi="Arial"/>
          <w:rtl/>
        </w:rPr>
        <w:t xml:space="preserve">ה"תעשייתי – חקלאי" שבו פעל הנאשם. מדובר בגידול מסחרי לכל דבר ועניין. מעשיו של הנאשם לוו בתכנון,  הכנות קפדניות והשקעת משאבים. הנאשם מסר תחילה בפני שירות המבחן כי מעשיו היו לצורך שימוש עצמי. ייתכן וגם שימוש עצמי היה ברקע הדברים אך לנוכח היקפי הגידול ברור שמרבית התוצרת יועדה ל"ייצוא". </w:t>
      </w:r>
    </w:p>
    <w:p w14:paraId="32B0C033" w14:textId="77777777" w:rsidR="004338D4" w:rsidRDefault="004338D4">
      <w:pPr>
        <w:spacing w:line="360" w:lineRule="auto"/>
        <w:jc w:val="both"/>
        <w:rPr>
          <w:rFonts w:ascii="Arial" w:hAnsi="Arial"/>
          <w:rtl/>
        </w:rPr>
      </w:pPr>
    </w:p>
    <w:p w14:paraId="41CA2903" w14:textId="77777777" w:rsidR="004338D4" w:rsidRDefault="00612864">
      <w:pPr>
        <w:spacing w:line="360" w:lineRule="auto"/>
        <w:jc w:val="both"/>
        <w:rPr>
          <w:rFonts w:ascii="Arial" w:hAnsi="Arial"/>
          <w:rtl/>
        </w:rPr>
      </w:pPr>
      <w:r>
        <w:rPr>
          <w:rFonts w:ascii="Arial" w:hAnsi="Arial"/>
          <w:rtl/>
        </w:rPr>
        <w:t>14.</w:t>
      </w:r>
      <w:r>
        <w:rPr>
          <w:rFonts w:ascii="Arial" w:hAnsi="Arial"/>
          <w:rtl/>
        </w:rPr>
        <w:tab/>
        <w:t xml:space="preserve">לאור האמור לעיל, סבורני כי מתחם העונש ההולם נע בין 12 ועד 36 חודשי מאסר בפועל. </w:t>
      </w:r>
    </w:p>
    <w:p w14:paraId="039432AF" w14:textId="77777777" w:rsidR="004338D4" w:rsidRDefault="004338D4">
      <w:pPr>
        <w:spacing w:line="360" w:lineRule="auto"/>
        <w:jc w:val="both"/>
        <w:rPr>
          <w:rFonts w:ascii="Arial" w:hAnsi="Arial"/>
          <w:rtl/>
        </w:rPr>
      </w:pPr>
    </w:p>
    <w:p w14:paraId="676907D6" w14:textId="77777777" w:rsidR="004338D4" w:rsidRDefault="00612864">
      <w:pPr>
        <w:spacing w:line="360" w:lineRule="auto"/>
        <w:jc w:val="both"/>
        <w:rPr>
          <w:rFonts w:ascii="Arial" w:hAnsi="Arial"/>
          <w:rtl/>
        </w:rPr>
      </w:pPr>
      <w:r>
        <w:rPr>
          <w:rFonts w:ascii="Arial" w:hAnsi="Arial"/>
          <w:rtl/>
        </w:rPr>
        <w:t>15.</w:t>
      </w:r>
      <w:r>
        <w:rPr>
          <w:rFonts w:ascii="Arial" w:hAnsi="Arial"/>
          <w:rtl/>
        </w:rPr>
        <w:tab/>
        <w:t xml:space="preserve"> איני סבור שיש מקום לסטות ממתחם זה, אם לקולא ואם לחומרה. </w:t>
      </w:r>
    </w:p>
    <w:p w14:paraId="435E99A6" w14:textId="77777777" w:rsidR="004338D4" w:rsidRDefault="004338D4">
      <w:pPr>
        <w:spacing w:line="360" w:lineRule="auto"/>
        <w:jc w:val="both"/>
        <w:rPr>
          <w:rFonts w:ascii="Arial" w:hAnsi="Arial"/>
          <w:rtl/>
        </w:rPr>
      </w:pPr>
    </w:p>
    <w:p w14:paraId="1F394747" w14:textId="77777777" w:rsidR="004338D4" w:rsidRDefault="00612864">
      <w:pPr>
        <w:spacing w:line="360" w:lineRule="auto"/>
        <w:jc w:val="both"/>
        <w:rPr>
          <w:rFonts w:ascii="Arial" w:hAnsi="Arial"/>
          <w:rtl/>
        </w:rPr>
      </w:pPr>
      <w:r>
        <w:rPr>
          <w:rFonts w:ascii="Arial" w:hAnsi="Arial"/>
          <w:rtl/>
        </w:rPr>
        <w:t>16.</w:t>
      </w:r>
      <w:r>
        <w:rPr>
          <w:rFonts w:ascii="Arial" w:hAnsi="Arial"/>
          <w:rtl/>
        </w:rPr>
        <w:tab/>
        <w:t xml:space="preserve">לא נעלמה מעיני התייחסותו של שירות המבחן לאפשרות שליחתו של הנאשם להליך של </w:t>
      </w:r>
      <w:r>
        <w:rPr>
          <w:rFonts w:ascii="Arial" w:hAnsi="Arial" w:hint="cs"/>
          <w:rtl/>
        </w:rPr>
        <w:tab/>
      </w:r>
      <w:r>
        <w:rPr>
          <w:rFonts w:ascii="Arial" w:hAnsi="Arial"/>
          <w:rtl/>
        </w:rPr>
        <w:t xml:space="preserve">גמילה מחוץ לכותלי הכלא, אולם עיון בתסקיר מעלה כי למעשה אין מדובר בהמלצה של </w:t>
      </w:r>
    </w:p>
    <w:p w14:paraId="73703DB1" w14:textId="77777777" w:rsidR="004338D4" w:rsidRDefault="00612864">
      <w:pPr>
        <w:spacing w:line="360" w:lineRule="auto"/>
        <w:ind w:left="720"/>
        <w:jc w:val="both"/>
        <w:rPr>
          <w:rFonts w:ascii="Arial" w:hAnsi="Arial"/>
          <w:rtl/>
        </w:rPr>
      </w:pPr>
      <w:r>
        <w:rPr>
          <w:rFonts w:ascii="Arial" w:hAnsi="Arial"/>
          <w:rtl/>
        </w:rPr>
        <w:t xml:space="preserve">ממש וספק אם הנאשם מתאים להליך שכזה. יש לקוות כי הנאשם ישכיל, בשיתוף גורמי שב"ס, להשתלב בהליך של גמילה בין כותלי הכלא. </w:t>
      </w:r>
    </w:p>
    <w:p w14:paraId="33FB9368" w14:textId="77777777" w:rsidR="004338D4" w:rsidRDefault="004338D4">
      <w:pPr>
        <w:spacing w:line="360" w:lineRule="auto"/>
        <w:jc w:val="both"/>
        <w:rPr>
          <w:rFonts w:ascii="Arial" w:hAnsi="Arial"/>
          <w:rtl/>
        </w:rPr>
      </w:pPr>
    </w:p>
    <w:p w14:paraId="5552CA08" w14:textId="77777777" w:rsidR="004338D4" w:rsidRDefault="00612864">
      <w:pPr>
        <w:spacing w:line="360" w:lineRule="auto"/>
        <w:jc w:val="both"/>
        <w:rPr>
          <w:rFonts w:ascii="Arial" w:hAnsi="Arial"/>
          <w:rtl/>
        </w:rPr>
      </w:pPr>
      <w:r>
        <w:rPr>
          <w:rFonts w:ascii="Arial" w:hAnsi="Arial"/>
          <w:rtl/>
        </w:rPr>
        <w:t>17.</w:t>
      </w:r>
      <w:r>
        <w:rPr>
          <w:rFonts w:ascii="Arial" w:hAnsi="Arial"/>
          <w:rtl/>
        </w:rPr>
        <w:tab/>
        <w:t xml:space="preserve"> לעניין העונש שיושת על הנאשם בתוך המתחם, יש להביא בחשבון את הנסיבות והנתונים  </w:t>
      </w:r>
    </w:p>
    <w:p w14:paraId="641D7929" w14:textId="77777777" w:rsidR="004338D4" w:rsidRDefault="00612864">
      <w:pPr>
        <w:spacing w:line="360" w:lineRule="auto"/>
        <w:ind w:left="720"/>
        <w:jc w:val="both"/>
        <w:rPr>
          <w:rFonts w:ascii="Arial" w:hAnsi="Arial"/>
          <w:rtl/>
        </w:rPr>
      </w:pPr>
      <w:r>
        <w:rPr>
          <w:rFonts w:ascii="Arial" w:hAnsi="Arial"/>
          <w:rtl/>
        </w:rPr>
        <w:t xml:space="preserve">(רשימה פתוחה) הקבועים בס' </w:t>
      </w:r>
      <w:hyperlink r:id="rId33" w:history="1">
        <w:r w:rsidR="00C779ED" w:rsidRPr="00C779ED">
          <w:rPr>
            <w:rFonts w:ascii="Arial" w:hAnsi="Arial"/>
            <w:color w:val="0000FF"/>
            <w:u w:val="single"/>
            <w:rtl/>
          </w:rPr>
          <w:t>40 יא'</w:t>
        </w:r>
      </w:hyperlink>
      <w:r>
        <w:rPr>
          <w:rFonts w:ascii="Arial" w:hAnsi="Arial"/>
          <w:rtl/>
        </w:rPr>
        <w:t>, המונה את הנסיבות שאינן קשורות בביצוע העבירה (שרובן נסיבות אישיות הנוגעות לנאשם, אך לא רק).</w:t>
      </w:r>
    </w:p>
    <w:p w14:paraId="59BDF515" w14:textId="77777777" w:rsidR="004338D4" w:rsidRDefault="004338D4">
      <w:pPr>
        <w:spacing w:line="360" w:lineRule="auto"/>
        <w:jc w:val="both"/>
        <w:rPr>
          <w:rFonts w:ascii="Arial" w:hAnsi="Arial"/>
          <w:rtl/>
        </w:rPr>
      </w:pPr>
    </w:p>
    <w:p w14:paraId="677002A4" w14:textId="77777777" w:rsidR="004338D4" w:rsidRDefault="00612864">
      <w:pPr>
        <w:spacing w:line="360" w:lineRule="auto"/>
        <w:ind w:left="720"/>
        <w:jc w:val="both"/>
        <w:rPr>
          <w:rFonts w:ascii="Arial" w:hAnsi="Arial"/>
          <w:rtl/>
        </w:rPr>
      </w:pPr>
      <w:r>
        <w:rPr>
          <w:rFonts w:ascii="Arial" w:hAnsi="Arial"/>
          <w:rtl/>
        </w:rPr>
        <w:t>בהקשר זה הבאתי בחשבון את הודייתו של הנאשם וקבלת האחריות מצידו על מעשיו; את העובדה כי הוא אינו נושא לחובתו עבר פלילי משמעותי וכן כי מעולם לא ריצה עונש מאסר</w:t>
      </w:r>
      <w:r>
        <w:rPr>
          <w:rFonts w:ascii="Arial" w:hAnsi="Arial" w:hint="cs"/>
          <w:rtl/>
        </w:rPr>
        <w:t xml:space="preserve">. עוד שקלתי את נסיבות חייו </w:t>
      </w:r>
      <w:r>
        <w:rPr>
          <w:rFonts w:ascii="Arial" w:hAnsi="Arial"/>
          <w:rtl/>
        </w:rPr>
        <w:t xml:space="preserve">כפי שבאו לידי ביטוי בתסקיר שירות המבחן (ובכלל זאת את העובדה כי הוא אב ל 3 ילדים ובכללם ילד קטן, הגם ששיקול זה אינו בעל משקל משמעותי, שכן היה על הנאשם לדעת כי מעשיו עשויים להביא עליו עונש שכזה ובכך גם להביא לפגיעה בבני משפחתו). </w:t>
      </w:r>
    </w:p>
    <w:p w14:paraId="4F222984" w14:textId="77777777" w:rsidR="004338D4" w:rsidRDefault="004338D4">
      <w:pPr>
        <w:spacing w:line="360" w:lineRule="auto"/>
        <w:jc w:val="both"/>
        <w:rPr>
          <w:rFonts w:ascii="Arial" w:hAnsi="Arial"/>
          <w:rtl/>
        </w:rPr>
      </w:pPr>
    </w:p>
    <w:p w14:paraId="6C9F81EB" w14:textId="77777777" w:rsidR="004338D4" w:rsidRDefault="00612864">
      <w:pPr>
        <w:spacing w:line="360" w:lineRule="auto"/>
        <w:jc w:val="both"/>
        <w:rPr>
          <w:rFonts w:ascii="Arial" w:hAnsi="Arial"/>
          <w:rtl/>
        </w:rPr>
      </w:pPr>
      <w:r>
        <w:rPr>
          <w:rFonts w:ascii="Arial" w:hAnsi="Arial"/>
          <w:rtl/>
        </w:rPr>
        <w:t>18.</w:t>
      </w:r>
      <w:r>
        <w:rPr>
          <w:rFonts w:ascii="Arial" w:hAnsi="Arial"/>
          <w:rtl/>
        </w:rPr>
        <w:tab/>
        <w:t xml:space="preserve">לקראת סיום אזכיר, כי בסופו של דבר הענישה הינה אינדיבידואלית וכפי שנכתב בפס"ד </w:t>
      </w:r>
    </w:p>
    <w:p w14:paraId="3E4813D3" w14:textId="77777777" w:rsidR="004338D4" w:rsidRDefault="00612864">
      <w:pPr>
        <w:spacing w:line="360" w:lineRule="auto"/>
        <w:ind w:left="720"/>
        <w:jc w:val="both"/>
        <w:rPr>
          <w:rFonts w:ascii="Arial" w:hAnsi="Arial"/>
          <w:rtl/>
        </w:rPr>
      </w:pPr>
      <w:r>
        <w:rPr>
          <w:rFonts w:ascii="Arial" w:hAnsi="Arial"/>
          <w:rtl/>
        </w:rPr>
        <w:t>סעד לעיל (פסקה יט-כ'):</w:t>
      </w:r>
      <w:r>
        <w:rPr>
          <w:rFonts w:ascii="Arial" w:hAnsi="Arial"/>
          <w:b/>
          <w:bCs/>
          <w:rtl/>
        </w:rPr>
        <w:t>"ואל נשכח, כי בסופו של יום הענישה, גם בנסיונות ההאחדה, היא אינדיבידואלית בשורתה התחתונה."</w:t>
      </w:r>
      <w:r>
        <w:rPr>
          <w:rFonts w:ascii="Arial" w:hAnsi="Arial"/>
          <w:rtl/>
        </w:rPr>
        <w:t xml:space="preserve"> הענישה אינה תוצאה של פעולות "חישוב" אלא בפועל יוצא של משתנים וערכים רבים, מתנגשים ונוגדים לא פעם. עוד טרם חיקוק תיקון 113 נאמר כי:</w:t>
      </w:r>
      <w:r>
        <w:rPr>
          <w:rFonts w:ascii="Arial" w:hAnsi="Arial" w:hint="cs"/>
          <w:rtl/>
        </w:rPr>
        <w:t xml:space="preserve"> </w:t>
      </w:r>
      <w:r>
        <w:rPr>
          <w:rFonts w:ascii="Arial" w:hAnsi="Arial"/>
          <w:b/>
          <w:bCs/>
          <w:rtl/>
        </w:rPr>
        <w:t>"ענישה לעולם אינה נוסחה מתמטית, והיא צריכה להיות תמהיל של כל השיקולים הרלוונטיים"</w:t>
      </w:r>
      <w:r>
        <w:rPr>
          <w:rFonts w:ascii="Arial" w:hAnsi="Arial"/>
          <w:rtl/>
        </w:rPr>
        <w:t xml:space="preserve"> (</w:t>
      </w:r>
      <w:hyperlink r:id="rId34" w:history="1">
        <w:r w:rsidRPr="00612864">
          <w:rPr>
            <w:rFonts w:ascii="Arial" w:hAnsi="Arial"/>
            <w:color w:val="0000FF"/>
            <w:u w:val="single"/>
            <w:rtl/>
          </w:rPr>
          <w:t>ע"פ 3077/11</w:t>
        </w:r>
      </w:hyperlink>
      <w:r>
        <w:rPr>
          <w:rFonts w:ascii="Arial" w:hAnsi="Arial"/>
          <w:rtl/>
        </w:rPr>
        <w:t xml:space="preserve"> </w:t>
      </w:r>
      <w:r>
        <w:rPr>
          <w:rFonts w:ascii="Arial" w:hAnsi="Arial"/>
          <w:b/>
          <w:bCs/>
          <w:rtl/>
        </w:rPr>
        <w:t>דדוש נ' מ"י</w:t>
      </w:r>
      <w:r>
        <w:rPr>
          <w:rFonts w:ascii="Arial" w:hAnsi="Arial"/>
          <w:rtl/>
        </w:rPr>
        <w:t>, ניתן בתאריך 28/3/12); והדברים נכונים גם כיום.</w:t>
      </w:r>
    </w:p>
    <w:p w14:paraId="6E2D5E71" w14:textId="77777777" w:rsidR="004338D4" w:rsidRDefault="004338D4">
      <w:pPr>
        <w:spacing w:line="360" w:lineRule="auto"/>
        <w:jc w:val="both"/>
        <w:rPr>
          <w:rFonts w:ascii="Arial" w:hAnsi="Arial"/>
          <w:rtl/>
        </w:rPr>
      </w:pPr>
    </w:p>
    <w:p w14:paraId="5D8CF841" w14:textId="77777777" w:rsidR="004338D4" w:rsidRDefault="00612864">
      <w:pPr>
        <w:spacing w:line="360" w:lineRule="auto"/>
        <w:jc w:val="both"/>
        <w:rPr>
          <w:rFonts w:ascii="Arial" w:hAnsi="Arial"/>
          <w:rtl/>
        </w:rPr>
      </w:pPr>
      <w:r>
        <w:rPr>
          <w:rFonts w:ascii="Arial" w:hAnsi="Arial"/>
          <w:rtl/>
        </w:rPr>
        <w:t>19.</w:t>
      </w:r>
      <w:r>
        <w:rPr>
          <w:rFonts w:ascii="Arial" w:hAnsi="Arial"/>
          <w:rtl/>
        </w:rPr>
        <w:tab/>
        <w:t>סוף דבר, אני משית על הנאשם את העונשים הבאים:</w:t>
      </w:r>
    </w:p>
    <w:p w14:paraId="041CC257" w14:textId="77777777" w:rsidR="004338D4" w:rsidRDefault="004338D4">
      <w:pPr>
        <w:spacing w:line="360" w:lineRule="auto"/>
        <w:jc w:val="both"/>
        <w:rPr>
          <w:rFonts w:ascii="Arial" w:hAnsi="Arial"/>
          <w:rtl/>
        </w:rPr>
      </w:pPr>
    </w:p>
    <w:p w14:paraId="5E582639" w14:textId="77777777" w:rsidR="004338D4" w:rsidRDefault="00612864">
      <w:pPr>
        <w:spacing w:line="360" w:lineRule="auto"/>
        <w:jc w:val="both"/>
        <w:rPr>
          <w:rFonts w:ascii="Arial" w:hAnsi="Arial"/>
          <w:rtl/>
        </w:rPr>
      </w:pPr>
      <w:r>
        <w:rPr>
          <w:rFonts w:ascii="Arial" w:hAnsi="Arial"/>
          <w:rtl/>
        </w:rPr>
        <w:t>19.1.</w:t>
      </w:r>
      <w:r>
        <w:rPr>
          <w:rFonts w:ascii="Arial" w:hAnsi="Arial"/>
          <w:rtl/>
        </w:rPr>
        <w:tab/>
        <w:t xml:space="preserve">18 חודשי מאסר, וזאת החל מיום מעצרו </w:t>
      </w:r>
      <w:r>
        <w:rPr>
          <w:rFonts w:ascii="Arial" w:hAnsi="Arial" w:hint="cs"/>
          <w:rtl/>
        </w:rPr>
        <w:t xml:space="preserve"> 01.1.14.</w:t>
      </w:r>
    </w:p>
    <w:p w14:paraId="76BF2F65" w14:textId="77777777" w:rsidR="004338D4" w:rsidRDefault="00612864">
      <w:pPr>
        <w:spacing w:line="360" w:lineRule="auto"/>
        <w:jc w:val="both"/>
        <w:rPr>
          <w:rFonts w:ascii="Arial" w:hAnsi="Arial"/>
          <w:rtl/>
        </w:rPr>
      </w:pPr>
      <w:r>
        <w:rPr>
          <w:rFonts w:ascii="Arial" w:hAnsi="Arial"/>
          <w:rtl/>
        </w:rPr>
        <w:t>19.2.</w:t>
      </w:r>
      <w:r>
        <w:rPr>
          <w:rFonts w:ascii="Arial" w:hAnsi="Arial"/>
          <w:rtl/>
        </w:rPr>
        <w:tab/>
        <w:t xml:space="preserve">הנני דן את הנאשם למאסר לתקופה של 8 חודשים, וזאת על תנאי למשך שלוש שנים מיום </w:t>
      </w:r>
    </w:p>
    <w:p w14:paraId="1F8A3BF7" w14:textId="77777777" w:rsidR="004338D4" w:rsidRDefault="00612864">
      <w:pPr>
        <w:spacing w:line="360" w:lineRule="auto"/>
        <w:jc w:val="both"/>
        <w:rPr>
          <w:rFonts w:ascii="Arial" w:hAnsi="Arial"/>
          <w:rtl/>
        </w:rPr>
      </w:pPr>
      <w:r>
        <w:rPr>
          <w:rFonts w:ascii="Arial" w:hAnsi="Arial" w:hint="cs"/>
          <w:rtl/>
        </w:rPr>
        <w:tab/>
      </w:r>
      <w:r>
        <w:rPr>
          <w:rFonts w:ascii="Arial" w:hAnsi="Arial"/>
          <w:rtl/>
        </w:rPr>
        <w:t>שחרורו, והתנאי הוא כי הנאשם לא יעבור כל עבירה מסוג פשע מ</w:t>
      </w:r>
      <w:hyperlink r:id="rId35" w:history="1">
        <w:r w:rsidRPr="00612864">
          <w:rPr>
            <w:rFonts w:ascii="Arial" w:hAnsi="Arial"/>
            <w:color w:val="0000FF"/>
            <w:u w:val="single"/>
            <w:rtl/>
          </w:rPr>
          <w:t>פקודת הסמים המסוכנים</w:t>
        </w:r>
      </w:hyperlink>
      <w:r>
        <w:rPr>
          <w:rFonts w:ascii="Arial" w:hAnsi="Arial"/>
          <w:rtl/>
        </w:rPr>
        <w:t xml:space="preserve">. </w:t>
      </w:r>
    </w:p>
    <w:p w14:paraId="152B3964" w14:textId="77777777" w:rsidR="004338D4" w:rsidRDefault="00612864">
      <w:pPr>
        <w:spacing w:line="360" w:lineRule="auto"/>
        <w:jc w:val="both"/>
        <w:rPr>
          <w:rFonts w:ascii="Arial" w:hAnsi="Arial"/>
          <w:rtl/>
        </w:rPr>
      </w:pPr>
      <w:r>
        <w:rPr>
          <w:rFonts w:ascii="Arial" w:hAnsi="Arial"/>
          <w:rtl/>
        </w:rPr>
        <w:t>19.3.</w:t>
      </w:r>
      <w:r>
        <w:rPr>
          <w:rFonts w:ascii="Arial" w:hAnsi="Arial"/>
          <w:rtl/>
        </w:rPr>
        <w:tab/>
        <w:t xml:space="preserve">הנני דן את הנאשם למאסר לתקופה של 3 חודשים, וזאת על תנאי למשך שלוש שנים מיום </w:t>
      </w:r>
    </w:p>
    <w:p w14:paraId="36456FD2" w14:textId="77777777" w:rsidR="004338D4" w:rsidRDefault="00612864">
      <w:pPr>
        <w:spacing w:line="360" w:lineRule="auto"/>
        <w:jc w:val="both"/>
        <w:rPr>
          <w:rFonts w:ascii="Arial" w:hAnsi="Arial"/>
          <w:rtl/>
        </w:rPr>
      </w:pPr>
      <w:r>
        <w:rPr>
          <w:rFonts w:ascii="Arial" w:hAnsi="Arial" w:hint="cs"/>
          <w:rtl/>
        </w:rPr>
        <w:tab/>
      </w:r>
      <w:r>
        <w:rPr>
          <w:rFonts w:ascii="Arial" w:hAnsi="Arial"/>
          <w:rtl/>
        </w:rPr>
        <w:t>שחרורו, והתנאי הוא כי הנאשם לא יעבור כל עבירה מסוג עוון מ</w:t>
      </w:r>
      <w:hyperlink r:id="rId36" w:history="1">
        <w:r w:rsidRPr="00612864">
          <w:rPr>
            <w:rFonts w:ascii="Arial" w:hAnsi="Arial"/>
            <w:color w:val="0000FF"/>
            <w:u w:val="single"/>
            <w:rtl/>
          </w:rPr>
          <w:t>פקודת הסמים המסוכנים</w:t>
        </w:r>
      </w:hyperlink>
      <w:r>
        <w:rPr>
          <w:rFonts w:ascii="Arial" w:hAnsi="Arial"/>
          <w:rtl/>
        </w:rPr>
        <w:t>.</w:t>
      </w:r>
    </w:p>
    <w:p w14:paraId="20DF9180" w14:textId="77777777" w:rsidR="004338D4" w:rsidRDefault="00612864">
      <w:pPr>
        <w:spacing w:line="360" w:lineRule="auto"/>
        <w:jc w:val="both"/>
        <w:rPr>
          <w:rFonts w:ascii="Arial" w:hAnsi="Arial"/>
          <w:rtl/>
        </w:rPr>
      </w:pPr>
      <w:r>
        <w:rPr>
          <w:rFonts w:ascii="Arial" w:hAnsi="Arial"/>
          <w:rtl/>
        </w:rPr>
        <w:t>19.4.</w:t>
      </w:r>
      <w:r>
        <w:rPr>
          <w:rFonts w:ascii="Arial" w:hAnsi="Arial"/>
          <w:rtl/>
        </w:rPr>
        <w:tab/>
        <w:t xml:space="preserve">קנס בסכום של 10,000 ₪ או 50 ימי מאסר תמורתו. הקנס ישולם ב 5 תשלומים חודשיים </w:t>
      </w:r>
    </w:p>
    <w:p w14:paraId="3BDD968B" w14:textId="77777777" w:rsidR="004338D4" w:rsidRDefault="00612864">
      <w:pPr>
        <w:spacing w:line="360" w:lineRule="auto"/>
        <w:ind w:left="720"/>
        <w:jc w:val="both"/>
        <w:rPr>
          <w:rFonts w:ascii="Arial" w:hAnsi="Arial"/>
          <w:rtl/>
        </w:rPr>
      </w:pPr>
      <w:r>
        <w:rPr>
          <w:rFonts w:ascii="Arial" w:hAnsi="Arial"/>
          <w:rtl/>
        </w:rPr>
        <w:t xml:space="preserve">שווים ורצופים כאשר הראשון ביניהם ישולם החל מתאריך 1.7.14 ויתרת התשלומים בתחילת כל חודש עוקב. </w:t>
      </w:r>
    </w:p>
    <w:p w14:paraId="3EE5316E" w14:textId="77777777" w:rsidR="004338D4" w:rsidRDefault="004338D4">
      <w:pPr>
        <w:spacing w:line="360" w:lineRule="auto"/>
        <w:jc w:val="both"/>
        <w:rPr>
          <w:rFonts w:ascii="Arial" w:hAnsi="Arial"/>
          <w:rtl/>
        </w:rPr>
      </w:pPr>
    </w:p>
    <w:p w14:paraId="79A6281E" w14:textId="77777777" w:rsidR="004338D4" w:rsidRDefault="00612864">
      <w:pPr>
        <w:spacing w:line="360" w:lineRule="auto"/>
        <w:ind w:left="720" w:hanging="720"/>
        <w:jc w:val="both"/>
        <w:rPr>
          <w:rFonts w:ascii="Arial" w:hAnsi="Arial"/>
          <w:rtl/>
        </w:rPr>
      </w:pPr>
      <w:r>
        <w:rPr>
          <w:rFonts w:ascii="Arial" w:hAnsi="Arial"/>
          <w:rtl/>
        </w:rPr>
        <w:t>20.</w:t>
      </w:r>
      <w:r>
        <w:rPr>
          <w:rFonts w:ascii="Arial" w:hAnsi="Arial"/>
          <w:rtl/>
        </w:rPr>
        <w:tab/>
        <w:t xml:space="preserve">אפנה את תשומת לב רשויות שב"ס לרצונו של הנאשם להשתלב בתהליך של גמילה מסמים בתקופת מאסרו. </w:t>
      </w:r>
    </w:p>
    <w:p w14:paraId="765DFAF6" w14:textId="77777777" w:rsidR="004338D4" w:rsidRDefault="004338D4">
      <w:pPr>
        <w:spacing w:line="360" w:lineRule="auto"/>
        <w:ind w:left="720" w:hanging="720"/>
        <w:jc w:val="both"/>
        <w:rPr>
          <w:rFonts w:ascii="Arial" w:hAnsi="Arial"/>
          <w:rtl/>
        </w:rPr>
      </w:pPr>
    </w:p>
    <w:p w14:paraId="0E719725" w14:textId="77777777" w:rsidR="004338D4" w:rsidRDefault="00612864">
      <w:pPr>
        <w:spacing w:line="360" w:lineRule="auto"/>
        <w:jc w:val="both"/>
        <w:rPr>
          <w:rFonts w:ascii="Arial" w:hAnsi="Arial"/>
          <w:rtl/>
        </w:rPr>
      </w:pPr>
      <w:r>
        <w:rPr>
          <w:rFonts w:ascii="Arial" w:hAnsi="Arial"/>
          <w:rtl/>
        </w:rPr>
        <w:t>21.</w:t>
      </w:r>
      <w:r>
        <w:rPr>
          <w:rFonts w:ascii="Arial" w:hAnsi="Arial"/>
          <w:rtl/>
        </w:rPr>
        <w:tab/>
        <w:t>הסמים – יושמדו. שאר הציוד שנתפס – יושמד או יחולט</w:t>
      </w:r>
      <w:r>
        <w:rPr>
          <w:rFonts w:ascii="Arial" w:hAnsi="Arial" w:hint="cs"/>
          <w:rtl/>
        </w:rPr>
        <w:t>,</w:t>
      </w:r>
      <w:r>
        <w:rPr>
          <w:rFonts w:ascii="Arial" w:hAnsi="Arial"/>
          <w:rtl/>
        </w:rPr>
        <w:t xml:space="preserve"> על פי שיקול דעת המשטרה. </w:t>
      </w:r>
    </w:p>
    <w:p w14:paraId="36C02FF2" w14:textId="77777777" w:rsidR="004338D4" w:rsidRDefault="004338D4">
      <w:pPr>
        <w:spacing w:line="360" w:lineRule="auto"/>
        <w:jc w:val="both"/>
        <w:rPr>
          <w:rFonts w:ascii="Arial" w:hAnsi="Arial"/>
          <w:rtl/>
        </w:rPr>
      </w:pPr>
    </w:p>
    <w:p w14:paraId="05FC3806" w14:textId="77777777" w:rsidR="004338D4" w:rsidRDefault="00612864">
      <w:pPr>
        <w:spacing w:line="360" w:lineRule="auto"/>
        <w:jc w:val="both"/>
        <w:rPr>
          <w:rFonts w:ascii="Arial" w:hAnsi="Arial"/>
          <w:rtl/>
        </w:rPr>
      </w:pPr>
      <w:r>
        <w:rPr>
          <w:rFonts w:ascii="Arial" w:hAnsi="Arial"/>
          <w:rtl/>
        </w:rPr>
        <w:t>22.</w:t>
      </w:r>
      <w:r>
        <w:rPr>
          <w:rFonts w:ascii="Arial" w:hAnsi="Arial"/>
          <w:rtl/>
        </w:rPr>
        <w:tab/>
      </w:r>
      <w:r>
        <w:rPr>
          <w:rFonts w:ascii="Arial" w:hAnsi="Arial"/>
          <w:b/>
          <w:bCs/>
          <w:rtl/>
        </w:rPr>
        <w:t>זכות ערעור לבית המשפט העליון תוך 45 יום מהיום.</w:t>
      </w:r>
      <w:r>
        <w:rPr>
          <w:rFonts w:ascii="Arial" w:hAnsi="Arial"/>
          <w:rtl/>
        </w:rPr>
        <w:t xml:space="preserve"> </w:t>
      </w:r>
    </w:p>
    <w:p w14:paraId="37FE013E" w14:textId="77777777" w:rsidR="004338D4" w:rsidRDefault="004338D4">
      <w:pPr>
        <w:spacing w:line="360" w:lineRule="auto"/>
        <w:jc w:val="both"/>
        <w:rPr>
          <w:rFonts w:ascii="Arial" w:hAnsi="Arial"/>
          <w:rtl/>
        </w:rPr>
      </w:pPr>
    </w:p>
    <w:p w14:paraId="268270CE" w14:textId="77777777" w:rsidR="004338D4" w:rsidRDefault="00612864">
      <w:pPr>
        <w:spacing w:line="360" w:lineRule="auto"/>
        <w:jc w:val="both"/>
        <w:rPr>
          <w:rFonts w:ascii="Arial" w:hAnsi="Arial"/>
          <w:rtl/>
        </w:rPr>
      </w:pPr>
      <w:r>
        <w:rPr>
          <w:rFonts w:ascii="Arial" w:hAnsi="Arial"/>
          <w:rtl/>
        </w:rPr>
        <w:t>ניתנה היום, ל' ניסן תשע"ד, 30 אפריל 2014, בהעדר הצדדים.</w:t>
      </w:r>
    </w:p>
    <w:p w14:paraId="752E5B09" w14:textId="77777777" w:rsidR="004338D4" w:rsidRDefault="00612864">
      <w:pPr>
        <w:spacing w:line="360" w:lineRule="auto"/>
        <w:jc w:val="both"/>
        <w:rPr>
          <w:rFonts w:ascii="Arial" w:hAnsi="Arial"/>
          <w:rtl/>
        </w:rPr>
      </w:pPr>
      <w:r>
        <w:rPr>
          <w:rFonts w:ascii="Arial" w:hAnsi="Arial"/>
          <w:rtl/>
        </w:rPr>
        <w:t xml:space="preserve">     </w:t>
      </w:r>
    </w:p>
    <w:p w14:paraId="0E675E0F" w14:textId="77777777" w:rsidR="004338D4" w:rsidRPr="00612864" w:rsidRDefault="00612864">
      <w:pPr>
        <w:spacing w:line="360" w:lineRule="auto"/>
        <w:jc w:val="both"/>
        <w:rPr>
          <w:color w:val="FFFFFF"/>
          <w:sz w:val="2"/>
          <w:szCs w:val="2"/>
          <w:rtl/>
        </w:rPr>
      </w:pPr>
      <w:r w:rsidRPr="00612864">
        <w:rPr>
          <w:color w:val="FFFFFF"/>
          <w:sz w:val="2"/>
          <w:szCs w:val="2"/>
          <w:rtl/>
        </w:rPr>
        <w:t>5129371</w:t>
      </w:r>
    </w:p>
    <w:p w14:paraId="2E902D9B" w14:textId="77777777" w:rsidR="004338D4" w:rsidRDefault="00612864">
      <w:pPr>
        <w:spacing w:line="360" w:lineRule="auto"/>
        <w:jc w:val="both"/>
        <w:rPr>
          <w:sz w:val="28"/>
          <w:szCs w:val="28"/>
          <w:rtl/>
        </w:rPr>
      </w:pPr>
      <w:r w:rsidRPr="00612864">
        <w:rPr>
          <w:rFonts w:ascii="Arial" w:hAnsi="Arial"/>
          <w:color w:val="FFFFFF"/>
          <w:sz w:val="2"/>
          <w:szCs w:val="2"/>
          <w:rtl/>
        </w:rPr>
        <w:t>54678313</w:t>
      </w:r>
      <w:r>
        <w:rPr>
          <w:rFonts w:ascii="Arial" w:hAnsi="Arial"/>
          <w:rtl/>
        </w:rPr>
        <w:t xml:space="preserve">ניתן היום,  ל' ניסן תשע"ד, 30 אפריל 2014, בהעדר הצדדים. </w:t>
      </w:r>
    </w:p>
    <w:p w14:paraId="6C326A13" w14:textId="77777777" w:rsidR="004338D4" w:rsidRDefault="00612864">
      <w:pPr>
        <w:spacing w:line="360" w:lineRule="auto"/>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51C41C7" w14:textId="77777777" w:rsidR="004338D4" w:rsidRDefault="004338D4">
      <w:pPr>
        <w:spacing w:line="360" w:lineRule="auto"/>
        <w:jc w:val="both"/>
        <w:rPr>
          <w:rFonts w:ascii="Arial" w:hAnsi="Arial"/>
          <w:sz w:val="28"/>
          <w:szCs w:val="28"/>
          <w:rtl/>
        </w:rPr>
      </w:pPr>
    </w:p>
    <w:p w14:paraId="08145845" w14:textId="77777777" w:rsidR="004338D4" w:rsidRDefault="004338D4">
      <w:pPr>
        <w:spacing w:line="360" w:lineRule="auto"/>
        <w:jc w:val="both"/>
        <w:rPr>
          <w:sz w:val="28"/>
          <w:szCs w:val="28"/>
          <w:rtl/>
        </w:rPr>
      </w:pPr>
    </w:p>
    <w:p w14:paraId="0F8B14E7" w14:textId="77777777" w:rsidR="004338D4" w:rsidRDefault="004338D4">
      <w:pPr>
        <w:pStyle w:val="a3"/>
        <w:spacing w:line="360" w:lineRule="auto"/>
        <w:jc w:val="both"/>
        <w:rPr>
          <w:rtl/>
        </w:rPr>
      </w:pPr>
    </w:p>
    <w:p w14:paraId="65ADA07B" w14:textId="77777777" w:rsidR="00612864" w:rsidRPr="00612864" w:rsidRDefault="00612864" w:rsidP="00612864">
      <w:pPr>
        <w:keepNext/>
        <w:rPr>
          <w:rFonts w:ascii="David" w:hAnsi="David"/>
          <w:color w:val="000000"/>
          <w:sz w:val="22"/>
          <w:szCs w:val="22"/>
          <w:rtl/>
        </w:rPr>
      </w:pPr>
    </w:p>
    <w:p w14:paraId="50F28239" w14:textId="77777777" w:rsidR="00612864" w:rsidRPr="00612864" w:rsidRDefault="00612864" w:rsidP="00612864">
      <w:pPr>
        <w:keepNext/>
        <w:rPr>
          <w:rFonts w:ascii="David" w:hAnsi="David"/>
          <w:color w:val="000000"/>
          <w:sz w:val="22"/>
          <w:szCs w:val="22"/>
          <w:rtl/>
        </w:rPr>
      </w:pPr>
      <w:r w:rsidRPr="00612864">
        <w:rPr>
          <w:rFonts w:ascii="David" w:hAnsi="David"/>
          <w:color w:val="000000"/>
          <w:sz w:val="22"/>
          <w:szCs w:val="22"/>
          <w:rtl/>
        </w:rPr>
        <w:t>יחיאל ליפשיץ 54678313</w:t>
      </w:r>
    </w:p>
    <w:p w14:paraId="027AA1FF" w14:textId="77777777" w:rsidR="00612864" w:rsidRDefault="00612864" w:rsidP="00612864">
      <w:r w:rsidRPr="00612864">
        <w:rPr>
          <w:color w:val="000000"/>
          <w:rtl/>
        </w:rPr>
        <w:t>נוסח מסמך זה כפוף לשינויי ניסוח ועריכה</w:t>
      </w:r>
    </w:p>
    <w:p w14:paraId="35A56C95" w14:textId="77777777" w:rsidR="00612864" w:rsidRDefault="00612864" w:rsidP="00612864">
      <w:pPr>
        <w:rPr>
          <w:rtl/>
        </w:rPr>
      </w:pPr>
    </w:p>
    <w:p w14:paraId="26436BC5" w14:textId="77777777" w:rsidR="00612864" w:rsidRDefault="00612864" w:rsidP="00612864">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038A34AB" w14:textId="77777777" w:rsidR="004338D4" w:rsidRPr="00612864" w:rsidRDefault="004338D4" w:rsidP="00612864">
      <w:pPr>
        <w:jc w:val="center"/>
        <w:rPr>
          <w:color w:val="0000FF"/>
          <w:u w:val="single"/>
        </w:rPr>
      </w:pPr>
    </w:p>
    <w:sectPr w:rsidR="004338D4" w:rsidRPr="00612864" w:rsidSect="00612864">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60C53" w14:textId="77777777" w:rsidR="00065362" w:rsidRPr="00832B73" w:rsidRDefault="00065362">
      <w:pPr>
        <w:rPr>
          <w:rFonts w:cs="Arial"/>
          <w:szCs w:val="20"/>
        </w:rPr>
      </w:pPr>
      <w:r>
        <w:separator/>
      </w:r>
    </w:p>
  </w:endnote>
  <w:endnote w:type="continuationSeparator" w:id="0">
    <w:p w14:paraId="379F121D" w14:textId="77777777" w:rsidR="00065362" w:rsidRPr="00832B73" w:rsidRDefault="0006536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0B2FA" w14:textId="77777777" w:rsidR="00612864" w:rsidRDefault="00612864" w:rsidP="0061286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86EFB42" w14:textId="77777777" w:rsidR="004338D4" w:rsidRPr="00612864" w:rsidRDefault="00612864" w:rsidP="00612864">
    <w:pPr>
      <w:pStyle w:val="a4"/>
      <w:pBdr>
        <w:top w:val="single" w:sz="4" w:space="1" w:color="auto"/>
        <w:between w:val="single" w:sz="4" w:space="0" w:color="auto"/>
      </w:pBdr>
      <w:spacing w:after="60"/>
      <w:jc w:val="center"/>
      <w:rPr>
        <w:rFonts w:ascii="FrankRuehl" w:hAnsi="FrankRuehl" w:cs="FrankRuehl"/>
        <w:color w:val="000000"/>
      </w:rPr>
    </w:pPr>
    <w:r w:rsidRPr="0061286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06FB0" w14:textId="77777777" w:rsidR="00612864" w:rsidRDefault="00612864" w:rsidP="0061286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82493">
      <w:rPr>
        <w:rFonts w:ascii="FrankRuehl" w:hAnsi="FrankRuehl" w:cs="FrankRuehl"/>
        <w:noProof/>
        <w:rtl/>
      </w:rPr>
      <w:t>1</w:t>
    </w:r>
    <w:r>
      <w:rPr>
        <w:rFonts w:ascii="FrankRuehl" w:hAnsi="FrankRuehl" w:cs="FrankRuehl"/>
        <w:rtl/>
      </w:rPr>
      <w:fldChar w:fldCharType="end"/>
    </w:r>
  </w:p>
  <w:p w14:paraId="63D9AA85" w14:textId="77777777" w:rsidR="004338D4" w:rsidRPr="00612864" w:rsidRDefault="00612864" w:rsidP="00612864">
    <w:pPr>
      <w:pStyle w:val="a4"/>
      <w:pBdr>
        <w:top w:val="single" w:sz="4" w:space="1" w:color="auto"/>
        <w:between w:val="single" w:sz="4" w:space="0" w:color="auto"/>
      </w:pBdr>
      <w:spacing w:after="60"/>
      <w:jc w:val="center"/>
      <w:rPr>
        <w:rFonts w:ascii="FrankRuehl" w:hAnsi="FrankRuehl" w:cs="FrankRuehl"/>
        <w:color w:val="000000"/>
      </w:rPr>
    </w:pPr>
    <w:r w:rsidRPr="00612864">
      <w:rPr>
        <w:rFonts w:ascii="FrankRuehl" w:hAnsi="FrankRuehl" w:cs="FrankRuehl"/>
        <w:color w:val="000000"/>
      </w:rPr>
      <w:pict w14:anchorId="38C5D3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88EBE" w14:textId="77777777" w:rsidR="00065362" w:rsidRPr="00832B73" w:rsidRDefault="00065362">
      <w:pPr>
        <w:rPr>
          <w:rFonts w:cs="Arial"/>
          <w:szCs w:val="20"/>
        </w:rPr>
      </w:pPr>
      <w:r>
        <w:separator/>
      </w:r>
    </w:p>
  </w:footnote>
  <w:footnote w:type="continuationSeparator" w:id="0">
    <w:p w14:paraId="069FBBA3" w14:textId="77777777" w:rsidR="00065362" w:rsidRPr="00832B73" w:rsidRDefault="0006536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068B3" w14:textId="77777777" w:rsidR="00612864" w:rsidRPr="00612864" w:rsidRDefault="00612864" w:rsidP="006128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16958-01-14</w:t>
    </w:r>
    <w:r>
      <w:rPr>
        <w:rFonts w:ascii="David" w:hAnsi="David"/>
        <w:color w:val="000000"/>
        <w:sz w:val="22"/>
        <w:szCs w:val="22"/>
        <w:rtl/>
      </w:rPr>
      <w:tab/>
      <w:t xml:space="preserve"> מדינת ישראל נ' מוריס יניב חייק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50C93" w14:textId="77777777" w:rsidR="00612864" w:rsidRPr="00612864" w:rsidRDefault="00612864" w:rsidP="006128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16958-01-14</w:t>
    </w:r>
    <w:r>
      <w:rPr>
        <w:rFonts w:ascii="David" w:hAnsi="David"/>
        <w:color w:val="000000"/>
        <w:sz w:val="22"/>
        <w:szCs w:val="22"/>
        <w:rtl/>
      </w:rPr>
      <w:tab/>
      <w:t xml:space="preserve"> מדינת ישראל נ' מוריס יניב חייק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338D4"/>
    <w:rsid w:val="00065362"/>
    <w:rsid w:val="004338D4"/>
    <w:rsid w:val="004A1F1E"/>
    <w:rsid w:val="00612864"/>
    <w:rsid w:val="00982493"/>
    <w:rsid w:val="00C779ED"/>
    <w:rsid w:val="00CC13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DFD2F18"/>
  <w15:chartTrackingRefBased/>
  <w15:docId w15:val="{DF328A8B-51C0-46CF-9514-D2C19E83A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338D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338D4"/>
    <w:pPr>
      <w:tabs>
        <w:tab w:val="center" w:pos="4153"/>
        <w:tab w:val="right" w:pos="8306"/>
      </w:tabs>
    </w:pPr>
  </w:style>
  <w:style w:type="paragraph" w:styleId="a4">
    <w:name w:val="footer"/>
    <w:basedOn w:val="a"/>
    <w:rsid w:val="004338D4"/>
    <w:pPr>
      <w:tabs>
        <w:tab w:val="center" w:pos="4153"/>
        <w:tab w:val="right" w:pos="8306"/>
      </w:tabs>
    </w:pPr>
  </w:style>
  <w:style w:type="character" w:styleId="a5">
    <w:name w:val="page number"/>
    <w:basedOn w:val="a0"/>
    <w:rsid w:val="004338D4"/>
  </w:style>
  <w:style w:type="character" w:styleId="Hyperlink">
    <w:name w:val="Hyperlink"/>
    <w:basedOn w:val="a0"/>
    <w:rsid w:val="006128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4616682" TargetMode="External"/><Relationship Id="rId26" Type="http://schemas.openxmlformats.org/officeDocument/2006/relationships/hyperlink" Target="http://www.nevo.co.il/law/70301" TargetMode="External"/><Relationship Id="rId39" Type="http://schemas.openxmlformats.org/officeDocument/2006/relationships/header" Target="header2.xml"/><Relationship Id="rId21" Type="http://schemas.openxmlformats.org/officeDocument/2006/relationships/hyperlink" Target="http://www.nevo.co.il/case/4914678" TargetMode="External"/><Relationship Id="rId34" Type="http://schemas.openxmlformats.org/officeDocument/2006/relationships/hyperlink" Target="http://www.nevo.co.il/case/5873995" TargetMode="External"/><Relationship Id="rId42" Type="http://schemas.openxmlformats.org/officeDocument/2006/relationships/fontTable" Target="fontTable.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4216/10" TargetMode="External"/><Relationship Id="rId20" Type="http://schemas.openxmlformats.org/officeDocument/2006/relationships/hyperlink" Target="http://www.nevo.co.il/links/psika/?link=&#1506;&#1508;%2051112/12" TargetMode="External"/><Relationship Id="rId29" Type="http://schemas.openxmlformats.org/officeDocument/2006/relationships/hyperlink" Target="http://www.nevo.co.il/case/6473037"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4832147" TargetMode="External"/><Relationship Id="rId32" Type="http://schemas.openxmlformats.org/officeDocument/2006/relationships/hyperlink" Target="http://www.nevo.co.il/case/3888303"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4216/7.a.;7.c" TargetMode="External"/><Relationship Id="rId23" Type="http://schemas.openxmlformats.org/officeDocument/2006/relationships/hyperlink" Target="http://www.nevo.co.il/case/3888303" TargetMode="External"/><Relationship Id="rId28" Type="http://schemas.openxmlformats.org/officeDocument/2006/relationships/hyperlink" Target="http://www.nevo.co.il/case/5573417"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10" TargetMode="External"/><Relationship Id="rId19" Type="http://schemas.openxmlformats.org/officeDocument/2006/relationships/hyperlink" Target="http://www.nevo.co.il/case/8291661" TargetMode="External"/><Relationship Id="rId31" Type="http://schemas.openxmlformats.org/officeDocument/2006/relationships/hyperlink" Target="http://www.nevo.co.il/case/5805976"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6" TargetMode="External"/><Relationship Id="rId22" Type="http://schemas.openxmlformats.org/officeDocument/2006/relationships/hyperlink" Target="http://www.nevo.co.il/links/psika/?link=&#1514;&#1508;%20213/08" TargetMode="External"/><Relationship Id="rId27" Type="http://schemas.openxmlformats.org/officeDocument/2006/relationships/hyperlink" Target="http://www.nevo.co.il/case/7667123" TargetMode="External"/><Relationship Id="rId30" Type="http://schemas.openxmlformats.org/officeDocument/2006/relationships/hyperlink" Target="http://www.nevo.co.il/case/5917767" TargetMode="External"/><Relationship Id="rId35" Type="http://schemas.openxmlformats.org/officeDocument/2006/relationships/hyperlink" Target="http://www.nevo.co.il/law/4216" TargetMode="External"/><Relationship Id="rId43"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webSettings" Target="webSettings.xml"/><Relationship Id="rId12" Type="http://schemas.openxmlformats.org/officeDocument/2006/relationships/hyperlink" Target="http://www.nevo.co.il/law/70301/40ja" TargetMode="External"/><Relationship Id="rId17" Type="http://schemas.openxmlformats.org/officeDocument/2006/relationships/hyperlink" Target="http://www.nevo.co.il/case/4249952" TargetMode="External"/><Relationship Id="rId25" Type="http://schemas.openxmlformats.org/officeDocument/2006/relationships/hyperlink" Target="http://www.nevo.co.il/case/4727560" TargetMode="External"/><Relationship Id="rId33" Type="http://schemas.openxmlformats.org/officeDocument/2006/relationships/hyperlink" Target="http://www.nevo.co.il/law/70301/40ja"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2186</Words>
  <Characters>10931</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13091</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8257637</vt:i4>
      </vt:variant>
      <vt:variant>
        <vt:i4>90</vt:i4>
      </vt:variant>
      <vt:variant>
        <vt:i4>0</vt:i4>
      </vt:variant>
      <vt:variant>
        <vt:i4>5</vt:i4>
      </vt:variant>
      <vt:variant>
        <vt:lpwstr>http://www.nevo.co.il/law/4216</vt:lpwstr>
      </vt:variant>
      <vt:variant>
        <vt:lpwstr/>
      </vt:variant>
      <vt:variant>
        <vt:i4>8257637</vt:i4>
      </vt:variant>
      <vt:variant>
        <vt:i4>87</vt:i4>
      </vt:variant>
      <vt:variant>
        <vt:i4>0</vt:i4>
      </vt:variant>
      <vt:variant>
        <vt:i4>5</vt:i4>
      </vt:variant>
      <vt:variant>
        <vt:lpwstr>http://www.nevo.co.il/law/4216</vt:lpwstr>
      </vt:variant>
      <vt:variant>
        <vt:lpwstr/>
      </vt:variant>
      <vt:variant>
        <vt:i4>4063350</vt:i4>
      </vt:variant>
      <vt:variant>
        <vt:i4>84</vt:i4>
      </vt:variant>
      <vt:variant>
        <vt:i4>0</vt:i4>
      </vt:variant>
      <vt:variant>
        <vt:i4>5</vt:i4>
      </vt:variant>
      <vt:variant>
        <vt:lpwstr>http://www.nevo.co.il/case/5873995</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3866740</vt:i4>
      </vt:variant>
      <vt:variant>
        <vt:i4>78</vt:i4>
      </vt:variant>
      <vt:variant>
        <vt:i4>0</vt:i4>
      </vt:variant>
      <vt:variant>
        <vt:i4>5</vt:i4>
      </vt:variant>
      <vt:variant>
        <vt:lpwstr>http://www.nevo.co.il/case/3888303</vt:lpwstr>
      </vt:variant>
      <vt:variant>
        <vt:lpwstr/>
      </vt:variant>
      <vt:variant>
        <vt:i4>3801214</vt:i4>
      </vt:variant>
      <vt:variant>
        <vt:i4>75</vt:i4>
      </vt:variant>
      <vt:variant>
        <vt:i4>0</vt:i4>
      </vt:variant>
      <vt:variant>
        <vt:i4>5</vt:i4>
      </vt:variant>
      <vt:variant>
        <vt:lpwstr>http://www.nevo.co.il/case/5805976</vt:lpwstr>
      </vt:variant>
      <vt:variant>
        <vt:lpwstr/>
      </vt:variant>
      <vt:variant>
        <vt:i4>3407996</vt:i4>
      </vt:variant>
      <vt:variant>
        <vt:i4>72</vt:i4>
      </vt:variant>
      <vt:variant>
        <vt:i4>0</vt:i4>
      </vt:variant>
      <vt:variant>
        <vt:i4>5</vt:i4>
      </vt:variant>
      <vt:variant>
        <vt:lpwstr>http://www.nevo.co.il/case/5917767</vt:lpwstr>
      </vt:variant>
      <vt:variant>
        <vt:lpwstr/>
      </vt:variant>
      <vt:variant>
        <vt:i4>3539056</vt:i4>
      </vt:variant>
      <vt:variant>
        <vt:i4>69</vt:i4>
      </vt:variant>
      <vt:variant>
        <vt:i4>0</vt:i4>
      </vt:variant>
      <vt:variant>
        <vt:i4>5</vt:i4>
      </vt:variant>
      <vt:variant>
        <vt:lpwstr>http://www.nevo.co.il/case/6473037</vt:lpwstr>
      </vt:variant>
      <vt:variant>
        <vt:lpwstr/>
      </vt:variant>
      <vt:variant>
        <vt:i4>3211379</vt:i4>
      </vt:variant>
      <vt:variant>
        <vt:i4>66</vt:i4>
      </vt:variant>
      <vt:variant>
        <vt:i4>0</vt:i4>
      </vt:variant>
      <vt:variant>
        <vt:i4>5</vt:i4>
      </vt:variant>
      <vt:variant>
        <vt:lpwstr>http://www.nevo.co.il/case/5573417</vt:lpwstr>
      </vt:variant>
      <vt:variant>
        <vt:lpwstr/>
      </vt:variant>
      <vt:variant>
        <vt:i4>3342455</vt:i4>
      </vt:variant>
      <vt:variant>
        <vt:i4>63</vt:i4>
      </vt:variant>
      <vt:variant>
        <vt:i4>0</vt:i4>
      </vt:variant>
      <vt:variant>
        <vt:i4>5</vt:i4>
      </vt:variant>
      <vt:variant>
        <vt:lpwstr>http://www.nevo.co.il/case/7667123</vt:lpwstr>
      </vt:variant>
      <vt:variant>
        <vt:lpwstr/>
      </vt:variant>
      <vt:variant>
        <vt:i4>7995492</vt:i4>
      </vt:variant>
      <vt:variant>
        <vt:i4>60</vt:i4>
      </vt:variant>
      <vt:variant>
        <vt:i4>0</vt:i4>
      </vt:variant>
      <vt:variant>
        <vt:i4>5</vt:i4>
      </vt:variant>
      <vt:variant>
        <vt:lpwstr>http://www.nevo.co.il/law/70301</vt:lpwstr>
      </vt:variant>
      <vt:variant>
        <vt:lpwstr/>
      </vt:variant>
      <vt:variant>
        <vt:i4>3342450</vt:i4>
      </vt:variant>
      <vt:variant>
        <vt:i4>57</vt:i4>
      </vt:variant>
      <vt:variant>
        <vt:i4>0</vt:i4>
      </vt:variant>
      <vt:variant>
        <vt:i4>5</vt:i4>
      </vt:variant>
      <vt:variant>
        <vt:lpwstr>http://www.nevo.co.il/case/4727560</vt:lpwstr>
      </vt:variant>
      <vt:variant>
        <vt:lpwstr/>
      </vt:variant>
      <vt:variant>
        <vt:i4>3211386</vt:i4>
      </vt:variant>
      <vt:variant>
        <vt:i4>54</vt:i4>
      </vt:variant>
      <vt:variant>
        <vt:i4>0</vt:i4>
      </vt:variant>
      <vt:variant>
        <vt:i4>5</vt:i4>
      </vt:variant>
      <vt:variant>
        <vt:lpwstr>http://www.nevo.co.il/case/4832147</vt:lpwstr>
      </vt:variant>
      <vt:variant>
        <vt:lpwstr/>
      </vt:variant>
      <vt:variant>
        <vt:i4>3866740</vt:i4>
      </vt:variant>
      <vt:variant>
        <vt:i4>51</vt:i4>
      </vt:variant>
      <vt:variant>
        <vt:i4>0</vt:i4>
      </vt:variant>
      <vt:variant>
        <vt:i4>5</vt:i4>
      </vt:variant>
      <vt:variant>
        <vt:lpwstr>http://www.nevo.co.il/case/3888303</vt:lpwstr>
      </vt:variant>
      <vt:variant>
        <vt:lpwstr/>
      </vt:variant>
      <vt:variant>
        <vt:i4>96732571</vt:i4>
      </vt:variant>
      <vt:variant>
        <vt:i4>48</vt:i4>
      </vt:variant>
      <vt:variant>
        <vt:i4>0</vt:i4>
      </vt:variant>
      <vt:variant>
        <vt:i4>5</vt:i4>
      </vt:variant>
      <vt:variant>
        <vt:lpwstr>http://www.nevo.co.il/links/psika/?link=תפ 213/08</vt:lpwstr>
      </vt:variant>
      <vt:variant>
        <vt:lpwstr/>
      </vt:variant>
      <vt:variant>
        <vt:i4>3866750</vt:i4>
      </vt:variant>
      <vt:variant>
        <vt:i4>45</vt:i4>
      </vt:variant>
      <vt:variant>
        <vt:i4>0</vt:i4>
      </vt:variant>
      <vt:variant>
        <vt:i4>5</vt:i4>
      </vt:variant>
      <vt:variant>
        <vt:lpwstr>http://www.nevo.co.il/case/4914678</vt:lpwstr>
      </vt:variant>
      <vt:variant>
        <vt:lpwstr/>
      </vt:variant>
      <vt:variant>
        <vt:i4>99747234</vt:i4>
      </vt:variant>
      <vt:variant>
        <vt:i4>42</vt:i4>
      </vt:variant>
      <vt:variant>
        <vt:i4>0</vt:i4>
      </vt:variant>
      <vt:variant>
        <vt:i4>5</vt:i4>
      </vt:variant>
      <vt:variant>
        <vt:lpwstr>http://www.nevo.co.il/links/psika/?link=עפ 51112/12</vt:lpwstr>
      </vt:variant>
      <vt:variant>
        <vt:lpwstr/>
      </vt:variant>
      <vt:variant>
        <vt:i4>3539057</vt:i4>
      </vt:variant>
      <vt:variant>
        <vt:i4>39</vt:i4>
      </vt:variant>
      <vt:variant>
        <vt:i4>0</vt:i4>
      </vt:variant>
      <vt:variant>
        <vt:i4>5</vt:i4>
      </vt:variant>
      <vt:variant>
        <vt:lpwstr>http://www.nevo.co.il/case/8291661</vt:lpwstr>
      </vt:variant>
      <vt:variant>
        <vt:lpwstr/>
      </vt:variant>
      <vt:variant>
        <vt:i4>3211388</vt:i4>
      </vt:variant>
      <vt:variant>
        <vt:i4>36</vt:i4>
      </vt:variant>
      <vt:variant>
        <vt:i4>0</vt:i4>
      </vt:variant>
      <vt:variant>
        <vt:i4>5</vt:i4>
      </vt:variant>
      <vt:variant>
        <vt:lpwstr>http://www.nevo.co.il/case/4616682</vt:lpwstr>
      </vt:variant>
      <vt:variant>
        <vt:lpwstr/>
      </vt:variant>
      <vt:variant>
        <vt:i4>3866746</vt:i4>
      </vt:variant>
      <vt:variant>
        <vt:i4>33</vt:i4>
      </vt:variant>
      <vt:variant>
        <vt:i4>0</vt:i4>
      </vt:variant>
      <vt:variant>
        <vt:i4>5</vt:i4>
      </vt:variant>
      <vt:variant>
        <vt:lpwstr>http://www.nevo.co.il/case/4249952</vt:lpwstr>
      </vt:variant>
      <vt:variant>
        <vt:lpwstr/>
      </vt:variant>
      <vt:variant>
        <vt:i4>5177418</vt:i4>
      </vt:variant>
      <vt:variant>
        <vt:i4>30</vt:i4>
      </vt:variant>
      <vt:variant>
        <vt:i4>0</vt:i4>
      </vt:variant>
      <vt:variant>
        <vt:i4>5</vt:i4>
      </vt:variant>
      <vt:variant>
        <vt:lpwstr>http://www.nevo.co.il/law/4216/10</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4718666</vt:i4>
      </vt:variant>
      <vt:variant>
        <vt:i4>24</vt:i4>
      </vt:variant>
      <vt:variant>
        <vt:i4>0</vt:i4>
      </vt:variant>
      <vt:variant>
        <vt:i4>5</vt:i4>
      </vt:variant>
      <vt:variant>
        <vt:lpwstr>http://www.nevo.co.il/law/4216/6</vt:lpwstr>
      </vt:variant>
      <vt:variant>
        <vt:lpwstr/>
      </vt:variant>
      <vt:variant>
        <vt:i4>8257637</vt:i4>
      </vt:variant>
      <vt:variant>
        <vt:i4>21</vt:i4>
      </vt:variant>
      <vt:variant>
        <vt:i4>0</vt:i4>
      </vt:variant>
      <vt:variant>
        <vt:i4>5</vt:i4>
      </vt:variant>
      <vt:variant>
        <vt:lpwstr>http://www.nevo.co.il/law/4216</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2025-04-22T20:32:00Z</dcterms:created>
  <dcterms:modified xsi:type="dcterms:W3CDTF">2025-04-22T20:32:00Z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16958</vt:lpwstr>
  </property>
  <property fmtid="{D5CDD505-2E9C-101B-9397-08002B2CF9AE}" pid="6" name="NEWPARTB">
    <vt:lpwstr>01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מוריס יניב חייק</vt:lpwstr>
  </property>
  <property fmtid="{D5CDD505-2E9C-101B-9397-08002B2CF9AE}" pid="10" name="JUDGE">
    <vt:lpwstr>יחיאל ליפשיץ</vt:lpwstr>
  </property>
  <property fmtid="{D5CDD505-2E9C-101B-9397-08002B2CF9AE}" pid="11" name="CITY">
    <vt:lpwstr>חי'</vt:lpwstr>
  </property>
  <property fmtid="{D5CDD505-2E9C-101B-9397-08002B2CF9AE}" pid="12" name="DATE">
    <vt:lpwstr>20140430</vt:lpwstr>
  </property>
  <property fmtid="{D5CDD505-2E9C-101B-9397-08002B2CF9AE}" pid="13" name="TYPE_N_DATE">
    <vt:lpwstr>39020140430</vt:lpwstr>
  </property>
  <property fmtid="{D5CDD505-2E9C-101B-9397-08002B2CF9AE}" pid="14" name="CASESLISTTMP1">
    <vt:lpwstr>4249952;4616682;8291661;4914678;3888303:2;4832147;4727560;7667123;5573417;6473037;5917767;5805976;5873995</vt:lpwstr>
  </property>
  <property fmtid="{D5CDD505-2E9C-101B-9397-08002B2CF9AE}" pid="15" name="CASENOTES1">
    <vt:lpwstr>ProcID=133;209&amp;PartA=51112&amp;PartC=12</vt:lpwstr>
  </property>
  <property fmtid="{D5CDD505-2E9C-101B-9397-08002B2CF9AE}" pid="16" name="CASENOTES2">
    <vt:lpwstr>ProcID=133;209&amp;PartA=18489&amp;PartB=01&amp;PartC=14</vt:lpwstr>
  </property>
  <property fmtid="{D5CDD505-2E9C-101B-9397-08002B2CF9AE}" pid="17" name="CASENOTES3">
    <vt:lpwstr>ProcID=209&amp;PartA=213&amp;PartC=08</vt:lpwstr>
  </property>
  <property fmtid="{D5CDD505-2E9C-101B-9397-08002B2CF9AE}" pid="18" name="WORDNUMPAGES">
    <vt:lpwstr>7</vt:lpwstr>
  </property>
  <property fmtid="{D5CDD505-2E9C-101B-9397-08002B2CF9AE}" pid="19" name="TYPE_ABS_DATE">
    <vt:lpwstr>390020140430</vt:lpwstr>
  </property>
  <property fmtid="{D5CDD505-2E9C-101B-9397-08002B2CF9AE}" pid="20" name="ISABSTRACT">
    <vt:lpwstr>Y</vt:lpwstr>
  </property>
  <property fmtid="{D5CDD505-2E9C-101B-9397-08002B2CF9AE}" pid="21" name="LAWLISTTMP1">
    <vt:lpwstr>4216/006;007.a.;007.c;010</vt:lpwstr>
  </property>
  <property fmtid="{D5CDD505-2E9C-101B-9397-08002B2CF9AE}" pid="22" name="LAWLISTTMP2">
    <vt:lpwstr>70301/40ja</vt:lpwstr>
  </property>
</Properties>
</file>