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101E9" w:rsidRPr="00CB0724" w14:paraId="3754E05D" w14:textId="77777777">
        <w:trPr>
          <w:trHeight w:hRule="exact" w:val="418"/>
          <w:jc w:val="center"/>
        </w:trPr>
        <w:tc>
          <w:tcPr>
            <w:tcW w:w="8721" w:type="dxa"/>
            <w:gridSpan w:val="2"/>
          </w:tcPr>
          <w:p w14:paraId="192B908B" w14:textId="77777777" w:rsidR="009101E9" w:rsidRPr="00CB0724" w:rsidRDefault="00CB0724">
            <w:pPr>
              <w:pStyle w:val="a3"/>
              <w:jc w:val="center"/>
              <w:rPr>
                <w:rFonts w:ascii="Tahoma" w:hAnsi="Tahoma" w:cs="Tahoma"/>
                <w:color w:val="000080"/>
                <w:rtl/>
              </w:rPr>
            </w:pPr>
            <w:r w:rsidRPr="00CB0724">
              <w:rPr>
                <w:rFonts w:ascii="Tahoma" w:hAnsi="Tahoma" w:cs="Tahoma"/>
                <w:b/>
                <w:bCs/>
                <w:color w:val="000080"/>
                <w:rtl/>
              </w:rPr>
              <w:t>בית המשפט המחוזי בתל אביב - יפו</w:t>
            </w:r>
          </w:p>
        </w:tc>
      </w:tr>
      <w:tr w:rsidR="009101E9" w:rsidRPr="00CB0724" w14:paraId="297C0950" w14:textId="77777777">
        <w:trPr>
          <w:trHeight w:val="337"/>
          <w:jc w:val="center"/>
        </w:trPr>
        <w:tc>
          <w:tcPr>
            <w:tcW w:w="5057" w:type="dxa"/>
          </w:tcPr>
          <w:p w14:paraId="4E302EA5" w14:textId="77777777" w:rsidR="009101E9" w:rsidRPr="00CB0724" w:rsidRDefault="00CB0724">
            <w:pPr>
              <w:rPr>
                <w:b/>
                <w:bCs/>
                <w:sz w:val="28"/>
                <w:szCs w:val="28"/>
                <w:rtl/>
              </w:rPr>
            </w:pPr>
            <w:r w:rsidRPr="00CB0724">
              <w:rPr>
                <w:b/>
                <w:bCs/>
                <w:sz w:val="28"/>
                <w:szCs w:val="28"/>
                <w:rtl/>
              </w:rPr>
              <w:t>ת"פ</w:t>
            </w:r>
            <w:r w:rsidRPr="00CB0724">
              <w:rPr>
                <w:rFonts w:hint="cs"/>
                <w:b/>
                <w:bCs/>
                <w:sz w:val="28"/>
                <w:szCs w:val="28"/>
                <w:rtl/>
              </w:rPr>
              <w:t xml:space="preserve"> </w:t>
            </w:r>
            <w:r w:rsidRPr="00CB0724">
              <w:rPr>
                <w:b/>
                <w:bCs/>
                <w:sz w:val="28"/>
                <w:szCs w:val="28"/>
                <w:rtl/>
              </w:rPr>
              <w:t>45171-02-14</w:t>
            </w:r>
            <w:r w:rsidRPr="00CB0724">
              <w:rPr>
                <w:rFonts w:hint="cs"/>
                <w:b/>
                <w:bCs/>
                <w:sz w:val="28"/>
                <w:szCs w:val="28"/>
                <w:rtl/>
              </w:rPr>
              <w:t xml:space="preserve"> </w:t>
            </w:r>
            <w:r w:rsidRPr="00CB0724">
              <w:rPr>
                <w:b/>
                <w:bCs/>
                <w:sz w:val="28"/>
                <w:szCs w:val="28"/>
                <w:rtl/>
              </w:rPr>
              <w:t>מדינת ישראל נ' טל(עציר)</w:t>
            </w:r>
          </w:p>
          <w:p w14:paraId="297A4822" w14:textId="77777777" w:rsidR="009101E9" w:rsidRPr="00CB0724" w:rsidRDefault="009101E9">
            <w:pPr>
              <w:pStyle w:val="a3"/>
              <w:rPr>
                <w:rFonts w:cs="FrankRuehl"/>
                <w:sz w:val="28"/>
                <w:szCs w:val="28"/>
                <w:rtl/>
              </w:rPr>
            </w:pPr>
          </w:p>
        </w:tc>
        <w:tc>
          <w:tcPr>
            <w:tcW w:w="3664" w:type="dxa"/>
          </w:tcPr>
          <w:p w14:paraId="532E122C" w14:textId="77777777" w:rsidR="009101E9" w:rsidRPr="00CB0724" w:rsidRDefault="009101E9">
            <w:pPr>
              <w:pStyle w:val="a3"/>
              <w:jc w:val="right"/>
              <w:rPr>
                <w:rFonts w:cs="FrankRuehl"/>
                <w:sz w:val="28"/>
                <w:szCs w:val="28"/>
                <w:rtl/>
              </w:rPr>
            </w:pPr>
          </w:p>
        </w:tc>
      </w:tr>
    </w:tbl>
    <w:p w14:paraId="167E080C" w14:textId="77777777" w:rsidR="009101E9" w:rsidRPr="00CB0724" w:rsidRDefault="00CB0724">
      <w:pPr>
        <w:pStyle w:val="a3"/>
        <w:rPr>
          <w:rtl/>
        </w:rPr>
      </w:pPr>
      <w:r w:rsidRPr="00CB0724">
        <w:rPr>
          <w:rFonts w:hint="cs"/>
          <w:rtl/>
        </w:rPr>
        <w:t xml:space="preserve"> </w:t>
      </w:r>
    </w:p>
    <w:p w14:paraId="7C0780DC" w14:textId="77777777" w:rsidR="009101E9" w:rsidRPr="00CB0724" w:rsidRDefault="009101E9">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101E9" w:rsidRPr="00CB0724" w14:paraId="76641680" w14:textId="77777777">
        <w:trPr>
          <w:trHeight w:val="295"/>
          <w:jc w:val="center"/>
        </w:trPr>
        <w:tc>
          <w:tcPr>
            <w:tcW w:w="945" w:type="dxa"/>
            <w:tcBorders>
              <w:top w:val="nil"/>
              <w:left w:val="nil"/>
              <w:bottom w:val="nil"/>
              <w:right w:val="nil"/>
            </w:tcBorders>
          </w:tcPr>
          <w:p w14:paraId="46E76338" w14:textId="77777777" w:rsidR="009101E9" w:rsidRPr="00CB0724" w:rsidRDefault="00CB0724">
            <w:pPr>
              <w:jc w:val="both"/>
              <w:rPr>
                <w:rFonts w:ascii="Arial" w:hAnsi="Arial"/>
                <w:b/>
                <w:bCs/>
                <w:sz w:val="28"/>
                <w:szCs w:val="28"/>
              </w:rPr>
            </w:pPr>
            <w:bookmarkStart w:id="0" w:name="_GoBack"/>
            <w:bookmarkEnd w:id="0"/>
            <w:r w:rsidRPr="00CB0724">
              <w:rPr>
                <w:rFonts w:ascii="Arial" w:hAnsi="Arial" w:hint="cs"/>
                <w:b/>
                <w:bCs/>
                <w:sz w:val="28"/>
                <w:szCs w:val="28"/>
                <w:rtl/>
              </w:rPr>
              <w:t>ב</w:t>
            </w:r>
            <w:r w:rsidRPr="00CB0724">
              <w:rPr>
                <w:rFonts w:ascii="Arial" w:hAnsi="Arial"/>
                <w:b/>
                <w:bCs/>
                <w:sz w:val="28"/>
                <w:szCs w:val="28"/>
                <w:rtl/>
              </w:rPr>
              <w:t xml:space="preserve">פני </w:t>
            </w:r>
          </w:p>
        </w:tc>
        <w:tc>
          <w:tcPr>
            <w:tcW w:w="7875" w:type="dxa"/>
            <w:gridSpan w:val="2"/>
            <w:tcBorders>
              <w:top w:val="nil"/>
              <w:left w:val="nil"/>
              <w:bottom w:val="nil"/>
              <w:right w:val="nil"/>
            </w:tcBorders>
          </w:tcPr>
          <w:p w14:paraId="35D63961" w14:textId="77777777" w:rsidR="009101E9" w:rsidRPr="00CB0724" w:rsidRDefault="00CB0724">
            <w:pPr>
              <w:jc w:val="both"/>
              <w:rPr>
                <w:rFonts w:ascii="Arial" w:hAnsi="Arial"/>
                <w:b/>
                <w:bCs/>
                <w:sz w:val="28"/>
                <w:szCs w:val="28"/>
              </w:rPr>
            </w:pPr>
            <w:r w:rsidRPr="00CB0724">
              <w:rPr>
                <w:rFonts w:ascii="Arial" w:hAnsi="Arial" w:hint="cs"/>
                <w:b/>
                <w:bCs/>
                <w:rtl/>
              </w:rPr>
              <w:t>כב' ה</w:t>
            </w:r>
            <w:r w:rsidRPr="00CB0724">
              <w:rPr>
                <w:rFonts w:hint="cs"/>
                <w:b/>
                <w:bCs/>
                <w:rtl/>
              </w:rPr>
              <w:t>שופט, סגן נשיאה</w:t>
            </w:r>
            <w:r w:rsidRPr="00CB0724">
              <w:rPr>
                <w:rFonts w:ascii="Arial" w:hAnsi="Arial" w:hint="cs"/>
                <w:b/>
                <w:bCs/>
                <w:rtl/>
              </w:rPr>
              <w:t xml:space="preserve">  </w:t>
            </w:r>
            <w:r w:rsidRPr="00CB0724">
              <w:rPr>
                <w:rFonts w:hint="cs"/>
                <w:b/>
                <w:bCs/>
                <w:rtl/>
              </w:rPr>
              <w:t>ג'ורג' קרא</w:t>
            </w:r>
          </w:p>
        </w:tc>
      </w:tr>
      <w:tr w:rsidR="009101E9" w:rsidRPr="00CB0724" w14:paraId="5D53A21D" w14:textId="77777777">
        <w:trPr>
          <w:trHeight w:val="355"/>
          <w:jc w:val="center"/>
        </w:trPr>
        <w:tc>
          <w:tcPr>
            <w:tcW w:w="945" w:type="dxa"/>
            <w:tcBorders>
              <w:top w:val="nil"/>
              <w:left w:val="nil"/>
              <w:bottom w:val="nil"/>
              <w:right w:val="nil"/>
            </w:tcBorders>
          </w:tcPr>
          <w:p w14:paraId="78C02BA6" w14:textId="77777777" w:rsidR="009101E9" w:rsidRPr="00CB0724" w:rsidRDefault="00CB0724">
            <w:pPr>
              <w:jc w:val="both"/>
              <w:rPr>
                <w:rFonts w:ascii="Arial" w:hAnsi="Arial"/>
                <w:b/>
                <w:bCs/>
                <w:sz w:val="28"/>
                <w:szCs w:val="28"/>
              </w:rPr>
            </w:pPr>
            <w:bookmarkStart w:id="1" w:name="FirstAppellant"/>
            <w:bookmarkStart w:id="2" w:name="LastJudge"/>
            <w:bookmarkEnd w:id="2"/>
            <w:r w:rsidRPr="00CB0724">
              <w:rPr>
                <w:rFonts w:ascii="Arial" w:hAnsi="Arial" w:hint="cs"/>
                <w:b/>
                <w:bCs/>
                <w:sz w:val="28"/>
                <w:szCs w:val="28"/>
                <w:rtl/>
              </w:rPr>
              <w:t>בעניין:</w:t>
            </w:r>
          </w:p>
        </w:tc>
        <w:tc>
          <w:tcPr>
            <w:tcW w:w="4114" w:type="dxa"/>
            <w:tcBorders>
              <w:top w:val="nil"/>
              <w:left w:val="nil"/>
              <w:bottom w:val="nil"/>
              <w:right w:val="nil"/>
            </w:tcBorders>
          </w:tcPr>
          <w:p w14:paraId="7F5788F2" w14:textId="77777777" w:rsidR="009101E9" w:rsidRPr="00CB0724" w:rsidRDefault="00CB0724">
            <w:pPr>
              <w:jc w:val="both"/>
              <w:rPr>
                <w:b/>
                <w:bCs/>
              </w:rPr>
            </w:pPr>
            <w:r w:rsidRPr="00CB0724">
              <w:rPr>
                <w:rFonts w:hint="cs"/>
                <w:b/>
                <w:bCs/>
                <w:rtl/>
              </w:rPr>
              <w:t>מדינת ישראל</w:t>
            </w:r>
          </w:p>
        </w:tc>
        <w:tc>
          <w:tcPr>
            <w:tcW w:w="3761" w:type="dxa"/>
            <w:tcBorders>
              <w:top w:val="nil"/>
              <w:left w:val="nil"/>
              <w:bottom w:val="nil"/>
              <w:right w:val="nil"/>
            </w:tcBorders>
          </w:tcPr>
          <w:p w14:paraId="5C2D9FAD" w14:textId="77777777" w:rsidR="009101E9" w:rsidRPr="00CB0724" w:rsidRDefault="009101E9">
            <w:pPr>
              <w:jc w:val="both"/>
              <w:rPr>
                <w:rFonts w:ascii="Arial" w:hAnsi="Arial"/>
                <w:b/>
                <w:bCs/>
                <w:sz w:val="28"/>
                <w:szCs w:val="28"/>
              </w:rPr>
            </w:pPr>
          </w:p>
        </w:tc>
      </w:tr>
      <w:tr w:rsidR="009101E9" w:rsidRPr="00CB0724" w14:paraId="6CC2A98C" w14:textId="77777777">
        <w:trPr>
          <w:trHeight w:val="355"/>
          <w:jc w:val="center"/>
        </w:trPr>
        <w:tc>
          <w:tcPr>
            <w:tcW w:w="945" w:type="dxa"/>
            <w:tcBorders>
              <w:top w:val="nil"/>
              <w:left w:val="nil"/>
              <w:bottom w:val="nil"/>
              <w:right w:val="nil"/>
            </w:tcBorders>
          </w:tcPr>
          <w:p w14:paraId="6C7F0C72" w14:textId="77777777" w:rsidR="009101E9" w:rsidRPr="00CB0724" w:rsidRDefault="009101E9">
            <w:pPr>
              <w:jc w:val="both"/>
              <w:rPr>
                <w:rFonts w:ascii="Arial" w:hAnsi="Arial"/>
                <w:b/>
                <w:bCs/>
                <w:sz w:val="28"/>
                <w:szCs w:val="28"/>
                <w:rtl/>
              </w:rPr>
            </w:pPr>
            <w:bookmarkStart w:id="3" w:name="FirstLawyer"/>
            <w:bookmarkEnd w:id="1"/>
          </w:p>
        </w:tc>
        <w:tc>
          <w:tcPr>
            <w:tcW w:w="4114" w:type="dxa"/>
            <w:tcBorders>
              <w:top w:val="nil"/>
              <w:left w:val="nil"/>
              <w:bottom w:val="nil"/>
              <w:right w:val="nil"/>
            </w:tcBorders>
          </w:tcPr>
          <w:p w14:paraId="610D706A" w14:textId="77777777" w:rsidR="009101E9" w:rsidRPr="00CB0724" w:rsidRDefault="00CB0724">
            <w:pPr>
              <w:jc w:val="both"/>
              <w:rPr>
                <w:b/>
                <w:bCs/>
                <w:rtl/>
              </w:rPr>
            </w:pPr>
            <w:r w:rsidRPr="00CB0724">
              <w:rPr>
                <w:rFonts w:hint="cs"/>
                <w:b/>
                <w:bCs/>
                <w:rtl/>
              </w:rPr>
              <w:t>ע"י ב"כ עו"ד שרביט</w:t>
            </w:r>
          </w:p>
        </w:tc>
        <w:tc>
          <w:tcPr>
            <w:tcW w:w="3761" w:type="dxa"/>
            <w:tcBorders>
              <w:top w:val="nil"/>
              <w:left w:val="nil"/>
              <w:bottom w:val="nil"/>
              <w:right w:val="nil"/>
            </w:tcBorders>
          </w:tcPr>
          <w:p w14:paraId="5B9E8E37" w14:textId="77777777" w:rsidR="009101E9" w:rsidRPr="00CB0724" w:rsidRDefault="00CB0724">
            <w:pPr>
              <w:jc w:val="both"/>
              <w:rPr>
                <w:rFonts w:ascii="Arial" w:hAnsi="Arial"/>
                <w:b/>
                <w:bCs/>
                <w:sz w:val="28"/>
                <w:szCs w:val="28"/>
                <w:rtl/>
              </w:rPr>
            </w:pPr>
            <w:r w:rsidRPr="00CB0724">
              <w:rPr>
                <w:rFonts w:ascii="Arial" w:hAnsi="Arial" w:hint="cs"/>
                <w:b/>
                <w:bCs/>
                <w:sz w:val="28"/>
                <w:szCs w:val="28"/>
                <w:rtl/>
              </w:rPr>
              <w:t>ה</w:t>
            </w:r>
            <w:r w:rsidRPr="00CB0724">
              <w:rPr>
                <w:rFonts w:hint="cs"/>
                <w:b/>
                <w:bCs/>
                <w:rtl/>
              </w:rPr>
              <w:t>מאשימה</w:t>
            </w:r>
          </w:p>
        </w:tc>
      </w:tr>
      <w:bookmarkEnd w:id="3"/>
      <w:tr w:rsidR="009101E9" w:rsidRPr="00CB0724" w14:paraId="6DE1B504" w14:textId="77777777">
        <w:trPr>
          <w:trHeight w:val="355"/>
          <w:jc w:val="center"/>
        </w:trPr>
        <w:tc>
          <w:tcPr>
            <w:tcW w:w="945" w:type="dxa"/>
            <w:tcBorders>
              <w:top w:val="nil"/>
              <w:left w:val="nil"/>
              <w:bottom w:val="nil"/>
              <w:right w:val="nil"/>
            </w:tcBorders>
          </w:tcPr>
          <w:p w14:paraId="02EF4A56" w14:textId="77777777" w:rsidR="009101E9" w:rsidRPr="00CB0724" w:rsidRDefault="009101E9">
            <w:pPr>
              <w:jc w:val="both"/>
              <w:rPr>
                <w:rFonts w:ascii="Arial" w:hAnsi="Arial"/>
                <w:b/>
                <w:bCs/>
                <w:sz w:val="28"/>
                <w:szCs w:val="28"/>
                <w:rtl/>
              </w:rPr>
            </w:pPr>
          </w:p>
        </w:tc>
        <w:tc>
          <w:tcPr>
            <w:tcW w:w="7875" w:type="dxa"/>
            <w:gridSpan w:val="2"/>
            <w:tcBorders>
              <w:top w:val="nil"/>
              <w:left w:val="nil"/>
              <w:bottom w:val="nil"/>
              <w:right w:val="nil"/>
            </w:tcBorders>
          </w:tcPr>
          <w:p w14:paraId="31037D11" w14:textId="77777777" w:rsidR="009101E9" w:rsidRPr="00CB0724" w:rsidRDefault="00CB0724">
            <w:pPr>
              <w:jc w:val="center"/>
              <w:rPr>
                <w:rFonts w:ascii="Arial" w:hAnsi="Arial"/>
                <w:b/>
                <w:bCs/>
                <w:sz w:val="28"/>
                <w:szCs w:val="28"/>
              </w:rPr>
            </w:pPr>
            <w:r w:rsidRPr="00CB0724">
              <w:rPr>
                <w:rFonts w:ascii="Arial" w:hAnsi="Arial"/>
                <w:b/>
                <w:bCs/>
                <w:sz w:val="28"/>
                <w:szCs w:val="28"/>
                <w:rtl/>
              </w:rPr>
              <w:t>נגד</w:t>
            </w:r>
          </w:p>
        </w:tc>
      </w:tr>
      <w:tr w:rsidR="009101E9" w:rsidRPr="00CB0724" w14:paraId="478601F4" w14:textId="77777777">
        <w:trPr>
          <w:trHeight w:val="355"/>
          <w:jc w:val="center"/>
        </w:trPr>
        <w:tc>
          <w:tcPr>
            <w:tcW w:w="945" w:type="dxa"/>
            <w:tcBorders>
              <w:top w:val="nil"/>
              <w:left w:val="nil"/>
              <w:bottom w:val="nil"/>
              <w:right w:val="nil"/>
            </w:tcBorders>
          </w:tcPr>
          <w:p w14:paraId="06EA4202" w14:textId="77777777" w:rsidR="009101E9" w:rsidRPr="00CB0724" w:rsidRDefault="009101E9">
            <w:pPr>
              <w:jc w:val="both"/>
              <w:rPr>
                <w:rFonts w:ascii="Arial" w:hAnsi="Arial"/>
                <w:b/>
                <w:bCs/>
                <w:sz w:val="28"/>
                <w:szCs w:val="28"/>
                <w:rtl/>
              </w:rPr>
            </w:pPr>
          </w:p>
        </w:tc>
        <w:tc>
          <w:tcPr>
            <w:tcW w:w="4114" w:type="dxa"/>
            <w:tcBorders>
              <w:top w:val="nil"/>
              <w:left w:val="nil"/>
              <w:bottom w:val="nil"/>
              <w:right w:val="nil"/>
            </w:tcBorders>
          </w:tcPr>
          <w:p w14:paraId="63F2FB66" w14:textId="77777777" w:rsidR="009101E9" w:rsidRPr="00CB0724" w:rsidRDefault="00CB0724">
            <w:pPr>
              <w:jc w:val="both"/>
              <w:rPr>
                <w:b/>
                <w:bCs/>
                <w:rtl/>
              </w:rPr>
            </w:pPr>
            <w:r w:rsidRPr="00CB0724">
              <w:rPr>
                <w:rFonts w:hint="cs"/>
                <w:b/>
                <w:bCs/>
                <w:rtl/>
              </w:rPr>
              <w:t>מתי טל (עציר)</w:t>
            </w:r>
          </w:p>
        </w:tc>
        <w:tc>
          <w:tcPr>
            <w:tcW w:w="3761" w:type="dxa"/>
            <w:tcBorders>
              <w:top w:val="nil"/>
              <w:left w:val="nil"/>
              <w:bottom w:val="nil"/>
              <w:right w:val="nil"/>
            </w:tcBorders>
          </w:tcPr>
          <w:p w14:paraId="7BA36C7D" w14:textId="77777777" w:rsidR="009101E9" w:rsidRPr="00CB0724" w:rsidRDefault="009101E9">
            <w:pPr>
              <w:jc w:val="both"/>
              <w:rPr>
                <w:rFonts w:ascii="Arial" w:hAnsi="Arial"/>
                <w:b/>
                <w:bCs/>
                <w:sz w:val="28"/>
                <w:szCs w:val="28"/>
              </w:rPr>
            </w:pPr>
          </w:p>
        </w:tc>
      </w:tr>
      <w:tr w:rsidR="009101E9" w:rsidRPr="00CB0724" w14:paraId="7B7409FF" w14:textId="77777777">
        <w:trPr>
          <w:trHeight w:val="355"/>
          <w:jc w:val="center"/>
        </w:trPr>
        <w:tc>
          <w:tcPr>
            <w:tcW w:w="945" w:type="dxa"/>
            <w:tcBorders>
              <w:top w:val="nil"/>
              <w:left w:val="nil"/>
              <w:bottom w:val="nil"/>
              <w:right w:val="nil"/>
            </w:tcBorders>
          </w:tcPr>
          <w:p w14:paraId="7B05C1EF" w14:textId="77777777" w:rsidR="009101E9" w:rsidRPr="00CB0724" w:rsidRDefault="009101E9">
            <w:pPr>
              <w:jc w:val="both"/>
              <w:rPr>
                <w:rFonts w:ascii="Arial" w:hAnsi="Arial"/>
                <w:b/>
                <w:bCs/>
                <w:sz w:val="28"/>
                <w:szCs w:val="28"/>
                <w:rtl/>
              </w:rPr>
            </w:pPr>
          </w:p>
        </w:tc>
        <w:tc>
          <w:tcPr>
            <w:tcW w:w="4114" w:type="dxa"/>
            <w:tcBorders>
              <w:top w:val="nil"/>
              <w:left w:val="nil"/>
              <w:bottom w:val="nil"/>
              <w:right w:val="nil"/>
            </w:tcBorders>
          </w:tcPr>
          <w:p w14:paraId="26EDD4ED" w14:textId="77777777" w:rsidR="009101E9" w:rsidRPr="00CB0724" w:rsidRDefault="00CB0724">
            <w:pPr>
              <w:jc w:val="both"/>
              <w:rPr>
                <w:b/>
                <w:bCs/>
                <w:rtl/>
              </w:rPr>
            </w:pPr>
            <w:r w:rsidRPr="00CB0724">
              <w:rPr>
                <w:rFonts w:hint="cs"/>
                <w:b/>
                <w:bCs/>
                <w:rtl/>
              </w:rPr>
              <w:t>ע"י ב"כ עו"ד חיה ציון</w:t>
            </w:r>
          </w:p>
        </w:tc>
        <w:tc>
          <w:tcPr>
            <w:tcW w:w="3761" w:type="dxa"/>
            <w:tcBorders>
              <w:top w:val="nil"/>
              <w:left w:val="nil"/>
              <w:bottom w:val="nil"/>
              <w:right w:val="nil"/>
            </w:tcBorders>
          </w:tcPr>
          <w:p w14:paraId="0D0E5F8B" w14:textId="77777777" w:rsidR="009101E9" w:rsidRPr="00CB0724" w:rsidRDefault="00CB0724">
            <w:pPr>
              <w:jc w:val="both"/>
              <w:rPr>
                <w:rFonts w:ascii="Arial" w:hAnsi="Arial"/>
                <w:b/>
                <w:bCs/>
                <w:sz w:val="28"/>
                <w:szCs w:val="28"/>
              </w:rPr>
            </w:pPr>
            <w:r w:rsidRPr="00CB0724">
              <w:rPr>
                <w:rFonts w:ascii="Arial" w:hAnsi="Arial" w:hint="cs"/>
                <w:b/>
                <w:bCs/>
                <w:sz w:val="28"/>
                <w:szCs w:val="28"/>
                <w:rtl/>
              </w:rPr>
              <w:t>ה</w:t>
            </w:r>
            <w:r w:rsidRPr="00CB0724">
              <w:rPr>
                <w:rFonts w:hint="cs"/>
                <w:b/>
                <w:bCs/>
                <w:rtl/>
              </w:rPr>
              <w:t>נאשם</w:t>
            </w:r>
          </w:p>
        </w:tc>
      </w:tr>
    </w:tbl>
    <w:p w14:paraId="2DB065D0" w14:textId="77777777" w:rsidR="00D81040" w:rsidRDefault="00D81040">
      <w:pPr>
        <w:jc w:val="both"/>
        <w:rPr>
          <w:rtl/>
        </w:rPr>
      </w:pPr>
      <w:bookmarkStart w:id="4" w:name="LawTable"/>
      <w:bookmarkEnd w:id="4"/>
    </w:p>
    <w:p w14:paraId="633E9EDF" w14:textId="77777777" w:rsidR="00D81040" w:rsidRPr="00D81040" w:rsidRDefault="00D81040" w:rsidP="00D81040">
      <w:pPr>
        <w:spacing w:after="120" w:line="240" w:lineRule="exact"/>
        <w:ind w:left="283" w:hanging="283"/>
        <w:jc w:val="both"/>
        <w:rPr>
          <w:rFonts w:ascii="FrankRuehl" w:hAnsi="FrankRuehl" w:cs="FrankRuehl"/>
          <w:rtl/>
        </w:rPr>
      </w:pPr>
    </w:p>
    <w:p w14:paraId="7461C7B2" w14:textId="77777777" w:rsidR="00D81040" w:rsidRPr="00D81040" w:rsidRDefault="00D81040" w:rsidP="00D81040">
      <w:pPr>
        <w:spacing w:after="120" w:line="240" w:lineRule="exact"/>
        <w:ind w:left="283" w:hanging="283"/>
        <w:jc w:val="both"/>
        <w:rPr>
          <w:rFonts w:ascii="FrankRuehl" w:hAnsi="FrankRuehl" w:cs="FrankRuehl"/>
          <w:rtl/>
        </w:rPr>
      </w:pPr>
      <w:r w:rsidRPr="00D81040">
        <w:rPr>
          <w:rFonts w:ascii="FrankRuehl" w:hAnsi="FrankRuehl" w:cs="FrankRuehl"/>
          <w:rtl/>
        </w:rPr>
        <w:t xml:space="preserve">חקיקה שאוזכרה: </w:t>
      </w:r>
    </w:p>
    <w:p w14:paraId="6636ED13" w14:textId="77777777" w:rsidR="00D81040" w:rsidRPr="00D81040" w:rsidRDefault="00D81040" w:rsidP="00D81040">
      <w:pPr>
        <w:spacing w:after="120" w:line="240" w:lineRule="exact"/>
        <w:ind w:left="283" w:hanging="283"/>
        <w:jc w:val="both"/>
        <w:rPr>
          <w:rFonts w:ascii="FrankRuehl" w:hAnsi="FrankRuehl" w:cs="FrankRuehl"/>
          <w:rtl/>
        </w:rPr>
      </w:pPr>
      <w:hyperlink r:id="rId6" w:history="1">
        <w:r w:rsidRPr="00D81040">
          <w:rPr>
            <w:rFonts w:ascii="FrankRuehl" w:hAnsi="FrankRuehl" w:cs="FrankRuehl"/>
            <w:color w:val="0000FF"/>
            <w:u w:val="single"/>
            <w:rtl/>
          </w:rPr>
          <w:t>פקודת הסמים המסוכנים [נוסח חדש], תשל"ג-1973</w:t>
        </w:r>
      </w:hyperlink>
      <w:r w:rsidRPr="00D81040">
        <w:rPr>
          <w:rFonts w:ascii="FrankRuehl" w:hAnsi="FrankRuehl" w:cs="FrankRuehl"/>
          <w:rtl/>
        </w:rPr>
        <w:t xml:space="preserve">: סע'  </w:t>
      </w:r>
      <w:hyperlink r:id="rId7" w:history="1">
        <w:r w:rsidRPr="00D81040">
          <w:rPr>
            <w:rFonts w:ascii="FrankRuehl" w:hAnsi="FrankRuehl" w:cs="FrankRuehl"/>
            <w:color w:val="0000FF"/>
            <w:u w:val="single"/>
            <w:rtl/>
          </w:rPr>
          <w:t>13</w:t>
        </w:r>
      </w:hyperlink>
      <w:r w:rsidRPr="00D81040">
        <w:rPr>
          <w:rFonts w:ascii="FrankRuehl" w:hAnsi="FrankRuehl" w:cs="FrankRuehl"/>
          <w:rtl/>
        </w:rPr>
        <w:t xml:space="preserve">, </w:t>
      </w:r>
      <w:hyperlink r:id="rId8" w:history="1">
        <w:r w:rsidRPr="00D81040">
          <w:rPr>
            <w:rFonts w:ascii="FrankRuehl" w:hAnsi="FrankRuehl" w:cs="FrankRuehl"/>
            <w:color w:val="0000FF"/>
            <w:u w:val="single"/>
            <w:rtl/>
          </w:rPr>
          <w:t>14</w:t>
        </w:r>
      </w:hyperlink>
    </w:p>
    <w:p w14:paraId="6431E404" w14:textId="77777777" w:rsidR="00D81040" w:rsidRPr="00D81040" w:rsidRDefault="00D81040" w:rsidP="00D81040">
      <w:pPr>
        <w:spacing w:after="120" w:line="240" w:lineRule="exact"/>
        <w:ind w:left="283" w:hanging="283"/>
        <w:jc w:val="both"/>
        <w:rPr>
          <w:rFonts w:ascii="FrankRuehl" w:hAnsi="FrankRuehl" w:cs="FrankRuehl"/>
          <w:rtl/>
        </w:rPr>
      </w:pPr>
      <w:hyperlink r:id="rId9" w:history="1">
        <w:r w:rsidRPr="00D81040">
          <w:rPr>
            <w:rFonts w:ascii="FrankRuehl" w:hAnsi="FrankRuehl" w:cs="FrankRuehl"/>
            <w:color w:val="0000FF"/>
            <w:u w:val="single"/>
            <w:rtl/>
          </w:rPr>
          <w:t>חוק העונשין, תשל"ז-1977</w:t>
        </w:r>
      </w:hyperlink>
    </w:p>
    <w:p w14:paraId="69055FCB" w14:textId="77777777" w:rsidR="00D81040" w:rsidRPr="00D81040" w:rsidRDefault="00D81040" w:rsidP="00D8104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01E9" w14:paraId="0045AA60" w14:textId="77777777">
        <w:trPr>
          <w:trHeight w:val="355"/>
          <w:jc w:val="center"/>
        </w:trPr>
        <w:tc>
          <w:tcPr>
            <w:tcW w:w="8820" w:type="dxa"/>
            <w:tcBorders>
              <w:top w:val="nil"/>
              <w:left w:val="nil"/>
              <w:bottom w:val="nil"/>
              <w:right w:val="nil"/>
            </w:tcBorders>
          </w:tcPr>
          <w:p w14:paraId="0E38CFA2" w14:textId="77777777" w:rsidR="00CB0724" w:rsidRPr="00CB0724" w:rsidRDefault="00CB0724" w:rsidP="00CB0724">
            <w:pPr>
              <w:jc w:val="center"/>
              <w:rPr>
                <w:rFonts w:ascii="Arial" w:hAnsi="Arial"/>
                <w:b/>
                <w:bCs/>
                <w:sz w:val="32"/>
                <w:szCs w:val="32"/>
                <w:u w:val="single"/>
                <w:rtl/>
              </w:rPr>
            </w:pPr>
            <w:bookmarkStart w:id="5" w:name="LawTable_End"/>
            <w:bookmarkStart w:id="6" w:name="PsakDin" w:colFirst="0" w:colLast="0"/>
            <w:bookmarkEnd w:id="5"/>
            <w:r w:rsidRPr="00CB0724">
              <w:rPr>
                <w:rFonts w:ascii="Arial" w:hAnsi="Arial"/>
                <w:b/>
                <w:bCs/>
                <w:sz w:val="32"/>
                <w:szCs w:val="32"/>
                <w:u w:val="single"/>
                <w:rtl/>
              </w:rPr>
              <w:t>גזר דין</w:t>
            </w:r>
          </w:p>
          <w:p w14:paraId="34822802" w14:textId="77777777" w:rsidR="009101E9" w:rsidRPr="00CB0724" w:rsidRDefault="009101E9" w:rsidP="00CB0724">
            <w:pPr>
              <w:jc w:val="center"/>
              <w:rPr>
                <w:rFonts w:ascii="Arial" w:hAnsi="Arial"/>
                <w:b/>
                <w:bCs/>
                <w:sz w:val="32"/>
                <w:szCs w:val="32"/>
                <w:u w:val="single"/>
                <w:rtl/>
              </w:rPr>
            </w:pPr>
          </w:p>
        </w:tc>
      </w:tr>
      <w:bookmarkEnd w:id="6"/>
    </w:tbl>
    <w:p w14:paraId="0BA5C998" w14:textId="77777777" w:rsidR="009101E9" w:rsidRDefault="009101E9">
      <w:pPr>
        <w:jc w:val="both"/>
        <w:rPr>
          <w:rFonts w:ascii="Arial" w:hAnsi="Arial"/>
          <w:b/>
          <w:bCs/>
          <w:rtl/>
        </w:rPr>
      </w:pPr>
    </w:p>
    <w:p w14:paraId="72337FD8" w14:textId="77777777" w:rsidR="009101E9" w:rsidRDefault="009101E9">
      <w:pPr>
        <w:jc w:val="both"/>
        <w:rPr>
          <w:rtl/>
        </w:rPr>
      </w:pPr>
    </w:p>
    <w:p w14:paraId="3CBC6F74" w14:textId="77777777" w:rsidR="009101E9" w:rsidRDefault="00CB0724">
      <w:pPr>
        <w:spacing w:line="360" w:lineRule="auto"/>
        <w:ind w:left="720" w:hanging="720"/>
        <w:jc w:val="both"/>
        <w:rPr>
          <w:rtl/>
        </w:rPr>
      </w:pPr>
      <w:r>
        <w:rPr>
          <w:rFonts w:hint="cs"/>
          <w:rtl/>
        </w:rPr>
        <w:t>1.</w:t>
      </w:r>
      <w:r>
        <w:rPr>
          <w:rFonts w:hint="cs"/>
          <w:rtl/>
        </w:rPr>
        <w:tab/>
      </w:r>
      <w:bookmarkStart w:id="7" w:name="ABSTRACT_START"/>
      <w:bookmarkEnd w:id="7"/>
      <w:r>
        <w:rPr>
          <w:rFonts w:hint="cs"/>
          <w:rtl/>
        </w:rPr>
        <w:t xml:space="preserve">הנאשם הורשע על פי הודייתו במסגרת הסדר טיעון בביצוע עבירה של תיווך לעסקה אחרת בסם מסוכן, עבירה לפי </w:t>
      </w:r>
      <w:hyperlink r:id="rId10" w:history="1">
        <w:r w:rsidR="00D81040" w:rsidRPr="00D81040">
          <w:rPr>
            <w:color w:val="0000FF"/>
            <w:u w:val="single"/>
            <w:rtl/>
          </w:rPr>
          <w:t>סעיף 14</w:t>
        </w:r>
      </w:hyperlink>
      <w:r>
        <w:rPr>
          <w:rFonts w:hint="cs"/>
          <w:rtl/>
        </w:rPr>
        <w:t xml:space="preserve"> ל</w:t>
      </w:r>
      <w:hyperlink r:id="rId11" w:history="1">
        <w:r w:rsidRPr="00CB0724">
          <w:rPr>
            <w:color w:val="0000FF"/>
            <w:u w:val="single"/>
            <w:rtl/>
          </w:rPr>
          <w:t>פקודת הסמים המסוכנים</w:t>
        </w:r>
      </w:hyperlink>
      <w:r>
        <w:rPr>
          <w:rFonts w:hint="cs"/>
          <w:rtl/>
        </w:rPr>
        <w:t xml:space="preserve"> (נוסח משולב), תשל"ג-1973.</w:t>
      </w:r>
    </w:p>
    <w:p w14:paraId="240C98B9" w14:textId="77777777" w:rsidR="009101E9" w:rsidRDefault="009101E9">
      <w:pPr>
        <w:spacing w:line="360" w:lineRule="auto"/>
        <w:ind w:left="720" w:hanging="720"/>
        <w:jc w:val="both"/>
        <w:rPr>
          <w:rtl/>
        </w:rPr>
      </w:pPr>
      <w:bookmarkStart w:id="8" w:name="ABSTRACT_END"/>
      <w:bookmarkEnd w:id="8"/>
    </w:p>
    <w:p w14:paraId="124BB40C" w14:textId="77777777" w:rsidR="009101E9" w:rsidRDefault="00CB0724">
      <w:pPr>
        <w:spacing w:line="360" w:lineRule="auto"/>
        <w:ind w:left="720" w:hanging="720"/>
        <w:jc w:val="both"/>
        <w:rPr>
          <w:rtl/>
        </w:rPr>
      </w:pPr>
      <w:r>
        <w:rPr>
          <w:rFonts w:hint="cs"/>
          <w:rtl/>
        </w:rPr>
        <w:t>2.</w:t>
      </w:r>
      <w:r>
        <w:rPr>
          <w:rFonts w:hint="cs"/>
          <w:rtl/>
        </w:rPr>
        <w:tab/>
        <w:t>בקליפת אגוז, פעולת התיווך בגינה עומד הנאשם לדין מופיעה בסעיף 10 לכתב האישום המתוקן, לפיה הנאשם העביר מסרון מטלפון נייד השייך לו למעורב אחר בפרשה, עדי אורן (להלן: "עדי"), אשר הועמד לדין בכתב אישום נפרד בגין ביצוע עבירות של קשירת קשר לייבוא וייצוא סמים לארץ באמצעות בלדר, כשמטרת המסרון הנ"ל היתה לתווך בעסקה אחרת בסם בין עדי הנ"ל לבין אחר נוסף. הסם בו עסקינן הינו סם מסוג קוקאין במשקל של 500.18 גרם נטו.</w:t>
      </w:r>
    </w:p>
    <w:p w14:paraId="7D46E4BB" w14:textId="77777777" w:rsidR="009101E9" w:rsidRDefault="009101E9">
      <w:pPr>
        <w:spacing w:line="360" w:lineRule="auto"/>
        <w:ind w:left="720" w:hanging="720"/>
        <w:jc w:val="both"/>
        <w:rPr>
          <w:rtl/>
        </w:rPr>
      </w:pPr>
    </w:p>
    <w:p w14:paraId="23C1D8DD" w14:textId="77777777" w:rsidR="009101E9" w:rsidRDefault="00CB0724">
      <w:pPr>
        <w:spacing w:line="360" w:lineRule="auto"/>
        <w:ind w:left="720" w:hanging="720"/>
        <w:jc w:val="both"/>
        <w:rPr>
          <w:rtl/>
        </w:rPr>
      </w:pPr>
      <w:r>
        <w:rPr>
          <w:rFonts w:hint="cs"/>
          <w:rtl/>
        </w:rPr>
        <w:t>3.</w:t>
      </w:r>
      <w:r>
        <w:rPr>
          <w:rFonts w:hint="cs"/>
          <w:rtl/>
        </w:rPr>
        <w:tab/>
        <w:t>על פי הסדר הטיעון, עתרו הצדדים במשותף להטיל על הנאשם עונש מאסר לריצוי בפועל לתקופה של 9 חודשים בניכוי תקופת מעצרו בגין ההליכים בתיק זה, בין התאריכים 13.2.2014 עד ליום 12.5.2014.</w:t>
      </w:r>
    </w:p>
    <w:p w14:paraId="5EA964BC" w14:textId="77777777" w:rsidR="009101E9" w:rsidRDefault="009101E9">
      <w:pPr>
        <w:spacing w:line="360" w:lineRule="auto"/>
        <w:ind w:left="720" w:hanging="720"/>
        <w:jc w:val="both"/>
        <w:rPr>
          <w:rtl/>
        </w:rPr>
      </w:pPr>
    </w:p>
    <w:p w14:paraId="238A60F5" w14:textId="77777777" w:rsidR="009101E9" w:rsidRDefault="00CB0724">
      <w:pPr>
        <w:spacing w:line="360" w:lineRule="auto"/>
        <w:jc w:val="both"/>
        <w:rPr>
          <w:rtl/>
        </w:rPr>
      </w:pPr>
      <w:r>
        <w:rPr>
          <w:rFonts w:hint="cs"/>
          <w:rtl/>
        </w:rPr>
        <w:t>4.</w:t>
      </w:r>
      <w:r>
        <w:rPr>
          <w:rFonts w:hint="cs"/>
          <w:rtl/>
        </w:rPr>
        <w:tab/>
        <w:t>הצדדים נימקו את עתירתם המשותפת, והענישה המקלה בנימוקים הבאים:</w:t>
      </w:r>
    </w:p>
    <w:p w14:paraId="0EB6569F" w14:textId="77777777" w:rsidR="009101E9" w:rsidRDefault="00CB0724">
      <w:pPr>
        <w:spacing w:line="360" w:lineRule="auto"/>
        <w:ind w:left="1440" w:hanging="720"/>
        <w:jc w:val="both"/>
        <w:rPr>
          <w:rtl/>
        </w:rPr>
      </w:pPr>
      <w:r>
        <w:rPr>
          <w:rFonts w:hint="cs"/>
          <w:rtl/>
        </w:rPr>
        <w:lastRenderedPageBreak/>
        <w:t>א)</w:t>
      </w:r>
      <w:r>
        <w:rPr>
          <w:rFonts w:hint="cs"/>
          <w:rtl/>
        </w:rPr>
        <w:tab/>
        <w:t xml:space="preserve">קיומה של חולשה בראיות התביעה </w:t>
      </w:r>
      <w:r>
        <w:rPr>
          <w:rtl/>
        </w:rPr>
        <w:t>–</w:t>
      </w:r>
      <w:r>
        <w:rPr>
          <w:rFonts w:hint="cs"/>
          <w:rtl/>
        </w:rPr>
        <w:t xml:space="preserve"> לתמיכה בטענה זו הפנה ב"כ המאשימה להחלטתו של כב' השופט זילברטל מבית המשפט העליון ב-</w:t>
      </w:r>
      <w:hyperlink r:id="rId12" w:history="1">
        <w:r w:rsidRPr="00CB0724">
          <w:rPr>
            <w:color w:val="0000FF"/>
            <w:u w:val="single"/>
            <w:rtl/>
          </w:rPr>
          <w:t>בש"פ 2104/14</w:t>
        </w:r>
      </w:hyperlink>
      <w:r>
        <w:rPr>
          <w:rFonts w:hint="cs"/>
          <w:rtl/>
        </w:rPr>
        <w:t xml:space="preserve"> מתי טל נ' מדינת ישראל, (פורסם ביום 6.4.2014).</w:t>
      </w:r>
    </w:p>
    <w:p w14:paraId="0425CD69" w14:textId="77777777" w:rsidR="009101E9" w:rsidRDefault="00CB0724">
      <w:pPr>
        <w:spacing w:line="360" w:lineRule="auto"/>
        <w:ind w:left="1440" w:hanging="720"/>
        <w:jc w:val="both"/>
        <w:rPr>
          <w:rtl/>
        </w:rPr>
      </w:pPr>
      <w:r>
        <w:rPr>
          <w:rFonts w:hint="cs"/>
          <w:rtl/>
        </w:rPr>
        <w:tab/>
        <w:t>לאור הקושי הראייתי האמור החליטה המאשימה "לקנות סיכון", תיקנה את כתב האישום שבמקור ייחס לנאשם עבירות של קשירת קשר לייבוא וייצוא סמים לישראל, לעבירה של תיווך בעסקה אחרת בסם. כמתחייב מכך גם תוקנו עובדותיו של כתב האישום.</w:t>
      </w:r>
    </w:p>
    <w:p w14:paraId="3945D8BC" w14:textId="77777777" w:rsidR="009101E9" w:rsidRDefault="00CB0724">
      <w:pPr>
        <w:spacing w:line="360" w:lineRule="auto"/>
        <w:ind w:left="1440" w:hanging="720"/>
        <w:jc w:val="both"/>
        <w:rPr>
          <w:rtl/>
        </w:rPr>
      </w:pPr>
      <w:r>
        <w:rPr>
          <w:rFonts w:hint="cs"/>
          <w:rtl/>
        </w:rPr>
        <w:t>ב)</w:t>
      </w:r>
      <w:r>
        <w:rPr>
          <w:rFonts w:hint="cs"/>
          <w:rtl/>
        </w:rPr>
        <w:tab/>
        <w:t>מתוך כוונה לקנות סיכון שמא הנאשם יצא זכאי בדינו העדיפה המדינה להסתפק בהמרת סעיפי העבירה כאמור, תיקון כתב האישום וענישה מוסכמת מראש.</w:t>
      </w:r>
    </w:p>
    <w:p w14:paraId="479888DA" w14:textId="77777777" w:rsidR="009101E9" w:rsidRDefault="00CB0724">
      <w:pPr>
        <w:spacing w:line="360" w:lineRule="auto"/>
        <w:ind w:left="1440" w:hanging="720"/>
        <w:jc w:val="both"/>
        <w:rPr>
          <w:rtl/>
        </w:rPr>
      </w:pPr>
      <w:r>
        <w:rPr>
          <w:rFonts w:hint="cs"/>
          <w:rtl/>
        </w:rPr>
        <w:t>ג)</w:t>
      </w:r>
      <w:r>
        <w:rPr>
          <w:rFonts w:hint="cs"/>
          <w:rtl/>
        </w:rPr>
        <w:tab/>
        <w:t>באשר למידת העונש המוסכמת טענה ב"כ המדינה כי זו הושפעה בראש ובראשונה מתיקונו של כתב האישום ומידת חלקו של הנאשם בביצוע העברייני.</w:t>
      </w:r>
    </w:p>
    <w:p w14:paraId="41C6E3E5" w14:textId="77777777" w:rsidR="009101E9" w:rsidRDefault="00CB0724">
      <w:pPr>
        <w:spacing w:line="360" w:lineRule="auto"/>
        <w:ind w:left="1440" w:hanging="720"/>
        <w:jc w:val="both"/>
        <w:rPr>
          <w:rtl/>
        </w:rPr>
      </w:pPr>
      <w:r>
        <w:rPr>
          <w:rFonts w:hint="cs"/>
          <w:rtl/>
        </w:rPr>
        <w:t>ד)</w:t>
      </w:r>
      <w:r>
        <w:rPr>
          <w:rFonts w:hint="cs"/>
          <w:rtl/>
        </w:rPr>
        <w:tab/>
        <w:t>עונשו של המעורב האחר, עדי הנ"ל שנגזר שלא בהסדר טיעון ולאחר שמיעת ראיות, ל- 24 חודשי מאסר לריצוי בפועל בגין הרשעתו בעבירות של סיוע לעסקה אחרת בסם, סיוע להחזקת סם מסוכן, שימוש בסם מסוכן ובהחזקת כלים, יש בו כדי להוות יותר מאינדיקציה באשר לעונש שיש להשית על הנאשם כאן.</w:t>
      </w:r>
    </w:p>
    <w:p w14:paraId="062193B9" w14:textId="77777777" w:rsidR="009101E9" w:rsidRDefault="00CB0724">
      <w:pPr>
        <w:spacing w:line="360" w:lineRule="auto"/>
        <w:ind w:left="1440" w:hanging="720"/>
        <w:jc w:val="both"/>
        <w:rPr>
          <w:rtl/>
        </w:rPr>
      </w:pPr>
      <w:r>
        <w:rPr>
          <w:rFonts w:hint="cs"/>
          <w:rtl/>
        </w:rPr>
        <w:t>ה)</w:t>
      </w:r>
      <w:r>
        <w:rPr>
          <w:rFonts w:hint="cs"/>
          <w:rtl/>
        </w:rPr>
        <w:tab/>
        <w:t>שיקולים אלה בהתווספם להודיית הנאשם על המשתמע מכך, מחסכון בזמן שיפוטי ולקיחת אחריות, הביאו את המאשימה לכדי הענישה המקלה שלה היא עותרת כעת.</w:t>
      </w:r>
    </w:p>
    <w:p w14:paraId="512CD747" w14:textId="77777777" w:rsidR="009101E9" w:rsidRDefault="009101E9">
      <w:pPr>
        <w:spacing w:line="360" w:lineRule="auto"/>
        <w:ind w:left="1440" w:hanging="720"/>
        <w:jc w:val="both"/>
        <w:rPr>
          <w:rtl/>
        </w:rPr>
      </w:pPr>
    </w:p>
    <w:p w14:paraId="404BAC0A" w14:textId="77777777" w:rsidR="009101E9" w:rsidRDefault="00CB0724">
      <w:pPr>
        <w:spacing w:line="360" w:lineRule="auto"/>
        <w:ind w:left="720" w:hanging="720"/>
        <w:jc w:val="both"/>
        <w:rPr>
          <w:rtl/>
        </w:rPr>
      </w:pPr>
      <w:r>
        <w:rPr>
          <w:rFonts w:hint="cs"/>
          <w:rtl/>
        </w:rPr>
        <w:t>5.</w:t>
      </w:r>
      <w:r>
        <w:rPr>
          <w:rFonts w:hint="cs"/>
          <w:rtl/>
        </w:rPr>
        <w:tab/>
        <w:t>ב"כ הנאשם הרחיבה בנושא הקשיים הראייתיים שעמדו בפני המאשימה, בהפנותה לזיכויו של אותו עדי מעבירת קשירת הקשר וייבוא סם, כאשר עדי הנ"ל אינו מפליל ולו במלה את הנאשם בביצוע המיוחס לו, כאשר הסברו של הנאשם לאותו מסרון מפליל לכאורה,  נמצא על ידי בית המשפט העליון (ראה החלטת כב' השופט זילברטל), ככזה שהמדינה תתקשה לסותרו, כשאין לפסול את האפשרות שהנאשם יזוכה מכל המיוחס לו, לרבות ממעורבות בתיווך לעסקה אחרת בסם שנכון היה במסגרת של הערכת סיכויים וקניית סיכונים, להודות בה על מנת להימנע מענישה חמורה במידה ויורשע.</w:t>
      </w:r>
    </w:p>
    <w:p w14:paraId="3213CF07" w14:textId="77777777" w:rsidR="009101E9" w:rsidRDefault="009101E9">
      <w:pPr>
        <w:spacing w:line="360" w:lineRule="auto"/>
        <w:ind w:left="720" w:hanging="720"/>
        <w:jc w:val="both"/>
        <w:rPr>
          <w:rtl/>
        </w:rPr>
      </w:pPr>
    </w:p>
    <w:p w14:paraId="3CFA1FC0" w14:textId="77777777" w:rsidR="009101E9" w:rsidRDefault="00CB0724">
      <w:pPr>
        <w:spacing w:line="360" w:lineRule="auto"/>
        <w:ind w:left="720" w:hanging="720"/>
        <w:jc w:val="both"/>
        <w:rPr>
          <w:u w:val="single"/>
          <w:rtl/>
        </w:rPr>
      </w:pPr>
      <w:r>
        <w:rPr>
          <w:rFonts w:hint="cs"/>
          <w:u w:val="single"/>
          <w:rtl/>
        </w:rPr>
        <w:t>ד י ו ן</w:t>
      </w:r>
    </w:p>
    <w:p w14:paraId="62A0EB47" w14:textId="77777777" w:rsidR="009101E9" w:rsidRDefault="00CB0724">
      <w:pPr>
        <w:spacing w:line="360" w:lineRule="auto"/>
        <w:ind w:left="720" w:hanging="720"/>
        <w:jc w:val="both"/>
        <w:rPr>
          <w:rtl/>
        </w:rPr>
      </w:pPr>
      <w:r>
        <w:rPr>
          <w:rFonts w:hint="cs"/>
          <w:rtl/>
        </w:rPr>
        <w:t>6.</w:t>
      </w:r>
      <w:r>
        <w:rPr>
          <w:rFonts w:hint="cs"/>
          <w:rtl/>
        </w:rPr>
        <w:tab/>
        <w:t>ב</w:t>
      </w:r>
      <w:hyperlink r:id="rId13" w:history="1">
        <w:r w:rsidRPr="00CB0724">
          <w:rPr>
            <w:color w:val="0000FF"/>
            <w:u w:val="single"/>
            <w:rtl/>
          </w:rPr>
          <w:t>ע"פ 512/13</w:t>
        </w:r>
      </w:hyperlink>
      <w:r>
        <w:rPr>
          <w:rFonts w:hint="cs"/>
          <w:rtl/>
        </w:rPr>
        <w:t xml:space="preserve"> </w:t>
      </w:r>
      <w:r>
        <w:rPr>
          <w:rFonts w:hint="cs"/>
          <w:b/>
          <w:bCs/>
          <w:rtl/>
        </w:rPr>
        <w:t>פלוני נ' מדינת ישראל</w:t>
      </w:r>
      <w:r>
        <w:rPr>
          <w:rFonts w:hint="cs"/>
          <w:rtl/>
        </w:rPr>
        <w:t>, (ניתן ביום 10.4.14) חזר בית המשפט העליון על מושכלת היסוד לפיה, הסדר טיעון בין הצדדים הוא בגדר הסכמה בין הצדדים בלבד, שאינה מחייבת את בית המשפט, כאשר "</w:t>
      </w:r>
      <w:r>
        <w:rPr>
          <w:rFonts w:hint="cs"/>
          <w:b/>
          <w:bCs/>
          <w:rtl/>
        </w:rPr>
        <w:t xml:space="preserve">הסדר הטיעון מביא לידי ביטוי, בין היתר, את שיקולי רשויות התביעה כגון: </w:t>
      </w:r>
      <w:r>
        <w:rPr>
          <w:rFonts w:hint="cs"/>
          <w:rtl/>
        </w:rPr>
        <w:t>"</w:t>
      </w:r>
      <w:r>
        <w:rPr>
          <w:rFonts w:hint="cs"/>
          <w:b/>
          <w:bCs/>
          <w:rtl/>
        </w:rPr>
        <w:t xml:space="preserve">אינטרס הציבור בענישה הולמת ומהירה למעשי העבירה, חסכון במשאבים, קשיים ראייתיים, נסיבות ספציפיות לקולא וכיו"ב. אל מול שיקולים אלו של רשויות התביעה עומדים שיקוליו של הנאשם להגיע להסדר עם רשויות התביעה, בין השאר בשל: הרצון להביא להפחתה באישומים, או כדי להביא להקלה בעונש, או כדי </w:t>
      </w:r>
      <w:r>
        <w:rPr>
          <w:rFonts w:hint="cs"/>
          <w:b/>
          <w:bCs/>
          <w:rtl/>
        </w:rPr>
        <w:lastRenderedPageBreak/>
        <w:t>להימנע מניהול הליך ארוך ויקר שלא לצורך... כל אחד משיקוליו שלו - מגיע להסדר עם הצד השני כדי לקדם את האינטרסים הנראים חשובים בעיניו</w:t>
      </w:r>
      <w:r>
        <w:rPr>
          <w:rFonts w:hint="cs"/>
          <w:rtl/>
        </w:rPr>
        <w:t>...".</w:t>
      </w:r>
    </w:p>
    <w:p w14:paraId="526EFD86" w14:textId="77777777" w:rsidR="009101E9" w:rsidRDefault="009101E9">
      <w:pPr>
        <w:spacing w:line="360" w:lineRule="auto"/>
        <w:ind w:left="720"/>
        <w:jc w:val="both"/>
        <w:rPr>
          <w:rtl/>
        </w:rPr>
      </w:pPr>
    </w:p>
    <w:p w14:paraId="0700EBC1" w14:textId="77777777" w:rsidR="009101E9" w:rsidRDefault="00CB0724">
      <w:pPr>
        <w:spacing w:line="360" w:lineRule="auto"/>
        <w:ind w:left="720"/>
        <w:jc w:val="both"/>
        <w:rPr>
          <w:rtl/>
        </w:rPr>
      </w:pPr>
      <w:r>
        <w:rPr>
          <w:rFonts w:hint="cs"/>
          <w:rtl/>
        </w:rPr>
        <w:t xml:space="preserve">בענייננו, פירט כל צד את נימוקיו להגעתו להסדר הטיעון, כאשר בבחינתם של אלו לא ניתן לזהות ביניהם נימוק שניתן לכנותו כלא ענייני וכבלתי סביר בעליל. על פניו נראה, כי שיקולי המאשימה כמי שאחראית על האכיפה והאינטרס הציבורי הם שיקולים נכונים. </w:t>
      </w:r>
    </w:p>
    <w:p w14:paraId="4960F812" w14:textId="77777777" w:rsidR="009101E9" w:rsidRDefault="009101E9">
      <w:pPr>
        <w:spacing w:line="360" w:lineRule="auto"/>
        <w:ind w:left="720"/>
        <w:jc w:val="both"/>
        <w:rPr>
          <w:rtl/>
        </w:rPr>
      </w:pPr>
    </w:p>
    <w:p w14:paraId="2819A3C8" w14:textId="77777777" w:rsidR="009101E9" w:rsidRDefault="00CB0724">
      <w:pPr>
        <w:spacing w:line="360" w:lineRule="auto"/>
        <w:ind w:left="720"/>
        <w:jc w:val="both"/>
        <w:rPr>
          <w:rtl/>
        </w:rPr>
      </w:pPr>
      <w:r>
        <w:rPr>
          <w:rFonts w:hint="cs"/>
          <w:rtl/>
        </w:rPr>
        <w:t>עדיין נותרת השאלה האם ההקלה לה זכה הנאשם במסגרת הענישה המוצעת בהסדר הטיעון עומדת בנוסחת האיזון וכפי שנפסק ב</w:t>
      </w:r>
      <w:hyperlink r:id="rId14" w:history="1">
        <w:r w:rsidRPr="00CB0724">
          <w:rPr>
            <w:color w:val="0000FF"/>
            <w:u w:val="single"/>
            <w:rtl/>
          </w:rPr>
          <w:t>ע"פ 1958/98</w:t>
        </w:r>
      </w:hyperlink>
      <w:r>
        <w:rPr>
          <w:rFonts w:hint="cs"/>
          <w:rtl/>
        </w:rPr>
        <w:t xml:space="preserve"> </w:t>
      </w:r>
      <w:r>
        <w:rPr>
          <w:rFonts w:hint="cs"/>
          <w:b/>
          <w:bCs/>
          <w:rtl/>
        </w:rPr>
        <w:t>פלוני נ' מדינת ישראל</w:t>
      </w:r>
      <w:r>
        <w:rPr>
          <w:rFonts w:hint="cs"/>
          <w:rtl/>
        </w:rPr>
        <w:t>. במלים אחרות, האם מידת העונש מאזנת נכונה בין האינטרס הציבורי מחד, לבין טובת ההנאה שמקבל הנאשם מאידך. לאחר חקיקתו של תיקון 113 ל</w:t>
      </w:r>
      <w:hyperlink r:id="rId15" w:history="1">
        <w:r w:rsidRPr="00CB0724">
          <w:rPr>
            <w:color w:val="0000FF"/>
            <w:u w:val="single"/>
            <w:rtl/>
          </w:rPr>
          <w:t>חוק העונשין</w:t>
        </w:r>
      </w:hyperlink>
      <w:r>
        <w:rPr>
          <w:rFonts w:hint="cs"/>
          <w:rtl/>
        </w:rPr>
        <w:t xml:space="preserve"> ומבלי להתעלם ממה שנאמר ב</w:t>
      </w:r>
      <w:hyperlink r:id="rId16" w:history="1">
        <w:r w:rsidRPr="00CB0724">
          <w:rPr>
            <w:color w:val="0000FF"/>
            <w:u w:val="single"/>
            <w:rtl/>
          </w:rPr>
          <w:t>ע"פ 1958/98</w:t>
        </w:r>
      </w:hyperlink>
      <w:r>
        <w:rPr>
          <w:rFonts w:hint="cs"/>
          <w:rtl/>
        </w:rPr>
        <w:t xml:space="preserve"> הנ"ל בעת בחינתו של הסדר טיעון, מודרכים בתי המשפט הדיוניים (ראה דברי בית המשפט ב</w:t>
      </w:r>
      <w:hyperlink r:id="rId17" w:history="1">
        <w:r w:rsidRPr="00CB0724">
          <w:rPr>
            <w:color w:val="0000FF"/>
            <w:u w:val="single"/>
            <w:rtl/>
          </w:rPr>
          <w:t>ע"פ 512/13</w:t>
        </w:r>
      </w:hyperlink>
      <w:r>
        <w:rPr>
          <w:rFonts w:hint="cs"/>
          <w:rtl/>
        </w:rPr>
        <w:t xml:space="preserve"> הנ"ל), לקבוע את מתחם הענישה לעבירה ואת העונש בתוך המתחם, שהיה נקבע אלמלא היה הסדר, על פי נסיבות שאינן קשורות בביצוע העבירה; במלים אחרות, בחינת "טווח הענישה" המוסכם בהסדר הטיעון אל מול מתחם הענישה שנקבע לעבירה, כאשר יש בבחינה זו "</w:t>
      </w:r>
      <w:r>
        <w:rPr>
          <w:rFonts w:hint="cs"/>
          <w:b/>
          <w:bCs/>
          <w:rtl/>
        </w:rPr>
        <w:t xml:space="preserve">יתרונות ברורים של שקיפות. באמצעות הבחנה זו כל  אדם מן הציבור </w:t>
      </w:r>
      <w:r>
        <w:rPr>
          <w:b/>
          <w:bCs/>
          <w:rtl/>
        </w:rPr>
        <w:t>–</w:t>
      </w:r>
      <w:r>
        <w:rPr>
          <w:rFonts w:hint="cs"/>
          <w:b/>
          <w:bCs/>
          <w:rtl/>
        </w:rPr>
        <w:t xml:space="preserve"> ולא רק הצדדים להליך יכולים לדעת ולהבין בכמה סטה טווח הענישה המוסכם ממתחם הענישה</w:t>
      </w:r>
      <w:r>
        <w:rPr>
          <w:rFonts w:hint="cs"/>
          <w:rtl/>
        </w:rPr>
        <w:t>...".</w:t>
      </w:r>
    </w:p>
    <w:p w14:paraId="7AACEFF1" w14:textId="77777777" w:rsidR="009101E9" w:rsidRDefault="009101E9">
      <w:pPr>
        <w:spacing w:line="360" w:lineRule="auto"/>
        <w:ind w:left="1440"/>
        <w:jc w:val="both"/>
        <w:rPr>
          <w:rtl/>
        </w:rPr>
      </w:pPr>
    </w:p>
    <w:p w14:paraId="577DEAE8" w14:textId="77777777" w:rsidR="009101E9" w:rsidRDefault="00CB0724">
      <w:pPr>
        <w:spacing w:line="360" w:lineRule="auto"/>
        <w:jc w:val="both"/>
        <w:rPr>
          <w:u w:val="single"/>
          <w:rtl/>
        </w:rPr>
      </w:pPr>
      <w:r>
        <w:rPr>
          <w:rFonts w:hint="cs"/>
          <w:u w:val="single"/>
          <w:rtl/>
        </w:rPr>
        <w:t>7.</w:t>
      </w:r>
      <w:r>
        <w:rPr>
          <w:rFonts w:hint="cs"/>
          <w:u w:val="single"/>
          <w:rtl/>
        </w:rPr>
        <w:tab/>
        <w:t>מתחם הענישה</w:t>
      </w:r>
    </w:p>
    <w:p w14:paraId="14A9B7F3" w14:textId="77777777" w:rsidR="009101E9" w:rsidRDefault="00CB0724">
      <w:pPr>
        <w:spacing w:line="360" w:lineRule="auto"/>
        <w:ind w:left="720"/>
        <w:jc w:val="both"/>
        <w:rPr>
          <w:rtl/>
        </w:rPr>
      </w:pPr>
      <w:r>
        <w:rPr>
          <w:rFonts w:hint="cs"/>
          <w:rtl/>
        </w:rPr>
        <w:t xml:space="preserve">מתחם הענישה  בעבירות של תיווך לעסקה אחרת בסם בנסיבות ביצועה של העבירה כאן, כאשר כל חלקו של הנאשם בביצוע העברייני מתמצה בשליחת מסרון ממכשיר טלפון נייד, מחד, משקל וסוג הסם מאידך, כחצי ק"ג קוקאין, יכול וינוע בין 9 ל-24 חודשי מאסר. </w:t>
      </w:r>
    </w:p>
    <w:p w14:paraId="4E02ADCF" w14:textId="77777777" w:rsidR="009101E9" w:rsidRDefault="00CB0724">
      <w:pPr>
        <w:spacing w:line="360" w:lineRule="auto"/>
        <w:ind w:left="720"/>
        <w:jc w:val="both"/>
        <w:rPr>
          <w:rtl/>
        </w:rPr>
      </w:pPr>
      <w:r>
        <w:rPr>
          <w:rFonts w:hint="cs"/>
          <w:rtl/>
        </w:rPr>
        <w:t xml:space="preserve">מדיניות הענישה הנוהגת בעבירה של תיווך בסם מצויה על ספקטרום נרחב שמתחיל ממספר חודשי מאסר לריצוי בפועל ועד למספר שנות מאסר </w:t>
      </w:r>
      <w:r>
        <w:rPr>
          <w:rtl/>
        </w:rPr>
        <w:t>–</w:t>
      </w:r>
      <w:r>
        <w:rPr>
          <w:rFonts w:hint="cs"/>
          <w:rtl/>
        </w:rPr>
        <w:t xml:space="preserve"> תלוי בנסיבות הביצוע הספציפיות של כל מקרה ומקרה. ראה לענין זה </w:t>
      </w:r>
      <w:hyperlink r:id="rId18" w:history="1">
        <w:r w:rsidRPr="00CB0724">
          <w:rPr>
            <w:color w:val="0000FF"/>
            <w:u w:val="single"/>
            <w:rtl/>
          </w:rPr>
          <w:t>ע"פ 8641/04</w:t>
        </w:r>
      </w:hyperlink>
      <w:r>
        <w:rPr>
          <w:rFonts w:hint="cs"/>
          <w:rtl/>
        </w:rPr>
        <w:t xml:space="preserve"> ירונה בוכניק ואח' נ' מ"י. שם הוטל על חלפן כספים שהעביר סכום של כ-415,000 דולר והביע הסכמתו להעברת סכום של כ-6 מיליון דולר לצורך מימון עסקת סמים ענקית, והורשע בביצוע בצוותא של עבירה לפי </w:t>
      </w:r>
      <w:hyperlink r:id="rId19" w:history="1">
        <w:r w:rsidR="00D81040" w:rsidRPr="00D81040">
          <w:rPr>
            <w:color w:val="0000FF"/>
            <w:u w:val="single"/>
            <w:rtl/>
          </w:rPr>
          <w:t>סעיף 13</w:t>
        </w:r>
      </w:hyperlink>
      <w:r>
        <w:rPr>
          <w:rFonts w:hint="cs"/>
          <w:rtl/>
        </w:rPr>
        <w:t xml:space="preserve"> ל</w:t>
      </w:r>
      <w:hyperlink r:id="rId20" w:history="1">
        <w:r w:rsidRPr="00CB0724">
          <w:rPr>
            <w:color w:val="0000FF"/>
            <w:u w:val="single"/>
            <w:rtl/>
          </w:rPr>
          <w:t>פקודת הסמים המסוכנים</w:t>
        </w:r>
      </w:hyperlink>
      <w:r>
        <w:rPr>
          <w:rFonts w:hint="cs"/>
          <w:rtl/>
        </w:rPr>
        <w:t xml:space="preserve">, עונש של 24 חודשי מאסר, מעורבת נוספת שהורשעה אף היא בעבירה לפי </w:t>
      </w:r>
      <w:hyperlink r:id="rId21" w:history="1">
        <w:r w:rsidR="00D81040" w:rsidRPr="00D81040">
          <w:rPr>
            <w:color w:val="0000FF"/>
            <w:u w:val="single"/>
            <w:rtl/>
          </w:rPr>
          <w:t>סעיף 13</w:t>
        </w:r>
      </w:hyperlink>
      <w:r>
        <w:rPr>
          <w:rFonts w:hint="cs"/>
          <w:rtl/>
        </w:rPr>
        <w:t xml:space="preserve"> לפקודת הסמים, נדונה ל-6 חודשי מאסר בעבודות שירות, זאת לאחר שערעורה על חומרת העונש 14 חודשי מאסר לריצוי בפועל התקבל בבית המשפט העליון. </w:t>
      </w:r>
    </w:p>
    <w:p w14:paraId="57D2B172" w14:textId="77777777" w:rsidR="009101E9" w:rsidRDefault="00CB0724">
      <w:pPr>
        <w:spacing w:line="360" w:lineRule="auto"/>
        <w:ind w:left="720"/>
        <w:jc w:val="both"/>
        <w:rPr>
          <w:rtl/>
        </w:rPr>
      </w:pPr>
      <w:r>
        <w:rPr>
          <w:rFonts w:hint="cs"/>
          <w:rtl/>
        </w:rPr>
        <w:t>ב-</w:t>
      </w:r>
      <w:hyperlink r:id="rId22" w:history="1">
        <w:r w:rsidRPr="00CB0724">
          <w:rPr>
            <w:color w:val="0000FF"/>
            <w:u w:val="single"/>
            <w:rtl/>
          </w:rPr>
          <w:t>ע"פ 946/04</w:t>
        </w:r>
      </w:hyperlink>
      <w:r>
        <w:rPr>
          <w:rFonts w:hint="cs"/>
          <w:rtl/>
        </w:rPr>
        <w:t xml:space="preserve"> מ"י נ' יורם בן עובד וחרף קביעת בית המשפט העליון כי מי שהקל על ביצוע העבירה של ייבוא סם, כמוהו כמבצע עיקרי/מבצע בצוותא ואין דינו כדין מסייע קבע כי: "</w:t>
      </w:r>
      <w:r>
        <w:rPr>
          <w:rFonts w:hint="cs"/>
          <w:b/>
          <w:bCs/>
          <w:rtl/>
        </w:rPr>
        <w:t>לא מן הנמנע שבית המשפט יתחשב בתפקידו של זה שהקל על ייבוא או ייצוא הסם בהשוואה למבצעיה האחרים של העבירה, אולם המקום לעשות זאת הוטל הוא בעונש אשר ייגזר לו.</w:t>
      </w:r>
      <w:r>
        <w:rPr>
          <w:rFonts w:hint="cs"/>
          <w:rtl/>
        </w:rPr>
        <w:t>", במילותיו העכשוויות של תיקון 113 ל</w:t>
      </w:r>
      <w:hyperlink r:id="rId23" w:history="1">
        <w:r w:rsidRPr="00CB0724">
          <w:rPr>
            <w:color w:val="0000FF"/>
            <w:u w:val="single"/>
            <w:rtl/>
          </w:rPr>
          <w:t>חוק העונשין</w:t>
        </w:r>
      </w:hyperlink>
      <w:r>
        <w:rPr>
          <w:rFonts w:hint="cs"/>
          <w:rtl/>
        </w:rPr>
        <w:t>, נסיבות ביצוע מעשה העבירה ונסיבות עושה העבירה יילקחו בחשבון בקביעת העונש ההולם.</w:t>
      </w:r>
    </w:p>
    <w:p w14:paraId="48EE34AF" w14:textId="77777777" w:rsidR="009101E9" w:rsidRDefault="00CB0724">
      <w:pPr>
        <w:spacing w:line="360" w:lineRule="auto"/>
        <w:ind w:left="720"/>
        <w:jc w:val="both"/>
        <w:rPr>
          <w:rtl/>
        </w:rPr>
      </w:pPr>
      <w:r>
        <w:rPr>
          <w:rFonts w:hint="cs"/>
          <w:rtl/>
        </w:rPr>
        <w:t>עוד אני רואה להפנות לפירוט הפסיקה המצוטטת ב</w:t>
      </w:r>
      <w:hyperlink r:id="rId24" w:history="1">
        <w:r w:rsidRPr="00CB0724">
          <w:rPr>
            <w:color w:val="0000FF"/>
            <w:u w:val="single"/>
            <w:rtl/>
          </w:rPr>
          <w:t>ת"פ 24245-09-10</w:t>
        </w:r>
      </w:hyperlink>
      <w:r>
        <w:rPr>
          <w:rFonts w:hint="cs"/>
          <w:rtl/>
        </w:rPr>
        <w:t xml:space="preserve"> מחוזי ת"א (כב' השופטת י. אמסטרדם), על מגוון הענישה בעבירות סמים שרלוונטית לענייננו </w:t>
      </w:r>
      <w:r>
        <w:rPr>
          <w:rtl/>
        </w:rPr>
        <w:t>–</w:t>
      </w:r>
      <w:r>
        <w:rPr>
          <w:rFonts w:hint="cs"/>
          <w:rtl/>
        </w:rPr>
        <w:t xml:space="preserve"> ראה פסקה 10 לגזר הדין שם.</w:t>
      </w:r>
    </w:p>
    <w:p w14:paraId="75680858" w14:textId="77777777" w:rsidR="009101E9" w:rsidRDefault="009101E9">
      <w:pPr>
        <w:spacing w:line="360" w:lineRule="auto"/>
        <w:ind w:left="720"/>
        <w:jc w:val="both"/>
        <w:rPr>
          <w:rtl/>
        </w:rPr>
      </w:pPr>
    </w:p>
    <w:p w14:paraId="331511F4" w14:textId="77777777" w:rsidR="009101E9" w:rsidRDefault="00CB0724">
      <w:pPr>
        <w:spacing w:line="360" w:lineRule="auto"/>
        <w:ind w:left="720"/>
        <w:jc w:val="both"/>
        <w:rPr>
          <w:rtl/>
        </w:rPr>
      </w:pPr>
      <w:r>
        <w:rPr>
          <w:rFonts w:hint="cs"/>
          <w:rtl/>
        </w:rPr>
        <w:t xml:space="preserve">כאינדיקציה נוספת לקביעת המתחם לקחתי בחשבון את העונש שהוטל על המעורב האחר באותה פרשה, אותו עדי שנדון לאחר ניהול משפט ל-24 חודשי מאסר בפועל. </w:t>
      </w:r>
    </w:p>
    <w:p w14:paraId="4A5E8C64" w14:textId="77777777" w:rsidR="009101E9" w:rsidRDefault="00CB0724">
      <w:pPr>
        <w:spacing w:line="360" w:lineRule="auto"/>
        <w:ind w:left="720"/>
        <w:jc w:val="both"/>
        <w:rPr>
          <w:rtl/>
        </w:rPr>
      </w:pPr>
      <w:r>
        <w:rPr>
          <w:rFonts w:hint="cs"/>
          <w:rtl/>
        </w:rPr>
        <w:t>בהתחשב בטיב פעולת התיווך, פעולה יחידנית וממוקדת (שליחת מסרון) ובהתחשב בהודייתו של הנאשם בתחילתו של ההליך הפלילי שייתר הליך ארוך ומייגע, הייתי קובע את עונשו של הנאשם על 15 חודשי מאסר לריצוי בפועל, כל זאת ללא כל הסדר לענין העונש.</w:t>
      </w:r>
    </w:p>
    <w:p w14:paraId="283CAE7F" w14:textId="77777777" w:rsidR="009101E9" w:rsidRDefault="00CB0724">
      <w:pPr>
        <w:spacing w:line="360" w:lineRule="auto"/>
        <w:ind w:left="720"/>
        <w:jc w:val="both"/>
        <w:rPr>
          <w:rtl/>
        </w:rPr>
      </w:pPr>
      <w:r>
        <w:rPr>
          <w:rFonts w:hint="cs"/>
          <w:rtl/>
        </w:rPr>
        <w:t>עונשו של הנאשם במסגרת הסדר הטיעון וככזה שהועמד על 9 חודשים לריצוי בפועל זיכה את הנאשם בהקלה משמעותית ביחס לעונש שהיה נגזר עליו (14 חודשים), אלמלא הגיע להסדר טיעון. אמנם, מדובר בהקלה משמעותית, אך עדיין אין בה כדי להצדיק את התערבות בית המשפט בענישה המוצעת משהיא משמרת בתוכה את עקרון ההלימה המתבטא בשליחתו של נאשם שנתן ידו לביצוע עסקת סם למאסר ממשי, אם כי לתקופה קצרה יחסית. כאן המקום לחזור ולהדגיש שוב כי, ברקע הענישה המוצעת עומדת אותה בעייתיות בראיות שהביאה את הצדדים לכדי ההסדר המוצע, כאשר תיקון כתב האישום על העונש המוצע גילמו בתוכם נסיבות מיוחדות, שהכתיבו בסופו של יום גם את העונש המקל יחסית שהוצע במסגרת ההסדר.</w:t>
      </w:r>
    </w:p>
    <w:p w14:paraId="3AFF13A1" w14:textId="77777777" w:rsidR="009101E9" w:rsidRDefault="009101E9">
      <w:pPr>
        <w:spacing w:line="360" w:lineRule="auto"/>
        <w:ind w:left="720"/>
        <w:jc w:val="both"/>
        <w:rPr>
          <w:rtl/>
        </w:rPr>
      </w:pPr>
    </w:p>
    <w:p w14:paraId="66A0EAFE" w14:textId="77777777" w:rsidR="009101E9" w:rsidRDefault="00CB0724">
      <w:pPr>
        <w:spacing w:line="360" w:lineRule="auto"/>
        <w:ind w:left="720" w:hanging="720"/>
        <w:jc w:val="both"/>
        <w:rPr>
          <w:rtl/>
        </w:rPr>
      </w:pPr>
      <w:r>
        <w:rPr>
          <w:rFonts w:hint="cs"/>
          <w:rtl/>
        </w:rPr>
        <w:t>8.</w:t>
      </w:r>
      <w:r>
        <w:rPr>
          <w:rFonts w:hint="cs"/>
          <w:rtl/>
        </w:rPr>
        <w:tab/>
        <w:t>לאור כל האמור לעיל, החלטתי אפוא לכבד את הסדר הטיעון ולדון את הנאשם לעונשים הבאים כדלקמן:</w:t>
      </w:r>
    </w:p>
    <w:p w14:paraId="4663F481" w14:textId="77777777" w:rsidR="009101E9" w:rsidRDefault="00CB0724">
      <w:pPr>
        <w:spacing w:line="360" w:lineRule="auto"/>
        <w:ind w:left="720"/>
        <w:jc w:val="both"/>
        <w:rPr>
          <w:rtl/>
        </w:rPr>
      </w:pPr>
      <w:r>
        <w:rPr>
          <w:rFonts w:hint="cs"/>
          <w:rtl/>
        </w:rPr>
        <w:t xml:space="preserve">20 חודשי מאסר. מתוך תקופה זו 9 חודשים לריצוי בפועל. היתרה 11 חודשים, תהיה על תנאי והתנאי שבמשך תקופה של 3 שנים מיום שחרורו ממאסר לא יעבור הנאשם כל עבירה מסוג פשע על </w:t>
      </w:r>
      <w:hyperlink r:id="rId25" w:history="1">
        <w:r w:rsidRPr="00CB0724">
          <w:rPr>
            <w:color w:val="0000FF"/>
            <w:u w:val="single"/>
            <w:rtl/>
          </w:rPr>
          <w:t>פקודת הסמים המסוכנים</w:t>
        </w:r>
      </w:hyperlink>
      <w:r>
        <w:rPr>
          <w:rFonts w:hint="cs"/>
          <w:rtl/>
        </w:rPr>
        <w:t>, או עבירת קשירת קשר לביצוע פשע.</w:t>
      </w:r>
    </w:p>
    <w:p w14:paraId="03A7D7BA" w14:textId="77777777" w:rsidR="009101E9" w:rsidRDefault="00CB0724">
      <w:pPr>
        <w:spacing w:line="360" w:lineRule="auto"/>
        <w:ind w:firstLine="720"/>
        <w:jc w:val="both"/>
        <w:rPr>
          <w:rtl/>
        </w:rPr>
      </w:pPr>
      <w:r>
        <w:rPr>
          <w:rFonts w:hint="cs"/>
          <w:rtl/>
        </w:rPr>
        <w:t>מתוך תקופת המאסר תנוכה תקופת המעצר בין התאריכים  13.2.2014 עד ליום 12.5.2014.</w:t>
      </w:r>
    </w:p>
    <w:p w14:paraId="590BAC65" w14:textId="77777777" w:rsidR="009101E9" w:rsidRDefault="00CB0724">
      <w:pPr>
        <w:spacing w:line="360" w:lineRule="auto"/>
        <w:ind w:firstLine="720"/>
        <w:jc w:val="both"/>
        <w:rPr>
          <w:rtl/>
        </w:rPr>
      </w:pPr>
      <w:r>
        <w:rPr>
          <w:rFonts w:hint="cs"/>
          <w:rtl/>
        </w:rPr>
        <w:t>באם הנאשם נושא בעונש מאסר אחר, עונשו בתיק הנוכחי יצטבר לכל עונש מאסר כאמור.</w:t>
      </w:r>
    </w:p>
    <w:p w14:paraId="2FE196E1" w14:textId="77777777" w:rsidR="009101E9" w:rsidRDefault="009101E9">
      <w:pPr>
        <w:spacing w:line="360" w:lineRule="auto"/>
        <w:ind w:left="1440"/>
        <w:jc w:val="both"/>
        <w:rPr>
          <w:rtl/>
        </w:rPr>
      </w:pPr>
    </w:p>
    <w:p w14:paraId="7C65F6B3" w14:textId="77777777" w:rsidR="009101E9" w:rsidRDefault="00CB0724">
      <w:pPr>
        <w:jc w:val="both"/>
        <w:rPr>
          <w:rtl/>
        </w:rPr>
      </w:pPr>
      <w:r>
        <w:rPr>
          <w:rFonts w:hint="cs"/>
          <w:rtl/>
        </w:rPr>
        <w:t>זכות ערעור תוך 45 יום לבית המשפט העליון</w:t>
      </w:r>
    </w:p>
    <w:p w14:paraId="6EB61D5F" w14:textId="77777777" w:rsidR="009101E9" w:rsidRDefault="00CB0724">
      <w:pPr>
        <w:spacing w:line="360" w:lineRule="auto"/>
        <w:jc w:val="both"/>
        <w:rPr>
          <w:sz w:val="6"/>
          <w:szCs w:val="6"/>
          <w:rtl/>
        </w:rPr>
      </w:pPr>
      <w:r>
        <w:rPr>
          <w:rFonts w:hint="cs"/>
          <w:sz w:val="6"/>
          <w:szCs w:val="6"/>
          <w:rtl/>
        </w:rPr>
        <w:t>&lt;#4#&gt;</w:t>
      </w:r>
    </w:p>
    <w:p w14:paraId="5B91B886" w14:textId="77777777" w:rsidR="009101E9" w:rsidRDefault="009101E9">
      <w:pPr>
        <w:jc w:val="right"/>
        <w:rPr>
          <w:rtl/>
        </w:rPr>
      </w:pPr>
    </w:p>
    <w:p w14:paraId="0060E5FE" w14:textId="77777777" w:rsidR="009101E9" w:rsidRDefault="00CB0724">
      <w:pPr>
        <w:ind w:left="5040"/>
        <w:jc w:val="center"/>
        <w:rPr>
          <w:rtl/>
        </w:rPr>
      </w:pPr>
      <w:r w:rsidRPr="00CB0724">
        <w:rPr>
          <w:b/>
          <w:bCs/>
          <w:color w:val="FFFFFF"/>
          <w:sz w:val="2"/>
          <w:szCs w:val="2"/>
          <w:rtl/>
        </w:rPr>
        <w:t>5129371</w:t>
      </w:r>
      <w:r>
        <w:rPr>
          <w:b/>
          <w:bCs/>
          <w:rtl/>
        </w:rPr>
        <w:t xml:space="preserve">ניתנה והודעה היום כ"ח אלול תשע"ד, 23/09/2014 במעמד הנוכחים. </w:t>
      </w:r>
    </w:p>
    <w:tbl>
      <w:tblPr>
        <w:bidiVisual/>
        <w:tblW w:w="3936" w:type="dxa"/>
        <w:tblInd w:w="4887" w:type="dxa"/>
        <w:tblBorders>
          <w:insideH w:val="single" w:sz="4" w:space="0" w:color="auto"/>
          <w:insideV w:val="single" w:sz="4" w:space="0" w:color="auto"/>
        </w:tblBorders>
        <w:tblLook w:val="01E0" w:firstRow="1" w:lastRow="1" w:firstColumn="1" w:lastColumn="1" w:noHBand="0" w:noVBand="0"/>
      </w:tblPr>
      <w:tblGrid>
        <w:gridCol w:w="3936"/>
      </w:tblGrid>
      <w:tr w:rsidR="009101E9" w14:paraId="37FBA7BF" w14:textId="77777777">
        <w:trPr>
          <w:trHeight w:val="316"/>
        </w:trPr>
        <w:tc>
          <w:tcPr>
            <w:tcW w:w="3936" w:type="dxa"/>
            <w:tcBorders>
              <w:top w:val="nil"/>
              <w:left w:val="nil"/>
              <w:bottom w:val="single" w:sz="4" w:space="0" w:color="auto"/>
              <w:right w:val="nil"/>
            </w:tcBorders>
          </w:tcPr>
          <w:p w14:paraId="2063F7AC" w14:textId="77777777" w:rsidR="009101E9" w:rsidRPr="00CB0724" w:rsidRDefault="00CB0724">
            <w:pPr>
              <w:jc w:val="center"/>
              <w:rPr>
                <w:color w:val="FFFFFF"/>
                <w:sz w:val="2"/>
                <w:szCs w:val="2"/>
                <w:rtl/>
              </w:rPr>
            </w:pPr>
            <w:r w:rsidRPr="00CB0724">
              <w:rPr>
                <w:color w:val="FFFFFF"/>
                <w:sz w:val="2"/>
                <w:szCs w:val="2"/>
                <w:rtl/>
              </w:rPr>
              <w:t>54678313</w:t>
            </w:r>
          </w:p>
          <w:p w14:paraId="36215661" w14:textId="77777777" w:rsidR="009101E9" w:rsidRDefault="009101E9">
            <w:pPr>
              <w:jc w:val="center"/>
            </w:pPr>
          </w:p>
        </w:tc>
      </w:tr>
      <w:tr w:rsidR="009101E9" w14:paraId="78B899D8" w14:textId="77777777">
        <w:trPr>
          <w:trHeight w:val="361"/>
        </w:trPr>
        <w:tc>
          <w:tcPr>
            <w:tcW w:w="3936" w:type="dxa"/>
            <w:tcBorders>
              <w:top w:val="single" w:sz="4" w:space="0" w:color="auto"/>
              <w:left w:val="nil"/>
              <w:bottom w:val="nil"/>
              <w:right w:val="nil"/>
            </w:tcBorders>
          </w:tcPr>
          <w:p w14:paraId="4C5F226D" w14:textId="77777777" w:rsidR="009101E9" w:rsidRDefault="00CB0724">
            <w:pPr>
              <w:jc w:val="center"/>
              <w:rPr>
                <w:b/>
                <w:bCs/>
              </w:rPr>
            </w:pPr>
            <w:r>
              <w:rPr>
                <w:rFonts w:hint="cs"/>
                <w:b/>
                <w:bCs/>
                <w:rtl/>
              </w:rPr>
              <w:t xml:space="preserve">ג'ורג' קרא , שופט, סגן נשיאה </w:t>
            </w:r>
          </w:p>
        </w:tc>
      </w:tr>
    </w:tbl>
    <w:p w14:paraId="5CF2E309" w14:textId="77777777" w:rsidR="009101E9" w:rsidRDefault="009101E9">
      <w:pPr>
        <w:pStyle w:val="a3"/>
        <w:jc w:val="both"/>
        <w:rPr>
          <w:rtl/>
        </w:rPr>
      </w:pPr>
    </w:p>
    <w:p w14:paraId="6CFCBBF0" w14:textId="77777777" w:rsidR="00CB0724" w:rsidRPr="00CB0724" w:rsidRDefault="00CB0724" w:rsidP="00CB0724">
      <w:pPr>
        <w:keepNext/>
        <w:rPr>
          <w:rFonts w:ascii="David" w:hAnsi="David"/>
          <w:color w:val="000000"/>
          <w:sz w:val="22"/>
          <w:szCs w:val="22"/>
          <w:rtl/>
        </w:rPr>
      </w:pPr>
    </w:p>
    <w:p w14:paraId="36C2E711" w14:textId="77777777" w:rsidR="00CB0724" w:rsidRPr="00CB0724" w:rsidRDefault="00CB0724" w:rsidP="00CB0724">
      <w:pPr>
        <w:keepNext/>
        <w:rPr>
          <w:rFonts w:ascii="David" w:hAnsi="David"/>
          <w:color w:val="000000"/>
          <w:sz w:val="22"/>
          <w:szCs w:val="22"/>
          <w:rtl/>
        </w:rPr>
      </w:pPr>
      <w:r w:rsidRPr="00CB0724">
        <w:rPr>
          <w:rFonts w:ascii="David" w:hAnsi="David"/>
          <w:color w:val="000000"/>
          <w:sz w:val="22"/>
          <w:szCs w:val="22"/>
          <w:rtl/>
        </w:rPr>
        <w:t>ה ג'ורג' קרא 54678313</w:t>
      </w:r>
    </w:p>
    <w:p w14:paraId="6E273AD5" w14:textId="77777777" w:rsidR="00CB0724" w:rsidRDefault="00CB0724" w:rsidP="00CB0724">
      <w:r w:rsidRPr="00CB0724">
        <w:rPr>
          <w:color w:val="000000"/>
          <w:rtl/>
        </w:rPr>
        <w:t>נוסח מסמך זה כפוף לשינויי ניסוח ועריכה</w:t>
      </w:r>
    </w:p>
    <w:p w14:paraId="7208FE67" w14:textId="77777777" w:rsidR="00CB0724" w:rsidRDefault="00CB0724" w:rsidP="00CB0724">
      <w:pPr>
        <w:rPr>
          <w:rtl/>
        </w:rPr>
      </w:pPr>
    </w:p>
    <w:p w14:paraId="5E14AD87" w14:textId="77777777" w:rsidR="00CB0724" w:rsidRDefault="00CB0724" w:rsidP="00CB0724">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5A51F479" w14:textId="77777777" w:rsidR="009101E9" w:rsidRPr="00CB0724" w:rsidRDefault="009101E9" w:rsidP="00CB0724">
      <w:pPr>
        <w:jc w:val="center"/>
        <w:rPr>
          <w:color w:val="0000FF"/>
          <w:u w:val="single"/>
        </w:rPr>
      </w:pPr>
    </w:p>
    <w:sectPr w:rsidR="009101E9" w:rsidRPr="00CB0724" w:rsidSect="00CB0724">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6F110" w14:textId="77777777" w:rsidR="001E438C" w:rsidRPr="00013E0E" w:rsidRDefault="001E438C">
      <w:pPr>
        <w:rPr>
          <w:rFonts w:cs="Arial"/>
          <w:szCs w:val="20"/>
        </w:rPr>
      </w:pPr>
      <w:r>
        <w:separator/>
      </w:r>
    </w:p>
  </w:endnote>
  <w:endnote w:type="continuationSeparator" w:id="0">
    <w:p w14:paraId="2A55E18D" w14:textId="77777777" w:rsidR="001E438C" w:rsidRPr="00013E0E" w:rsidRDefault="001E438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A6717" w14:textId="77777777" w:rsidR="00CB0724" w:rsidRDefault="00CB0724" w:rsidP="00CB072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41A74F" w14:textId="77777777" w:rsidR="009101E9" w:rsidRPr="00CB0724" w:rsidRDefault="00CB0724" w:rsidP="00CB0724">
    <w:pPr>
      <w:pStyle w:val="a4"/>
      <w:pBdr>
        <w:top w:val="single" w:sz="4" w:space="1" w:color="auto"/>
        <w:between w:val="single" w:sz="4" w:space="0" w:color="auto"/>
      </w:pBdr>
      <w:spacing w:after="60"/>
      <w:jc w:val="center"/>
      <w:rPr>
        <w:rFonts w:ascii="FrankRuehl" w:hAnsi="FrankRuehl" w:cs="FrankRuehl"/>
        <w:color w:val="000000"/>
      </w:rPr>
    </w:pPr>
    <w:r w:rsidRPr="00CB07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B9C77" w14:textId="77777777" w:rsidR="00CB0724" w:rsidRDefault="00CB0724" w:rsidP="00CB072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0B51">
      <w:rPr>
        <w:rFonts w:ascii="FrankRuehl" w:hAnsi="FrankRuehl" w:cs="FrankRuehl"/>
        <w:noProof/>
        <w:rtl/>
      </w:rPr>
      <w:t>1</w:t>
    </w:r>
    <w:r>
      <w:rPr>
        <w:rFonts w:ascii="FrankRuehl" w:hAnsi="FrankRuehl" w:cs="FrankRuehl"/>
        <w:rtl/>
      </w:rPr>
      <w:fldChar w:fldCharType="end"/>
    </w:r>
  </w:p>
  <w:p w14:paraId="7E9E3467" w14:textId="77777777" w:rsidR="009101E9" w:rsidRPr="00CB0724" w:rsidRDefault="00CB0724" w:rsidP="00CB0724">
    <w:pPr>
      <w:pStyle w:val="a4"/>
      <w:pBdr>
        <w:top w:val="single" w:sz="4" w:space="1" w:color="auto"/>
        <w:between w:val="single" w:sz="4" w:space="0" w:color="auto"/>
      </w:pBdr>
      <w:spacing w:after="60"/>
      <w:jc w:val="center"/>
      <w:rPr>
        <w:rFonts w:ascii="FrankRuehl" w:hAnsi="FrankRuehl" w:cs="FrankRuehl"/>
        <w:color w:val="000000"/>
      </w:rPr>
    </w:pPr>
    <w:r w:rsidRPr="00CB0724">
      <w:rPr>
        <w:rFonts w:ascii="FrankRuehl" w:hAnsi="FrankRuehl" w:cs="FrankRuehl"/>
        <w:color w:val="000000"/>
      </w:rPr>
      <w:pict w14:anchorId="48752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A93B3" w14:textId="77777777" w:rsidR="001E438C" w:rsidRPr="00013E0E" w:rsidRDefault="001E438C">
      <w:pPr>
        <w:rPr>
          <w:rFonts w:cs="Arial"/>
          <w:szCs w:val="20"/>
        </w:rPr>
      </w:pPr>
      <w:r>
        <w:separator/>
      </w:r>
    </w:p>
  </w:footnote>
  <w:footnote w:type="continuationSeparator" w:id="0">
    <w:p w14:paraId="78777AAD" w14:textId="77777777" w:rsidR="001E438C" w:rsidRPr="00013E0E" w:rsidRDefault="001E438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689AF" w14:textId="77777777" w:rsidR="00CB0724" w:rsidRPr="00CB0724" w:rsidRDefault="00CB0724" w:rsidP="00CB07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45171-02-14</w:t>
    </w:r>
    <w:r>
      <w:rPr>
        <w:rFonts w:ascii="David" w:hAnsi="David"/>
        <w:color w:val="000000"/>
        <w:sz w:val="22"/>
        <w:szCs w:val="22"/>
        <w:rtl/>
      </w:rPr>
      <w:tab/>
      <w:t xml:space="preserve"> מדינת ישראל נ' מתי טל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A58AC" w14:textId="77777777" w:rsidR="00CB0724" w:rsidRPr="00CB0724" w:rsidRDefault="00CB0724" w:rsidP="00CB07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45171-02-14</w:t>
    </w:r>
    <w:r>
      <w:rPr>
        <w:rFonts w:ascii="David" w:hAnsi="David"/>
        <w:color w:val="000000"/>
        <w:sz w:val="22"/>
        <w:szCs w:val="22"/>
        <w:rtl/>
      </w:rPr>
      <w:tab/>
      <w:t xml:space="preserve"> מדינת ישראל נ' מתי טל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01E9"/>
    <w:rsid w:val="001E438C"/>
    <w:rsid w:val="004D554D"/>
    <w:rsid w:val="005E5D8A"/>
    <w:rsid w:val="009101E9"/>
    <w:rsid w:val="00B10B51"/>
    <w:rsid w:val="00CB0724"/>
    <w:rsid w:val="00D81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8D4159"/>
  <w15:chartTrackingRefBased/>
  <w15:docId w15:val="{02E9564E-A116-451E-A664-9BA29BDC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01E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101E9"/>
    <w:pPr>
      <w:tabs>
        <w:tab w:val="center" w:pos="4153"/>
        <w:tab w:val="right" w:pos="8306"/>
      </w:tabs>
    </w:pPr>
  </w:style>
  <w:style w:type="paragraph" w:styleId="a4">
    <w:name w:val="footer"/>
    <w:basedOn w:val="a"/>
    <w:rsid w:val="009101E9"/>
    <w:pPr>
      <w:tabs>
        <w:tab w:val="center" w:pos="4153"/>
        <w:tab w:val="right" w:pos="8306"/>
      </w:tabs>
    </w:pPr>
  </w:style>
  <w:style w:type="character" w:styleId="a5">
    <w:name w:val="page number"/>
    <w:basedOn w:val="a0"/>
    <w:rsid w:val="009101E9"/>
  </w:style>
  <w:style w:type="character" w:styleId="Hyperlink">
    <w:name w:val="Hyperlink"/>
    <w:basedOn w:val="a0"/>
    <w:rsid w:val="00CB07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4" TargetMode="External"/><Relationship Id="rId13" Type="http://schemas.openxmlformats.org/officeDocument/2006/relationships/hyperlink" Target="http://www.nevo.co.il/case/5569233" TargetMode="External"/><Relationship Id="rId18" Type="http://schemas.openxmlformats.org/officeDocument/2006/relationships/hyperlink" Target="http://www.nevo.co.il/case/5758537"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4216/13" TargetMode="External"/><Relationship Id="rId7" Type="http://schemas.openxmlformats.org/officeDocument/2006/relationships/hyperlink" Target="http://www.nevo.co.il/law/4216/13" TargetMode="External"/><Relationship Id="rId12" Type="http://schemas.openxmlformats.org/officeDocument/2006/relationships/hyperlink" Target="http://www.nevo.co.il/case/13063130" TargetMode="External"/><Relationship Id="rId17" Type="http://schemas.openxmlformats.org/officeDocument/2006/relationships/hyperlink" Target="http://www.nevo.co.il/case/5569233"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inks/psika/?link=&#1506;&#1508;%201958/98" TargetMode="External"/><Relationship Id="rId20" Type="http://schemas.openxmlformats.org/officeDocument/2006/relationships/hyperlink" Target="http://www.nevo.co.il/law/4216"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4850060"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4216/14" TargetMode="External"/><Relationship Id="rId19" Type="http://schemas.openxmlformats.org/officeDocument/2006/relationships/hyperlink" Target="http://www.nevo.co.il/law/4216/13"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inks/psika/?link=&#1506;&#1508;%201958/98" TargetMode="External"/><Relationship Id="rId22" Type="http://schemas.openxmlformats.org/officeDocument/2006/relationships/hyperlink" Target="http://www.nevo.co.il/case/573648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1455</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8716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3211386</vt:i4>
      </vt:variant>
      <vt:variant>
        <vt:i4>54</vt:i4>
      </vt:variant>
      <vt:variant>
        <vt:i4>0</vt:i4>
      </vt:variant>
      <vt:variant>
        <vt:i4>5</vt:i4>
      </vt:variant>
      <vt:variant>
        <vt:lpwstr>http://www.nevo.co.il/case/4850060</vt:lpwstr>
      </vt:variant>
      <vt:variant>
        <vt:lpwstr/>
      </vt:variant>
      <vt:variant>
        <vt:i4>7995492</vt:i4>
      </vt:variant>
      <vt:variant>
        <vt:i4>51</vt:i4>
      </vt:variant>
      <vt:variant>
        <vt:i4>0</vt:i4>
      </vt:variant>
      <vt:variant>
        <vt:i4>5</vt:i4>
      </vt:variant>
      <vt:variant>
        <vt:lpwstr>http://www.nevo.co.il/law/70301</vt:lpwstr>
      </vt:variant>
      <vt:variant>
        <vt:lpwstr/>
      </vt:variant>
      <vt:variant>
        <vt:i4>3604605</vt:i4>
      </vt:variant>
      <vt:variant>
        <vt:i4>48</vt:i4>
      </vt:variant>
      <vt:variant>
        <vt:i4>0</vt:i4>
      </vt:variant>
      <vt:variant>
        <vt:i4>5</vt:i4>
      </vt:variant>
      <vt:variant>
        <vt:lpwstr>http://www.nevo.co.il/case/5736485</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3276920</vt:i4>
      </vt:variant>
      <vt:variant>
        <vt:i4>36</vt:i4>
      </vt:variant>
      <vt:variant>
        <vt:i4>0</vt:i4>
      </vt:variant>
      <vt:variant>
        <vt:i4>5</vt:i4>
      </vt:variant>
      <vt:variant>
        <vt:lpwstr>http://www.nevo.co.il/case/5758537</vt:lpwstr>
      </vt:variant>
      <vt:variant>
        <vt:lpwstr/>
      </vt:variant>
      <vt:variant>
        <vt:i4>3276923</vt:i4>
      </vt:variant>
      <vt:variant>
        <vt:i4>33</vt:i4>
      </vt:variant>
      <vt:variant>
        <vt:i4>0</vt:i4>
      </vt:variant>
      <vt:variant>
        <vt:i4>5</vt:i4>
      </vt:variant>
      <vt:variant>
        <vt:lpwstr>http://www.nevo.co.il/case/5569233</vt:lpwstr>
      </vt:variant>
      <vt:variant>
        <vt:lpwstr/>
      </vt:variant>
      <vt:variant>
        <vt:i4>98960821</vt:i4>
      </vt:variant>
      <vt:variant>
        <vt:i4>30</vt:i4>
      </vt:variant>
      <vt:variant>
        <vt:i4>0</vt:i4>
      </vt:variant>
      <vt:variant>
        <vt:i4>5</vt:i4>
      </vt:variant>
      <vt:variant>
        <vt:lpwstr>http://www.nevo.co.il/links/psika/?link=עפ 1958/98</vt:lpwstr>
      </vt:variant>
      <vt:variant>
        <vt:lpwstr/>
      </vt:variant>
      <vt:variant>
        <vt:i4>7995492</vt:i4>
      </vt:variant>
      <vt:variant>
        <vt:i4>27</vt:i4>
      </vt:variant>
      <vt:variant>
        <vt:i4>0</vt:i4>
      </vt:variant>
      <vt:variant>
        <vt:i4>5</vt:i4>
      </vt:variant>
      <vt:variant>
        <vt:lpwstr>http://www.nevo.co.il/law/70301</vt:lpwstr>
      </vt:variant>
      <vt:variant>
        <vt:lpwstr/>
      </vt:variant>
      <vt:variant>
        <vt:i4>98960821</vt:i4>
      </vt:variant>
      <vt:variant>
        <vt:i4>24</vt:i4>
      </vt:variant>
      <vt:variant>
        <vt:i4>0</vt:i4>
      </vt:variant>
      <vt:variant>
        <vt:i4>5</vt:i4>
      </vt:variant>
      <vt:variant>
        <vt:lpwstr>http://www.nevo.co.il/links/psika/?link=עפ 1958/98</vt:lpwstr>
      </vt:variant>
      <vt:variant>
        <vt:lpwstr/>
      </vt:variant>
      <vt:variant>
        <vt:i4>3276923</vt:i4>
      </vt:variant>
      <vt:variant>
        <vt:i4>21</vt:i4>
      </vt:variant>
      <vt:variant>
        <vt:i4>0</vt:i4>
      </vt:variant>
      <vt:variant>
        <vt:i4>5</vt:i4>
      </vt:variant>
      <vt:variant>
        <vt:lpwstr>http://www.nevo.co.il/case/5569233</vt:lpwstr>
      </vt:variant>
      <vt:variant>
        <vt:lpwstr/>
      </vt:variant>
      <vt:variant>
        <vt:i4>3211376</vt:i4>
      </vt:variant>
      <vt:variant>
        <vt:i4>18</vt:i4>
      </vt:variant>
      <vt:variant>
        <vt:i4>0</vt:i4>
      </vt:variant>
      <vt:variant>
        <vt:i4>5</vt:i4>
      </vt:variant>
      <vt:variant>
        <vt:lpwstr>http://www.nevo.co.il/case/13063130</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2025-04-22T20:33:00Z</dcterms:created>
  <dcterms:modified xsi:type="dcterms:W3CDTF">2025-04-22T20:33:00Z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45171</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מתי טל</vt:lpwstr>
  </property>
  <property fmtid="{D5CDD505-2E9C-101B-9397-08002B2CF9AE}" pid="10" name="LAWYER">
    <vt:lpwstr>שרביט;חיה ציון</vt:lpwstr>
  </property>
  <property fmtid="{D5CDD505-2E9C-101B-9397-08002B2CF9AE}" pid="11" name="JUDGE">
    <vt:lpwstr>ג'ורג' קרא</vt:lpwstr>
  </property>
  <property fmtid="{D5CDD505-2E9C-101B-9397-08002B2CF9AE}" pid="12" name="CITY">
    <vt:lpwstr>ת"א</vt:lpwstr>
  </property>
  <property fmtid="{D5CDD505-2E9C-101B-9397-08002B2CF9AE}" pid="13" name="DATE">
    <vt:lpwstr>20140923</vt:lpwstr>
  </property>
  <property fmtid="{D5CDD505-2E9C-101B-9397-08002B2CF9AE}" pid="14" name="TYPE_N_DATE">
    <vt:lpwstr>39020140923</vt:lpwstr>
  </property>
  <property fmtid="{D5CDD505-2E9C-101B-9397-08002B2CF9AE}" pid="15" name="CASESLISTTMP1">
    <vt:lpwstr>13063130;5569233:2;5758537;5736485;4850060</vt:lpwstr>
  </property>
  <property fmtid="{D5CDD505-2E9C-101B-9397-08002B2CF9AE}" pid="16" name="CASENOTES1">
    <vt:lpwstr>ProcID=133;209&amp;PartA=1958&amp;PartC=98</vt:lpwstr>
  </property>
  <property fmtid="{D5CDD505-2E9C-101B-9397-08002B2CF9AE}" pid="17" name="WORDNUMPAGES">
    <vt:lpwstr>5</vt:lpwstr>
  </property>
  <property fmtid="{D5CDD505-2E9C-101B-9397-08002B2CF9AE}" pid="18" name="TYPE_ABS_DATE">
    <vt:lpwstr>390020140923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4216/014;013:2</vt:lpwstr>
  </property>
  <property fmtid="{D5CDD505-2E9C-101B-9397-08002B2CF9AE}" pid="37" name="LAWLISTTMP2">
    <vt:lpwstr>70301:2</vt:lpwstr>
  </property>
  <property fmtid="{D5CDD505-2E9C-101B-9397-08002B2CF9AE}" pid="38" name="ISABSTRACT">
    <vt:lpwstr>Y</vt:lpwstr>
  </property>
</Properties>
</file>