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E746B3" w:rsidRPr="0085403D" w14:paraId="54DBFAEA" w14:textId="77777777">
        <w:trPr>
          <w:trHeight w:hRule="exact" w:val="418"/>
          <w:jc w:val="center"/>
        </w:trPr>
        <w:tc>
          <w:tcPr>
            <w:tcW w:w="8720" w:type="dxa"/>
            <w:gridSpan w:val="3"/>
          </w:tcPr>
          <w:p w14:paraId="02FD9223" w14:textId="77777777" w:rsidR="00E746B3" w:rsidRPr="0085403D" w:rsidRDefault="0085403D">
            <w:pPr>
              <w:pStyle w:val="a3"/>
              <w:tabs>
                <w:tab w:val="clear" w:pos="8306"/>
              </w:tabs>
              <w:jc w:val="center"/>
              <w:rPr>
                <w:rFonts w:ascii="Tahoma" w:hAnsi="Tahoma" w:cs="Tahoma"/>
                <w:b/>
                <w:bCs/>
                <w:color w:val="000080"/>
                <w:sz w:val="20"/>
                <w:szCs w:val="20"/>
                <w:rtl/>
              </w:rPr>
            </w:pPr>
            <w:bookmarkStart w:id="0" w:name="FirstLawyer"/>
            <w:r w:rsidRPr="0085403D">
              <w:rPr>
                <w:rFonts w:ascii="Tahoma" w:hAnsi="Tahoma" w:cs="Tahoma"/>
                <w:b/>
                <w:bCs/>
                <w:color w:val="000080"/>
                <w:sz w:val="20"/>
                <w:szCs w:val="20"/>
                <w:rtl/>
              </w:rPr>
              <w:t>בית המשפט המחוזי בנצרת</w:t>
            </w:r>
          </w:p>
        </w:tc>
      </w:tr>
      <w:tr w:rsidR="00E746B3" w:rsidRPr="0085403D" w14:paraId="7A402734" w14:textId="77777777">
        <w:trPr>
          <w:trHeight w:val="337"/>
          <w:jc w:val="center"/>
        </w:trPr>
        <w:tc>
          <w:tcPr>
            <w:tcW w:w="3973" w:type="dxa"/>
          </w:tcPr>
          <w:p w14:paraId="1635D7AD" w14:textId="77777777" w:rsidR="00E746B3" w:rsidRPr="0085403D" w:rsidRDefault="0085403D">
            <w:pPr>
              <w:rPr>
                <w:b/>
                <w:bCs/>
                <w:sz w:val="26"/>
                <w:szCs w:val="26"/>
                <w:rtl/>
              </w:rPr>
            </w:pPr>
            <w:r w:rsidRPr="0085403D">
              <w:rPr>
                <w:b/>
                <w:bCs/>
                <w:sz w:val="26"/>
                <w:szCs w:val="26"/>
                <w:rtl/>
              </w:rPr>
              <w:t>ת"פ</w:t>
            </w:r>
            <w:r w:rsidRPr="0085403D">
              <w:rPr>
                <w:rFonts w:hint="cs"/>
                <w:b/>
                <w:bCs/>
                <w:sz w:val="26"/>
                <w:szCs w:val="26"/>
                <w:rtl/>
              </w:rPr>
              <w:t xml:space="preserve"> </w:t>
            </w:r>
            <w:r w:rsidRPr="0085403D">
              <w:rPr>
                <w:b/>
                <w:bCs/>
                <w:sz w:val="26"/>
                <w:szCs w:val="26"/>
                <w:rtl/>
              </w:rPr>
              <w:t>3507-03-14</w:t>
            </w:r>
            <w:r w:rsidRPr="0085403D">
              <w:rPr>
                <w:rFonts w:hint="cs"/>
                <w:b/>
                <w:bCs/>
                <w:sz w:val="26"/>
                <w:szCs w:val="26"/>
                <w:rtl/>
              </w:rPr>
              <w:t xml:space="preserve"> </w:t>
            </w:r>
            <w:r w:rsidRPr="0085403D">
              <w:rPr>
                <w:b/>
                <w:bCs/>
                <w:sz w:val="26"/>
                <w:szCs w:val="26"/>
                <w:rtl/>
              </w:rPr>
              <w:t>מדינת ישראל נ' חדאד(עציר)</w:t>
            </w:r>
          </w:p>
          <w:p w14:paraId="2A9FCB36" w14:textId="77777777" w:rsidR="00E746B3" w:rsidRPr="0085403D" w:rsidRDefault="00E746B3">
            <w:pPr>
              <w:rPr>
                <w:b/>
                <w:bCs/>
                <w:sz w:val="26"/>
                <w:szCs w:val="26"/>
                <w:rtl/>
              </w:rPr>
            </w:pPr>
          </w:p>
        </w:tc>
        <w:tc>
          <w:tcPr>
            <w:tcW w:w="1068" w:type="dxa"/>
          </w:tcPr>
          <w:p w14:paraId="4F439568" w14:textId="77777777" w:rsidR="00E746B3" w:rsidRPr="0085403D" w:rsidRDefault="00E746B3">
            <w:pPr>
              <w:pStyle w:val="a3"/>
              <w:jc w:val="right"/>
              <w:rPr>
                <w:b/>
                <w:bCs/>
                <w:sz w:val="26"/>
                <w:szCs w:val="26"/>
                <w:rtl/>
              </w:rPr>
            </w:pPr>
          </w:p>
        </w:tc>
        <w:tc>
          <w:tcPr>
            <w:tcW w:w="3679" w:type="dxa"/>
          </w:tcPr>
          <w:p w14:paraId="6EC798DC" w14:textId="77777777" w:rsidR="00E746B3" w:rsidRPr="0085403D" w:rsidRDefault="0085403D">
            <w:pPr>
              <w:pStyle w:val="a3"/>
              <w:tabs>
                <w:tab w:val="clear" w:pos="4153"/>
              </w:tabs>
              <w:jc w:val="right"/>
              <w:rPr>
                <w:b/>
                <w:bCs/>
                <w:sz w:val="26"/>
                <w:szCs w:val="26"/>
                <w:rtl/>
              </w:rPr>
            </w:pPr>
            <w:r w:rsidRPr="0085403D">
              <w:rPr>
                <w:b/>
                <w:bCs/>
                <w:sz w:val="26"/>
                <w:szCs w:val="26"/>
                <w:rtl/>
              </w:rPr>
              <w:t>01 דצמבר 2014</w:t>
            </w:r>
          </w:p>
        </w:tc>
      </w:tr>
    </w:tbl>
    <w:p w14:paraId="0A2CFCB1" w14:textId="77777777" w:rsidR="00E746B3" w:rsidRPr="0085403D" w:rsidRDefault="00E746B3">
      <w:pPr>
        <w:pStyle w:val="a3"/>
        <w:jc w:val="center"/>
        <w:rPr>
          <w:rFonts w:ascii="Tahoma" w:hAnsi="Tahoma" w:cs="Tahoma"/>
          <w:b/>
          <w:bCs/>
          <w:color w:val="000080"/>
          <w:sz w:val="20"/>
          <w:szCs w:val="20"/>
          <w:rtl/>
        </w:rPr>
      </w:pPr>
    </w:p>
    <w:p w14:paraId="7AE6BD15" w14:textId="77777777" w:rsidR="00E746B3" w:rsidRPr="0085403D" w:rsidRDefault="00E746B3">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E746B3" w:rsidRPr="0085403D" w14:paraId="2F9AC5F4" w14:textId="77777777">
        <w:trPr>
          <w:gridAfter w:val="1"/>
          <w:wAfter w:w="55" w:type="dxa"/>
        </w:trPr>
        <w:tc>
          <w:tcPr>
            <w:tcW w:w="8719" w:type="dxa"/>
            <w:gridSpan w:val="2"/>
          </w:tcPr>
          <w:p w14:paraId="00F0C3F9" w14:textId="77777777" w:rsidR="00E746B3" w:rsidRPr="0085403D" w:rsidRDefault="0085403D">
            <w:pPr>
              <w:spacing w:line="360" w:lineRule="auto"/>
              <w:jc w:val="both"/>
              <w:rPr>
                <w:rFonts w:ascii="Arial" w:eastAsia="Times New Roman" w:hAnsi="Arial"/>
                <w:sz w:val="26"/>
                <w:szCs w:val="26"/>
                <w:rtl/>
              </w:rPr>
            </w:pPr>
            <w:r w:rsidRPr="0085403D">
              <w:rPr>
                <w:rFonts w:ascii="Times New Roman" w:eastAsia="Times New Roman" w:hAnsi="Times New Roman" w:hint="cs"/>
                <w:b/>
                <w:bCs/>
                <w:sz w:val="26"/>
                <w:szCs w:val="26"/>
                <w:rtl/>
              </w:rPr>
              <w:t>בפני כבוד סגן הנשיא, השופט – תאופיק כתילי</w:t>
            </w:r>
          </w:p>
        </w:tc>
      </w:tr>
      <w:tr w:rsidR="00E746B3" w:rsidRPr="0085403D" w14:paraId="688593A6" w14:textId="77777777">
        <w:tc>
          <w:tcPr>
            <w:tcW w:w="2880" w:type="dxa"/>
          </w:tcPr>
          <w:p w14:paraId="5FA8F8B5" w14:textId="77777777" w:rsidR="00E746B3" w:rsidRPr="0085403D" w:rsidRDefault="0085403D">
            <w:pPr>
              <w:ind w:left="26"/>
              <w:rPr>
                <w:rFonts w:ascii="Times New Roman" w:eastAsia="Times New Roman" w:hAnsi="Times New Roman"/>
                <w:b/>
                <w:bCs/>
                <w:sz w:val="26"/>
                <w:szCs w:val="26"/>
                <w:rtl/>
              </w:rPr>
            </w:pPr>
            <w:bookmarkStart w:id="1" w:name="FirstAppellant"/>
            <w:bookmarkStart w:id="2" w:name="LastJudge"/>
            <w:bookmarkEnd w:id="2"/>
            <w:r w:rsidRPr="0085403D">
              <w:rPr>
                <w:rFonts w:ascii="Times New Roman" w:eastAsia="Times New Roman" w:hAnsi="Times New Roman" w:hint="cs"/>
                <w:b/>
                <w:bCs/>
                <w:sz w:val="26"/>
                <w:szCs w:val="26"/>
                <w:rtl/>
              </w:rPr>
              <w:t>המאשימה</w:t>
            </w:r>
          </w:p>
        </w:tc>
        <w:tc>
          <w:tcPr>
            <w:tcW w:w="5922" w:type="dxa"/>
            <w:gridSpan w:val="2"/>
          </w:tcPr>
          <w:p w14:paraId="705A1FA4" w14:textId="77777777" w:rsidR="00E746B3" w:rsidRPr="0085403D" w:rsidRDefault="0085403D">
            <w:pPr>
              <w:rPr>
                <w:rFonts w:ascii="Times New Roman" w:eastAsia="Times New Roman" w:hAnsi="Times New Roman"/>
                <w:b/>
                <w:bCs/>
                <w:sz w:val="26"/>
                <w:szCs w:val="26"/>
              </w:rPr>
            </w:pPr>
            <w:r w:rsidRPr="0085403D">
              <w:rPr>
                <w:rFonts w:ascii="Times New Roman" w:eastAsia="Times New Roman" w:hAnsi="Times New Roman" w:hint="cs"/>
                <w:b/>
                <w:bCs/>
                <w:sz w:val="26"/>
                <w:szCs w:val="26"/>
                <w:rtl/>
              </w:rPr>
              <w:t>מדינת ישראל</w:t>
            </w:r>
          </w:p>
          <w:p w14:paraId="4C7CBDAE" w14:textId="77777777" w:rsidR="00E746B3" w:rsidRPr="0085403D" w:rsidRDefault="0085403D">
            <w:pPr>
              <w:rPr>
                <w:rFonts w:ascii="Times New Roman" w:eastAsia="Times New Roman" w:hAnsi="Times New Roman"/>
                <w:b/>
                <w:bCs/>
                <w:sz w:val="22"/>
                <w:szCs w:val="22"/>
                <w:rtl/>
              </w:rPr>
            </w:pPr>
            <w:r w:rsidRPr="0085403D">
              <w:rPr>
                <w:rFonts w:ascii="Times New Roman" w:eastAsia="Times New Roman" w:hAnsi="Times New Roman" w:hint="cs"/>
                <w:b/>
                <w:bCs/>
                <w:sz w:val="22"/>
                <w:szCs w:val="22"/>
                <w:rtl/>
              </w:rPr>
              <w:t>באמצעות פרקליטות מחוז צפון</w:t>
            </w:r>
          </w:p>
        </w:tc>
      </w:tr>
      <w:bookmarkEnd w:id="1"/>
      <w:tr w:rsidR="00E746B3" w:rsidRPr="0085403D" w14:paraId="60C81E80" w14:textId="77777777">
        <w:tc>
          <w:tcPr>
            <w:tcW w:w="8802" w:type="dxa"/>
            <w:gridSpan w:val="3"/>
          </w:tcPr>
          <w:p w14:paraId="677E4688" w14:textId="77777777" w:rsidR="00E746B3" w:rsidRPr="0085403D" w:rsidRDefault="00E746B3">
            <w:pPr>
              <w:jc w:val="both"/>
              <w:rPr>
                <w:rFonts w:ascii="Arial" w:eastAsia="Times New Roman" w:hAnsi="Arial"/>
                <w:b/>
                <w:bCs/>
                <w:sz w:val="26"/>
                <w:szCs w:val="26"/>
                <w:rtl/>
              </w:rPr>
            </w:pPr>
          </w:p>
          <w:p w14:paraId="7264B994" w14:textId="77777777" w:rsidR="00E746B3" w:rsidRPr="0085403D" w:rsidRDefault="0085403D">
            <w:pPr>
              <w:jc w:val="center"/>
              <w:rPr>
                <w:rFonts w:ascii="Arial" w:eastAsia="Times New Roman" w:hAnsi="Arial"/>
                <w:b/>
                <w:bCs/>
                <w:sz w:val="26"/>
                <w:szCs w:val="26"/>
                <w:rtl/>
              </w:rPr>
            </w:pPr>
            <w:r w:rsidRPr="0085403D">
              <w:rPr>
                <w:rFonts w:ascii="Arial" w:eastAsia="Times New Roman" w:hAnsi="Arial"/>
                <w:b/>
                <w:bCs/>
                <w:sz w:val="26"/>
                <w:szCs w:val="26"/>
                <w:rtl/>
              </w:rPr>
              <w:t>נגד</w:t>
            </w:r>
          </w:p>
          <w:p w14:paraId="1D304B5E" w14:textId="77777777" w:rsidR="00E746B3" w:rsidRPr="0085403D" w:rsidRDefault="00E746B3">
            <w:pPr>
              <w:jc w:val="center"/>
              <w:rPr>
                <w:rFonts w:ascii="Arial" w:eastAsia="Times New Roman" w:hAnsi="Arial"/>
                <w:b/>
                <w:bCs/>
                <w:sz w:val="26"/>
                <w:szCs w:val="26"/>
              </w:rPr>
            </w:pPr>
          </w:p>
        </w:tc>
      </w:tr>
      <w:tr w:rsidR="00E746B3" w:rsidRPr="0085403D" w14:paraId="5FBDE202" w14:textId="77777777">
        <w:tc>
          <w:tcPr>
            <w:tcW w:w="2880" w:type="dxa"/>
          </w:tcPr>
          <w:p w14:paraId="78470E08" w14:textId="77777777" w:rsidR="00E746B3" w:rsidRPr="0085403D" w:rsidRDefault="0085403D">
            <w:pPr>
              <w:ind w:left="26"/>
              <w:rPr>
                <w:rFonts w:ascii="Times New Roman" w:eastAsia="Times New Roman" w:hAnsi="Times New Roman"/>
                <w:b/>
                <w:bCs/>
                <w:sz w:val="26"/>
                <w:szCs w:val="26"/>
                <w:rtl/>
              </w:rPr>
            </w:pPr>
            <w:r w:rsidRPr="0085403D">
              <w:rPr>
                <w:rFonts w:ascii="Times New Roman" w:eastAsia="Times New Roman" w:hAnsi="Times New Roman" w:hint="cs"/>
                <w:b/>
                <w:bCs/>
                <w:sz w:val="26"/>
                <w:szCs w:val="26"/>
                <w:rtl/>
              </w:rPr>
              <w:t>הנאשם</w:t>
            </w:r>
          </w:p>
        </w:tc>
        <w:tc>
          <w:tcPr>
            <w:tcW w:w="5922" w:type="dxa"/>
            <w:gridSpan w:val="2"/>
          </w:tcPr>
          <w:p w14:paraId="58F23A92" w14:textId="77777777" w:rsidR="00E746B3" w:rsidRPr="0085403D" w:rsidRDefault="0085403D">
            <w:pPr>
              <w:rPr>
                <w:rFonts w:ascii="Times New Roman" w:eastAsia="Times New Roman" w:hAnsi="Times New Roman"/>
                <w:b/>
                <w:bCs/>
                <w:sz w:val="26"/>
                <w:szCs w:val="26"/>
                <w:rtl/>
              </w:rPr>
            </w:pPr>
            <w:r w:rsidRPr="0085403D">
              <w:rPr>
                <w:rFonts w:ascii="Times New Roman" w:eastAsia="Times New Roman" w:hAnsi="Times New Roman" w:hint="cs"/>
                <w:rtl/>
              </w:rPr>
              <w:t>יוסף חדאד (עציר)</w:t>
            </w:r>
          </w:p>
        </w:tc>
      </w:tr>
    </w:tbl>
    <w:p w14:paraId="129440F1" w14:textId="77777777" w:rsidR="00E746B3" w:rsidRPr="0085403D" w:rsidRDefault="00E746B3">
      <w:pPr>
        <w:spacing w:line="360" w:lineRule="auto"/>
        <w:jc w:val="both"/>
        <w:rPr>
          <w:rFonts w:ascii="Arial" w:hAnsi="Arial"/>
          <w:rtl/>
        </w:rPr>
      </w:pPr>
    </w:p>
    <w:p w14:paraId="5C8C2BB3" w14:textId="77777777" w:rsidR="00E746B3" w:rsidRPr="0085403D" w:rsidRDefault="00E746B3">
      <w:pPr>
        <w:spacing w:line="360" w:lineRule="auto"/>
        <w:jc w:val="both"/>
        <w:rPr>
          <w:rtl/>
        </w:rPr>
      </w:pPr>
    </w:p>
    <w:p w14:paraId="08755D2E" w14:textId="77777777" w:rsidR="00E746B3" w:rsidRPr="0085403D" w:rsidRDefault="0085403D">
      <w:pPr>
        <w:jc w:val="both"/>
        <w:rPr>
          <w:rtl/>
        </w:rPr>
      </w:pPr>
      <w:r w:rsidRPr="0085403D">
        <w:rPr>
          <w:rFonts w:hint="cs"/>
          <w:b/>
          <w:bCs/>
          <w:rtl/>
        </w:rPr>
        <w:t>נוכחים</w:t>
      </w:r>
      <w:r w:rsidRPr="0085403D">
        <w:rPr>
          <w:rFonts w:hint="cs"/>
          <w:rtl/>
        </w:rPr>
        <w:t>:</w:t>
      </w:r>
    </w:p>
    <w:p w14:paraId="19845773" w14:textId="77777777" w:rsidR="00E746B3" w:rsidRPr="0085403D" w:rsidRDefault="0085403D">
      <w:pPr>
        <w:jc w:val="both"/>
        <w:rPr>
          <w:bCs/>
          <w:rtl/>
        </w:rPr>
      </w:pPr>
      <w:r w:rsidRPr="0085403D">
        <w:rPr>
          <w:rFonts w:hint="cs"/>
          <w:bCs/>
          <w:rtl/>
        </w:rPr>
        <w:t>מטעם המאשימה: עו"ד יעל שוחט-פינק</w:t>
      </w:r>
    </w:p>
    <w:p w14:paraId="051B90ED" w14:textId="77777777" w:rsidR="00E746B3" w:rsidRDefault="0085403D">
      <w:pPr>
        <w:jc w:val="both"/>
        <w:rPr>
          <w:rFonts w:hint="cs"/>
          <w:bCs/>
          <w:rtl/>
        </w:rPr>
      </w:pPr>
      <w:r w:rsidRPr="0085403D">
        <w:rPr>
          <w:rFonts w:hint="cs"/>
          <w:bCs/>
          <w:rtl/>
        </w:rPr>
        <w:t>מטעם הנאשם: הובא וע"י עו"ד עזאם טנוס</w:t>
      </w:r>
    </w:p>
    <w:p w14:paraId="0D9385C7" w14:textId="77777777" w:rsidR="006E2A52" w:rsidRPr="0085403D" w:rsidRDefault="006E2A52">
      <w:pPr>
        <w:jc w:val="both"/>
        <w:rPr>
          <w:rFonts w:hint="cs"/>
          <w:bCs/>
          <w:rtl/>
        </w:rPr>
      </w:pPr>
    </w:p>
    <w:p w14:paraId="6F7FE72D" w14:textId="77777777" w:rsidR="00E746B3" w:rsidRPr="0085403D" w:rsidRDefault="0085403D">
      <w:pPr>
        <w:spacing w:line="360" w:lineRule="auto"/>
        <w:jc w:val="both"/>
        <w:rPr>
          <w:sz w:val="6"/>
          <w:szCs w:val="6"/>
          <w:rtl/>
        </w:rPr>
      </w:pPr>
      <w:r w:rsidRPr="0085403D">
        <w:rPr>
          <w:sz w:val="6"/>
          <w:szCs w:val="6"/>
          <w:rtl/>
        </w:rPr>
        <w:t>&lt;#1#&gt;</w:t>
      </w:r>
    </w:p>
    <w:p w14:paraId="18D498EB" w14:textId="77777777" w:rsidR="00EC1287" w:rsidRDefault="0085403D" w:rsidP="006E2A52">
      <w:pPr>
        <w:pStyle w:val="ListParagraph"/>
        <w:spacing w:after="0" w:line="360" w:lineRule="auto"/>
        <w:ind w:left="360"/>
        <w:jc w:val="center"/>
        <w:rPr>
          <w:rFonts w:ascii="Arial" w:eastAsia="David" w:hAnsi="Arial" w:cs="David"/>
          <w:sz w:val="34"/>
          <w:szCs w:val="34"/>
          <w:rtl/>
        </w:rPr>
      </w:pPr>
      <w:r w:rsidRPr="0085403D">
        <w:rPr>
          <w:rFonts w:ascii="Arial" w:eastAsia="David" w:hAnsi="Arial" w:cs="David"/>
          <w:b/>
          <w:color w:val="FF0000"/>
          <w:sz w:val="34"/>
          <w:szCs w:val="24"/>
          <w:rtl/>
        </w:rPr>
        <w:t>במסמך זה הושמטו פרוטוקולים</w:t>
      </w:r>
      <w:bookmarkStart w:id="3" w:name="LawTable"/>
      <w:bookmarkEnd w:id="3"/>
    </w:p>
    <w:p w14:paraId="2EFB34AE" w14:textId="77777777" w:rsidR="00EC1287" w:rsidRPr="00EC1287" w:rsidRDefault="00EC1287" w:rsidP="00EC1287">
      <w:pPr>
        <w:pStyle w:val="ListParagraph"/>
        <w:spacing w:after="120" w:line="240" w:lineRule="exact"/>
        <w:ind w:left="283" w:hanging="283"/>
        <w:jc w:val="both"/>
        <w:rPr>
          <w:rFonts w:ascii="FrankRuehl" w:eastAsia="David" w:hAnsi="FrankRuehl" w:cs="FrankRuehl"/>
          <w:sz w:val="24"/>
          <w:szCs w:val="24"/>
          <w:rtl/>
        </w:rPr>
      </w:pPr>
    </w:p>
    <w:p w14:paraId="7620D1B9" w14:textId="77777777" w:rsidR="00EC1287" w:rsidRPr="00EC1287" w:rsidRDefault="00EC1287" w:rsidP="00EC1287">
      <w:pPr>
        <w:pStyle w:val="ListParagraph"/>
        <w:spacing w:after="120" w:line="240" w:lineRule="exact"/>
        <w:ind w:left="283" w:hanging="283"/>
        <w:jc w:val="both"/>
        <w:rPr>
          <w:rFonts w:ascii="FrankRuehl" w:eastAsia="David" w:hAnsi="FrankRuehl" w:cs="FrankRuehl"/>
          <w:sz w:val="24"/>
          <w:szCs w:val="24"/>
          <w:rtl/>
        </w:rPr>
      </w:pPr>
      <w:r w:rsidRPr="00EC1287">
        <w:rPr>
          <w:rFonts w:ascii="FrankRuehl" w:eastAsia="David" w:hAnsi="FrankRuehl" w:cs="FrankRuehl"/>
          <w:sz w:val="24"/>
          <w:szCs w:val="24"/>
          <w:rtl/>
        </w:rPr>
        <w:t xml:space="preserve">חקיקה שאוזכרה: </w:t>
      </w:r>
    </w:p>
    <w:p w14:paraId="641A903B" w14:textId="77777777" w:rsidR="00EC1287" w:rsidRPr="00EC1287" w:rsidRDefault="00EC1287" w:rsidP="00EC1287">
      <w:pPr>
        <w:pStyle w:val="ListParagraph"/>
        <w:spacing w:after="120" w:line="240" w:lineRule="exact"/>
        <w:ind w:left="283" w:hanging="283"/>
        <w:jc w:val="both"/>
        <w:rPr>
          <w:rFonts w:ascii="FrankRuehl" w:eastAsia="David" w:hAnsi="FrankRuehl" w:cs="FrankRuehl"/>
          <w:sz w:val="24"/>
          <w:szCs w:val="24"/>
          <w:rtl/>
        </w:rPr>
      </w:pPr>
      <w:hyperlink r:id="rId7" w:history="1">
        <w:r w:rsidRPr="00EC1287">
          <w:rPr>
            <w:rFonts w:ascii="FrankRuehl" w:eastAsia="David" w:hAnsi="FrankRuehl" w:cs="FrankRuehl"/>
            <w:color w:val="0000FF"/>
            <w:sz w:val="24"/>
            <w:szCs w:val="24"/>
            <w:u w:val="single"/>
            <w:rtl/>
          </w:rPr>
          <w:t>חוק העונשין, תשל"ז-1977</w:t>
        </w:r>
      </w:hyperlink>
      <w:r w:rsidRPr="00EC1287">
        <w:rPr>
          <w:rFonts w:ascii="FrankRuehl" w:eastAsia="David" w:hAnsi="FrankRuehl" w:cs="FrankRuehl"/>
          <w:sz w:val="24"/>
          <w:szCs w:val="24"/>
          <w:rtl/>
        </w:rPr>
        <w:t xml:space="preserve">: סע'  </w:t>
      </w:r>
      <w:hyperlink r:id="rId8" w:history="1">
        <w:r w:rsidRPr="00EC1287">
          <w:rPr>
            <w:rFonts w:ascii="FrankRuehl" w:eastAsia="David" w:hAnsi="FrankRuehl" w:cs="FrankRuehl"/>
            <w:color w:val="0000FF"/>
            <w:sz w:val="24"/>
            <w:szCs w:val="24"/>
            <w:u w:val="single"/>
            <w:rtl/>
          </w:rPr>
          <w:t>402(א)</w:t>
        </w:r>
      </w:hyperlink>
      <w:r w:rsidRPr="00EC1287">
        <w:rPr>
          <w:rFonts w:ascii="FrankRuehl" w:eastAsia="David" w:hAnsi="FrankRuehl" w:cs="FrankRuehl"/>
          <w:sz w:val="24"/>
          <w:szCs w:val="24"/>
          <w:rtl/>
        </w:rPr>
        <w:t xml:space="preserve">, </w:t>
      </w:r>
      <w:hyperlink r:id="rId9" w:history="1">
        <w:r w:rsidRPr="00EC1287">
          <w:rPr>
            <w:rFonts w:ascii="FrankRuehl" w:eastAsia="David" w:hAnsi="FrankRuehl" w:cs="FrankRuehl"/>
            <w:color w:val="0000FF"/>
            <w:sz w:val="24"/>
            <w:szCs w:val="24"/>
            <w:u w:val="single"/>
            <w:rtl/>
          </w:rPr>
          <w:t>402(ב)</w:t>
        </w:r>
      </w:hyperlink>
    </w:p>
    <w:p w14:paraId="6A1C022B" w14:textId="77777777" w:rsidR="00EC1287" w:rsidRPr="00EC1287" w:rsidRDefault="00EC1287" w:rsidP="00EC1287">
      <w:pPr>
        <w:pStyle w:val="ListParagraph"/>
        <w:spacing w:after="120" w:line="240" w:lineRule="exact"/>
        <w:ind w:left="283" w:hanging="283"/>
        <w:jc w:val="both"/>
        <w:rPr>
          <w:rFonts w:ascii="FrankRuehl" w:eastAsia="David" w:hAnsi="FrankRuehl" w:cs="FrankRuehl"/>
          <w:sz w:val="24"/>
          <w:szCs w:val="24"/>
          <w:rtl/>
        </w:rPr>
      </w:pPr>
      <w:hyperlink r:id="rId10" w:history="1">
        <w:r w:rsidRPr="00EC1287">
          <w:rPr>
            <w:rFonts w:ascii="FrankRuehl" w:eastAsia="David" w:hAnsi="FrankRuehl" w:cs="FrankRuehl"/>
            <w:color w:val="0000FF"/>
            <w:sz w:val="24"/>
            <w:szCs w:val="24"/>
            <w:u w:val="single"/>
            <w:rtl/>
          </w:rPr>
          <w:t>חוק כרטיסי חיוב, תשמ"ו-1986</w:t>
        </w:r>
      </w:hyperlink>
      <w:r w:rsidRPr="00EC1287">
        <w:rPr>
          <w:rFonts w:ascii="FrankRuehl" w:eastAsia="David" w:hAnsi="FrankRuehl" w:cs="FrankRuehl"/>
          <w:sz w:val="24"/>
          <w:szCs w:val="24"/>
          <w:rtl/>
        </w:rPr>
        <w:t xml:space="preserve">: סע'  </w:t>
      </w:r>
      <w:hyperlink r:id="rId11" w:history="1">
        <w:r w:rsidRPr="00EC1287">
          <w:rPr>
            <w:rFonts w:ascii="FrankRuehl" w:eastAsia="David" w:hAnsi="FrankRuehl" w:cs="FrankRuehl"/>
            <w:color w:val="0000FF"/>
            <w:sz w:val="24"/>
            <w:szCs w:val="24"/>
            <w:u w:val="single"/>
            <w:rtl/>
          </w:rPr>
          <w:t>17</w:t>
        </w:r>
      </w:hyperlink>
    </w:p>
    <w:p w14:paraId="4F8C2A8D" w14:textId="77777777" w:rsidR="00EC1287" w:rsidRPr="00EC1287" w:rsidRDefault="00EC1287" w:rsidP="00EC1287">
      <w:pPr>
        <w:pStyle w:val="ListParagraph"/>
        <w:spacing w:after="120" w:line="240" w:lineRule="exact"/>
        <w:ind w:left="283" w:hanging="283"/>
        <w:jc w:val="both"/>
        <w:rPr>
          <w:rFonts w:ascii="FrankRuehl" w:eastAsia="David" w:hAnsi="FrankRuehl" w:cs="FrankRuehl"/>
          <w:sz w:val="24"/>
          <w:szCs w:val="24"/>
          <w:rtl/>
        </w:rPr>
      </w:pPr>
      <w:hyperlink r:id="rId12" w:history="1">
        <w:r w:rsidRPr="00EC1287">
          <w:rPr>
            <w:rFonts w:ascii="FrankRuehl" w:eastAsia="David" w:hAnsi="FrankRuehl" w:cs="FrankRuehl"/>
            <w:color w:val="0000FF"/>
            <w:sz w:val="24"/>
            <w:szCs w:val="24"/>
            <w:u w:val="single"/>
            <w:rtl/>
          </w:rPr>
          <w:t>פקודת הסמים המסוכנים [נוסח חדש], תשל"ג-1973</w:t>
        </w:r>
      </w:hyperlink>
      <w:r w:rsidRPr="00EC1287">
        <w:rPr>
          <w:rFonts w:ascii="FrankRuehl" w:eastAsia="David" w:hAnsi="FrankRuehl" w:cs="FrankRuehl"/>
          <w:sz w:val="24"/>
          <w:szCs w:val="24"/>
          <w:rtl/>
        </w:rPr>
        <w:t xml:space="preserve">: סע'  </w:t>
      </w:r>
      <w:hyperlink r:id="rId13" w:history="1">
        <w:r w:rsidRPr="00EC1287">
          <w:rPr>
            <w:rFonts w:ascii="FrankRuehl" w:eastAsia="David" w:hAnsi="FrankRuehl" w:cs="FrankRuehl"/>
            <w:color w:val="0000FF"/>
            <w:sz w:val="24"/>
            <w:szCs w:val="24"/>
            <w:u w:val="single"/>
            <w:rtl/>
          </w:rPr>
          <w:t>7(א)</w:t>
        </w:r>
      </w:hyperlink>
      <w:r w:rsidRPr="00EC1287">
        <w:rPr>
          <w:rFonts w:ascii="FrankRuehl" w:eastAsia="David" w:hAnsi="FrankRuehl" w:cs="FrankRuehl"/>
          <w:sz w:val="24"/>
          <w:szCs w:val="24"/>
          <w:rtl/>
        </w:rPr>
        <w:t xml:space="preserve">, </w:t>
      </w:r>
      <w:hyperlink r:id="rId14" w:history="1">
        <w:r w:rsidRPr="00EC1287">
          <w:rPr>
            <w:rFonts w:ascii="FrankRuehl" w:eastAsia="David" w:hAnsi="FrankRuehl" w:cs="FrankRuehl"/>
            <w:color w:val="0000FF"/>
            <w:sz w:val="24"/>
            <w:szCs w:val="24"/>
            <w:u w:val="single"/>
            <w:rtl/>
          </w:rPr>
          <w:t>7(ג)</w:t>
        </w:r>
      </w:hyperlink>
    </w:p>
    <w:p w14:paraId="4F493186" w14:textId="77777777" w:rsidR="00EC1287" w:rsidRPr="00EC1287" w:rsidRDefault="00EC1287" w:rsidP="00EC1287">
      <w:pPr>
        <w:pStyle w:val="ListParagraph"/>
        <w:spacing w:after="120" w:line="240" w:lineRule="exact"/>
        <w:ind w:left="283" w:hanging="283"/>
        <w:jc w:val="both"/>
        <w:rPr>
          <w:rFonts w:ascii="FrankRuehl" w:eastAsia="David" w:hAnsi="FrankRuehl" w:cs="FrankRuehl"/>
          <w:sz w:val="24"/>
          <w:szCs w:val="24"/>
          <w:rtl/>
        </w:rPr>
      </w:pPr>
      <w:hyperlink r:id="rId15" w:history="1">
        <w:r w:rsidRPr="00EC1287">
          <w:rPr>
            <w:rFonts w:ascii="FrankRuehl" w:eastAsia="David" w:hAnsi="FrankRuehl" w:cs="FrankRuehl"/>
            <w:color w:val="0000FF"/>
            <w:sz w:val="24"/>
            <w:szCs w:val="24"/>
            <w:u w:val="single"/>
            <w:rtl/>
          </w:rPr>
          <w:t>פקודת התעבורה [נוסח חדש]</w:t>
        </w:r>
      </w:hyperlink>
      <w:r w:rsidRPr="00EC1287">
        <w:rPr>
          <w:rFonts w:ascii="FrankRuehl" w:eastAsia="David" w:hAnsi="FrankRuehl" w:cs="FrankRuehl"/>
          <w:sz w:val="24"/>
          <w:szCs w:val="24"/>
          <w:rtl/>
        </w:rPr>
        <w:t xml:space="preserve">: סע'  </w:t>
      </w:r>
      <w:hyperlink r:id="rId16" w:history="1">
        <w:r w:rsidRPr="00EC1287">
          <w:rPr>
            <w:rFonts w:ascii="FrankRuehl" w:eastAsia="David" w:hAnsi="FrankRuehl" w:cs="FrankRuehl"/>
            <w:color w:val="0000FF"/>
            <w:sz w:val="24"/>
            <w:szCs w:val="24"/>
            <w:u w:val="single"/>
            <w:rtl/>
          </w:rPr>
          <w:t>10(א)</w:t>
        </w:r>
      </w:hyperlink>
      <w:r w:rsidRPr="00EC1287">
        <w:rPr>
          <w:rFonts w:ascii="FrankRuehl" w:eastAsia="David" w:hAnsi="FrankRuehl" w:cs="FrankRuehl"/>
          <w:sz w:val="24"/>
          <w:szCs w:val="24"/>
          <w:rtl/>
        </w:rPr>
        <w:t xml:space="preserve">, </w:t>
      </w:r>
      <w:hyperlink r:id="rId17" w:history="1">
        <w:r w:rsidRPr="00EC1287">
          <w:rPr>
            <w:rFonts w:ascii="FrankRuehl" w:eastAsia="David" w:hAnsi="FrankRuehl" w:cs="FrankRuehl"/>
            <w:color w:val="0000FF"/>
            <w:sz w:val="24"/>
            <w:szCs w:val="24"/>
            <w:u w:val="single"/>
            <w:rtl/>
          </w:rPr>
          <w:t>67</w:t>
        </w:r>
      </w:hyperlink>
    </w:p>
    <w:p w14:paraId="45FDB467" w14:textId="77777777" w:rsidR="00EC1287" w:rsidRPr="00EC1287" w:rsidRDefault="00EC1287" w:rsidP="00EC1287">
      <w:pPr>
        <w:pStyle w:val="ListParagraph"/>
        <w:spacing w:after="120" w:line="240" w:lineRule="exact"/>
        <w:ind w:left="283" w:hanging="283"/>
        <w:jc w:val="both"/>
        <w:rPr>
          <w:rFonts w:ascii="FrankRuehl" w:eastAsia="David" w:hAnsi="FrankRuehl" w:cs="FrankRuehl"/>
          <w:sz w:val="24"/>
          <w:szCs w:val="24"/>
          <w:rtl/>
        </w:rPr>
      </w:pPr>
      <w:hyperlink r:id="rId18" w:history="1">
        <w:r w:rsidRPr="00EC1287">
          <w:rPr>
            <w:rFonts w:ascii="FrankRuehl" w:eastAsia="David" w:hAnsi="FrankRuehl" w:cs="FrankRuehl"/>
            <w:color w:val="0000FF"/>
            <w:sz w:val="24"/>
            <w:szCs w:val="24"/>
            <w:u w:val="single"/>
            <w:rtl/>
          </w:rPr>
          <w:t>פקודת ביטוח רכב מנועי [נוסח חדש], תש"ל-1970</w:t>
        </w:r>
      </w:hyperlink>
      <w:r w:rsidRPr="00EC1287">
        <w:rPr>
          <w:rFonts w:ascii="FrankRuehl" w:eastAsia="David" w:hAnsi="FrankRuehl" w:cs="FrankRuehl"/>
          <w:sz w:val="24"/>
          <w:szCs w:val="24"/>
          <w:rtl/>
        </w:rPr>
        <w:t xml:space="preserve">: סע'  </w:t>
      </w:r>
      <w:hyperlink r:id="rId19" w:history="1">
        <w:r w:rsidRPr="00EC1287">
          <w:rPr>
            <w:rFonts w:ascii="FrankRuehl" w:eastAsia="David" w:hAnsi="FrankRuehl" w:cs="FrankRuehl"/>
            <w:color w:val="0000FF"/>
            <w:sz w:val="24"/>
            <w:szCs w:val="24"/>
            <w:u w:val="single"/>
            <w:rtl/>
          </w:rPr>
          <w:t>2(א)(ב)</w:t>
        </w:r>
      </w:hyperlink>
    </w:p>
    <w:p w14:paraId="30FE9B47" w14:textId="77777777" w:rsidR="00EC1287" w:rsidRPr="00EC1287" w:rsidRDefault="00EC1287" w:rsidP="00EC1287">
      <w:pPr>
        <w:pStyle w:val="ListParagraph"/>
        <w:spacing w:after="120" w:line="240" w:lineRule="exact"/>
        <w:ind w:left="283" w:hanging="283"/>
        <w:jc w:val="both"/>
        <w:rPr>
          <w:rFonts w:ascii="FrankRuehl" w:eastAsia="David" w:hAnsi="FrankRuehl" w:cs="FrankRuehl"/>
          <w:sz w:val="24"/>
          <w:szCs w:val="24"/>
          <w:rtl/>
        </w:rPr>
      </w:pPr>
    </w:p>
    <w:p w14:paraId="3297ADB0" w14:textId="77777777" w:rsidR="0085403D" w:rsidRPr="0085403D" w:rsidRDefault="0085403D" w:rsidP="006E2A52">
      <w:pPr>
        <w:pStyle w:val="ListParagraph"/>
        <w:spacing w:after="0" w:line="360" w:lineRule="auto"/>
        <w:ind w:left="0"/>
        <w:jc w:val="center"/>
        <w:rPr>
          <w:rFonts w:ascii="Arial" w:eastAsia="David" w:hAnsi="Arial" w:cs="David"/>
          <w:b/>
          <w:bCs/>
          <w:sz w:val="34"/>
          <w:szCs w:val="34"/>
          <w:u w:val="single"/>
          <w:rtl/>
        </w:rPr>
      </w:pPr>
      <w:bookmarkStart w:id="4" w:name="LawTable_End"/>
      <w:bookmarkStart w:id="5" w:name="PsakDin"/>
      <w:bookmarkEnd w:id="0"/>
      <w:bookmarkEnd w:id="4"/>
      <w:r w:rsidRPr="0085403D">
        <w:rPr>
          <w:rFonts w:ascii="Arial" w:eastAsia="David" w:hAnsi="Arial" w:cs="David"/>
          <w:b/>
          <w:bCs/>
          <w:sz w:val="34"/>
          <w:szCs w:val="34"/>
          <w:u w:val="single"/>
          <w:rtl/>
        </w:rPr>
        <w:t>גזר דין</w:t>
      </w:r>
    </w:p>
    <w:p w14:paraId="7FEF09EE" w14:textId="77777777" w:rsidR="00E746B3" w:rsidRDefault="0085403D">
      <w:pPr>
        <w:pStyle w:val="ListParagraph"/>
        <w:numPr>
          <w:ilvl w:val="0"/>
          <w:numId w:val="1"/>
        </w:numPr>
        <w:spacing w:after="0" w:line="360" w:lineRule="auto"/>
        <w:jc w:val="both"/>
        <w:rPr>
          <w:rFonts w:cs="David"/>
          <w:sz w:val="24"/>
          <w:szCs w:val="24"/>
          <w:rtl/>
        </w:rPr>
      </w:pPr>
      <w:bookmarkStart w:id="6" w:name="ABSTRACT_START"/>
      <w:bookmarkEnd w:id="5"/>
      <w:bookmarkEnd w:id="6"/>
      <w:r>
        <w:rPr>
          <w:rFonts w:cs="David" w:hint="cs"/>
          <w:sz w:val="24"/>
          <w:szCs w:val="24"/>
          <w:rtl/>
        </w:rPr>
        <w:t>הנאשם לפניי הורשע, על-פי הודאתו בעובדות כתב אישום מתוקן מיום 28.05.14 (להלן: "</w:t>
      </w:r>
      <w:r>
        <w:rPr>
          <w:rFonts w:cs="David" w:hint="cs"/>
          <w:b/>
          <w:bCs/>
          <w:sz w:val="24"/>
          <w:szCs w:val="24"/>
          <w:rtl/>
        </w:rPr>
        <w:t>כתב האישום</w:t>
      </w:r>
      <w:r>
        <w:rPr>
          <w:rFonts w:cs="David" w:hint="cs"/>
          <w:sz w:val="24"/>
          <w:szCs w:val="24"/>
          <w:rtl/>
        </w:rPr>
        <w:t xml:space="preserve">"), בביצוע העבירות הבאות: </w:t>
      </w:r>
      <w:r>
        <w:rPr>
          <w:rFonts w:cs="David" w:hint="cs"/>
          <w:sz w:val="24"/>
          <w:szCs w:val="24"/>
          <w:u w:val="single"/>
          <w:rtl/>
        </w:rPr>
        <w:t>שוד בנסיבות מחמירות</w:t>
      </w:r>
      <w:r>
        <w:rPr>
          <w:rFonts w:cs="David" w:hint="cs"/>
          <w:sz w:val="24"/>
          <w:szCs w:val="24"/>
          <w:rtl/>
        </w:rPr>
        <w:t xml:space="preserve">, לפי </w:t>
      </w:r>
      <w:hyperlink r:id="rId20" w:history="1">
        <w:r w:rsidR="006E2A52" w:rsidRPr="006E2A52">
          <w:rPr>
            <w:rFonts w:cs="David" w:hint="eastAsia"/>
            <w:color w:val="0000FF"/>
            <w:sz w:val="24"/>
            <w:szCs w:val="24"/>
            <w:u w:val="single"/>
            <w:rtl/>
          </w:rPr>
          <w:t>סעיף</w:t>
        </w:r>
        <w:r w:rsidR="006E2A52" w:rsidRPr="006E2A52">
          <w:rPr>
            <w:rFonts w:cs="David"/>
            <w:color w:val="0000FF"/>
            <w:sz w:val="24"/>
            <w:szCs w:val="24"/>
            <w:u w:val="single"/>
            <w:rtl/>
          </w:rPr>
          <w:t xml:space="preserve"> 402(</w:t>
        </w:r>
        <w:r w:rsidR="006E2A52" w:rsidRPr="006E2A52">
          <w:rPr>
            <w:rFonts w:cs="David" w:hint="eastAsia"/>
            <w:color w:val="0000FF"/>
            <w:sz w:val="24"/>
            <w:szCs w:val="24"/>
            <w:u w:val="single"/>
            <w:rtl/>
          </w:rPr>
          <w:t>ב</w:t>
        </w:r>
        <w:r w:rsidR="006E2A52" w:rsidRPr="006E2A52">
          <w:rPr>
            <w:rFonts w:cs="David"/>
            <w:color w:val="0000FF"/>
            <w:sz w:val="24"/>
            <w:szCs w:val="24"/>
            <w:u w:val="single"/>
            <w:rtl/>
          </w:rPr>
          <w:t>)</w:t>
        </w:r>
      </w:hyperlink>
      <w:r>
        <w:rPr>
          <w:rFonts w:cs="David" w:hint="cs"/>
          <w:sz w:val="24"/>
          <w:szCs w:val="24"/>
          <w:rtl/>
        </w:rPr>
        <w:t xml:space="preserve"> ל</w:t>
      </w:r>
      <w:hyperlink r:id="rId21" w:history="1">
        <w:r w:rsidRPr="0085403D">
          <w:rPr>
            <w:rStyle w:val="Hyperlink"/>
            <w:rFonts w:cs="David" w:hint="eastAsia"/>
            <w:sz w:val="24"/>
            <w:szCs w:val="24"/>
            <w:rtl/>
          </w:rPr>
          <w:t>חוק</w:t>
        </w:r>
        <w:r w:rsidRPr="0085403D">
          <w:rPr>
            <w:rStyle w:val="Hyperlink"/>
            <w:rFonts w:cs="David"/>
            <w:sz w:val="24"/>
            <w:szCs w:val="24"/>
            <w:rtl/>
          </w:rPr>
          <w:t xml:space="preserve"> </w:t>
        </w:r>
        <w:r w:rsidRPr="0085403D">
          <w:rPr>
            <w:rStyle w:val="Hyperlink"/>
            <w:rFonts w:cs="David" w:hint="eastAsia"/>
            <w:sz w:val="24"/>
            <w:szCs w:val="24"/>
            <w:rtl/>
          </w:rPr>
          <w:t>העונשין</w:t>
        </w:r>
      </w:hyperlink>
      <w:r>
        <w:rPr>
          <w:rFonts w:cs="David" w:hint="cs"/>
          <w:sz w:val="24"/>
          <w:szCs w:val="24"/>
          <w:rtl/>
        </w:rPr>
        <w:t>, התשל"ז-1977 (להלן: "</w:t>
      </w:r>
      <w:r>
        <w:rPr>
          <w:rFonts w:cs="David" w:hint="cs"/>
          <w:b/>
          <w:bCs/>
          <w:sz w:val="24"/>
          <w:szCs w:val="24"/>
          <w:rtl/>
        </w:rPr>
        <w:t>החוק</w:t>
      </w:r>
      <w:r>
        <w:rPr>
          <w:rFonts w:cs="David" w:hint="cs"/>
          <w:sz w:val="24"/>
          <w:szCs w:val="24"/>
          <w:rtl/>
        </w:rPr>
        <w:t xml:space="preserve">"); </w:t>
      </w:r>
      <w:r>
        <w:rPr>
          <w:rFonts w:cs="David" w:hint="cs"/>
          <w:sz w:val="24"/>
          <w:szCs w:val="24"/>
          <w:u w:val="single"/>
          <w:rtl/>
        </w:rPr>
        <w:t>הונאה בכרטיס חיוב (ריבוי מקרים)</w:t>
      </w:r>
      <w:r>
        <w:rPr>
          <w:rFonts w:cs="David" w:hint="cs"/>
          <w:sz w:val="24"/>
          <w:szCs w:val="24"/>
          <w:rtl/>
        </w:rPr>
        <w:t xml:space="preserve">, לפי </w:t>
      </w:r>
      <w:hyperlink r:id="rId22" w:history="1">
        <w:r w:rsidR="006E2A52" w:rsidRPr="006E2A52">
          <w:rPr>
            <w:rFonts w:cs="David" w:hint="eastAsia"/>
            <w:color w:val="0000FF"/>
            <w:sz w:val="24"/>
            <w:szCs w:val="24"/>
            <w:u w:val="single"/>
            <w:rtl/>
          </w:rPr>
          <w:t>סעיף</w:t>
        </w:r>
        <w:r w:rsidR="006E2A52" w:rsidRPr="006E2A52">
          <w:rPr>
            <w:rFonts w:cs="David"/>
            <w:color w:val="0000FF"/>
            <w:sz w:val="24"/>
            <w:szCs w:val="24"/>
            <w:u w:val="single"/>
            <w:rtl/>
          </w:rPr>
          <w:t xml:space="preserve"> 17</w:t>
        </w:r>
      </w:hyperlink>
      <w:r>
        <w:rPr>
          <w:rFonts w:cs="David" w:hint="cs"/>
          <w:sz w:val="24"/>
          <w:szCs w:val="24"/>
          <w:rtl/>
        </w:rPr>
        <w:t xml:space="preserve"> ל</w:t>
      </w:r>
      <w:hyperlink r:id="rId23" w:history="1">
        <w:r w:rsidRPr="0085403D">
          <w:rPr>
            <w:rStyle w:val="Hyperlink"/>
            <w:rFonts w:cs="David" w:hint="eastAsia"/>
            <w:sz w:val="24"/>
            <w:szCs w:val="24"/>
            <w:rtl/>
          </w:rPr>
          <w:t>חוק</w:t>
        </w:r>
        <w:r w:rsidRPr="0085403D">
          <w:rPr>
            <w:rStyle w:val="Hyperlink"/>
            <w:rFonts w:cs="David"/>
            <w:sz w:val="24"/>
            <w:szCs w:val="24"/>
            <w:rtl/>
          </w:rPr>
          <w:t xml:space="preserve"> </w:t>
        </w:r>
        <w:r w:rsidRPr="0085403D">
          <w:rPr>
            <w:rStyle w:val="Hyperlink"/>
            <w:rFonts w:cs="David" w:hint="eastAsia"/>
            <w:sz w:val="24"/>
            <w:szCs w:val="24"/>
            <w:rtl/>
          </w:rPr>
          <w:t>כרטיסי</w:t>
        </w:r>
        <w:r w:rsidRPr="0085403D">
          <w:rPr>
            <w:rStyle w:val="Hyperlink"/>
            <w:rFonts w:cs="David"/>
            <w:sz w:val="24"/>
            <w:szCs w:val="24"/>
            <w:rtl/>
          </w:rPr>
          <w:t xml:space="preserve"> </w:t>
        </w:r>
        <w:r w:rsidRPr="0085403D">
          <w:rPr>
            <w:rStyle w:val="Hyperlink"/>
            <w:rFonts w:cs="David" w:hint="eastAsia"/>
            <w:sz w:val="24"/>
            <w:szCs w:val="24"/>
            <w:rtl/>
          </w:rPr>
          <w:t>חיוב</w:t>
        </w:r>
      </w:hyperlink>
      <w:r>
        <w:rPr>
          <w:rFonts w:cs="David" w:hint="cs"/>
          <w:sz w:val="24"/>
          <w:szCs w:val="24"/>
          <w:rtl/>
        </w:rPr>
        <w:t xml:space="preserve">, התשמ"ו-1986; </w:t>
      </w:r>
      <w:r>
        <w:rPr>
          <w:rFonts w:cs="David" w:hint="cs"/>
          <w:sz w:val="24"/>
          <w:szCs w:val="24"/>
          <w:u w:val="single"/>
          <w:rtl/>
        </w:rPr>
        <w:t>החזקה ושימוש בסמים לצריכה עצמית</w:t>
      </w:r>
      <w:r>
        <w:rPr>
          <w:rFonts w:cs="David" w:hint="cs"/>
          <w:sz w:val="24"/>
          <w:szCs w:val="24"/>
          <w:rtl/>
        </w:rPr>
        <w:t xml:space="preserve">, לפי </w:t>
      </w:r>
      <w:hyperlink r:id="rId24" w:history="1">
        <w:r w:rsidR="006E2A52" w:rsidRPr="006E2A52">
          <w:rPr>
            <w:rFonts w:cs="David" w:hint="eastAsia"/>
            <w:color w:val="0000FF"/>
            <w:sz w:val="24"/>
            <w:szCs w:val="24"/>
            <w:u w:val="single"/>
            <w:rtl/>
          </w:rPr>
          <w:t>סעיפים</w:t>
        </w:r>
        <w:r w:rsidR="006E2A52" w:rsidRPr="006E2A52">
          <w:rPr>
            <w:rFonts w:cs="David"/>
            <w:color w:val="0000FF"/>
            <w:sz w:val="24"/>
            <w:szCs w:val="24"/>
            <w:u w:val="single"/>
            <w:rtl/>
          </w:rPr>
          <w:t xml:space="preserve"> 7(</w:t>
        </w:r>
        <w:r w:rsidR="006E2A52" w:rsidRPr="006E2A52">
          <w:rPr>
            <w:rFonts w:cs="David" w:hint="eastAsia"/>
            <w:color w:val="0000FF"/>
            <w:sz w:val="24"/>
            <w:szCs w:val="24"/>
            <w:u w:val="single"/>
            <w:rtl/>
          </w:rPr>
          <w:t>א</w:t>
        </w:r>
        <w:r w:rsidR="006E2A52" w:rsidRPr="006E2A52">
          <w:rPr>
            <w:rFonts w:cs="David"/>
            <w:color w:val="0000FF"/>
            <w:sz w:val="24"/>
            <w:szCs w:val="24"/>
            <w:u w:val="single"/>
            <w:rtl/>
          </w:rPr>
          <w:t>)</w:t>
        </w:r>
      </w:hyperlink>
      <w:r>
        <w:rPr>
          <w:rFonts w:cs="David" w:hint="cs"/>
          <w:sz w:val="24"/>
          <w:szCs w:val="24"/>
          <w:rtl/>
        </w:rPr>
        <w:t xml:space="preserve"> ו-</w:t>
      </w:r>
      <w:hyperlink r:id="rId25" w:history="1">
        <w:r w:rsidR="006E2A52" w:rsidRPr="006E2A52">
          <w:rPr>
            <w:rFonts w:cs="David"/>
            <w:color w:val="0000FF"/>
            <w:sz w:val="24"/>
            <w:szCs w:val="24"/>
            <w:u w:val="single"/>
            <w:rtl/>
          </w:rPr>
          <w:t>7(</w:t>
        </w:r>
        <w:r w:rsidR="006E2A52" w:rsidRPr="006E2A52">
          <w:rPr>
            <w:rFonts w:cs="David" w:hint="eastAsia"/>
            <w:color w:val="0000FF"/>
            <w:sz w:val="24"/>
            <w:szCs w:val="24"/>
            <w:u w:val="single"/>
            <w:rtl/>
          </w:rPr>
          <w:t>ג</w:t>
        </w:r>
        <w:r w:rsidR="006E2A52" w:rsidRPr="006E2A52">
          <w:rPr>
            <w:rFonts w:cs="David"/>
            <w:color w:val="0000FF"/>
            <w:sz w:val="24"/>
            <w:szCs w:val="24"/>
            <w:u w:val="single"/>
            <w:rtl/>
          </w:rPr>
          <w:t>)</w:t>
        </w:r>
      </w:hyperlink>
      <w:r>
        <w:rPr>
          <w:rFonts w:cs="David" w:hint="cs"/>
          <w:sz w:val="24"/>
          <w:szCs w:val="24"/>
          <w:rtl/>
        </w:rPr>
        <w:t xml:space="preserve"> סיפא ל</w:t>
      </w:r>
      <w:hyperlink r:id="rId26" w:history="1">
        <w:r w:rsidRPr="0085403D">
          <w:rPr>
            <w:rStyle w:val="Hyperlink"/>
            <w:rFonts w:cs="David" w:hint="eastAsia"/>
            <w:sz w:val="24"/>
            <w:szCs w:val="24"/>
            <w:rtl/>
          </w:rPr>
          <w:t>פקודת</w:t>
        </w:r>
        <w:r w:rsidRPr="0085403D">
          <w:rPr>
            <w:rStyle w:val="Hyperlink"/>
            <w:rFonts w:cs="David"/>
            <w:sz w:val="24"/>
            <w:szCs w:val="24"/>
            <w:rtl/>
          </w:rPr>
          <w:t xml:space="preserve"> </w:t>
        </w:r>
        <w:r w:rsidRPr="0085403D">
          <w:rPr>
            <w:rStyle w:val="Hyperlink"/>
            <w:rFonts w:cs="David" w:hint="eastAsia"/>
            <w:sz w:val="24"/>
            <w:szCs w:val="24"/>
            <w:rtl/>
          </w:rPr>
          <w:t>הסמים</w:t>
        </w:r>
        <w:r w:rsidRPr="0085403D">
          <w:rPr>
            <w:rStyle w:val="Hyperlink"/>
            <w:rFonts w:cs="David"/>
            <w:sz w:val="24"/>
            <w:szCs w:val="24"/>
            <w:rtl/>
          </w:rPr>
          <w:t xml:space="preserve"> </w:t>
        </w:r>
        <w:r w:rsidRPr="0085403D">
          <w:rPr>
            <w:rStyle w:val="Hyperlink"/>
            <w:rFonts w:cs="David" w:hint="eastAsia"/>
            <w:sz w:val="24"/>
            <w:szCs w:val="24"/>
            <w:rtl/>
          </w:rPr>
          <w:t>המסוכנים</w:t>
        </w:r>
      </w:hyperlink>
      <w:r>
        <w:rPr>
          <w:rFonts w:cs="David" w:hint="cs"/>
          <w:sz w:val="24"/>
          <w:szCs w:val="24"/>
          <w:rtl/>
        </w:rPr>
        <w:t xml:space="preserve"> [ נוסח חדש], תשל"ג-1973; </w:t>
      </w:r>
      <w:r>
        <w:rPr>
          <w:rFonts w:cs="David" w:hint="cs"/>
          <w:sz w:val="24"/>
          <w:szCs w:val="24"/>
          <w:u w:val="single"/>
          <w:rtl/>
        </w:rPr>
        <w:t>נהיגה ללא רישיון</w:t>
      </w:r>
      <w:r>
        <w:rPr>
          <w:rFonts w:cs="David" w:hint="cs"/>
          <w:sz w:val="24"/>
          <w:szCs w:val="24"/>
          <w:rtl/>
        </w:rPr>
        <w:t xml:space="preserve">, לפי </w:t>
      </w:r>
      <w:hyperlink r:id="rId27" w:history="1">
        <w:r w:rsidR="006E2A52" w:rsidRPr="006E2A52">
          <w:rPr>
            <w:rFonts w:cs="David" w:hint="eastAsia"/>
            <w:color w:val="0000FF"/>
            <w:sz w:val="24"/>
            <w:szCs w:val="24"/>
            <w:u w:val="single"/>
            <w:rtl/>
          </w:rPr>
          <w:t>סעיף</w:t>
        </w:r>
        <w:r w:rsidR="006E2A52" w:rsidRPr="006E2A52">
          <w:rPr>
            <w:rFonts w:cs="David"/>
            <w:color w:val="0000FF"/>
            <w:sz w:val="24"/>
            <w:szCs w:val="24"/>
            <w:u w:val="single"/>
            <w:rtl/>
          </w:rPr>
          <w:t xml:space="preserve"> 10(</w:t>
        </w:r>
        <w:r w:rsidR="006E2A52" w:rsidRPr="006E2A52">
          <w:rPr>
            <w:rFonts w:cs="David" w:hint="eastAsia"/>
            <w:color w:val="0000FF"/>
            <w:sz w:val="24"/>
            <w:szCs w:val="24"/>
            <w:u w:val="single"/>
            <w:rtl/>
          </w:rPr>
          <w:t>א</w:t>
        </w:r>
        <w:r w:rsidR="006E2A52" w:rsidRPr="006E2A52">
          <w:rPr>
            <w:rFonts w:cs="David"/>
            <w:color w:val="0000FF"/>
            <w:sz w:val="24"/>
            <w:szCs w:val="24"/>
            <w:u w:val="single"/>
            <w:rtl/>
          </w:rPr>
          <w:t>)</w:t>
        </w:r>
      </w:hyperlink>
      <w:r>
        <w:rPr>
          <w:rFonts w:cs="David" w:hint="cs"/>
          <w:sz w:val="24"/>
          <w:szCs w:val="24"/>
          <w:rtl/>
        </w:rPr>
        <w:t xml:space="preserve"> ל</w:t>
      </w:r>
      <w:hyperlink r:id="rId28" w:history="1">
        <w:r w:rsidRPr="0085403D">
          <w:rPr>
            <w:rStyle w:val="Hyperlink"/>
            <w:rFonts w:cs="David" w:hint="eastAsia"/>
            <w:sz w:val="24"/>
            <w:szCs w:val="24"/>
            <w:rtl/>
          </w:rPr>
          <w:t>פקודת</w:t>
        </w:r>
        <w:r w:rsidRPr="0085403D">
          <w:rPr>
            <w:rStyle w:val="Hyperlink"/>
            <w:rFonts w:cs="David"/>
            <w:sz w:val="24"/>
            <w:szCs w:val="24"/>
            <w:rtl/>
          </w:rPr>
          <w:t xml:space="preserve"> </w:t>
        </w:r>
        <w:r w:rsidRPr="0085403D">
          <w:rPr>
            <w:rStyle w:val="Hyperlink"/>
            <w:rFonts w:cs="David" w:hint="eastAsia"/>
            <w:sz w:val="24"/>
            <w:szCs w:val="24"/>
            <w:rtl/>
          </w:rPr>
          <w:t>התעבורה</w:t>
        </w:r>
      </w:hyperlink>
      <w:r>
        <w:rPr>
          <w:rFonts w:cs="David" w:hint="cs"/>
          <w:sz w:val="24"/>
          <w:szCs w:val="24"/>
          <w:rtl/>
        </w:rPr>
        <w:t xml:space="preserve"> [נוסח חדש], התשכ"א -1961(להלן: "</w:t>
      </w:r>
      <w:r>
        <w:rPr>
          <w:rFonts w:cs="David" w:hint="cs"/>
          <w:b/>
          <w:bCs/>
          <w:sz w:val="24"/>
          <w:szCs w:val="24"/>
          <w:rtl/>
        </w:rPr>
        <w:t>הפקודה</w:t>
      </w:r>
      <w:r>
        <w:rPr>
          <w:rFonts w:cs="David" w:hint="cs"/>
          <w:sz w:val="24"/>
          <w:szCs w:val="24"/>
          <w:rtl/>
        </w:rPr>
        <w:t xml:space="preserve">"); </w:t>
      </w:r>
      <w:r>
        <w:rPr>
          <w:rFonts w:cs="David" w:hint="cs"/>
          <w:sz w:val="24"/>
          <w:szCs w:val="24"/>
          <w:u w:val="single"/>
          <w:rtl/>
        </w:rPr>
        <w:t>נהיגה בזמן פסילה</w:t>
      </w:r>
      <w:r>
        <w:rPr>
          <w:rFonts w:cs="David" w:hint="cs"/>
          <w:sz w:val="24"/>
          <w:szCs w:val="24"/>
          <w:rtl/>
        </w:rPr>
        <w:t xml:space="preserve">, לפי </w:t>
      </w:r>
      <w:hyperlink r:id="rId29" w:history="1">
        <w:r w:rsidR="006E2A52" w:rsidRPr="006E2A52">
          <w:rPr>
            <w:rFonts w:cs="David" w:hint="eastAsia"/>
            <w:color w:val="0000FF"/>
            <w:sz w:val="24"/>
            <w:szCs w:val="24"/>
            <w:u w:val="single"/>
            <w:rtl/>
          </w:rPr>
          <w:t>סעיף</w:t>
        </w:r>
        <w:r w:rsidR="006E2A52" w:rsidRPr="006E2A52">
          <w:rPr>
            <w:rFonts w:cs="David"/>
            <w:color w:val="0000FF"/>
            <w:sz w:val="24"/>
            <w:szCs w:val="24"/>
            <w:u w:val="single"/>
            <w:rtl/>
          </w:rPr>
          <w:t xml:space="preserve"> 67</w:t>
        </w:r>
      </w:hyperlink>
      <w:r>
        <w:rPr>
          <w:rFonts w:cs="David" w:hint="cs"/>
          <w:sz w:val="24"/>
          <w:szCs w:val="24"/>
          <w:rtl/>
        </w:rPr>
        <w:t xml:space="preserve"> לפקודה; ו</w:t>
      </w:r>
      <w:r>
        <w:rPr>
          <w:rFonts w:cs="David" w:hint="cs"/>
          <w:sz w:val="24"/>
          <w:szCs w:val="24"/>
          <w:u w:val="single"/>
          <w:rtl/>
        </w:rPr>
        <w:t>נהיגה ללא ביטוח</w:t>
      </w:r>
      <w:r>
        <w:rPr>
          <w:rFonts w:cs="David" w:hint="cs"/>
          <w:sz w:val="24"/>
          <w:szCs w:val="24"/>
          <w:rtl/>
        </w:rPr>
        <w:t xml:space="preserve">, לפי </w:t>
      </w:r>
      <w:hyperlink r:id="rId30" w:history="1">
        <w:r w:rsidR="00EC1287" w:rsidRPr="00EC1287">
          <w:rPr>
            <w:rFonts w:cs="David" w:hint="eastAsia"/>
            <w:color w:val="0000FF"/>
            <w:sz w:val="24"/>
            <w:szCs w:val="24"/>
            <w:u w:val="single"/>
            <w:rtl/>
          </w:rPr>
          <w:t>סעיף</w:t>
        </w:r>
        <w:r w:rsidR="00EC1287" w:rsidRPr="00EC1287">
          <w:rPr>
            <w:rFonts w:cs="David"/>
            <w:color w:val="0000FF"/>
            <w:sz w:val="24"/>
            <w:szCs w:val="24"/>
            <w:u w:val="single"/>
            <w:rtl/>
          </w:rPr>
          <w:t xml:space="preserve"> 2(</w:t>
        </w:r>
        <w:r w:rsidR="00EC1287" w:rsidRPr="00EC1287">
          <w:rPr>
            <w:rFonts w:cs="David" w:hint="eastAsia"/>
            <w:color w:val="0000FF"/>
            <w:sz w:val="24"/>
            <w:szCs w:val="24"/>
            <w:u w:val="single"/>
            <w:rtl/>
          </w:rPr>
          <w:t>א</w:t>
        </w:r>
        <w:r w:rsidR="00EC1287" w:rsidRPr="00EC1287">
          <w:rPr>
            <w:rFonts w:cs="David"/>
            <w:color w:val="0000FF"/>
            <w:sz w:val="24"/>
            <w:szCs w:val="24"/>
            <w:u w:val="single"/>
            <w:rtl/>
          </w:rPr>
          <w:t>)(</w:t>
        </w:r>
        <w:r w:rsidR="00EC1287" w:rsidRPr="00EC1287">
          <w:rPr>
            <w:rFonts w:cs="David" w:hint="eastAsia"/>
            <w:color w:val="0000FF"/>
            <w:sz w:val="24"/>
            <w:szCs w:val="24"/>
            <w:u w:val="single"/>
            <w:rtl/>
          </w:rPr>
          <w:t>ב</w:t>
        </w:r>
        <w:r w:rsidR="00EC1287" w:rsidRPr="00EC1287">
          <w:rPr>
            <w:rFonts w:cs="David"/>
            <w:color w:val="0000FF"/>
            <w:sz w:val="24"/>
            <w:szCs w:val="24"/>
            <w:u w:val="single"/>
            <w:rtl/>
          </w:rPr>
          <w:t>)</w:t>
        </w:r>
      </w:hyperlink>
      <w:r>
        <w:rPr>
          <w:rFonts w:cs="David" w:hint="cs"/>
          <w:sz w:val="24"/>
          <w:szCs w:val="24"/>
          <w:rtl/>
        </w:rPr>
        <w:t xml:space="preserve"> </w:t>
      </w:r>
      <w:hyperlink r:id="rId31" w:history="1">
        <w:r w:rsidR="00EC1287" w:rsidRPr="00EC1287">
          <w:rPr>
            <w:rFonts w:cs="David" w:hint="eastAsia"/>
            <w:color w:val="0000FF"/>
            <w:sz w:val="24"/>
            <w:szCs w:val="24"/>
            <w:u w:val="single"/>
            <w:rtl/>
          </w:rPr>
          <w:t>לחוק</w:t>
        </w:r>
        <w:r w:rsidR="00EC1287" w:rsidRPr="00EC1287">
          <w:rPr>
            <w:rFonts w:cs="David"/>
            <w:color w:val="0000FF"/>
            <w:sz w:val="24"/>
            <w:szCs w:val="24"/>
            <w:u w:val="single"/>
            <w:rtl/>
          </w:rPr>
          <w:t xml:space="preserve"> </w:t>
        </w:r>
        <w:r w:rsidR="00EC1287" w:rsidRPr="00EC1287">
          <w:rPr>
            <w:rFonts w:cs="David" w:hint="eastAsia"/>
            <w:color w:val="0000FF"/>
            <w:sz w:val="24"/>
            <w:szCs w:val="24"/>
            <w:u w:val="single"/>
            <w:rtl/>
          </w:rPr>
          <w:t>ביטוח</w:t>
        </w:r>
        <w:r w:rsidR="00EC1287" w:rsidRPr="00EC1287">
          <w:rPr>
            <w:rFonts w:cs="David"/>
            <w:color w:val="0000FF"/>
            <w:sz w:val="24"/>
            <w:szCs w:val="24"/>
            <w:u w:val="single"/>
            <w:rtl/>
          </w:rPr>
          <w:t xml:space="preserve"> </w:t>
        </w:r>
        <w:r w:rsidR="00EC1287" w:rsidRPr="00EC1287">
          <w:rPr>
            <w:rFonts w:cs="David" w:hint="eastAsia"/>
            <w:color w:val="0000FF"/>
            <w:sz w:val="24"/>
            <w:szCs w:val="24"/>
            <w:u w:val="single"/>
            <w:rtl/>
          </w:rPr>
          <w:t>כלי</w:t>
        </w:r>
        <w:r w:rsidR="00EC1287" w:rsidRPr="00EC1287">
          <w:rPr>
            <w:rFonts w:cs="David"/>
            <w:color w:val="0000FF"/>
            <w:sz w:val="24"/>
            <w:szCs w:val="24"/>
            <w:u w:val="single"/>
            <w:rtl/>
          </w:rPr>
          <w:t xml:space="preserve"> </w:t>
        </w:r>
        <w:r w:rsidR="00EC1287" w:rsidRPr="00EC1287">
          <w:rPr>
            <w:rFonts w:cs="David" w:hint="eastAsia"/>
            <w:color w:val="0000FF"/>
            <w:sz w:val="24"/>
            <w:szCs w:val="24"/>
            <w:u w:val="single"/>
            <w:rtl/>
          </w:rPr>
          <w:t>רכב</w:t>
        </w:r>
        <w:r w:rsidR="00EC1287" w:rsidRPr="00EC1287">
          <w:rPr>
            <w:rFonts w:cs="David"/>
            <w:color w:val="0000FF"/>
            <w:sz w:val="24"/>
            <w:szCs w:val="24"/>
            <w:u w:val="single"/>
            <w:rtl/>
          </w:rPr>
          <w:t xml:space="preserve"> </w:t>
        </w:r>
        <w:r w:rsidR="00EC1287" w:rsidRPr="00EC1287">
          <w:rPr>
            <w:rFonts w:cs="David" w:hint="eastAsia"/>
            <w:color w:val="0000FF"/>
            <w:sz w:val="24"/>
            <w:szCs w:val="24"/>
            <w:u w:val="single"/>
            <w:rtl/>
          </w:rPr>
          <w:t>מנועי</w:t>
        </w:r>
        <w:r w:rsidR="00EC1287" w:rsidRPr="00EC1287">
          <w:rPr>
            <w:rFonts w:cs="David"/>
            <w:color w:val="0000FF"/>
            <w:sz w:val="24"/>
            <w:szCs w:val="24"/>
            <w:u w:val="single"/>
            <w:rtl/>
          </w:rPr>
          <w:t xml:space="preserve">, </w:t>
        </w:r>
        <w:r w:rsidR="00EC1287" w:rsidRPr="00EC1287">
          <w:rPr>
            <w:rFonts w:cs="David" w:hint="eastAsia"/>
            <w:color w:val="0000FF"/>
            <w:sz w:val="24"/>
            <w:szCs w:val="24"/>
            <w:u w:val="single"/>
            <w:rtl/>
          </w:rPr>
          <w:t>התש</w:t>
        </w:r>
        <w:r w:rsidR="00EC1287" w:rsidRPr="00EC1287">
          <w:rPr>
            <w:rFonts w:cs="David"/>
            <w:color w:val="0000FF"/>
            <w:sz w:val="24"/>
            <w:szCs w:val="24"/>
            <w:u w:val="single"/>
            <w:rtl/>
          </w:rPr>
          <w:t>"</w:t>
        </w:r>
        <w:r w:rsidR="00EC1287" w:rsidRPr="00EC1287">
          <w:rPr>
            <w:rFonts w:cs="David" w:hint="eastAsia"/>
            <w:color w:val="0000FF"/>
            <w:sz w:val="24"/>
            <w:szCs w:val="24"/>
            <w:u w:val="single"/>
            <w:rtl/>
          </w:rPr>
          <w:t>ל</w:t>
        </w:r>
        <w:r w:rsidR="00EC1287" w:rsidRPr="00EC1287">
          <w:rPr>
            <w:rFonts w:cs="David"/>
            <w:color w:val="0000FF"/>
            <w:sz w:val="24"/>
            <w:szCs w:val="24"/>
            <w:u w:val="single"/>
            <w:rtl/>
          </w:rPr>
          <w:t>-1970</w:t>
        </w:r>
      </w:hyperlink>
      <w:r>
        <w:rPr>
          <w:rFonts w:cs="David" w:hint="cs"/>
          <w:sz w:val="24"/>
          <w:szCs w:val="24"/>
          <w:rtl/>
        </w:rPr>
        <w:t>.</w:t>
      </w:r>
    </w:p>
    <w:p w14:paraId="105CFD3A" w14:textId="77777777" w:rsidR="00E746B3" w:rsidRDefault="00E746B3">
      <w:pPr>
        <w:pStyle w:val="ListParagraph"/>
        <w:spacing w:after="0" w:line="360" w:lineRule="auto"/>
        <w:jc w:val="both"/>
        <w:rPr>
          <w:rFonts w:cs="David"/>
          <w:sz w:val="24"/>
          <w:szCs w:val="24"/>
        </w:rPr>
      </w:pPr>
      <w:bookmarkStart w:id="7" w:name="ABSTRACT_END"/>
      <w:bookmarkEnd w:id="7"/>
    </w:p>
    <w:p w14:paraId="5A6B6705" w14:textId="77777777" w:rsidR="00E746B3" w:rsidRDefault="0085403D">
      <w:pPr>
        <w:pStyle w:val="ListParagraph"/>
        <w:numPr>
          <w:ilvl w:val="0"/>
          <w:numId w:val="1"/>
        </w:numPr>
        <w:spacing w:after="0" w:line="360" w:lineRule="auto"/>
        <w:jc w:val="both"/>
        <w:rPr>
          <w:rFonts w:cs="David"/>
          <w:sz w:val="24"/>
          <w:szCs w:val="24"/>
        </w:rPr>
      </w:pPr>
      <w:r>
        <w:rPr>
          <w:rFonts w:cs="David" w:hint="cs"/>
          <w:sz w:val="24"/>
          <w:szCs w:val="24"/>
          <w:rtl/>
        </w:rPr>
        <w:t>על-פי האמור בכתב האישום, בתאריך 08.02.14, בשעה 19:00 או בסמוך לכך, הלכה זמפירה גוסב (להלן: "</w:t>
      </w:r>
      <w:r>
        <w:rPr>
          <w:rFonts w:cs="David" w:hint="cs"/>
          <w:b/>
          <w:bCs/>
          <w:sz w:val="24"/>
          <w:szCs w:val="24"/>
          <w:rtl/>
        </w:rPr>
        <w:t>המתלוננת</w:t>
      </w:r>
      <w:r>
        <w:rPr>
          <w:rFonts w:cs="David" w:hint="cs"/>
          <w:sz w:val="24"/>
          <w:szCs w:val="24"/>
          <w:rtl/>
        </w:rPr>
        <w:t xml:space="preserve">"), ילידת 1946, ברחוב ירושלים בעפולה. המתלוננת נשאה עמה תיק יד </w:t>
      </w:r>
      <w:r>
        <w:rPr>
          <w:rFonts w:cs="David" w:hint="cs"/>
          <w:sz w:val="24"/>
          <w:szCs w:val="24"/>
          <w:rtl/>
        </w:rPr>
        <w:lastRenderedPageBreak/>
        <w:t>(להלן: "</w:t>
      </w:r>
      <w:r>
        <w:rPr>
          <w:rFonts w:cs="David" w:hint="cs"/>
          <w:b/>
          <w:bCs/>
          <w:sz w:val="24"/>
          <w:szCs w:val="24"/>
          <w:rtl/>
        </w:rPr>
        <w:t>התיק</w:t>
      </w:r>
      <w:r>
        <w:rPr>
          <w:rFonts w:cs="David" w:hint="cs"/>
          <w:sz w:val="24"/>
          <w:szCs w:val="24"/>
          <w:rtl/>
        </w:rPr>
        <w:t>"), אשר הכיל, בין היתר, תעודת זהות,  כרטיס רב-קו, תעודת גמלאי, כרטיס ביטוח לאומי, כסף מזומן בסך של כ-300 ₪ וכרטיס אשראי מסוג "לאומי קארד", שמסתיים בספרות 9929 (להלן: "</w:t>
      </w:r>
      <w:r>
        <w:rPr>
          <w:rFonts w:cs="David" w:hint="cs"/>
          <w:b/>
          <w:bCs/>
          <w:sz w:val="24"/>
          <w:szCs w:val="24"/>
          <w:rtl/>
        </w:rPr>
        <w:t>כרטיס האשראי</w:t>
      </w:r>
      <w:r>
        <w:rPr>
          <w:rFonts w:cs="David" w:hint="cs"/>
          <w:sz w:val="24"/>
          <w:szCs w:val="24"/>
          <w:rtl/>
        </w:rPr>
        <w:t>").</w:t>
      </w:r>
    </w:p>
    <w:p w14:paraId="655C198F" w14:textId="77777777" w:rsidR="00E746B3" w:rsidRDefault="0085403D">
      <w:pPr>
        <w:pStyle w:val="ListParagraph"/>
        <w:spacing w:after="0" w:line="360" w:lineRule="auto"/>
        <w:jc w:val="both"/>
        <w:rPr>
          <w:rFonts w:cs="David"/>
          <w:sz w:val="24"/>
          <w:szCs w:val="24"/>
        </w:rPr>
      </w:pPr>
      <w:r>
        <w:rPr>
          <w:rFonts w:cs="David" w:hint="cs"/>
          <w:sz w:val="24"/>
          <w:szCs w:val="24"/>
          <w:rtl/>
        </w:rPr>
        <w:t>באותה העת היה הנאשם בקרבת מקום למתלוננת. בראות הנאשם את המתלוננת, הוא עקב אחריה ברחוב במשך מספר דקות בהמתינו לשעת כושר כדי לתקוף אותה. בהגיע המתלוננת סמוך לבית מס' 30 ברחוב ירושלים, התקרב הנאשם למתלוננת וריסס את פניה בגז מדמיע באמצעות מיכל גז מדמיע בו הצטייד מבעוד מועד על מנת לבצע באמצעותו פשע. הנאשם הפיל ארצה את המתלוננת ובעט בה בכל חלקי גופה. הנאשם נטל בכוח את התיק מידי המתלוננת ונמלט מן המקום, בהותירו את המתלוננת שרועה חבולה על הארץ וזועקת לעזרה.</w:t>
      </w:r>
    </w:p>
    <w:p w14:paraId="194D6EA0" w14:textId="77777777" w:rsidR="00E746B3" w:rsidRDefault="0085403D">
      <w:pPr>
        <w:pStyle w:val="ListParagraph"/>
        <w:spacing w:after="0" w:line="360" w:lineRule="auto"/>
        <w:jc w:val="both"/>
        <w:rPr>
          <w:rFonts w:cs="David"/>
          <w:sz w:val="24"/>
          <w:szCs w:val="24"/>
          <w:rtl/>
        </w:rPr>
      </w:pPr>
      <w:r>
        <w:rPr>
          <w:rFonts w:cs="David" w:hint="cs"/>
          <w:sz w:val="24"/>
          <w:szCs w:val="24"/>
          <w:rtl/>
        </w:rPr>
        <w:t>כתוצאה ממעשיו של הנאשם, נגרמו למתלוננת חבלות שכללו, בין היתר, שטפי דם ברגליה ובחזה, ותחושת צריבה בעיניים כתוצאה מהתזת הגז המדמיע בפניה. המתלוננת פונתה באמבולנס מן המקום ונזקקה לטיפול רפואי.</w:t>
      </w:r>
    </w:p>
    <w:p w14:paraId="4A99A446" w14:textId="77777777" w:rsidR="00E746B3" w:rsidRDefault="00E746B3">
      <w:pPr>
        <w:pStyle w:val="ListParagraph"/>
        <w:spacing w:after="0" w:line="360" w:lineRule="auto"/>
        <w:jc w:val="both"/>
        <w:rPr>
          <w:rFonts w:cs="David"/>
          <w:sz w:val="24"/>
          <w:szCs w:val="24"/>
          <w:rtl/>
        </w:rPr>
      </w:pPr>
    </w:p>
    <w:p w14:paraId="033FFB75" w14:textId="77777777" w:rsidR="00E746B3" w:rsidRDefault="0085403D">
      <w:pPr>
        <w:pStyle w:val="ListParagraph"/>
        <w:spacing w:after="0" w:line="360" w:lineRule="auto"/>
        <w:jc w:val="both"/>
        <w:rPr>
          <w:rFonts w:cs="David"/>
          <w:sz w:val="24"/>
          <w:szCs w:val="24"/>
          <w:rtl/>
        </w:rPr>
      </w:pPr>
      <w:r>
        <w:rPr>
          <w:rFonts w:cs="David" w:hint="cs"/>
          <w:sz w:val="24"/>
          <w:szCs w:val="24"/>
          <w:rtl/>
        </w:rPr>
        <w:t>מיד לאחר השוד, קנה הנאשם מנת סם מסוכן באמצעות הכסף המזומן שהיה בתיק. לאחר מכן, סמוך לשעה 19:36, נהג הנאשם ברכב מסוג סיאט איביזה, מ"ר 3754907, וזאת חרף העובדה שהנאשם לא החזיק מעולם ברישיון נהיגה והוא אף היה פסול מעשות כן, מתוקף גזר-דינו של בית משפט השלום בתל-אביב ב</w:t>
      </w:r>
      <w:hyperlink r:id="rId32" w:history="1">
        <w:r w:rsidRPr="0085403D">
          <w:rPr>
            <w:rStyle w:val="Hyperlink"/>
            <w:rFonts w:cs="David" w:hint="eastAsia"/>
            <w:sz w:val="24"/>
            <w:szCs w:val="24"/>
            <w:rtl/>
          </w:rPr>
          <w:t>ת</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54048-11-10</w:t>
        </w:r>
      </w:hyperlink>
      <w:r>
        <w:rPr>
          <w:rFonts w:cs="David" w:hint="cs"/>
          <w:sz w:val="24"/>
          <w:szCs w:val="24"/>
          <w:rtl/>
        </w:rPr>
        <w:t>, שניתן בנוכחותו. בנוסף, לא היה בידי הנאשם ביטוח בר תוקף לנהיגתו.</w:t>
      </w:r>
    </w:p>
    <w:p w14:paraId="489E6BCE" w14:textId="77777777" w:rsidR="00E746B3" w:rsidRDefault="00E746B3">
      <w:pPr>
        <w:pStyle w:val="ListParagraph"/>
        <w:spacing w:after="0" w:line="360" w:lineRule="auto"/>
        <w:jc w:val="both"/>
        <w:rPr>
          <w:rFonts w:cs="David"/>
          <w:sz w:val="24"/>
          <w:szCs w:val="24"/>
          <w:rtl/>
        </w:rPr>
      </w:pPr>
    </w:p>
    <w:p w14:paraId="009A8F70" w14:textId="77777777" w:rsidR="00E746B3" w:rsidRDefault="0085403D">
      <w:pPr>
        <w:pStyle w:val="ListParagraph"/>
        <w:spacing w:after="0" w:line="360" w:lineRule="auto"/>
        <w:jc w:val="both"/>
        <w:rPr>
          <w:rFonts w:cs="David"/>
          <w:sz w:val="24"/>
          <w:szCs w:val="24"/>
          <w:rtl/>
        </w:rPr>
      </w:pPr>
      <w:r>
        <w:rPr>
          <w:rFonts w:cs="David" w:hint="cs"/>
          <w:sz w:val="24"/>
          <w:szCs w:val="24"/>
          <w:rtl/>
        </w:rPr>
        <w:t>בשעה 19:39 הגיע הנאשם לתחנת דלק "טופ" שבעפולה, שם מילא הנאשם דלק במכונית בסכום של 127 ₪, כשהוא עושה שימוש בכרטיס האשראי של המתלוננת כדי לשלם עבור הדלק. בהמשך הערב פגש הנאשם את בת-זוגו, בת-אל אסרף, סיפר לה כי "לקח תיק מזקנה", והשניים יצאו במהלך אותו הלילה (בין השעות 20:52 ל-02:02) ל"מסע רכישות" באמצעות כרטיס האשראי של המתלוננת, במהלכו ביקשו לבצע 8 עסקאות שונות, שמתוכן 3 סורבו, והיתר, בסכום כולל של כ-2080 ₪, כובדו.</w:t>
      </w:r>
    </w:p>
    <w:p w14:paraId="447D7EC0" w14:textId="77777777" w:rsidR="00E746B3" w:rsidRDefault="00E746B3">
      <w:pPr>
        <w:pStyle w:val="ListParagraph"/>
        <w:spacing w:after="0" w:line="360" w:lineRule="auto"/>
        <w:jc w:val="both"/>
        <w:rPr>
          <w:rFonts w:cs="David"/>
          <w:sz w:val="24"/>
          <w:szCs w:val="24"/>
          <w:rtl/>
        </w:rPr>
      </w:pPr>
    </w:p>
    <w:p w14:paraId="1D745509" w14:textId="77777777" w:rsidR="00E746B3" w:rsidRDefault="0085403D">
      <w:pPr>
        <w:pStyle w:val="ListParagraph"/>
        <w:spacing w:after="0" w:line="360" w:lineRule="auto"/>
        <w:jc w:val="both"/>
        <w:rPr>
          <w:rFonts w:cs="David"/>
          <w:sz w:val="24"/>
          <w:szCs w:val="24"/>
          <w:rtl/>
        </w:rPr>
      </w:pPr>
      <w:r>
        <w:rPr>
          <w:rFonts w:cs="David" w:hint="cs"/>
          <w:sz w:val="24"/>
          <w:szCs w:val="24"/>
          <w:rtl/>
        </w:rPr>
        <w:t>באותו הלילה, סמוך לשעה 23:47, נפגש הנאשם בתחנת הדלק "סונול" בעפולה עילית עם אדם בשם שלמה אטדגי (להלן: "</w:t>
      </w:r>
      <w:r>
        <w:rPr>
          <w:rFonts w:cs="David" w:hint="cs"/>
          <w:b/>
          <w:bCs/>
          <w:sz w:val="24"/>
          <w:szCs w:val="24"/>
          <w:rtl/>
        </w:rPr>
        <w:t>שלומי</w:t>
      </w:r>
      <w:r>
        <w:rPr>
          <w:rFonts w:cs="David" w:hint="cs"/>
          <w:sz w:val="24"/>
          <w:szCs w:val="24"/>
          <w:rtl/>
        </w:rPr>
        <w:t>"). הנאשם רכש משלומי במקום מנת סם מסוג "קוקאין", וזאת בתמורה לתשלום עבור תדלוק רכבו של שלומי בסכום של 163 ש"ח, באמצעות כרטיס האשראי של המתלוננת.</w:t>
      </w:r>
    </w:p>
    <w:p w14:paraId="12EEEB93" w14:textId="77777777" w:rsidR="00E746B3" w:rsidRDefault="00E746B3">
      <w:pPr>
        <w:pStyle w:val="ListParagraph"/>
        <w:spacing w:after="0" w:line="360" w:lineRule="auto"/>
        <w:jc w:val="both"/>
        <w:rPr>
          <w:rFonts w:cs="David"/>
          <w:sz w:val="24"/>
          <w:szCs w:val="24"/>
          <w:rtl/>
        </w:rPr>
      </w:pPr>
    </w:p>
    <w:p w14:paraId="72D02DCE" w14:textId="77777777" w:rsidR="00E746B3" w:rsidRDefault="0085403D">
      <w:pPr>
        <w:pStyle w:val="ListParagraph"/>
        <w:spacing w:after="0" w:line="360" w:lineRule="auto"/>
        <w:jc w:val="both"/>
        <w:rPr>
          <w:rFonts w:cs="David"/>
          <w:sz w:val="24"/>
          <w:szCs w:val="24"/>
          <w:rtl/>
        </w:rPr>
      </w:pPr>
      <w:r>
        <w:rPr>
          <w:rFonts w:cs="David" w:hint="cs"/>
          <w:sz w:val="24"/>
          <w:szCs w:val="24"/>
          <w:rtl/>
        </w:rPr>
        <w:t>הנאשם השתמש ברכב ונהג במהלך כל אותו הלילה.</w:t>
      </w:r>
    </w:p>
    <w:p w14:paraId="377A3C03" w14:textId="77777777" w:rsidR="00E746B3" w:rsidRDefault="00E746B3">
      <w:pPr>
        <w:pStyle w:val="ListParagraph"/>
        <w:spacing w:after="0" w:line="360" w:lineRule="auto"/>
        <w:jc w:val="both"/>
        <w:rPr>
          <w:rFonts w:cs="David"/>
          <w:sz w:val="24"/>
          <w:szCs w:val="24"/>
          <w:rtl/>
        </w:rPr>
      </w:pPr>
    </w:p>
    <w:p w14:paraId="675D0273" w14:textId="77777777" w:rsidR="00E746B3" w:rsidRDefault="0085403D">
      <w:pPr>
        <w:pStyle w:val="ListParagraph"/>
        <w:spacing w:after="0" w:line="360" w:lineRule="auto"/>
        <w:jc w:val="both"/>
        <w:rPr>
          <w:rFonts w:cs="David"/>
          <w:b/>
          <w:bCs/>
          <w:sz w:val="24"/>
          <w:szCs w:val="24"/>
          <w:u w:val="single"/>
          <w:rtl/>
        </w:rPr>
      </w:pPr>
      <w:r>
        <w:rPr>
          <w:rFonts w:cs="David" w:hint="cs"/>
          <w:b/>
          <w:bCs/>
          <w:sz w:val="24"/>
          <w:szCs w:val="24"/>
          <w:u w:val="single"/>
          <w:rtl/>
        </w:rPr>
        <w:t>תסקיר שירות המבחן</w:t>
      </w:r>
    </w:p>
    <w:p w14:paraId="7633DAED"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lastRenderedPageBreak/>
        <w:t>מתסקיר שירות המבחן עולה תמונה מורכבת, של אדם צעיר אשר גדל בתנאים קשים והוא בעל רקע התמכרותי כרוני, שלצדו מספר רב של הרשעות קודמות בתחום האלימות, הסמים והרכוש.</w:t>
      </w:r>
    </w:p>
    <w:p w14:paraId="3E62BE8B" w14:textId="77777777" w:rsidR="00E746B3" w:rsidRDefault="00E746B3">
      <w:pPr>
        <w:spacing w:line="360" w:lineRule="auto"/>
        <w:ind w:left="360"/>
        <w:jc w:val="both"/>
      </w:pPr>
    </w:p>
    <w:p w14:paraId="6D34AB7E"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הנאשם, בן 34, הוא רווק ואב לשניים. בילדותו ננטש על-ידי אמו, ובהיותו בן 12, על רקע יחסים משפחתיים מורכבים, הוצא יחד עם אחותו למשפחה אומנת, שם חווה אלימות והזנחה. בגיל 14 החל הנאשם לשוטט ברחובות ולצרוך סמים קשים, ובהיותו בן 17 בלבד הפך לאב. בת-זוגו דאז נפטרה, ובנו הבכור נמצא בחזקת הורי האם. לפני כשנה נולד לנאשם בן נוסף, כשמן התסקיר עולה השפעה שלילית על תפקודו סביב חוויה זו, כתוצאה מקשייה של בת-הזוג, תחושות של עומס רגשי אצל הנאשם וקושי לשאת באחריות משפחתית.</w:t>
      </w:r>
    </w:p>
    <w:p w14:paraId="18A3E82D" w14:textId="77777777" w:rsidR="00E746B3" w:rsidRDefault="00E746B3">
      <w:pPr>
        <w:pStyle w:val="ListParagraph"/>
        <w:rPr>
          <w:rFonts w:cs="David"/>
          <w:sz w:val="24"/>
          <w:szCs w:val="24"/>
        </w:rPr>
      </w:pPr>
    </w:p>
    <w:p w14:paraId="630ED34C" w14:textId="77777777" w:rsidR="00E746B3" w:rsidRDefault="0085403D">
      <w:pPr>
        <w:pStyle w:val="ListParagraph"/>
        <w:spacing w:after="0" w:line="360" w:lineRule="auto"/>
        <w:jc w:val="both"/>
        <w:rPr>
          <w:rFonts w:cs="David"/>
          <w:sz w:val="24"/>
          <w:szCs w:val="24"/>
          <w:rtl/>
        </w:rPr>
      </w:pPr>
      <w:r>
        <w:rPr>
          <w:rFonts w:cs="David" w:hint="cs"/>
          <w:sz w:val="24"/>
          <w:szCs w:val="24"/>
          <w:rtl/>
        </w:rPr>
        <w:t>במהלך חייו ערך הנאשם מספר ניסיונות גמילה, אולם התקשה לשמור על ניקיונו לתקופה ממושכת. בשנת 2011 הגיע לקהילת "מלכישוע", שם שהה במשך למעלה משנה. לאחר מכן המשיך הנאשם בטיפול, באמצעות היחידה לטיפול התמכרויות בעירו, וזאת עד לחודש פברואר 2014.</w:t>
      </w:r>
    </w:p>
    <w:p w14:paraId="4ACCF95A" w14:textId="77777777" w:rsidR="00E746B3" w:rsidRDefault="00E746B3">
      <w:pPr>
        <w:pStyle w:val="ListParagraph"/>
        <w:spacing w:after="0" w:line="360" w:lineRule="auto"/>
        <w:jc w:val="both"/>
        <w:rPr>
          <w:rFonts w:cs="David"/>
          <w:sz w:val="24"/>
          <w:szCs w:val="24"/>
          <w:rtl/>
        </w:rPr>
      </w:pPr>
    </w:p>
    <w:p w14:paraId="3486DD5E"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קצינת המבחן תיארה את הנאשם כצעיר הפועל מתוך דפוסים אנטיסוציאליים מושרשים והערכה עצמית מעוותת, אשר מתמודד עם החסכים בחייו ועם חוויית הנטישה באמצעות שימוש בסמים. עוד סברה, כי הנאשם מאופיין בקווים נרקיסיסטיים, הנוטה לפגוע באחר על מנת לספק את צרכיו, ועל כן קיים סיכון גבוה להישנות התנהגות מפרת חוק בעתיד. בהתאם, נמנע שירות המבחן ממתן המלצה טיפולית.</w:t>
      </w:r>
    </w:p>
    <w:p w14:paraId="34E739AA" w14:textId="77777777" w:rsidR="00E746B3" w:rsidRDefault="00E746B3">
      <w:pPr>
        <w:spacing w:line="360" w:lineRule="auto"/>
        <w:jc w:val="both"/>
      </w:pPr>
    </w:p>
    <w:p w14:paraId="259BF26C" w14:textId="77777777" w:rsidR="00E746B3" w:rsidRDefault="0085403D">
      <w:pPr>
        <w:spacing w:line="360" w:lineRule="auto"/>
        <w:jc w:val="both"/>
        <w:rPr>
          <w:b/>
          <w:bCs/>
          <w:u w:val="single"/>
          <w:rtl/>
        </w:rPr>
      </w:pPr>
      <w:r>
        <w:rPr>
          <w:rFonts w:hint="cs"/>
          <w:rtl/>
        </w:rPr>
        <w:tab/>
      </w:r>
      <w:r>
        <w:rPr>
          <w:rFonts w:hint="cs"/>
          <w:b/>
          <w:bCs/>
          <w:u w:val="single"/>
          <w:rtl/>
        </w:rPr>
        <w:t>טיעוני הצדדים</w:t>
      </w:r>
    </w:p>
    <w:p w14:paraId="6AAFCD88"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המאשימה טוענת, כי מתחם הענישה ההולם את נסיבותיו של מקרה זה נע בין 5 ל-8 שנות מאסר בפועל, זאת בהינתן התכנון המוקדם, הסיכון המובנה שבשימוש בגז מדמיע והאלימות הנוספת שהפעיל הנאשם כלפי המתלוננת, וכן עבירות הסמים והתעבורה. בהתייחסה לנסיבותיו של הנאשם ציינה, כי מדובר באדם שעברו הפלילי מכביד, ואשר הורשע בעבר, בין היתר, גם בביצוע שוד מזוין ובתקיפת אדם לשם שוד, וכאשר פרט להודאתו לא קיימות נסיבות המצדיקות הקלה בעונשו. לפיכך טענה, כי יש להטיל על הנאשם עונש המצוי בקצה העליון של המתחם עליו הצביעה, וזאת לצד מאסר על תנאי, קנס ופסילת רישיון. כן ביקשה לחייבו בתשלום פיצוי לנפגעת העבירה.</w:t>
      </w:r>
    </w:p>
    <w:p w14:paraId="756CD25D" w14:textId="77777777" w:rsidR="00E746B3" w:rsidRDefault="0085403D">
      <w:pPr>
        <w:pStyle w:val="ListParagraph"/>
        <w:spacing w:after="0" w:line="360" w:lineRule="auto"/>
        <w:jc w:val="both"/>
        <w:rPr>
          <w:rFonts w:cs="David"/>
          <w:sz w:val="24"/>
          <w:szCs w:val="24"/>
        </w:rPr>
      </w:pPr>
      <w:r>
        <w:rPr>
          <w:rFonts w:cs="David" w:hint="cs"/>
          <w:sz w:val="24"/>
          <w:szCs w:val="24"/>
          <w:rtl/>
        </w:rPr>
        <w:t>המאשימה הוסיפה, כי לחובת הנאשם עומד עונש מאסר מותנה אותו יש להפעיל, לדבריה, במצטבר לכל עונש אחר. מדובר בעונש של 5 חודשי מאסר על תנאי שהוטל על הנאשם ב</w:t>
      </w:r>
      <w:hyperlink r:id="rId33" w:history="1">
        <w:r w:rsidRPr="0085403D">
          <w:rPr>
            <w:rStyle w:val="Hyperlink"/>
            <w:rFonts w:cs="David" w:hint="eastAsia"/>
            <w:sz w:val="24"/>
            <w:szCs w:val="24"/>
            <w:rtl/>
          </w:rPr>
          <w:t>ת</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w:t>
        </w:r>
        <w:r w:rsidRPr="0085403D">
          <w:rPr>
            <w:rStyle w:val="Hyperlink"/>
            <w:rFonts w:cs="David" w:hint="eastAsia"/>
            <w:sz w:val="24"/>
            <w:szCs w:val="24"/>
            <w:rtl/>
          </w:rPr>
          <w:t>שלום</w:t>
        </w:r>
        <w:r w:rsidRPr="0085403D">
          <w:rPr>
            <w:rStyle w:val="Hyperlink"/>
            <w:rFonts w:cs="David"/>
            <w:sz w:val="24"/>
            <w:szCs w:val="24"/>
            <w:rtl/>
          </w:rPr>
          <w:t xml:space="preserve"> </w:t>
        </w:r>
        <w:r w:rsidRPr="0085403D">
          <w:rPr>
            <w:rStyle w:val="Hyperlink"/>
            <w:rFonts w:cs="David" w:hint="eastAsia"/>
            <w:sz w:val="24"/>
            <w:szCs w:val="24"/>
            <w:rtl/>
          </w:rPr>
          <w:t>ת</w:t>
        </w:r>
        <w:r w:rsidRPr="0085403D">
          <w:rPr>
            <w:rStyle w:val="Hyperlink"/>
            <w:rFonts w:cs="David"/>
            <w:sz w:val="24"/>
            <w:szCs w:val="24"/>
            <w:rtl/>
          </w:rPr>
          <w:t>"</w:t>
        </w:r>
        <w:r w:rsidRPr="0085403D">
          <w:rPr>
            <w:rStyle w:val="Hyperlink"/>
            <w:rFonts w:cs="David" w:hint="eastAsia"/>
            <w:sz w:val="24"/>
            <w:szCs w:val="24"/>
            <w:rtl/>
          </w:rPr>
          <w:t>א</w:t>
        </w:r>
        <w:r w:rsidRPr="0085403D">
          <w:rPr>
            <w:rStyle w:val="Hyperlink"/>
            <w:rFonts w:cs="David"/>
            <w:sz w:val="24"/>
            <w:szCs w:val="24"/>
            <w:rtl/>
          </w:rPr>
          <w:t>) 23661-02-10</w:t>
        </w:r>
      </w:hyperlink>
      <w:r>
        <w:rPr>
          <w:rFonts w:cs="David" w:hint="cs"/>
          <w:sz w:val="24"/>
          <w:szCs w:val="24"/>
          <w:rtl/>
        </w:rPr>
        <w:t>, ואשר הוארך ב</w:t>
      </w:r>
      <w:hyperlink r:id="rId34" w:history="1">
        <w:r w:rsidRPr="0085403D">
          <w:rPr>
            <w:rStyle w:val="Hyperlink"/>
            <w:rFonts w:cs="David" w:hint="eastAsia"/>
            <w:sz w:val="24"/>
            <w:szCs w:val="24"/>
            <w:rtl/>
          </w:rPr>
          <w:t>ת</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54048-11-10</w:t>
        </w:r>
      </w:hyperlink>
      <w:r>
        <w:rPr>
          <w:rFonts w:cs="David" w:hint="cs"/>
          <w:sz w:val="24"/>
          <w:szCs w:val="24"/>
          <w:rtl/>
        </w:rPr>
        <w:t>, וזאת בגין עבירות של החזקה או שימוש בסם לצריכה עצמית.</w:t>
      </w:r>
    </w:p>
    <w:p w14:paraId="6ACF3291" w14:textId="77777777" w:rsidR="00E746B3" w:rsidRDefault="00E746B3">
      <w:pPr>
        <w:pStyle w:val="ListParagraph"/>
        <w:spacing w:after="0" w:line="360" w:lineRule="auto"/>
        <w:jc w:val="both"/>
        <w:rPr>
          <w:rFonts w:cs="David"/>
          <w:sz w:val="24"/>
          <w:szCs w:val="24"/>
          <w:rtl/>
        </w:rPr>
      </w:pPr>
    </w:p>
    <w:p w14:paraId="29D3DD63"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הנאשם, באמצעות סנגורו, טוען כי מתחם הענישה ההולם את מעשה השוד נע בין 18 ל-36 חודשי מאסר בפועל, תוך שהוא מפנה לפסיקת בית המשפט העליון ב</w:t>
      </w:r>
      <w:hyperlink r:id="rId35" w:history="1">
        <w:r w:rsidRPr="0085403D">
          <w:rPr>
            <w:rStyle w:val="Hyperlink"/>
            <w:rFonts w:cs="David" w:hint="eastAsia"/>
            <w:sz w:val="24"/>
            <w:szCs w:val="24"/>
            <w:rtl/>
          </w:rPr>
          <w:t>ע</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7655/12</w:t>
        </w:r>
      </w:hyperlink>
      <w:r>
        <w:rPr>
          <w:rFonts w:cs="David" w:hint="cs"/>
          <w:sz w:val="24"/>
          <w:szCs w:val="24"/>
          <w:rtl/>
        </w:rPr>
        <w:t xml:space="preserve"> </w:t>
      </w:r>
      <w:r>
        <w:rPr>
          <w:rFonts w:cs="David" w:hint="cs"/>
          <w:b/>
          <w:bCs/>
          <w:sz w:val="24"/>
          <w:szCs w:val="24"/>
          <w:rtl/>
        </w:rPr>
        <w:t>אדריס פייסל נ' מדינת ישראל</w:t>
      </w:r>
      <w:r>
        <w:rPr>
          <w:rFonts w:cs="David" w:hint="cs"/>
          <w:sz w:val="24"/>
          <w:szCs w:val="24"/>
          <w:rtl/>
        </w:rPr>
        <w:t xml:space="preserve"> (04.04.13) (להלן: "</w:t>
      </w:r>
      <w:r>
        <w:rPr>
          <w:rFonts w:cs="David" w:hint="cs"/>
          <w:b/>
          <w:bCs/>
          <w:i/>
          <w:iCs/>
          <w:sz w:val="24"/>
          <w:szCs w:val="24"/>
          <w:rtl/>
        </w:rPr>
        <w:t>עניין פייסל</w:t>
      </w:r>
      <w:r>
        <w:rPr>
          <w:rFonts w:cs="David" w:hint="cs"/>
          <w:sz w:val="24"/>
          <w:szCs w:val="24"/>
          <w:rtl/>
        </w:rPr>
        <w:t>"); ושמתחם העונש ההולם לגבי כלל העבירות, נע בין 18 ל-48 חודשי מאסר.</w:t>
      </w:r>
    </w:p>
    <w:p w14:paraId="3FE0EA6B" w14:textId="77777777" w:rsidR="00E746B3" w:rsidRDefault="0085403D">
      <w:pPr>
        <w:pStyle w:val="ListParagraph"/>
        <w:spacing w:after="0" w:line="360" w:lineRule="auto"/>
        <w:jc w:val="both"/>
        <w:rPr>
          <w:rFonts w:cs="David"/>
          <w:sz w:val="24"/>
          <w:szCs w:val="24"/>
        </w:rPr>
      </w:pPr>
      <w:r>
        <w:rPr>
          <w:rFonts w:cs="David" w:hint="cs"/>
          <w:sz w:val="24"/>
          <w:szCs w:val="24"/>
          <w:rtl/>
        </w:rPr>
        <w:t>הסנגור ציין את נסיבות חייו הקשות של הנאשם, החל מגיל צעיר, ואת הודאתו במעשים מיד עם מעצרו, תוך הפללתם של אחרים, כנסיבות המצדיקות הטלת עונש שאינו מצוי ברף העליון של מתחם הענישה ההולם. לבסוף ביקש לגזור על הנאשם עונש של 3 שנות מאסר בפועל, תוך הפעלת עונש המאסר המותנה בחופף לכל עונש אחר, וזאת בשאיפה כי הקלה מסוימת בעונשו תותיר בלבו תקווה ותדרבן אותו להשתקם.</w:t>
      </w:r>
    </w:p>
    <w:p w14:paraId="328DE157" w14:textId="77777777" w:rsidR="00E746B3" w:rsidRDefault="00E746B3">
      <w:pPr>
        <w:pStyle w:val="ListParagraph"/>
        <w:spacing w:after="0" w:line="360" w:lineRule="auto"/>
        <w:jc w:val="both"/>
        <w:rPr>
          <w:rFonts w:cs="David"/>
          <w:sz w:val="24"/>
          <w:szCs w:val="24"/>
          <w:rtl/>
        </w:rPr>
      </w:pPr>
    </w:p>
    <w:p w14:paraId="080A919D" w14:textId="77777777" w:rsidR="00E746B3" w:rsidRDefault="0085403D">
      <w:pPr>
        <w:pStyle w:val="ListParagraph"/>
        <w:spacing w:after="0" w:line="360" w:lineRule="auto"/>
        <w:jc w:val="both"/>
        <w:rPr>
          <w:rFonts w:cs="David"/>
          <w:b/>
          <w:bCs/>
          <w:sz w:val="24"/>
          <w:szCs w:val="24"/>
          <w:u w:val="single"/>
          <w:rtl/>
        </w:rPr>
      </w:pPr>
      <w:r>
        <w:rPr>
          <w:rFonts w:cs="David" w:hint="cs"/>
          <w:b/>
          <w:bCs/>
          <w:sz w:val="24"/>
          <w:szCs w:val="24"/>
          <w:u w:val="single"/>
          <w:rtl/>
        </w:rPr>
        <w:t>דיון והכרעה</w:t>
      </w:r>
    </w:p>
    <w:p w14:paraId="1880E0B2"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בתי המשפט עמדו לא אחת על הצורך בהרתעת הרבים מפני ביצוע מעשי שוד אלימים, אשר לבד מן הפגיעה בנפשו, בגופו ובקניינו של הקורבן המסוים, יש בהם להטיל אימה על הציבור ולפגוע בתחושת הביטחון של בני החברה. כפי שנאמר ב</w:t>
      </w:r>
      <w:hyperlink r:id="rId36" w:history="1">
        <w:r w:rsidRPr="0085403D">
          <w:rPr>
            <w:rStyle w:val="Hyperlink"/>
            <w:rFonts w:cs="David" w:hint="eastAsia"/>
            <w:sz w:val="24"/>
            <w:szCs w:val="24"/>
            <w:rtl/>
          </w:rPr>
          <w:t>ע</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5265/12</w:t>
        </w:r>
      </w:hyperlink>
      <w:r>
        <w:rPr>
          <w:rFonts w:cs="David" w:hint="cs"/>
          <w:sz w:val="24"/>
          <w:szCs w:val="24"/>
          <w:rtl/>
        </w:rPr>
        <w:t xml:space="preserve"> </w:t>
      </w:r>
      <w:r>
        <w:rPr>
          <w:rFonts w:cs="David" w:hint="cs"/>
          <w:b/>
          <w:bCs/>
          <w:sz w:val="24"/>
          <w:szCs w:val="24"/>
          <w:rtl/>
        </w:rPr>
        <w:t>עמור נ' מדינת ישראל</w:t>
      </w:r>
      <w:r>
        <w:rPr>
          <w:rFonts w:cs="David" w:hint="cs"/>
          <w:sz w:val="24"/>
          <w:szCs w:val="24"/>
          <w:rtl/>
        </w:rPr>
        <w:t xml:space="preserve"> (27.12.12):</w:t>
      </w:r>
    </w:p>
    <w:p w14:paraId="2338CA08" w14:textId="77777777" w:rsidR="00E746B3" w:rsidRDefault="00E746B3">
      <w:pPr>
        <w:pStyle w:val="ListParagraph"/>
        <w:spacing w:after="0" w:line="360" w:lineRule="auto"/>
        <w:ind w:left="360"/>
        <w:jc w:val="both"/>
        <w:rPr>
          <w:rFonts w:cs="David"/>
          <w:sz w:val="24"/>
          <w:szCs w:val="24"/>
        </w:rPr>
      </w:pPr>
    </w:p>
    <w:p w14:paraId="54AB65AE" w14:textId="77777777" w:rsidR="00E746B3" w:rsidRDefault="0085403D">
      <w:pPr>
        <w:pStyle w:val="ListParagraph"/>
        <w:spacing w:after="0" w:line="360" w:lineRule="auto"/>
        <w:ind w:left="1440"/>
        <w:jc w:val="both"/>
        <w:rPr>
          <w:rFonts w:cs="David"/>
          <w:sz w:val="24"/>
          <w:szCs w:val="24"/>
        </w:rPr>
      </w:pPr>
      <w:r>
        <w:rPr>
          <w:rFonts w:cs="David" w:hint="cs"/>
          <w:sz w:val="24"/>
          <w:szCs w:val="24"/>
          <w:rtl/>
        </w:rPr>
        <w:t>"</w:t>
      </w:r>
      <w:r>
        <w:rPr>
          <w:rFonts w:cs="David" w:hint="cs"/>
          <w:b/>
          <w:bCs/>
          <w:sz w:val="24"/>
          <w:szCs w:val="24"/>
          <w:rtl/>
        </w:rPr>
        <w:t>עבירה זו אסור לה שתקנה אחיזה במחוזותינו ועלינו לפעול לעוקרה היכן שניתן. עבירת השוד פוגעת בציבור הקורבנות המסוים במסגרת האירוע, כמו גם בכלל האוכלוסייה כאשר גורמים עבריינים מאיימים על שלומה ורווחתה. על בתי המשפט להעביר מסר מרתיע לכל מי שבוחר להשיג רווח 'קל' בדרך עבריינית תוך פגיעה באנשים תמימים הנקרים בדרכם. כאמור, בנסיבות רגילות הרתעה זו צריכה לכלול מאסר בפועל</w:t>
      </w:r>
      <w:r>
        <w:rPr>
          <w:rFonts w:cs="David" w:hint="cs"/>
          <w:sz w:val="24"/>
          <w:szCs w:val="24"/>
          <w:rtl/>
        </w:rPr>
        <w:t>".</w:t>
      </w:r>
    </w:p>
    <w:p w14:paraId="4E6896B5" w14:textId="77777777" w:rsidR="00E746B3" w:rsidRDefault="00E746B3">
      <w:pPr>
        <w:pStyle w:val="ListParagraph"/>
        <w:spacing w:after="0" w:line="360" w:lineRule="auto"/>
        <w:ind w:left="360"/>
        <w:jc w:val="both"/>
        <w:rPr>
          <w:rFonts w:cs="David"/>
          <w:sz w:val="24"/>
          <w:szCs w:val="24"/>
        </w:rPr>
      </w:pPr>
    </w:p>
    <w:p w14:paraId="1D6A7712" w14:textId="77777777" w:rsidR="00E746B3" w:rsidRDefault="0085403D">
      <w:pPr>
        <w:pStyle w:val="ListParagraph"/>
        <w:spacing w:after="0" w:line="360" w:lineRule="auto"/>
        <w:ind w:left="360" w:firstLine="360"/>
        <w:jc w:val="both"/>
        <w:rPr>
          <w:rFonts w:cs="David"/>
          <w:sz w:val="24"/>
          <w:szCs w:val="24"/>
          <w:rtl/>
        </w:rPr>
      </w:pPr>
      <w:r>
        <w:rPr>
          <w:rFonts w:cs="David" w:hint="cs"/>
          <w:sz w:val="24"/>
          <w:szCs w:val="24"/>
          <w:rtl/>
        </w:rPr>
        <w:t>וב</w:t>
      </w:r>
      <w:hyperlink r:id="rId37" w:history="1">
        <w:r w:rsidRPr="0085403D">
          <w:rPr>
            <w:rStyle w:val="Hyperlink"/>
            <w:rFonts w:cs="David" w:hint="eastAsia"/>
            <w:sz w:val="24"/>
            <w:szCs w:val="24"/>
            <w:rtl/>
          </w:rPr>
          <w:t>ע</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5901/10</w:t>
        </w:r>
      </w:hyperlink>
      <w:r>
        <w:rPr>
          <w:rFonts w:cs="David" w:hint="cs"/>
          <w:sz w:val="24"/>
          <w:szCs w:val="24"/>
          <w:rtl/>
        </w:rPr>
        <w:t xml:space="preserve"> </w:t>
      </w:r>
      <w:r>
        <w:rPr>
          <w:rFonts w:cs="David" w:hint="cs"/>
          <w:b/>
          <w:bCs/>
          <w:sz w:val="24"/>
          <w:szCs w:val="24"/>
          <w:rtl/>
        </w:rPr>
        <w:t>גולקו נ' מדינת ישראל</w:t>
      </w:r>
      <w:r>
        <w:rPr>
          <w:rFonts w:cs="David" w:hint="cs"/>
          <w:sz w:val="24"/>
          <w:szCs w:val="24"/>
          <w:rtl/>
        </w:rPr>
        <w:t xml:space="preserve"> (17.05.11):</w:t>
      </w:r>
    </w:p>
    <w:p w14:paraId="1866B4CC" w14:textId="77777777" w:rsidR="00E746B3" w:rsidRDefault="00E746B3">
      <w:pPr>
        <w:pStyle w:val="ListParagraph"/>
        <w:spacing w:after="0" w:line="360" w:lineRule="auto"/>
        <w:ind w:left="360" w:firstLine="360"/>
        <w:jc w:val="both"/>
        <w:rPr>
          <w:rFonts w:cs="David"/>
          <w:sz w:val="24"/>
          <w:szCs w:val="24"/>
          <w:rtl/>
        </w:rPr>
      </w:pPr>
    </w:p>
    <w:p w14:paraId="3732C5FC" w14:textId="77777777" w:rsidR="00E746B3" w:rsidRDefault="0085403D">
      <w:pPr>
        <w:pStyle w:val="ListParagraph"/>
        <w:spacing w:after="0" w:line="360" w:lineRule="auto"/>
        <w:ind w:left="1440"/>
        <w:jc w:val="both"/>
        <w:rPr>
          <w:rFonts w:cs="David"/>
          <w:sz w:val="24"/>
          <w:szCs w:val="24"/>
        </w:rPr>
      </w:pPr>
      <w:r>
        <w:rPr>
          <w:rFonts w:cs="David" w:hint="cs"/>
          <w:sz w:val="24"/>
          <w:szCs w:val="24"/>
          <w:rtl/>
        </w:rPr>
        <w:t>"</w:t>
      </w:r>
      <w:r>
        <w:rPr>
          <w:rFonts w:cs="David" w:hint="cs"/>
          <w:b/>
          <w:bCs/>
          <w:sz w:val="24"/>
          <w:szCs w:val="24"/>
          <w:rtl/>
        </w:rPr>
        <w:t>בטחונם האישי של עוברי אורח הוא יעוד מרכזי של בתי המשפט, ועליהם לעמוד בו, וליתן ידם להנחלת התחושה כי היורד לבטחונם, לכבודם ולרכושם של בני אנוש אחרים, דינו מאסר משמעותי</w:t>
      </w:r>
      <w:r>
        <w:rPr>
          <w:rFonts w:cs="David" w:hint="cs"/>
          <w:sz w:val="24"/>
          <w:szCs w:val="24"/>
          <w:rtl/>
        </w:rPr>
        <w:t>".</w:t>
      </w:r>
    </w:p>
    <w:p w14:paraId="31E22027"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 xml:space="preserve">במקרה דנן הפגיעה בערכים החברתיים היא בעלת חומרה יתירה, בשל גילה של נפגעת העבירה. כפי שאמרתי בעבר, הפעלת אלימות כלפי קשישים מצביעה על שפלות מוסרית רבה, ובודאי נכון הדבר כשהאלימות מטרתה ליטול מן הקשיש את רכושו. עצם הבחירה במתלוננת, ילידת 1946, כקורבן למטרת שוד, יש בה להעיד על העדר זיק של חמלה אצל הנאשם ועל מאפיינים אנטי סוציאליים מובהקים באישיותו. </w:t>
      </w:r>
    </w:p>
    <w:p w14:paraId="4AF83635" w14:textId="77777777" w:rsidR="00E746B3" w:rsidRDefault="00E746B3">
      <w:pPr>
        <w:pStyle w:val="ListParagraph"/>
        <w:spacing w:after="0" w:line="360" w:lineRule="auto"/>
        <w:jc w:val="both"/>
        <w:rPr>
          <w:rFonts w:cs="David"/>
          <w:sz w:val="24"/>
          <w:szCs w:val="24"/>
        </w:rPr>
      </w:pPr>
    </w:p>
    <w:p w14:paraId="2F447861"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ב</w:t>
      </w:r>
      <w:hyperlink r:id="rId38" w:history="1">
        <w:r w:rsidRPr="0085403D">
          <w:rPr>
            <w:rStyle w:val="Hyperlink"/>
            <w:rFonts w:cs="David" w:hint="eastAsia"/>
            <w:sz w:val="24"/>
            <w:szCs w:val="24"/>
            <w:rtl/>
          </w:rPr>
          <w:t>ע</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5931/11</w:t>
        </w:r>
      </w:hyperlink>
      <w:r>
        <w:rPr>
          <w:rFonts w:cs="David" w:hint="cs"/>
          <w:sz w:val="24"/>
          <w:szCs w:val="24"/>
          <w:rtl/>
        </w:rPr>
        <w:t xml:space="preserve"> </w:t>
      </w:r>
      <w:r>
        <w:rPr>
          <w:rFonts w:cs="David" w:hint="cs"/>
          <w:b/>
          <w:bCs/>
          <w:sz w:val="24"/>
          <w:szCs w:val="24"/>
          <w:rtl/>
        </w:rPr>
        <w:t>דוד עבדולייב נ' מדינת ישראל</w:t>
      </w:r>
      <w:r>
        <w:rPr>
          <w:rFonts w:cs="David" w:hint="cs"/>
          <w:sz w:val="24"/>
          <w:szCs w:val="24"/>
          <w:rtl/>
        </w:rPr>
        <w:t xml:space="preserve"> (22.10.13), התבטא בית המשפט העליון ביחס לחומרה הכרוכה בתקיפת קשישים, באומרו: </w:t>
      </w:r>
    </w:p>
    <w:p w14:paraId="70CAF501" w14:textId="77777777" w:rsidR="00E746B3" w:rsidRDefault="00E746B3">
      <w:pPr>
        <w:pStyle w:val="ListParagraph"/>
        <w:spacing w:after="0" w:line="360" w:lineRule="auto"/>
        <w:jc w:val="both"/>
        <w:rPr>
          <w:rFonts w:cs="David"/>
          <w:sz w:val="24"/>
          <w:szCs w:val="24"/>
          <w:rtl/>
        </w:rPr>
      </w:pPr>
    </w:p>
    <w:p w14:paraId="35262A6A" w14:textId="77777777" w:rsidR="00E746B3" w:rsidRDefault="0085403D">
      <w:pPr>
        <w:pStyle w:val="ListParagraph"/>
        <w:spacing w:after="0" w:line="360" w:lineRule="auto"/>
        <w:jc w:val="both"/>
        <w:rPr>
          <w:rFonts w:cs="David"/>
          <w:b/>
          <w:bCs/>
          <w:sz w:val="24"/>
          <w:szCs w:val="24"/>
          <w:rtl/>
        </w:rPr>
      </w:pPr>
      <w:r>
        <w:rPr>
          <w:rFonts w:cs="David" w:hint="cs"/>
          <w:sz w:val="24"/>
          <w:szCs w:val="24"/>
          <w:rtl/>
        </w:rPr>
        <w:tab/>
        <w:t>"</w:t>
      </w:r>
      <w:r>
        <w:rPr>
          <w:rFonts w:cs="David" w:hint="cs"/>
          <w:b/>
          <w:bCs/>
          <w:sz w:val="24"/>
          <w:szCs w:val="24"/>
          <w:rtl/>
        </w:rPr>
        <w:t xml:space="preserve">בית משפט זה כבר עמד פעמים רבות על הצורך להגן ביתר שאת על אותם </w:t>
      </w:r>
      <w:r>
        <w:rPr>
          <w:rFonts w:cs="David" w:hint="cs"/>
          <w:b/>
          <w:bCs/>
          <w:sz w:val="24"/>
          <w:szCs w:val="24"/>
          <w:rtl/>
        </w:rPr>
        <w:tab/>
        <w:t xml:space="preserve">חלקים חלשים בחברה שקולם אינו נשמע, ביניהם גם הקשישים... </w:t>
      </w:r>
    </w:p>
    <w:p w14:paraId="1435F283" w14:textId="77777777" w:rsidR="00E746B3" w:rsidRDefault="0085403D">
      <w:pPr>
        <w:pStyle w:val="ListParagraph"/>
        <w:spacing w:after="0" w:line="360" w:lineRule="auto"/>
        <w:jc w:val="both"/>
        <w:rPr>
          <w:rFonts w:cs="David"/>
          <w:b/>
          <w:bCs/>
          <w:sz w:val="24"/>
          <w:szCs w:val="24"/>
          <w:rtl/>
        </w:rPr>
      </w:pPr>
      <w:r>
        <w:rPr>
          <w:rFonts w:cs="David" w:hint="cs"/>
          <w:b/>
          <w:bCs/>
          <w:sz w:val="24"/>
          <w:szCs w:val="24"/>
          <w:rtl/>
        </w:rPr>
        <w:tab/>
        <w:t xml:space="preserve">...אכן, בחברתנו קיימת תופעה מכוערת של פגיעה בחסרי ישע, כגון קשישים, </w:t>
      </w:r>
      <w:r>
        <w:rPr>
          <w:rFonts w:cs="David" w:hint="cs"/>
          <w:b/>
          <w:bCs/>
          <w:sz w:val="24"/>
          <w:szCs w:val="24"/>
          <w:rtl/>
        </w:rPr>
        <w:tab/>
        <w:t xml:space="preserve">בעלי מוגבלויות וכו', מתוך הנחה כי יהיו טרף קל, שלא יתנגד ולעיתים אף אינו </w:t>
      </w:r>
      <w:r>
        <w:rPr>
          <w:rFonts w:cs="David" w:hint="cs"/>
          <w:b/>
          <w:bCs/>
          <w:sz w:val="24"/>
          <w:szCs w:val="24"/>
          <w:rtl/>
        </w:rPr>
        <w:tab/>
        <w:t xml:space="preserve">יכול להשמיע קול, פשוטו כמשמעו. לפגיעות אלה צורות שונות, בין במעשי </w:t>
      </w:r>
      <w:r>
        <w:rPr>
          <w:rFonts w:cs="David" w:hint="cs"/>
          <w:b/>
          <w:bCs/>
          <w:sz w:val="24"/>
          <w:szCs w:val="24"/>
          <w:rtl/>
        </w:rPr>
        <w:tab/>
        <w:t xml:space="preserve">שוד, בין בהונאות מסוגים שונים וברמות תחכום משתנות. המשמעות של </w:t>
      </w:r>
      <w:r>
        <w:rPr>
          <w:rFonts w:cs="David" w:hint="cs"/>
          <w:b/>
          <w:bCs/>
          <w:sz w:val="24"/>
          <w:szCs w:val="24"/>
          <w:rtl/>
        </w:rPr>
        <w:tab/>
        <w:t xml:space="preserve">פגיעות אלה, במופעיהן השונים, היא פגיעה חזקה וקשה בביטחונם האישי של </w:t>
      </w:r>
      <w:r>
        <w:rPr>
          <w:rFonts w:cs="David" w:hint="cs"/>
          <w:b/>
          <w:bCs/>
          <w:sz w:val="24"/>
          <w:szCs w:val="24"/>
          <w:rtl/>
        </w:rPr>
        <w:tab/>
        <w:t xml:space="preserve">הקורבנות ושל קבוצות שלמות, החשות שאין להן עוד מקום מבטחים בו יוכלו </w:t>
      </w:r>
      <w:r>
        <w:rPr>
          <w:rFonts w:cs="David" w:hint="cs"/>
          <w:b/>
          <w:bCs/>
          <w:sz w:val="24"/>
          <w:szCs w:val="24"/>
          <w:rtl/>
        </w:rPr>
        <w:tab/>
        <w:t>להמשיך ולהתקיים בכבוד וללא חשש.</w:t>
      </w:r>
    </w:p>
    <w:p w14:paraId="74A5426F" w14:textId="77777777" w:rsidR="00E746B3" w:rsidRDefault="0085403D">
      <w:pPr>
        <w:pStyle w:val="ListParagraph"/>
        <w:spacing w:after="0" w:line="360" w:lineRule="auto"/>
        <w:jc w:val="both"/>
        <w:rPr>
          <w:rFonts w:cs="David"/>
          <w:b/>
          <w:bCs/>
          <w:sz w:val="24"/>
          <w:szCs w:val="24"/>
        </w:rPr>
      </w:pPr>
      <w:r>
        <w:rPr>
          <w:rFonts w:cs="David" w:hint="cs"/>
          <w:b/>
          <w:bCs/>
          <w:sz w:val="24"/>
          <w:szCs w:val="24"/>
          <w:rtl/>
        </w:rPr>
        <w:tab/>
        <w:t xml:space="preserve">המגמה בה נקט בית משפט זה היא מגמה מחמירה ביחס לעבירות מסוג זה, </w:t>
      </w:r>
      <w:r>
        <w:rPr>
          <w:rFonts w:cs="David" w:hint="cs"/>
          <w:b/>
          <w:bCs/>
          <w:sz w:val="24"/>
          <w:szCs w:val="24"/>
          <w:rtl/>
        </w:rPr>
        <w:tab/>
        <w:t xml:space="preserve">המבכרת את ההגנה על החיים והגוף של קבוצות אלה על פני נסיבות אישיות </w:t>
      </w:r>
      <w:r>
        <w:rPr>
          <w:rFonts w:cs="David" w:hint="cs"/>
          <w:b/>
          <w:bCs/>
          <w:sz w:val="24"/>
          <w:szCs w:val="24"/>
          <w:rtl/>
        </w:rPr>
        <w:tab/>
        <w:t xml:space="preserve">ומקלות של נאשמים (ראו גם: עניין איסאקוב, פסקה י"ב לפסק דינו של </w:t>
      </w:r>
      <w:r>
        <w:rPr>
          <w:rFonts w:cs="David" w:hint="cs"/>
          <w:b/>
          <w:bCs/>
          <w:sz w:val="24"/>
          <w:szCs w:val="24"/>
          <w:rtl/>
        </w:rPr>
        <w:tab/>
        <w:t xml:space="preserve">השופט </w:t>
      </w:r>
      <w:r>
        <w:rPr>
          <w:rFonts w:cs="David" w:hint="cs"/>
          <w:b/>
          <w:bCs/>
          <w:sz w:val="24"/>
          <w:szCs w:val="24"/>
          <w:rtl/>
        </w:rPr>
        <w:tab/>
        <w:t xml:space="preserve">א' רובינשטיין). מגמה זו נכונה וראויה היא. בידינו חרב הענישה, </w:t>
      </w:r>
      <w:r>
        <w:rPr>
          <w:rFonts w:cs="David" w:hint="cs"/>
          <w:b/>
          <w:bCs/>
          <w:sz w:val="24"/>
          <w:szCs w:val="24"/>
          <w:rtl/>
        </w:rPr>
        <w:tab/>
        <w:t xml:space="preserve">אותה יש להניף </w:t>
      </w:r>
      <w:r>
        <w:rPr>
          <w:rFonts w:cs="David" w:hint="cs"/>
          <w:b/>
          <w:bCs/>
          <w:sz w:val="24"/>
          <w:szCs w:val="24"/>
          <w:rtl/>
        </w:rPr>
        <w:tab/>
        <w:t xml:space="preserve">במקרים המתאימים. קבוצות אלה של קורבנות אינן זוכות </w:t>
      </w:r>
      <w:r>
        <w:rPr>
          <w:rFonts w:cs="David" w:hint="cs"/>
          <w:b/>
          <w:bCs/>
          <w:sz w:val="24"/>
          <w:szCs w:val="24"/>
          <w:rtl/>
        </w:rPr>
        <w:tab/>
        <w:t xml:space="preserve">לתהודה ציבורית או לקול במרחב הציבורי באופן תדיר, ומגמת ענישה אחרת, </w:t>
      </w:r>
      <w:r>
        <w:rPr>
          <w:rFonts w:cs="David" w:hint="cs"/>
          <w:b/>
          <w:bCs/>
          <w:sz w:val="24"/>
          <w:szCs w:val="24"/>
          <w:rtl/>
        </w:rPr>
        <w:tab/>
        <w:t xml:space="preserve">עשויה לפגוע בתחושת הביטחון שלהן, ולעודד עבריינים פוטנציאליים להמשיך </w:t>
      </w:r>
      <w:r>
        <w:rPr>
          <w:rFonts w:cs="David" w:hint="cs"/>
          <w:b/>
          <w:bCs/>
          <w:sz w:val="24"/>
          <w:szCs w:val="24"/>
          <w:rtl/>
        </w:rPr>
        <w:tab/>
        <w:t>ולנצל קורבנות "קלים" מסוג זה."</w:t>
      </w:r>
    </w:p>
    <w:p w14:paraId="02F29B08" w14:textId="77777777" w:rsidR="00E746B3" w:rsidRDefault="00E746B3">
      <w:pPr>
        <w:pStyle w:val="ListParagraph"/>
        <w:spacing w:after="0" w:line="360" w:lineRule="auto"/>
        <w:jc w:val="both"/>
        <w:rPr>
          <w:rFonts w:cs="David"/>
          <w:sz w:val="24"/>
          <w:szCs w:val="24"/>
          <w:rtl/>
        </w:rPr>
      </w:pPr>
    </w:p>
    <w:p w14:paraId="30323B61" w14:textId="77777777" w:rsidR="00E746B3" w:rsidRDefault="0085403D">
      <w:pPr>
        <w:pStyle w:val="ListParagraph"/>
        <w:spacing w:after="0" w:line="360" w:lineRule="auto"/>
        <w:jc w:val="both"/>
        <w:rPr>
          <w:rFonts w:cs="David"/>
          <w:sz w:val="24"/>
          <w:szCs w:val="24"/>
          <w:u w:val="single"/>
          <w:rtl/>
        </w:rPr>
      </w:pPr>
      <w:r>
        <w:rPr>
          <w:rFonts w:cs="David" w:hint="cs"/>
          <w:sz w:val="24"/>
          <w:szCs w:val="24"/>
          <w:u w:val="single"/>
          <w:rtl/>
        </w:rPr>
        <w:t>נסיבות הקשורות בביצוע העבירות</w:t>
      </w:r>
    </w:p>
    <w:p w14:paraId="121CB7EF" w14:textId="77777777" w:rsidR="00E746B3" w:rsidRDefault="0085403D">
      <w:pPr>
        <w:pStyle w:val="ListParagraph"/>
        <w:numPr>
          <w:ilvl w:val="0"/>
          <w:numId w:val="1"/>
        </w:numPr>
        <w:spacing w:after="0" w:line="360" w:lineRule="auto"/>
        <w:jc w:val="both"/>
        <w:rPr>
          <w:rFonts w:cs="David"/>
          <w:sz w:val="24"/>
          <w:szCs w:val="24"/>
        </w:rPr>
      </w:pPr>
      <w:r>
        <w:rPr>
          <w:rFonts w:cs="David" w:hint="cs"/>
          <w:sz w:val="24"/>
          <w:szCs w:val="24"/>
          <w:rtl/>
        </w:rPr>
        <w:t xml:space="preserve"> מעשיו של הנאשם תוכננו על-ידו היטב, כשעל כך מעידה הצטיידותו בגז המדמיע והעובדה שבחר לו, כאמור, מתלוננת מבוגרת שכושר ההתנגדות שלה קטן יותר משל אדם צעיר. הנאשם עקב אחר המתלוננת, תקף אותה בגז מדמיע כשהבחין שהגיעה "שעת הכושר" לכך, הפילה ארצה ובעט בה בכל חלקי גופה באופן שגרם לה לשטפי דם. </w:t>
      </w:r>
    </w:p>
    <w:p w14:paraId="72C8FF13" w14:textId="77777777" w:rsidR="00E746B3" w:rsidRDefault="00E746B3">
      <w:pPr>
        <w:pStyle w:val="ListParagraph"/>
        <w:spacing w:after="0" w:line="360" w:lineRule="auto"/>
        <w:jc w:val="both"/>
        <w:rPr>
          <w:rFonts w:cs="David"/>
          <w:sz w:val="24"/>
          <w:szCs w:val="24"/>
        </w:rPr>
      </w:pPr>
    </w:p>
    <w:p w14:paraId="23EE5F09"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אין מדובר באלימות אותה ניתן להגדיר כמצויה ברף הנמוך, אף אם לא מדובר באכזריות קיצונית, ובהקשר זה יש לתת הדעת, שוב, לגילה של המתלוננת ולהשפלה שהייתה מנת חלקה, לצד פגיעותיה הגופניות. מעבר לכך, יש לתת את הדעת לפגיעה הצפויה בשגרת החיים של המתלוננת, ולסיכון כי תהפוך מאישה עצמאית ומתפקדת, לאישה חסרת ביטחון המתקשה לנהל את שגרת חייה ללא סיוע מאחרים.</w:t>
      </w:r>
    </w:p>
    <w:p w14:paraId="0AC09BBD" w14:textId="77777777" w:rsidR="00E746B3" w:rsidRDefault="0085403D">
      <w:pPr>
        <w:pStyle w:val="ListParagraph"/>
        <w:numPr>
          <w:ilvl w:val="0"/>
          <w:numId w:val="1"/>
        </w:numPr>
        <w:spacing w:after="0" w:line="360" w:lineRule="auto"/>
        <w:jc w:val="both"/>
        <w:rPr>
          <w:rFonts w:cs="David"/>
          <w:sz w:val="24"/>
          <w:szCs w:val="24"/>
        </w:rPr>
      </w:pPr>
      <w:r>
        <w:rPr>
          <w:rFonts w:cs="David" w:hint="cs"/>
          <w:sz w:val="24"/>
          <w:szCs w:val="24"/>
          <w:rtl/>
        </w:rPr>
        <w:t>עוד יש לשקול, את מעשיו של הנאשם לאחר ביצוע השוד, המעידים על הסיבות שהביאו אותו לבצע את העבירות. הנאשם עשה שימוש בכסף המזומן שהיה בתיקה של המתלוננת, ולאחר שרכש עבורו מנת סם נטל את כרטיס האשראי של המתלוננת על מנת לבצע רכישות אישיות בהן גם מנת סם נוספת. את "מסע הרכישות", כפי שמכנה זאת המאשימה, לא ביצע הנאשם לבדו, אלא יחד עם בת-הזוג שלו.</w:t>
      </w:r>
    </w:p>
    <w:p w14:paraId="1A234F5E" w14:textId="77777777" w:rsidR="00E746B3" w:rsidRDefault="00E746B3">
      <w:pPr>
        <w:pStyle w:val="ListParagraph"/>
        <w:spacing w:after="0" w:line="360" w:lineRule="auto"/>
        <w:jc w:val="both"/>
        <w:rPr>
          <w:rFonts w:cs="David"/>
          <w:sz w:val="24"/>
          <w:szCs w:val="24"/>
        </w:rPr>
      </w:pPr>
    </w:p>
    <w:p w14:paraId="57A89B58" w14:textId="77777777" w:rsidR="00E746B3" w:rsidRDefault="0085403D">
      <w:pPr>
        <w:pStyle w:val="ListParagraph"/>
        <w:spacing w:after="0" w:line="360" w:lineRule="auto"/>
        <w:jc w:val="both"/>
        <w:rPr>
          <w:rFonts w:cs="David"/>
          <w:sz w:val="24"/>
          <w:szCs w:val="24"/>
          <w:u w:val="single"/>
          <w:rtl/>
        </w:rPr>
      </w:pPr>
      <w:r>
        <w:rPr>
          <w:rFonts w:cs="David" w:hint="cs"/>
          <w:sz w:val="24"/>
          <w:szCs w:val="24"/>
          <w:u w:val="single"/>
          <w:rtl/>
        </w:rPr>
        <w:t>מדיניות הענישה הנוהגת ומתחם העונש ההולם</w:t>
      </w:r>
    </w:p>
    <w:p w14:paraId="7A5C62C5" w14:textId="77777777" w:rsidR="00E746B3" w:rsidRDefault="0085403D">
      <w:pPr>
        <w:pStyle w:val="ListParagraph"/>
        <w:numPr>
          <w:ilvl w:val="0"/>
          <w:numId w:val="1"/>
        </w:numPr>
        <w:spacing w:after="0" w:line="360" w:lineRule="auto"/>
        <w:jc w:val="both"/>
        <w:rPr>
          <w:rFonts w:cs="David"/>
          <w:sz w:val="24"/>
          <w:szCs w:val="24"/>
        </w:rPr>
      </w:pPr>
      <w:r>
        <w:rPr>
          <w:rFonts w:cs="David" w:hint="cs"/>
          <w:sz w:val="24"/>
          <w:szCs w:val="24"/>
          <w:rtl/>
        </w:rPr>
        <w:t>כפי שנאמר ב</w:t>
      </w:r>
      <w:hyperlink r:id="rId39" w:history="1">
        <w:r w:rsidRPr="0085403D">
          <w:rPr>
            <w:rStyle w:val="Hyperlink"/>
            <w:rFonts w:cs="David" w:hint="eastAsia"/>
            <w:sz w:val="24"/>
            <w:szCs w:val="24"/>
            <w:rtl/>
          </w:rPr>
          <w:t>ע</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5653/13</w:t>
        </w:r>
      </w:hyperlink>
      <w:r>
        <w:rPr>
          <w:rFonts w:cs="David" w:hint="cs"/>
          <w:sz w:val="24"/>
          <w:szCs w:val="24"/>
          <w:rtl/>
        </w:rPr>
        <w:t xml:space="preserve"> </w:t>
      </w:r>
      <w:r>
        <w:rPr>
          <w:rFonts w:cs="David" w:hint="cs"/>
          <w:b/>
          <w:bCs/>
          <w:sz w:val="24"/>
          <w:szCs w:val="24"/>
          <w:rtl/>
        </w:rPr>
        <w:t>עודיי ביידון ואח' נ' מדינת ישראל</w:t>
      </w:r>
      <w:r>
        <w:rPr>
          <w:rFonts w:cs="David" w:hint="cs"/>
          <w:sz w:val="24"/>
          <w:szCs w:val="24"/>
          <w:rtl/>
        </w:rPr>
        <w:t xml:space="preserve"> (02.01.14), דינן של עבירות שוד הוא ככלל מאסר בפועל, כאשר יש לזכור, כי המחוקק קבע לעבירה זו רף מרבי של עשרים שנות מאסר.</w:t>
      </w:r>
    </w:p>
    <w:p w14:paraId="45461DAC" w14:textId="77777777" w:rsidR="00E746B3" w:rsidRDefault="00E746B3">
      <w:pPr>
        <w:pStyle w:val="ListParagraph"/>
        <w:spacing w:after="0" w:line="360" w:lineRule="auto"/>
        <w:jc w:val="both"/>
        <w:rPr>
          <w:rFonts w:cs="David"/>
          <w:sz w:val="24"/>
          <w:szCs w:val="24"/>
        </w:rPr>
      </w:pPr>
    </w:p>
    <w:p w14:paraId="2DED1DF0" w14:textId="77777777" w:rsidR="00E746B3" w:rsidRDefault="0085403D">
      <w:pPr>
        <w:pStyle w:val="ListParagraph"/>
        <w:numPr>
          <w:ilvl w:val="0"/>
          <w:numId w:val="1"/>
        </w:numPr>
        <w:spacing w:after="0" w:line="360" w:lineRule="auto"/>
        <w:jc w:val="both"/>
        <w:rPr>
          <w:rFonts w:cs="David"/>
          <w:sz w:val="24"/>
          <w:szCs w:val="24"/>
        </w:rPr>
      </w:pPr>
      <w:r>
        <w:rPr>
          <w:rFonts w:cs="David" w:hint="cs"/>
          <w:sz w:val="24"/>
          <w:szCs w:val="24"/>
          <w:rtl/>
        </w:rPr>
        <w:t xml:space="preserve">נתתי דעתי לקביעותיו של בית המשפט העליון </w:t>
      </w:r>
      <w:r>
        <w:rPr>
          <w:rFonts w:cs="David" w:hint="cs"/>
          <w:b/>
          <w:bCs/>
          <w:i/>
          <w:iCs/>
          <w:sz w:val="24"/>
          <w:szCs w:val="24"/>
          <w:rtl/>
        </w:rPr>
        <w:t>בעניין פייסל</w:t>
      </w:r>
      <w:r>
        <w:rPr>
          <w:rFonts w:cs="David" w:hint="cs"/>
          <w:sz w:val="24"/>
          <w:szCs w:val="24"/>
          <w:rtl/>
        </w:rPr>
        <w:t xml:space="preserve">, אליו הפנה הסנגור, אולם לא מצאתי כי יש בנסיבות שם להשליך לענייננו, כנטען. </w:t>
      </w:r>
      <w:r>
        <w:rPr>
          <w:rFonts w:cs="David" w:hint="cs"/>
          <w:i/>
          <w:iCs/>
          <w:sz w:val="24"/>
          <w:szCs w:val="24"/>
          <w:rtl/>
        </w:rPr>
        <w:t>בעניין פייסל</w:t>
      </w:r>
      <w:r>
        <w:rPr>
          <w:rFonts w:cs="David" w:hint="cs"/>
          <w:sz w:val="24"/>
          <w:szCs w:val="24"/>
          <w:rtl/>
        </w:rPr>
        <w:t xml:space="preserve"> הורשע אדם בביצוע שוד בהתאם </w:t>
      </w:r>
      <w:hyperlink r:id="rId40" w:history="1">
        <w:r w:rsidR="00EC1287" w:rsidRPr="00EC1287">
          <w:rPr>
            <w:rFonts w:cs="David" w:hint="eastAsia"/>
            <w:color w:val="0000FF"/>
            <w:sz w:val="24"/>
            <w:szCs w:val="24"/>
            <w:u w:val="single"/>
            <w:rtl/>
          </w:rPr>
          <w:t>לסעיף</w:t>
        </w:r>
        <w:r w:rsidR="00EC1287" w:rsidRPr="00EC1287">
          <w:rPr>
            <w:rFonts w:cs="David"/>
            <w:color w:val="0000FF"/>
            <w:sz w:val="24"/>
            <w:szCs w:val="24"/>
            <w:u w:val="single"/>
            <w:rtl/>
          </w:rPr>
          <w:t xml:space="preserve"> 402(</w:t>
        </w:r>
        <w:r w:rsidR="00EC1287" w:rsidRPr="00EC1287">
          <w:rPr>
            <w:rFonts w:cs="David" w:hint="eastAsia"/>
            <w:color w:val="0000FF"/>
            <w:sz w:val="24"/>
            <w:szCs w:val="24"/>
            <w:u w:val="single"/>
            <w:rtl/>
          </w:rPr>
          <w:t>א</w:t>
        </w:r>
        <w:r w:rsidR="00EC1287" w:rsidRPr="00EC1287">
          <w:rPr>
            <w:rFonts w:cs="David"/>
            <w:color w:val="0000FF"/>
            <w:sz w:val="24"/>
            <w:szCs w:val="24"/>
            <w:u w:val="single"/>
            <w:rtl/>
          </w:rPr>
          <w:t>)</w:t>
        </w:r>
      </w:hyperlink>
      <w:r>
        <w:rPr>
          <w:rFonts w:cs="David" w:hint="cs"/>
          <w:sz w:val="24"/>
          <w:szCs w:val="24"/>
          <w:rtl/>
        </w:rPr>
        <w:t xml:space="preserve"> לחוק, שאינו כולל נסיבות מחמירות, ונקבע כי מתחם הענישה הראוי לעבירות שוד שבוצעו באופן "ספונטאני", ללא תכנון מוקדם וללא שימוש בנשק, תוך שלנפגע העבירה נגרמו נזקים שאינם חמורים, עומד על תקופה שבין 6 חודשי מאסר לבין שתי שנות מאסר. להבדיל, במקרה שלפנינו, המערער הורשע בעבירה לפי </w:t>
      </w:r>
      <w:hyperlink r:id="rId41" w:history="1">
        <w:r w:rsidR="00EC1287" w:rsidRPr="00EC1287">
          <w:rPr>
            <w:rFonts w:cs="David" w:hint="eastAsia"/>
            <w:color w:val="0000FF"/>
            <w:sz w:val="24"/>
            <w:szCs w:val="24"/>
            <w:u w:val="single"/>
            <w:rtl/>
          </w:rPr>
          <w:t>סעיף</w:t>
        </w:r>
        <w:r w:rsidR="00EC1287" w:rsidRPr="00EC1287">
          <w:rPr>
            <w:rFonts w:cs="David"/>
            <w:color w:val="0000FF"/>
            <w:sz w:val="24"/>
            <w:szCs w:val="24"/>
            <w:u w:val="single"/>
            <w:rtl/>
          </w:rPr>
          <w:t xml:space="preserve"> 402(</w:t>
        </w:r>
        <w:r w:rsidR="00EC1287" w:rsidRPr="00EC1287">
          <w:rPr>
            <w:rFonts w:cs="David" w:hint="eastAsia"/>
            <w:color w:val="0000FF"/>
            <w:sz w:val="24"/>
            <w:szCs w:val="24"/>
            <w:u w:val="single"/>
            <w:rtl/>
          </w:rPr>
          <w:t>ב</w:t>
        </w:r>
        <w:r w:rsidR="00EC1287" w:rsidRPr="00EC1287">
          <w:rPr>
            <w:rFonts w:cs="David"/>
            <w:color w:val="0000FF"/>
            <w:sz w:val="24"/>
            <w:szCs w:val="24"/>
            <w:u w:val="single"/>
            <w:rtl/>
          </w:rPr>
          <w:t>)</w:t>
        </w:r>
      </w:hyperlink>
      <w:r>
        <w:rPr>
          <w:rFonts w:cs="David" w:hint="cs"/>
          <w:sz w:val="24"/>
          <w:szCs w:val="24"/>
          <w:rtl/>
        </w:rPr>
        <w:t xml:space="preserve"> לחוק, לצד עבירות חמורות נוספות, אשר לצידו קבע המחוקק עונש חמור יותר; העבירה כאן בוצעה לאחר תכנון מוקדם, כלפי קשישה ותוך הפגנת אלימות לא קלה.</w:t>
      </w:r>
    </w:p>
    <w:p w14:paraId="7CA23A7A" w14:textId="77777777" w:rsidR="00E746B3" w:rsidRDefault="00E746B3">
      <w:pPr>
        <w:pStyle w:val="ListParagraph"/>
        <w:rPr>
          <w:rFonts w:cs="David"/>
          <w:sz w:val="24"/>
          <w:szCs w:val="24"/>
        </w:rPr>
      </w:pPr>
    </w:p>
    <w:p w14:paraId="76AA66A8"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ב</w:t>
      </w:r>
      <w:hyperlink r:id="rId42" w:history="1">
        <w:r w:rsidRPr="0085403D">
          <w:rPr>
            <w:rStyle w:val="Hyperlink"/>
            <w:rFonts w:cs="David" w:hint="eastAsia"/>
            <w:sz w:val="24"/>
            <w:szCs w:val="24"/>
            <w:rtl/>
          </w:rPr>
          <w:t>ע</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5535/12</w:t>
        </w:r>
      </w:hyperlink>
      <w:r>
        <w:rPr>
          <w:rFonts w:cs="David" w:hint="cs"/>
          <w:sz w:val="24"/>
          <w:szCs w:val="24"/>
          <w:rtl/>
        </w:rPr>
        <w:t xml:space="preserve"> </w:t>
      </w:r>
      <w:r>
        <w:rPr>
          <w:rFonts w:cs="David" w:hint="cs"/>
          <w:b/>
          <w:bCs/>
          <w:sz w:val="24"/>
          <w:szCs w:val="24"/>
          <w:rtl/>
        </w:rPr>
        <w:t>כבארי נ' מדינת ישראל</w:t>
      </w:r>
      <w:r>
        <w:rPr>
          <w:rFonts w:cs="David" w:hint="cs"/>
          <w:sz w:val="24"/>
          <w:szCs w:val="24"/>
          <w:rtl/>
        </w:rPr>
        <w:t xml:space="preserve"> (01.05.13) בו נדון מעשה של שוד מתלוננת שצעדה לבדה בשעת לילה באחד מרחובות תל-אביב, מעשה שבוצע בחבורה ובו הופגנה אלימות דומה לזו שנקט הנאשם כאן, פסק בית המשפט העליון, כי מעיון בפסיקה עולה שהרף העליון של מתחם הענישה הראוי בעבירות שוד ובנסיבות דומות נע בין 32 ל-42 חודשי מאסר. אלא שבהינתן הצורך להחמיר בענישה העמיד את עונשו של אחד המערערים, שהורשע בעבירה לפי </w:t>
      </w:r>
      <w:hyperlink r:id="rId43" w:history="1">
        <w:r w:rsidR="00EC1287" w:rsidRPr="00EC1287">
          <w:rPr>
            <w:rFonts w:cs="David" w:hint="eastAsia"/>
            <w:color w:val="0000FF"/>
            <w:sz w:val="24"/>
            <w:szCs w:val="24"/>
            <w:u w:val="single"/>
            <w:rtl/>
          </w:rPr>
          <w:t>סעיף</w:t>
        </w:r>
        <w:r w:rsidR="00EC1287" w:rsidRPr="00EC1287">
          <w:rPr>
            <w:rFonts w:cs="David"/>
            <w:color w:val="0000FF"/>
            <w:sz w:val="24"/>
            <w:szCs w:val="24"/>
            <w:u w:val="single"/>
            <w:rtl/>
          </w:rPr>
          <w:t xml:space="preserve"> 402(</w:t>
        </w:r>
        <w:r w:rsidR="00EC1287" w:rsidRPr="00EC1287">
          <w:rPr>
            <w:rFonts w:cs="David" w:hint="eastAsia"/>
            <w:color w:val="0000FF"/>
            <w:sz w:val="24"/>
            <w:szCs w:val="24"/>
            <w:u w:val="single"/>
            <w:rtl/>
          </w:rPr>
          <w:t>ב</w:t>
        </w:r>
        <w:r w:rsidR="00EC1287" w:rsidRPr="00EC1287">
          <w:rPr>
            <w:rFonts w:cs="David"/>
            <w:color w:val="0000FF"/>
            <w:sz w:val="24"/>
            <w:szCs w:val="24"/>
            <w:u w:val="single"/>
            <w:rtl/>
          </w:rPr>
          <w:t>)</w:t>
        </w:r>
      </w:hyperlink>
      <w:r>
        <w:rPr>
          <w:rFonts w:cs="David" w:hint="cs"/>
          <w:sz w:val="24"/>
          <w:szCs w:val="24"/>
          <w:rtl/>
        </w:rPr>
        <w:t>, על 46 חודשי מאסר בפועל, וזאת תחת עונש כבד יותר שהטיל עליו בית המשפט המחוזי, של ארבע וחצי שנות מאסר.</w:t>
      </w:r>
    </w:p>
    <w:p w14:paraId="0231437B" w14:textId="77777777" w:rsidR="00E746B3" w:rsidRDefault="00E746B3">
      <w:pPr>
        <w:pStyle w:val="ListParagraph"/>
        <w:rPr>
          <w:rFonts w:cs="David"/>
          <w:sz w:val="24"/>
          <w:szCs w:val="24"/>
        </w:rPr>
      </w:pPr>
    </w:p>
    <w:p w14:paraId="36F67052"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ב</w:t>
      </w:r>
      <w:hyperlink r:id="rId44" w:history="1">
        <w:r w:rsidRPr="0085403D">
          <w:rPr>
            <w:rStyle w:val="Hyperlink"/>
            <w:rFonts w:cs="David" w:hint="eastAsia"/>
            <w:sz w:val="24"/>
            <w:szCs w:val="24"/>
            <w:rtl/>
          </w:rPr>
          <w:t>ע</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3160/12</w:t>
        </w:r>
      </w:hyperlink>
      <w:r>
        <w:rPr>
          <w:rFonts w:cs="David" w:hint="cs"/>
          <w:sz w:val="24"/>
          <w:szCs w:val="24"/>
          <w:rtl/>
        </w:rPr>
        <w:t xml:space="preserve"> </w:t>
      </w:r>
      <w:r>
        <w:rPr>
          <w:rFonts w:cs="David" w:hint="cs"/>
          <w:b/>
          <w:bCs/>
          <w:sz w:val="24"/>
          <w:szCs w:val="24"/>
          <w:rtl/>
        </w:rPr>
        <w:t>דומוס כריטיאן ואח' נ' מדינת ישראל</w:t>
      </w:r>
      <w:r>
        <w:rPr>
          <w:rFonts w:cs="David" w:hint="cs"/>
          <w:sz w:val="24"/>
          <w:szCs w:val="24"/>
          <w:rtl/>
        </w:rPr>
        <w:t xml:space="preserve"> (21.04.13), הקל בית המשפט העליון בעונשם של שניים אשר הורשעו בעבירה של שוד בנסיבות מחמירות, לפי </w:t>
      </w:r>
      <w:hyperlink r:id="rId45" w:history="1">
        <w:r w:rsidR="00EC1287" w:rsidRPr="00EC1287">
          <w:rPr>
            <w:rFonts w:cs="David" w:hint="eastAsia"/>
            <w:color w:val="0000FF"/>
            <w:sz w:val="24"/>
            <w:szCs w:val="24"/>
            <w:u w:val="single"/>
            <w:rtl/>
          </w:rPr>
          <w:t>סעיף</w:t>
        </w:r>
        <w:r w:rsidR="00EC1287" w:rsidRPr="00EC1287">
          <w:rPr>
            <w:rFonts w:cs="David"/>
            <w:color w:val="0000FF"/>
            <w:sz w:val="24"/>
            <w:szCs w:val="24"/>
            <w:u w:val="single"/>
            <w:rtl/>
          </w:rPr>
          <w:t xml:space="preserve"> 402(</w:t>
        </w:r>
        <w:r w:rsidR="00EC1287" w:rsidRPr="00EC1287">
          <w:rPr>
            <w:rFonts w:cs="David" w:hint="eastAsia"/>
            <w:color w:val="0000FF"/>
            <w:sz w:val="24"/>
            <w:szCs w:val="24"/>
            <w:u w:val="single"/>
            <w:rtl/>
          </w:rPr>
          <w:t>ב</w:t>
        </w:r>
        <w:r w:rsidR="00EC1287" w:rsidRPr="00EC1287">
          <w:rPr>
            <w:rFonts w:cs="David"/>
            <w:color w:val="0000FF"/>
            <w:sz w:val="24"/>
            <w:szCs w:val="24"/>
            <w:u w:val="single"/>
            <w:rtl/>
          </w:rPr>
          <w:t>)</w:t>
        </w:r>
      </w:hyperlink>
      <w:r>
        <w:rPr>
          <w:rFonts w:cs="David" w:hint="cs"/>
          <w:sz w:val="24"/>
          <w:szCs w:val="24"/>
          <w:rtl/>
        </w:rPr>
        <w:t xml:space="preserve"> לחוק. המערערים, אזרחי אריתריאה, הבחינו בשעת לילה מאוחרת במתלונן, כשהוא הולך בגפו, הכו אותו בראשו וניסו לשדוד אותו אך הוא הצליח להימלט. המערערים רדפו אחר המתלונן, חנקו אותו, תקפו אותו בבעיטות ובאגרופים וגנבו ממנו טלפון נייד וארנק ובתוכו 120 ש"ח. </w:t>
      </w:r>
    </w:p>
    <w:p w14:paraId="273FBAD5" w14:textId="77777777" w:rsidR="00E746B3" w:rsidRDefault="0085403D">
      <w:pPr>
        <w:pStyle w:val="ListParagraph"/>
        <w:spacing w:after="0" w:line="360" w:lineRule="auto"/>
        <w:jc w:val="both"/>
        <w:rPr>
          <w:rFonts w:cs="David"/>
          <w:sz w:val="24"/>
          <w:szCs w:val="24"/>
        </w:rPr>
      </w:pPr>
      <w:r>
        <w:rPr>
          <w:rFonts w:cs="David" w:hint="cs"/>
          <w:sz w:val="24"/>
          <w:szCs w:val="24"/>
          <w:rtl/>
        </w:rPr>
        <w:t>בית המשפט העליון פסק, כי העונש שהטיל בית המשפט המחוזי על השניים, קרי - 50 חודשי מאסר בפועל, הוא חמור ביחס למדיניות הענישה הנוהגת, והעמידו על 42 חודשי מאסר.</w:t>
      </w:r>
    </w:p>
    <w:p w14:paraId="52EF3AF8"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 xml:space="preserve">בנתונים אלה, ושעה שהנאשם כאן הורשע בעבירות רכוש נוספות לצד עבירת השוד, בשל השימוש בכרטיס האשראי של המתלוננת, עבירה שלצידה עונש של שלוש שנות מאסר בנסיבות רגילות ושל חמש שנות מאסר בנסיבות מחמירות, סבורני כי </w:t>
      </w:r>
      <w:r>
        <w:rPr>
          <w:rFonts w:cs="David" w:hint="cs"/>
          <w:b/>
          <w:bCs/>
          <w:sz w:val="24"/>
          <w:szCs w:val="24"/>
          <w:u w:val="single"/>
          <w:rtl/>
        </w:rPr>
        <w:t>מתחם הענישה ההולם בכל הנוגע לעבירות הרכוש נע בין 24 ל-48 חודשי מאסר בפועל</w:t>
      </w:r>
      <w:r>
        <w:rPr>
          <w:rFonts w:cs="David" w:hint="cs"/>
          <w:sz w:val="24"/>
          <w:szCs w:val="24"/>
          <w:rtl/>
        </w:rPr>
        <w:t>.</w:t>
      </w:r>
    </w:p>
    <w:p w14:paraId="3EB621C6" w14:textId="77777777" w:rsidR="00E746B3" w:rsidRDefault="0085403D">
      <w:pPr>
        <w:pStyle w:val="ListParagraph"/>
        <w:spacing w:after="0" w:line="360" w:lineRule="auto"/>
        <w:jc w:val="both"/>
        <w:rPr>
          <w:rFonts w:cs="David"/>
          <w:sz w:val="24"/>
          <w:szCs w:val="24"/>
        </w:rPr>
      </w:pPr>
      <w:r>
        <w:rPr>
          <w:rFonts w:cs="David" w:hint="cs"/>
          <w:sz w:val="24"/>
          <w:szCs w:val="24"/>
          <w:rtl/>
        </w:rPr>
        <w:t>בתוך כך, נתתי דעתי לתכנון המוקדם, לשימוש בגז מדמיע, לאלימות שננקטה, למאפייניה של המתלוננת ולעובדה שהנאשם ביצע את העבירה לבדו.</w:t>
      </w:r>
    </w:p>
    <w:p w14:paraId="6C3A6F0F" w14:textId="77777777" w:rsidR="00E746B3" w:rsidRDefault="00E746B3">
      <w:pPr>
        <w:pStyle w:val="ListParagraph"/>
        <w:spacing w:after="0" w:line="360" w:lineRule="auto"/>
        <w:jc w:val="both"/>
        <w:rPr>
          <w:rFonts w:cs="David"/>
          <w:sz w:val="24"/>
          <w:szCs w:val="24"/>
          <w:rtl/>
        </w:rPr>
      </w:pPr>
    </w:p>
    <w:p w14:paraId="18C39341"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 xml:space="preserve">לעניין </w:t>
      </w:r>
      <w:r>
        <w:rPr>
          <w:rFonts w:cs="David" w:hint="cs"/>
          <w:b/>
          <w:bCs/>
          <w:sz w:val="24"/>
          <w:szCs w:val="24"/>
          <w:u w:val="single"/>
          <w:rtl/>
        </w:rPr>
        <w:t>עבירות הסמים</w:t>
      </w:r>
      <w:r>
        <w:rPr>
          <w:rFonts w:cs="David" w:hint="cs"/>
          <w:sz w:val="24"/>
          <w:szCs w:val="24"/>
          <w:rtl/>
        </w:rPr>
        <w:t xml:space="preserve">, תוך התייחסות למדיניות הענישה הנוהגת ולנסיבותיו של תיק זה, סבור אני כי </w:t>
      </w:r>
      <w:r>
        <w:rPr>
          <w:rFonts w:cs="David" w:hint="cs"/>
          <w:b/>
          <w:bCs/>
          <w:sz w:val="24"/>
          <w:szCs w:val="24"/>
          <w:u w:val="single"/>
          <w:rtl/>
        </w:rPr>
        <w:t>מתחם העונש ההולם נע בין הטלת עונש של מספר חודשי עבודות שירות ועד 12 חודשי מאסר בפועל</w:t>
      </w:r>
      <w:r>
        <w:rPr>
          <w:rFonts w:cs="David" w:hint="cs"/>
          <w:b/>
          <w:bCs/>
          <w:sz w:val="24"/>
          <w:szCs w:val="24"/>
          <w:rtl/>
        </w:rPr>
        <w:t>.</w:t>
      </w:r>
    </w:p>
    <w:p w14:paraId="21F4E162" w14:textId="77777777" w:rsidR="00E746B3" w:rsidRDefault="00E746B3">
      <w:pPr>
        <w:pStyle w:val="ListParagraph"/>
        <w:spacing w:after="0" w:line="360" w:lineRule="auto"/>
        <w:jc w:val="both"/>
        <w:rPr>
          <w:rFonts w:cs="David"/>
          <w:sz w:val="24"/>
          <w:szCs w:val="24"/>
        </w:rPr>
      </w:pPr>
    </w:p>
    <w:p w14:paraId="4A772BFE" w14:textId="77777777" w:rsidR="00E746B3" w:rsidRDefault="0085403D">
      <w:pPr>
        <w:pStyle w:val="ListParagraph"/>
        <w:numPr>
          <w:ilvl w:val="0"/>
          <w:numId w:val="1"/>
        </w:numPr>
        <w:spacing w:after="0" w:line="360" w:lineRule="auto"/>
        <w:jc w:val="both"/>
        <w:rPr>
          <w:rFonts w:cs="David"/>
          <w:sz w:val="24"/>
          <w:szCs w:val="24"/>
        </w:rPr>
      </w:pPr>
      <w:r>
        <w:rPr>
          <w:rFonts w:cs="David" w:hint="cs"/>
          <w:sz w:val="24"/>
          <w:szCs w:val="24"/>
          <w:rtl/>
        </w:rPr>
        <w:t xml:space="preserve">לבסוף, אתייחס לעבירות התעבורה בהן הורשע הנאשם ולמתחם ההולם ביחס לרכיב הפסילה בקשר לעבירות אלה. מאחר וחומרתן של עבירות התעבורה היא בעצם אי הציות לחוק, כשבמקרה דנן לא מפורט אירוע קונקרטי של סיכון חיים בגין השימוש האסור ברכב, דעתי היא כי </w:t>
      </w:r>
      <w:r>
        <w:rPr>
          <w:rFonts w:cs="David" w:hint="cs"/>
          <w:b/>
          <w:bCs/>
          <w:sz w:val="24"/>
          <w:szCs w:val="24"/>
          <w:u w:val="single"/>
          <w:rtl/>
        </w:rPr>
        <w:t>מתחם הענישה ההולם לגבי רכיב הפסילה נע בין 12 ל-36 חודשי פסילה בפועל</w:t>
      </w:r>
      <w:r>
        <w:rPr>
          <w:rFonts w:cs="David" w:hint="cs"/>
          <w:sz w:val="24"/>
          <w:szCs w:val="24"/>
          <w:rtl/>
        </w:rPr>
        <w:t>. בתוך כך נתתי דעתי למכלול, ולכך שפרט לאי החזקת רישיון הנהיגה, הנאשם לא החזיק ברישיון רכב ובביטוח בר תוקף.</w:t>
      </w:r>
    </w:p>
    <w:p w14:paraId="58DF7C60" w14:textId="77777777" w:rsidR="00E746B3" w:rsidRDefault="00E746B3">
      <w:pPr>
        <w:pStyle w:val="ListParagraph"/>
        <w:spacing w:after="0" w:line="360" w:lineRule="auto"/>
        <w:jc w:val="both"/>
        <w:rPr>
          <w:rFonts w:cs="David"/>
          <w:sz w:val="24"/>
          <w:szCs w:val="24"/>
        </w:rPr>
      </w:pPr>
    </w:p>
    <w:p w14:paraId="10B34532" w14:textId="77777777" w:rsidR="00E746B3" w:rsidRDefault="0085403D">
      <w:pPr>
        <w:pStyle w:val="ListParagraph"/>
        <w:spacing w:after="0" w:line="360" w:lineRule="auto"/>
        <w:jc w:val="both"/>
        <w:rPr>
          <w:rFonts w:cs="David"/>
          <w:sz w:val="24"/>
          <w:szCs w:val="24"/>
          <w:u w:val="single"/>
          <w:rtl/>
        </w:rPr>
      </w:pPr>
      <w:r>
        <w:rPr>
          <w:rFonts w:cs="David" w:hint="cs"/>
          <w:sz w:val="24"/>
          <w:szCs w:val="24"/>
          <w:u w:val="single"/>
          <w:rtl/>
        </w:rPr>
        <w:t>נסיבות שאינן קשורות בביצוע העבירה</w:t>
      </w:r>
    </w:p>
    <w:p w14:paraId="48724C3B"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כפי שניתן ללמוד מן התסקיר, עונש של מאסר אינו צפוי לפגוע בנאשם באופן יוצא דופן, ולדידי קיים סיכוי שעונש שכזה אף ייטיב עמו, אילו ישכיל הנאשם לנצל שהייתו בכלא לגמילה ולשיקום. כך, גם לא הובאו נתונים באשר למקומו של הנאשם בחיי בנו הצעיר, כשביחס לבכורו הובהר, כי הוא גדל אצל משפחתה של אמו.</w:t>
      </w:r>
    </w:p>
    <w:p w14:paraId="63E34EB2" w14:textId="77777777" w:rsidR="00E746B3" w:rsidRDefault="00E746B3">
      <w:pPr>
        <w:pStyle w:val="ListParagraph"/>
        <w:spacing w:after="0" w:line="360" w:lineRule="auto"/>
        <w:jc w:val="both"/>
        <w:rPr>
          <w:rFonts w:cs="David"/>
          <w:sz w:val="24"/>
          <w:szCs w:val="24"/>
        </w:rPr>
      </w:pPr>
    </w:p>
    <w:p w14:paraId="224EE5A5" w14:textId="77777777" w:rsidR="00E746B3" w:rsidRDefault="0085403D">
      <w:pPr>
        <w:pStyle w:val="ListParagraph"/>
        <w:numPr>
          <w:ilvl w:val="0"/>
          <w:numId w:val="1"/>
        </w:numPr>
        <w:spacing w:after="0" w:line="360" w:lineRule="auto"/>
        <w:jc w:val="both"/>
        <w:rPr>
          <w:rFonts w:cs="David"/>
          <w:sz w:val="24"/>
          <w:szCs w:val="24"/>
        </w:rPr>
      </w:pPr>
      <w:r>
        <w:rPr>
          <w:rFonts w:cs="David" w:hint="cs"/>
          <w:sz w:val="24"/>
          <w:szCs w:val="24"/>
          <w:rtl/>
        </w:rPr>
        <w:t>נתתי דעתי לעובדה שהנאשם שיתף פעולה עם גורמי האכיפה, כפי שטען הסנגור, ולהודאתו בעובדות כתב האישום המתוקן. כן נתתי דעתי לנסיבות חייו הקשות, כמתואר בתסקיר, ולניסיונותיו הרבים להיגמל מסמים, עד כה ללא הצלחה ארוכת טווח חרף מאמציו הכנים.</w:t>
      </w:r>
    </w:p>
    <w:p w14:paraId="47CCC2C2" w14:textId="77777777" w:rsidR="00E746B3" w:rsidRDefault="00E746B3">
      <w:pPr>
        <w:pStyle w:val="ListParagraph"/>
        <w:rPr>
          <w:rFonts w:cs="David"/>
          <w:sz w:val="24"/>
          <w:szCs w:val="24"/>
        </w:rPr>
      </w:pPr>
    </w:p>
    <w:p w14:paraId="155861D3"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לצד זאת, לא ניתן להתעלם מעברו הפלילי של הנאשם, הכולל  10 הרשעות קודמות, בעיקר בעבירות רכוש, אלימות וסמים, וכן שני תיקים ישנים שהסתיימו ללא הרשעה חרף הקביעה, כי הנאשם ביצע את העבירות. כן הוגש לעיוני גיליון הרשעותיו בתחום התעבורה, המלמד כי לחובתו 11 הרשעות תעבורה קודמות, בעיקר בשל התנהגות לא בטוחה כהולך רגל.</w:t>
      </w:r>
    </w:p>
    <w:p w14:paraId="7AAD8ADB" w14:textId="77777777" w:rsidR="00E746B3" w:rsidRDefault="00E746B3">
      <w:pPr>
        <w:ind w:left="360"/>
      </w:pPr>
    </w:p>
    <w:p w14:paraId="6EB4DE07" w14:textId="77777777" w:rsidR="00E746B3" w:rsidRDefault="0085403D">
      <w:pPr>
        <w:pStyle w:val="ListParagraph"/>
        <w:spacing w:after="0"/>
        <w:rPr>
          <w:rFonts w:cs="David"/>
          <w:b/>
          <w:bCs/>
          <w:sz w:val="24"/>
          <w:szCs w:val="24"/>
          <w:u w:val="single"/>
          <w:rtl/>
        </w:rPr>
      </w:pPr>
      <w:r>
        <w:rPr>
          <w:rFonts w:cs="David" w:hint="cs"/>
          <w:b/>
          <w:bCs/>
          <w:sz w:val="24"/>
          <w:szCs w:val="24"/>
          <w:u w:val="single"/>
          <w:rtl/>
        </w:rPr>
        <w:t>סוף-דבר</w:t>
      </w:r>
    </w:p>
    <w:p w14:paraId="2BB6B718" w14:textId="77777777" w:rsidR="00E746B3" w:rsidRDefault="0085403D">
      <w:pPr>
        <w:pStyle w:val="ListParagraph"/>
        <w:numPr>
          <w:ilvl w:val="0"/>
          <w:numId w:val="1"/>
        </w:numPr>
        <w:spacing w:after="0" w:line="360" w:lineRule="auto"/>
        <w:jc w:val="both"/>
        <w:rPr>
          <w:rFonts w:cs="David"/>
          <w:sz w:val="24"/>
          <w:szCs w:val="24"/>
          <w:rtl/>
        </w:rPr>
      </w:pPr>
      <w:r>
        <w:rPr>
          <w:rFonts w:cs="David" w:hint="cs"/>
          <w:sz w:val="24"/>
          <w:szCs w:val="24"/>
          <w:rtl/>
        </w:rPr>
        <w:t>אני גוזר על הנאשם את העונשים הבאים:</w:t>
      </w:r>
    </w:p>
    <w:p w14:paraId="1B9AD3A3" w14:textId="77777777" w:rsidR="00E746B3" w:rsidRDefault="0085403D">
      <w:pPr>
        <w:pStyle w:val="ListParagraph"/>
        <w:numPr>
          <w:ilvl w:val="0"/>
          <w:numId w:val="2"/>
        </w:numPr>
        <w:spacing w:after="0" w:line="360" w:lineRule="auto"/>
        <w:jc w:val="both"/>
        <w:rPr>
          <w:rFonts w:cs="David"/>
          <w:sz w:val="24"/>
          <w:szCs w:val="24"/>
          <w:rtl/>
        </w:rPr>
      </w:pPr>
      <w:r>
        <w:rPr>
          <w:rFonts w:cs="David" w:hint="cs"/>
          <w:sz w:val="24"/>
          <w:szCs w:val="24"/>
          <w:rtl/>
        </w:rPr>
        <w:t>ארבעים וחמישה (45) חודשי מאסר לריצוי בפועל בניכוי ימי מעצרו, החל מיום 24.2.14.</w:t>
      </w:r>
    </w:p>
    <w:p w14:paraId="1DB5C55F" w14:textId="77777777" w:rsidR="00E746B3" w:rsidRDefault="0085403D">
      <w:pPr>
        <w:pStyle w:val="ListParagraph"/>
        <w:numPr>
          <w:ilvl w:val="0"/>
          <w:numId w:val="2"/>
        </w:numPr>
        <w:spacing w:after="0" w:line="360" w:lineRule="auto"/>
        <w:jc w:val="both"/>
        <w:rPr>
          <w:rFonts w:cs="David"/>
          <w:sz w:val="24"/>
          <w:szCs w:val="24"/>
        </w:rPr>
      </w:pPr>
      <w:r>
        <w:rPr>
          <w:rFonts w:cs="David" w:hint="cs"/>
          <w:sz w:val="24"/>
          <w:szCs w:val="24"/>
          <w:rtl/>
        </w:rPr>
        <w:t>אני מורה על הפעלת עונש המאסר המותנה שהוטל על הנאשם ב</w:t>
      </w:r>
      <w:hyperlink r:id="rId46" w:history="1">
        <w:r w:rsidRPr="0085403D">
          <w:rPr>
            <w:rStyle w:val="Hyperlink"/>
            <w:rFonts w:cs="David" w:hint="eastAsia"/>
            <w:sz w:val="24"/>
            <w:szCs w:val="24"/>
            <w:rtl/>
          </w:rPr>
          <w:t>ת</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23661-02-10</w:t>
        </w:r>
      </w:hyperlink>
      <w:r>
        <w:rPr>
          <w:rFonts w:cs="David" w:hint="cs"/>
          <w:sz w:val="24"/>
          <w:szCs w:val="24"/>
          <w:rtl/>
        </w:rPr>
        <w:t xml:space="preserve"> והוארך ב</w:t>
      </w:r>
      <w:hyperlink r:id="rId47" w:history="1">
        <w:r w:rsidRPr="0085403D">
          <w:rPr>
            <w:rStyle w:val="Hyperlink"/>
            <w:rFonts w:cs="David" w:hint="eastAsia"/>
            <w:sz w:val="24"/>
            <w:szCs w:val="24"/>
            <w:rtl/>
          </w:rPr>
          <w:t>ת</w:t>
        </w:r>
        <w:r w:rsidRPr="0085403D">
          <w:rPr>
            <w:rStyle w:val="Hyperlink"/>
            <w:rFonts w:cs="David"/>
            <w:sz w:val="24"/>
            <w:szCs w:val="24"/>
            <w:rtl/>
          </w:rPr>
          <w:t>"</w:t>
        </w:r>
        <w:r w:rsidRPr="0085403D">
          <w:rPr>
            <w:rStyle w:val="Hyperlink"/>
            <w:rFonts w:cs="David" w:hint="eastAsia"/>
            <w:sz w:val="24"/>
            <w:szCs w:val="24"/>
            <w:rtl/>
          </w:rPr>
          <w:t>פ</w:t>
        </w:r>
        <w:r w:rsidRPr="0085403D">
          <w:rPr>
            <w:rStyle w:val="Hyperlink"/>
            <w:rFonts w:cs="David"/>
            <w:sz w:val="24"/>
            <w:szCs w:val="24"/>
            <w:rtl/>
          </w:rPr>
          <w:t xml:space="preserve"> 54048-11-10</w:t>
        </w:r>
      </w:hyperlink>
      <w:r>
        <w:rPr>
          <w:rFonts w:cs="David" w:hint="cs"/>
          <w:sz w:val="24"/>
          <w:szCs w:val="24"/>
          <w:rtl/>
        </w:rPr>
        <w:t xml:space="preserve">, כך שיישא הנאשם מהמאסר המותנה שלושה חודשים במצטבר לכל עונש אחר, וחודשיים בחופף, </w:t>
      </w:r>
      <w:r>
        <w:rPr>
          <w:rFonts w:cs="David" w:hint="cs"/>
          <w:b/>
          <w:bCs/>
          <w:sz w:val="24"/>
          <w:szCs w:val="24"/>
          <w:u w:val="single"/>
          <w:rtl/>
        </w:rPr>
        <w:t>ובסך הכול יישא הנאשם בארבעים ושמונה (48) חודשי מאסר לריצוי בפועל, בניכוי ימי מעצרו</w:t>
      </w:r>
      <w:r>
        <w:rPr>
          <w:rFonts w:cs="David" w:hint="cs"/>
          <w:sz w:val="24"/>
          <w:szCs w:val="24"/>
          <w:rtl/>
        </w:rPr>
        <w:t>.</w:t>
      </w:r>
    </w:p>
    <w:p w14:paraId="616186FB" w14:textId="77777777" w:rsidR="00E746B3" w:rsidRDefault="0085403D">
      <w:pPr>
        <w:pStyle w:val="ListParagraph"/>
        <w:numPr>
          <w:ilvl w:val="0"/>
          <w:numId w:val="2"/>
        </w:numPr>
        <w:spacing w:after="0" w:line="360" w:lineRule="auto"/>
        <w:jc w:val="both"/>
        <w:rPr>
          <w:rFonts w:cs="David"/>
          <w:sz w:val="24"/>
          <w:szCs w:val="24"/>
        </w:rPr>
      </w:pPr>
      <w:r>
        <w:rPr>
          <w:rFonts w:cs="David" w:hint="cs"/>
          <w:sz w:val="24"/>
          <w:szCs w:val="24"/>
          <w:rtl/>
        </w:rPr>
        <w:t>שנים עשר (12) חודשי מאסר על תנאי, למשך שלוש שנים, והתנאי הוא שהנאשם לא יעבור בפרק זמן זה כל עבירת אלימות או רכוש מסוג פשע שיורשע בגינה.</w:t>
      </w:r>
    </w:p>
    <w:p w14:paraId="7584313C" w14:textId="77777777" w:rsidR="00E746B3" w:rsidRDefault="0085403D">
      <w:pPr>
        <w:pStyle w:val="ListParagraph"/>
        <w:numPr>
          <w:ilvl w:val="0"/>
          <w:numId w:val="2"/>
        </w:numPr>
        <w:spacing w:after="0" w:line="360" w:lineRule="auto"/>
        <w:jc w:val="both"/>
        <w:rPr>
          <w:rFonts w:cs="David"/>
          <w:sz w:val="24"/>
          <w:szCs w:val="24"/>
        </w:rPr>
      </w:pPr>
      <w:r>
        <w:rPr>
          <w:rFonts w:cs="David" w:hint="cs"/>
          <w:sz w:val="24"/>
          <w:szCs w:val="24"/>
          <w:rtl/>
        </w:rPr>
        <w:t>אני מחייב את הנאשם לפצות את המתלוננת בסכום של 1,500 ₪, הסכום יופקד בקופת בית המשפט בתוך 180 יום מהיום בהתאם לפרטים אשר יימסרו ע"י ב"כ המאשימה.</w:t>
      </w:r>
    </w:p>
    <w:p w14:paraId="6B61B3C5" w14:textId="77777777" w:rsidR="00E746B3" w:rsidRDefault="0085403D">
      <w:pPr>
        <w:pStyle w:val="ListParagraph"/>
        <w:numPr>
          <w:ilvl w:val="0"/>
          <w:numId w:val="2"/>
        </w:numPr>
        <w:spacing w:after="0" w:line="360" w:lineRule="auto"/>
        <w:jc w:val="both"/>
        <w:rPr>
          <w:rFonts w:cs="David"/>
          <w:sz w:val="24"/>
          <w:szCs w:val="24"/>
        </w:rPr>
      </w:pPr>
      <w:r>
        <w:rPr>
          <w:rFonts w:cs="David" w:hint="cs"/>
          <w:sz w:val="24"/>
          <w:szCs w:val="24"/>
          <w:rtl/>
        </w:rPr>
        <w:t>אני פוסל את הנאשם מלהחזיק או לקבל רישיון נהיגה לתקופה של שמונה עשר (18) חודשים החל מיום שחרורו מהכלא.</w:t>
      </w:r>
    </w:p>
    <w:p w14:paraId="1E3A78D7" w14:textId="77777777" w:rsidR="00E746B3" w:rsidRDefault="00E746B3">
      <w:pPr>
        <w:spacing w:line="360" w:lineRule="auto"/>
        <w:jc w:val="both"/>
        <w:rPr>
          <w:rtl/>
        </w:rPr>
      </w:pPr>
    </w:p>
    <w:p w14:paraId="443A95B7" w14:textId="77777777" w:rsidR="00E746B3" w:rsidRDefault="00E746B3">
      <w:pPr>
        <w:spacing w:line="360" w:lineRule="auto"/>
        <w:jc w:val="both"/>
        <w:rPr>
          <w:rtl/>
        </w:rPr>
      </w:pPr>
    </w:p>
    <w:p w14:paraId="168E5D82" w14:textId="77777777" w:rsidR="00E746B3" w:rsidRDefault="0085403D">
      <w:pPr>
        <w:spacing w:line="360" w:lineRule="auto"/>
        <w:jc w:val="both"/>
        <w:rPr>
          <w:b/>
          <w:bCs/>
          <w:u w:val="single"/>
          <w:rtl/>
        </w:rPr>
      </w:pPr>
      <w:r>
        <w:rPr>
          <w:rFonts w:hint="cs"/>
          <w:b/>
          <w:bCs/>
          <w:u w:val="single"/>
          <w:rtl/>
        </w:rPr>
        <w:t>זכות ערעור לבית המשפט העליון תוך 45 ימים.</w:t>
      </w:r>
    </w:p>
    <w:p w14:paraId="6EA5F766" w14:textId="77777777" w:rsidR="00E746B3" w:rsidRDefault="00E746B3">
      <w:pPr>
        <w:spacing w:line="360" w:lineRule="auto"/>
        <w:jc w:val="both"/>
        <w:rPr>
          <w:b/>
          <w:bCs/>
          <w:u w:val="single"/>
          <w:rtl/>
        </w:rPr>
      </w:pPr>
      <w:bookmarkStart w:id="8" w:name="_GoBack"/>
      <w:bookmarkEnd w:id="8"/>
    </w:p>
    <w:p w14:paraId="70110694" w14:textId="77777777" w:rsidR="00E746B3" w:rsidRDefault="0085403D">
      <w:pPr>
        <w:spacing w:line="360" w:lineRule="auto"/>
        <w:jc w:val="both"/>
        <w:rPr>
          <w:b/>
          <w:bCs/>
          <w:sz w:val="6"/>
          <w:szCs w:val="6"/>
        </w:rPr>
      </w:pPr>
      <w:r>
        <w:rPr>
          <w:b/>
          <w:bCs/>
          <w:sz w:val="6"/>
          <w:szCs w:val="6"/>
          <w:rtl/>
        </w:rPr>
        <w:t>&lt;#3#&gt;</w:t>
      </w:r>
    </w:p>
    <w:p w14:paraId="583645CA" w14:textId="77777777" w:rsidR="00E746B3" w:rsidRDefault="00E746B3">
      <w:pPr>
        <w:jc w:val="right"/>
        <w:rPr>
          <w:rtl/>
        </w:rPr>
      </w:pPr>
    </w:p>
    <w:p w14:paraId="3520311F" w14:textId="77777777" w:rsidR="00E746B3" w:rsidRDefault="0085403D">
      <w:pPr>
        <w:jc w:val="center"/>
        <w:rPr>
          <w:rtl/>
        </w:rPr>
      </w:pPr>
      <w:r>
        <w:rPr>
          <w:b/>
          <w:bCs/>
          <w:rtl/>
        </w:rPr>
        <w:t xml:space="preserve">ניתן והודע היום ט' כסלו תשע"ה, 01/12/2014 במעמד הנוכחים. </w:t>
      </w:r>
    </w:p>
    <w:p w14:paraId="2F094AD4" w14:textId="77777777" w:rsidR="00E746B3" w:rsidRPr="0085403D" w:rsidRDefault="0085403D">
      <w:pPr>
        <w:spacing w:line="360" w:lineRule="auto"/>
        <w:jc w:val="both"/>
        <w:rPr>
          <w:color w:val="FFFFFF"/>
          <w:sz w:val="2"/>
          <w:szCs w:val="2"/>
          <w:rtl/>
        </w:rPr>
      </w:pPr>
      <w:r w:rsidRPr="0085403D">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746B3" w14:paraId="18097726" w14:textId="77777777">
        <w:trPr>
          <w:trHeight w:val="316"/>
          <w:jc w:val="right"/>
        </w:trPr>
        <w:tc>
          <w:tcPr>
            <w:tcW w:w="3936" w:type="dxa"/>
          </w:tcPr>
          <w:p w14:paraId="12887552" w14:textId="77777777" w:rsidR="00E746B3" w:rsidRPr="0085403D" w:rsidRDefault="0085403D">
            <w:pPr>
              <w:jc w:val="center"/>
              <w:rPr>
                <w:rFonts w:ascii="Times New Roman" w:eastAsia="Times New Roman" w:hAnsi="Times New Roman" w:cs="Times New Roman"/>
                <w:color w:val="FFFFFF"/>
                <w:sz w:val="2"/>
                <w:szCs w:val="2"/>
                <w:rtl/>
              </w:rPr>
            </w:pPr>
            <w:r w:rsidRPr="0085403D">
              <w:rPr>
                <w:rFonts w:ascii="Times New Roman" w:eastAsia="Times New Roman" w:hAnsi="Times New Roman" w:cs="Times New Roman"/>
                <w:color w:val="FFFFFF"/>
                <w:sz w:val="2"/>
                <w:szCs w:val="2"/>
                <w:rtl/>
              </w:rPr>
              <w:t>54678313</w:t>
            </w:r>
          </w:p>
        </w:tc>
      </w:tr>
      <w:tr w:rsidR="00E746B3" w14:paraId="541B98A7" w14:textId="77777777">
        <w:trPr>
          <w:trHeight w:val="361"/>
          <w:jc w:val="right"/>
        </w:trPr>
        <w:tc>
          <w:tcPr>
            <w:tcW w:w="3936" w:type="dxa"/>
          </w:tcPr>
          <w:p w14:paraId="3E2CB4A9" w14:textId="77777777" w:rsidR="00E746B3" w:rsidRDefault="0085403D">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41BC0FAA" w14:textId="77777777" w:rsidR="00E746B3" w:rsidRPr="006E2A52" w:rsidRDefault="006E2A52">
      <w:pPr>
        <w:spacing w:line="360" w:lineRule="auto"/>
        <w:jc w:val="both"/>
        <w:rPr>
          <w:color w:val="FFFFFF"/>
          <w:sz w:val="2"/>
          <w:szCs w:val="2"/>
          <w:rtl/>
        </w:rPr>
      </w:pPr>
      <w:r w:rsidRPr="006E2A52">
        <w:rPr>
          <w:color w:val="FFFFFF"/>
          <w:sz w:val="2"/>
          <w:szCs w:val="2"/>
          <w:rtl/>
        </w:rPr>
        <w:t>5129371</w:t>
      </w:r>
    </w:p>
    <w:p w14:paraId="66B1D428" w14:textId="77777777" w:rsidR="0085403D" w:rsidRPr="006E2A52" w:rsidRDefault="006E2A52" w:rsidP="0085403D">
      <w:pPr>
        <w:keepNext/>
        <w:rPr>
          <w:color w:val="FFFFFF"/>
          <w:sz w:val="2"/>
          <w:szCs w:val="2"/>
          <w:rtl/>
        </w:rPr>
      </w:pPr>
      <w:r w:rsidRPr="006E2A52">
        <w:rPr>
          <w:color w:val="FFFFFF"/>
          <w:sz w:val="2"/>
          <w:szCs w:val="2"/>
          <w:rtl/>
        </w:rPr>
        <w:t>54678313</w:t>
      </w:r>
    </w:p>
    <w:p w14:paraId="4F24F5D8" w14:textId="77777777" w:rsidR="0085403D" w:rsidRPr="0085403D" w:rsidRDefault="0085403D" w:rsidP="0085403D">
      <w:pPr>
        <w:keepNext/>
        <w:rPr>
          <w:color w:val="000000"/>
          <w:sz w:val="22"/>
          <w:szCs w:val="22"/>
          <w:rtl/>
        </w:rPr>
      </w:pPr>
      <w:r w:rsidRPr="0085403D">
        <w:rPr>
          <w:color w:val="000000"/>
          <w:sz w:val="22"/>
          <w:szCs w:val="22"/>
          <w:rtl/>
        </w:rPr>
        <w:t>תאופיק כתילי 54678313</w:t>
      </w:r>
    </w:p>
    <w:p w14:paraId="57F84E36" w14:textId="77777777" w:rsidR="0085403D" w:rsidRDefault="0085403D" w:rsidP="0085403D">
      <w:r w:rsidRPr="0085403D">
        <w:rPr>
          <w:color w:val="000000"/>
          <w:rtl/>
        </w:rPr>
        <w:t>נוסח מסמך זה כפוף לשינויי ניסוח ועריכה</w:t>
      </w:r>
    </w:p>
    <w:p w14:paraId="6BDD5949" w14:textId="77777777" w:rsidR="0085403D" w:rsidRDefault="0085403D" w:rsidP="0085403D">
      <w:pPr>
        <w:rPr>
          <w:rtl/>
        </w:rPr>
      </w:pPr>
    </w:p>
    <w:p w14:paraId="25B74666" w14:textId="77777777" w:rsidR="0085403D" w:rsidRDefault="0085403D" w:rsidP="0085403D">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sectPr w:rsidR="0085403D" w:rsidSect="006E2A52">
      <w:headerReference w:type="even" r:id="rId49"/>
      <w:headerReference w:type="default" r:id="rId50"/>
      <w:footerReference w:type="even" r:id="rId51"/>
      <w:footerReference w:type="default" r:id="rId5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7FC23" w14:textId="77777777" w:rsidR="00A40DE2" w:rsidRPr="007F2947" w:rsidRDefault="00A40DE2">
      <w:pPr>
        <w:rPr>
          <w:rFonts w:cs="Arial"/>
          <w:szCs w:val="20"/>
        </w:rPr>
      </w:pPr>
      <w:r>
        <w:separator/>
      </w:r>
    </w:p>
  </w:endnote>
  <w:endnote w:type="continuationSeparator" w:id="0">
    <w:p w14:paraId="7A0A0CBD" w14:textId="77777777" w:rsidR="00A40DE2" w:rsidRPr="007F2947" w:rsidRDefault="00A40DE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76C7" w14:textId="77777777" w:rsidR="006E2A52" w:rsidRDefault="006E2A52" w:rsidP="006E2A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175C5A" w14:textId="77777777" w:rsidR="00E746B3" w:rsidRPr="006E2A52" w:rsidRDefault="006E2A52" w:rsidP="006E2A52">
    <w:pPr>
      <w:pStyle w:val="a4"/>
      <w:pBdr>
        <w:top w:val="single" w:sz="4" w:space="1" w:color="auto"/>
        <w:between w:val="single" w:sz="4" w:space="0" w:color="auto"/>
      </w:pBdr>
      <w:spacing w:after="60"/>
      <w:jc w:val="center"/>
      <w:rPr>
        <w:rFonts w:ascii="FrankRuehl" w:hAnsi="FrankRuehl" w:cs="FrankRuehl"/>
        <w:color w:val="000000"/>
      </w:rPr>
    </w:pPr>
    <w:r w:rsidRPr="006E2A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605F" w14:textId="77777777" w:rsidR="006E2A52" w:rsidRDefault="006E2A52" w:rsidP="006E2A5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E3AEF">
      <w:rPr>
        <w:rFonts w:ascii="FrankRuehl" w:hAnsi="FrankRuehl" w:cs="FrankRuehl"/>
        <w:noProof/>
        <w:rtl/>
      </w:rPr>
      <w:t>1</w:t>
    </w:r>
    <w:r>
      <w:rPr>
        <w:rFonts w:ascii="FrankRuehl" w:hAnsi="FrankRuehl" w:cs="FrankRuehl"/>
        <w:rtl/>
      </w:rPr>
      <w:fldChar w:fldCharType="end"/>
    </w:r>
  </w:p>
  <w:p w14:paraId="35701260" w14:textId="77777777" w:rsidR="00E746B3" w:rsidRPr="006E2A52" w:rsidRDefault="006E2A52" w:rsidP="006E2A52">
    <w:pPr>
      <w:pStyle w:val="a4"/>
      <w:pBdr>
        <w:top w:val="single" w:sz="4" w:space="1" w:color="auto"/>
        <w:between w:val="single" w:sz="4" w:space="0" w:color="auto"/>
      </w:pBdr>
      <w:spacing w:after="60"/>
      <w:jc w:val="center"/>
      <w:rPr>
        <w:rFonts w:ascii="FrankRuehl" w:hAnsi="FrankRuehl" w:cs="FrankRuehl"/>
        <w:color w:val="000000"/>
      </w:rPr>
    </w:pPr>
    <w:r w:rsidRPr="006E2A52">
      <w:rPr>
        <w:rFonts w:ascii="FrankRuehl" w:hAnsi="FrankRuehl" w:cs="FrankRuehl"/>
        <w:color w:val="000000"/>
      </w:rPr>
      <w:pict w14:anchorId="6F7E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49925" w14:textId="77777777" w:rsidR="00A40DE2" w:rsidRPr="007F2947" w:rsidRDefault="00A40DE2">
      <w:pPr>
        <w:rPr>
          <w:rFonts w:cs="Arial"/>
          <w:szCs w:val="20"/>
        </w:rPr>
      </w:pPr>
      <w:r>
        <w:separator/>
      </w:r>
    </w:p>
  </w:footnote>
  <w:footnote w:type="continuationSeparator" w:id="0">
    <w:p w14:paraId="4F49530E" w14:textId="77777777" w:rsidR="00A40DE2" w:rsidRPr="007F2947" w:rsidRDefault="00A40DE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BF83" w14:textId="77777777" w:rsidR="0085403D" w:rsidRPr="006E2A52" w:rsidRDefault="006E2A52" w:rsidP="006E2A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3507-03-14</w:t>
    </w:r>
    <w:r>
      <w:rPr>
        <w:color w:val="000000"/>
        <w:sz w:val="22"/>
        <w:szCs w:val="22"/>
        <w:rtl/>
      </w:rPr>
      <w:tab/>
      <w:t xml:space="preserve"> מדינת ישראל נ' יוסף חדאד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AFBEA" w14:textId="77777777" w:rsidR="0085403D" w:rsidRPr="006E2A52" w:rsidRDefault="006E2A52" w:rsidP="006E2A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3507-03-14</w:t>
    </w:r>
    <w:r>
      <w:rPr>
        <w:color w:val="000000"/>
        <w:sz w:val="22"/>
        <w:szCs w:val="22"/>
        <w:rtl/>
      </w:rPr>
      <w:tab/>
      <w:t xml:space="preserve"> מדינת ישראל נ' יוסף חדאד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E03E3"/>
    <w:multiLevelType w:val="hybridMultilevel"/>
    <w:tmpl w:val="4E521F50"/>
    <w:lvl w:ilvl="0" w:tplc="B42C8D4A">
      <w:start w:val="1"/>
      <w:numFmt w:val="decimal"/>
      <w:lvlText w:val="%1."/>
      <w:lvlJc w:val="left"/>
      <w:pPr>
        <w:tabs>
          <w:tab w:val="num" w:pos="360"/>
        </w:tabs>
        <w:ind w:left="360" w:hanging="360"/>
      </w:pPr>
      <w:rPr>
        <w:rFonts w:cs="David"/>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2B6E4DF4"/>
    <w:multiLevelType w:val="hybridMultilevel"/>
    <w:tmpl w:val="8C9A53FA"/>
    <w:lvl w:ilvl="0" w:tplc="1D607522">
      <w:start w:val="1"/>
      <w:numFmt w:val="hebrew1"/>
      <w:lvlText w:val="%1."/>
      <w:lvlJc w:val="left"/>
      <w:pPr>
        <w:ind w:left="1068" w:hanging="360"/>
      </w:pPr>
      <w:rPr>
        <w:rFonts w:cs="David"/>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027491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9871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46B3"/>
    <w:rsid w:val="003759E3"/>
    <w:rsid w:val="004E3AEF"/>
    <w:rsid w:val="006E2A52"/>
    <w:rsid w:val="0085403D"/>
    <w:rsid w:val="00960325"/>
    <w:rsid w:val="00A40DE2"/>
    <w:rsid w:val="00E746B3"/>
    <w:rsid w:val="00EC12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7EDD69"/>
  <w15:chartTrackingRefBased/>
  <w15:docId w15:val="{31D7141B-CC95-4B4A-91F0-9F402484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46B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746B3"/>
    <w:pPr>
      <w:tabs>
        <w:tab w:val="center" w:pos="4153"/>
        <w:tab w:val="right" w:pos="8306"/>
      </w:tabs>
    </w:pPr>
  </w:style>
  <w:style w:type="paragraph" w:styleId="a4">
    <w:name w:val="footer"/>
    <w:basedOn w:val="a"/>
    <w:rsid w:val="00E746B3"/>
    <w:pPr>
      <w:tabs>
        <w:tab w:val="center" w:pos="4153"/>
        <w:tab w:val="right" w:pos="8306"/>
      </w:tabs>
    </w:pPr>
  </w:style>
  <w:style w:type="character" w:styleId="a5">
    <w:name w:val="page number"/>
    <w:basedOn w:val="a0"/>
    <w:rsid w:val="00E746B3"/>
  </w:style>
  <w:style w:type="paragraph" w:customStyle="1" w:styleId="12">
    <w:name w:val="רגיל + ‏12 נק'"/>
    <w:aliases w:val="מיושר לשני הצדדים,מרווח בין שורות:  שורה וחצי"/>
    <w:basedOn w:val="a"/>
    <w:rsid w:val="00E746B3"/>
    <w:rPr>
      <w:rFonts w:ascii="Times New Roman" w:eastAsia="Times New Roman" w:hAnsi="Times New Roman"/>
      <w:b/>
      <w:bCs/>
      <w:u w:val="single"/>
    </w:rPr>
  </w:style>
  <w:style w:type="paragraph" w:customStyle="1" w:styleId="ListParagraph">
    <w:name w:val="List Paragraph"/>
    <w:basedOn w:val="a"/>
    <w:rsid w:val="00E746B3"/>
    <w:pPr>
      <w:spacing w:after="200" w:line="276" w:lineRule="auto"/>
      <w:ind w:left="720"/>
    </w:pPr>
    <w:rPr>
      <w:rFonts w:ascii="Calibri" w:eastAsia="Times New Roman" w:hAnsi="Calibri" w:cs="Arial"/>
      <w:sz w:val="22"/>
      <w:szCs w:val="22"/>
    </w:rPr>
  </w:style>
  <w:style w:type="character" w:styleId="a6">
    <w:name w:val="line number"/>
    <w:basedOn w:val="a0"/>
    <w:rsid w:val="00E746B3"/>
  </w:style>
  <w:style w:type="character" w:styleId="Hyperlink">
    <w:name w:val="Hyperlink"/>
    <w:basedOn w:val="a0"/>
    <w:rsid w:val="008540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4501" TargetMode="External"/><Relationship Id="rId26" Type="http://schemas.openxmlformats.org/officeDocument/2006/relationships/hyperlink" Target="http://www.nevo.co.il/law/4216" TargetMode="External"/><Relationship Id="rId39" Type="http://schemas.openxmlformats.org/officeDocument/2006/relationships/hyperlink" Target="http://www.nevo.co.il/case/798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4209897" TargetMode="External"/><Relationship Id="rId42" Type="http://schemas.openxmlformats.org/officeDocument/2006/relationships/hyperlink" Target="http://www.nevo.co.il/case/5590454" TargetMode="External"/><Relationship Id="rId47" Type="http://schemas.openxmlformats.org/officeDocument/2006/relationships/hyperlink" Target="http://www.nevo.co.il/case/4209897"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9" Type="http://schemas.openxmlformats.org/officeDocument/2006/relationships/hyperlink" Target="http://www.nevo.co.il/law/5227/67" TargetMode="External"/><Relationship Id="rId11" Type="http://schemas.openxmlformats.org/officeDocument/2006/relationships/hyperlink" Target="http://www.nevo.co.il/law/72265/17" TargetMode="External"/><Relationship Id="rId24" Type="http://schemas.openxmlformats.org/officeDocument/2006/relationships/hyperlink" Target="http://www.nevo.co.il/law/4216/7.a" TargetMode="External"/><Relationship Id="rId32" Type="http://schemas.openxmlformats.org/officeDocument/2006/relationships/hyperlink" Target="http://www.nevo.co.il/case/4209897" TargetMode="External"/><Relationship Id="rId37" Type="http://schemas.openxmlformats.org/officeDocument/2006/relationships/hyperlink" Target="http://www.nevo.co.il/case/6038879" TargetMode="External"/><Relationship Id="rId40" Type="http://schemas.openxmlformats.org/officeDocument/2006/relationships/hyperlink" Target="http://www.nevo.co.il/law/70301/402.a" TargetMode="External"/><Relationship Id="rId45" Type="http://schemas.openxmlformats.org/officeDocument/2006/relationships/hyperlink" Target="http://www.nevo.co.il/law/70301/402.b"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2265" TargetMode="External"/><Relationship Id="rId19" Type="http://schemas.openxmlformats.org/officeDocument/2006/relationships/hyperlink" Target="http://www.nevo.co.il/law/74501/2.a.b" TargetMode="External"/><Relationship Id="rId31" Type="http://schemas.openxmlformats.org/officeDocument/2006/relationships/hyperlink" Target="http://www.nevo.co.il/law/74501" TargetMode="External"/><Relationship Id="rId44" Type="http://schemas.openxmlformats.org/officeDocument/2006/relationships/hyperlink" Target="http://www.nevo.co.il/case/5583050"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2.b"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2265/17" TargetMode="External"/><Relationship Id="rId27" Type="http://schemas.openxmlformats.org/officeDocument/2006/relationships/hyperlink" Target="http://www.nevo.co.il/law/5227/10.a" TargetMode="External"/><Relationship Id="rId30" Type="http://schemas.openxmlformats.org/officeDocument/2006/relationships/hyperlink" Target="http://www.nevo.co.il/law/74501/2.a.b" TargetMode="External"/><Relationship Id="rId35" Type="http://schemas.openxmlformats.org/officeDocument/2006/relationships/hyperlink" Target="http://www.nevo.co.il/case/5603213" TargetMode="External"/><Relationship Id="rId43" Type="http://schemas.openxmlformats.org/officeDocument/2006/relationships/hyperlink" Target="http://www.nevo.co.il/law/70301/402.b"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02.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5227/67"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4846878" TargetMode="External"/><Relationship Id="rId38" Type="http://schemas.openxmlformats.org/officeDocument/2006/relationships/hyperlink" Target="http://www.nevo.co.il/case/6040836" TargetMode="External"/><Relationship Id="rId46" Type="http://schemas.openxmlformats.org/officeDocument/2006/relationships/hyperlink" Target="http://www.nevo.co.il/case/4846878" TargetMode="External"/><Relationship Id="rId20" Type="http://schemas.openxmlformats.org/officeDocument/2006/relationships/hyperlink" Target="http://www.nevo.co.il/law/70301/402.b" TargetMode="External"/><Relationship Id="rId41" Type="http://schemas.openxmlformats.org/officeDocument/2006/relationships/hyperlink" Target="http://www.nevo.co.il/law/70301/402.b"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2265" TargetMode="External"/><Relationship Id="rId28" Type="http://schemas.openxmlformats.org/officeDocument/2006/relationships/hyperlink" Target="http://www.nevo.co.il/law/5227" TargetMode="External"/><Relationship Id="rId36" Type="http://schemas.openxmlformats.org/officeDocument/2006/relationships/hyperlink" Target="http://www.nevo.co.il/case/5589995"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2715</Words>
  <Characters>13579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16262</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3866742</vt:i4>
      </vt:variant>
      <vt:variant>
        <vt:i4>120</vt:i4>
      </vt:variant>
      <vt:variant>
        <vt:i4>0</vt:i4>
      </vt:variant>
      <vt:variant>
        <vt:i4>5</vt:i4>
      </vt:variant>
      <vt:variant>
        <vt:lpwstr>http://www.nevo.co.il/case/4209897</vt:lpwstr>
      </vt:variant>
      <vt:variant>
        <vt:lpwstr/>
      </vt:variant>
      <vt:variant>
        <vt:i4>3145853</vt:i4>
      </vt:variant>
      <vt:variant>
        <vt:i4>117</vt:i4>
      </vt:variant>
      <vt:variant>
        <vt:i4>0</vt:i4>
      </vt:variant>
      <vt:variant>
        <vt:i4>5</vt:i4>
      </vt:variant>
      <vt:variant>
        <vt:lpwstr>http://www.nevo.co.il/case/4846878</vt:lpwstr>
      </vt:variant>
      <vt:variant>
        <vt:lpwstr/>
      </vt:variant>
      <vt:variant>
        <vt:i4>4915283</vt:i4>
      </vt:variant>
      <vt:variant>
        <vt:i4>114</vt:i4>
      </vt:variant>
      <vt:variant>
        <vt:i4>0</vt:i4>
      </vt:variant>
      <vt:variant>
        <vt:i4>5</vt:i4>
      </vt:variant>
      <vt:variant>
        <vt:lpwstr>http://www.nevo.co.il/law/70301/402.b</vt:lpwstr>
      </vt:variant>
      <vt:variant>
        <vt:lpwstr/>
      </vt:variant>
      <vt:variant>
        <vt:i4>3997815</vt:i4>
      </vt:variant>
      <vt:variant>
        <vt:i4>111</vt:i4>
      </vt:variant>
      <vt:variant>
        <vt:i4>0</vt:i4>
      </vt:variant>
      <vt:variant>
        <vt:i4>5</vt:i4>
      </vt:variant>
      <vt:variant>
        <vt:lpwstr>http://www.nevo.co.il/case/5583050</vt:lpwstr>
      </vt:variant>
      <vt:variant>
        <vt:lpwstr/>
      </vt:variant>
      <vt:variant>
        <vt:i4>4915283</vt:i4>
      </vt:variant>
      <vt:variant>
        <vt:i4>108</vt:i4>
      </vt:variant>
      <vt:variant>
        <vt:i4>0</vt:i4>
      </vt:variant>
      <vt:variant>
        <vt:i4>5</vt:i4>
      </vt:variant>
      <vt:variant>
        <vt:lpwstr>http://www.nevo.co.il/law/70301/402.b</vt:lpwstr>
      </vt:variant>
      <vt:variant>
        <vt:lpwstr/>
      </vt:variant>
      <vt:variant>
        <vt:i4>3932276</vt:i4>
      </vt:variant>
      <vt:variant>
        <vt:i4>105</vt:i4>
      </vt:variant>
      <vt:variant>
        <vt:i4>0</vt:i4>
      </vt:variant>
      <vt:variant>
        <vt:i4>5</vt:i4>
      </vt:variant>
      <vt:variant>
        <vt:lpwstr>http://www.nevo.co.il/case/5590454</vt:lpwstr>
      </vt:variant>
      <vt:variant>
        <vt:lpwstr/>
      </vt:variant>
      <vt:variant>
        <vt:i4>4915283</vt:i4>
      </vt:variant>
      <vt:variant>
        <vt:i4>102</vt:i4>
      </vt:variant>
      <vt:variant>
        <vt:i4>0</vt:i4>
      </vt:variant>
      <vt:variant>
        <vt:i4>5</vt:i4>
      </vt:variant>
      <vt:variant>
        <vt:lpwstr>http://www.nevo.co.il/law/70301/402.b</vt:lpwstr>
      </vt:variant>
      <vt:variant>
        <vt:lpwstr/>
      </vt:variant>
      <vt:variant>
        <vt:i4>4915283</vt:i4>
      </vt:variant>
      <vt:variant>
        <vt:i4>99</vt:i4>
      </vt:variant>
      <vt:variant>
        <vt:i4>0</vt:i4>
      </vt:variant>
      <vt:variant>
        <vt:i4>5</vt:i4>
      </vt:variant>
      <vt:variant>
        <vt:lpwstr>http://www.nevo.co.il/law/70301/402.a</vt:lpwstr>
      </vt:variant>
      <vt:variant>
        <vt:lpwstr/>
      </vt:variant>
      <vt:variant>
        <vt:i4>3997821</vt:i4>
      </vt:variant>
      <vt:variant>
        <vt:i4>96</vt:i4>
      </vt:variant>
      <vt:variant>
        <vt:i4>0</vt:i4>
      </vt:variant>
      <vt:variant>
        <vt:i4>5</vt:i4>
      </vt:variant>
      <vt:variant>
        <vt:lpwstr>http://www.nevo.co.il/case/7980301</vt:lpwstr>
      </vt:variant>
      <vt:variant>
        <vt:lpwstr/>
      </vt:variant>
      <vt:variant>
        <vt:i4>3932279</vt:i4>
      </vt:variant>
      <vt:variant>
        <vt:i4>93</vt:i4>
      </vt:variant>
      <vt:variant>
        <vt:i4>0</vt:i4>
      </vt:variant>
      <vt:variant>
        <vt:i4>5</vt:i4>
      </vt:variant>
      <vt:variant>
        <vt:lpwstr>http://www.nevo.co.il/case/6040836</vt:lpwstr>
      </vt:variant>
      <vt:variant>
        <vt:lpwstr/>
      </vt:variant>
      <vt:variant>
        <vt:i4>3407995</vt:i4>
      </vt:variant>
      <vt:variant>
        <vt:i4>90</vt:i4>
      </vt:variant>
      <vt:variant>
        <vt:i4>0</vt:i4>
      </vt:variant>
      <vt:variant>
        <vt:i4>5</vt:i4>
      </vt:variant>
      <vt:variant>
        <vt:lpwstr>http://www.nevo.co.il/case/6038879</vt:lpwstr>
      </vt:variant>
      <vt:variant>
        <vt:lpwstr/>
      </vt:variant>
      <vt:variant>
        <vt:i4>3211377</vt:i4>
      </vt:variant>
      <vt:variant>
        <vt:i4>87</vt:i4>
      </vt:variant>
      <vt:variant>
        <vt:i4>0</vt:i4>
      </vt:variant>
      <vt:variant>
        <vt:i4>5</vt:i4>
      </vt:variant>
      <vt:variant>
        <vt:lpwstr>http://www.nevo.co.il/case/5589995</vt:lpwstr>
      </vt:variant>
      <vt:variant>
        <vt:lpwstr/>
      </vt:variant>
      <vt:variant>
        <vt:i4>3407984</vt:i4>
      </vt:variant>
      <vt:variant>
        <vt:i4>84</vt:i4>
      </vt:variant>
      <vt:variant>
        <vt:i4>0</vt:i4>
      </vt:variant>
      <vt:variant>
        <vt:i4>5</vt:i4>
      </vt:variant>
      <vt:variant>
        <vt:lpwstr>http://www.nevo.co.il/case/5603213</vt:lpwstr>
      </vt:variant>
      <vt:variant>
        <vt:lpwstr/>
      </vt:variant>
      <vt:variant>
        <vt:i4>3866742</vt:i4>
      </vt:variant>
      <vt:variant>
        <vt:i4>81</vt:i4>
      </vt:variant>
      <vt:variant>
        <vt:i4>0</vt:i4>
      </vt:variant>
      <vt:variant>
        <vt:i4>5</vt:i4>
      </vt:variant>
      <vt:variant>
        <vt:lpwstr>http://www.nevo.co.il/case/4209897</vt:lpwstr>
      </vt:variant>
      <vt:variant>
        <vt:lpwstr/>
      </vt:variant>
      <vt:variant>
        <vt:i4>3145853</vt:i4>
      </vt:variant>
      <vt:variant>
        <vt:i4>78</vt:i4>
      </vt:variant>
      <vt:variant>
        <vt:i4>0</vt:i4>
      </vt:variant>
      <vt:variant>
        <vt:i4>5</vt:i4>
      </vt:variant>
      <vt:variant>
        <vt:lpwstr>http://www.nevo.co.il/case/4846878</vt:lpwstr>
      </vt:variant>
      <vt:variant>
        <vt:lpwstr/>
      </vt:variant>
      <vt:variant>
        <vt:i4>3866742</vt:i4>
      </vt:variant>
      <vt:variant>
        <vt:i4>75</vt:i4>
      </vt:variant>
      <vt:variant>
        <vt:i4>0</vt:i4>
      </vt:variant>
      <vt:variant>
        <vt:i4>5</vt:i4>
      </vt:variant>
      <vt:variant>
        <vt:lpwstr>http://www.nevo.co.il/case/4209897</vt:lpwstr>
      </vt:variant>
      <vt:variant>
        <vt:lpwstr/>
      </vt:variant>
      <vt:variant>
        <vt:i4>8257634</vt:i4>
      </vt:variant>
      <vt:variant>
        <vt:i4>72</vt:i4>
      </vt:variant>
      <vt:variant>
        <vt:i4>0</vt:i4>
      </vt:variant>
      <vt:variant>
        <vt:i4>5</vt:i4>
      </vt:variant>
      <vt:variant>
        <vt:lpwstr>http://www.nevo.co.il/law/74501</vt:lpwstr>
      </vt:variant>
      <vt:variant>
        <vt:lpwstr/>
      </vt:variant>
      <vt:variant>
        <vt:i4>5308416</vt:i4>
      </vt:variant>
      <vt:variant>
        <vt:i4>69</vt:i4>
      </vt:variant>
      <vt:variant>
        <vt:i4>0</vt:i4>
      </vt:variant>
      <vt:variant>
        <vt:i4>5</vt:i4>
      </vt:variant>
      <vt:variant>
        <vt:lpwstr>http://www.nevo.co.il/law/74501/2.a.b</vt:lpwstr>
      </vt:variant>
      <vt:variant>
        <vt:lpwstr/>
      </vt:variant>
      <vt:variant>
        <vt:i4>4784200</vt:i4>
      </vt:variant>
      <vt:variant>
        <vt:i4>66</vt:i4>
      </vt:variant>
      <vt:variant>
        <vt:i4>0</vt:i4>
      </vt:variant>
      <vt:variant>
        <vt:i4>5</vt:i4>
      </vt:variant>
      <vt:variant>
        <vt:lpwstr>http://www.nevo.co.il/law/5227/67</vt:lpwstr>
      </vt:variant>
      <vt:variant>
        <vt:lpwstr/>
      </vt:variant>
      <vt:variant>
        <vt:i4>8323175</vt:i4>
      </vt:variant>
      <vt:variant>
        <vt:i4>63</vt:i4>
      </vt:variant>
      <vt:variant>
        <vt:i4>0</vt:i4>
      </vt:variant>
      <vt:variant>
        <vt:i4>5</vt:i4>
      </vt:variant>
      <vt:variant>
        <vt:lpwstr>http://www.nevo.co.il/law/5227</vt:lpwstr>
      </vt:variant>
      <vt:variant>
        <vt:lpwstr/>
      </vt:variant>
      <vt:variant>
        <vt:i4>6291576</vt:i4>
      </vt:variant>
      <vt:variant>
        <vt:i4>60</vt:i4>
      </vt:variant>
      <vt:variant>
        <vt:i4>0</vt:i4>
      </vt:variant>
      <vt:variant>
        <vt:i4>5</vt:i4>
      </vt:variant>
      <vt:variant>
        <vt:lpwstr>http://www.nevo.co.il/law/5227/10.a</vt:lpwstr>
      </vt:variant>
      <vt:variant>
        <vt:lpwstr/>
      </vt:variant>
      <vt:variant>
        <vt:i4>8257637</vt:i4>
      </vt:variant>
      <vt:variant>
        <vt:i4>57</vt:i4>
      </vt:variant>
      <vt:variant>
        <vt:i4>0</vt:i4>
      </vt:variant>
      <vt:variant>
        <vt:i4>5</vt:i4>
      </vt:variant>
      <vt:variant>
        <vt:lpwstr>http://www.nevo.co.il/law/4216</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http://www.nevo.co.il/law/72265</vt:lpwstr>
      </vt:variant>
      <vt:variant>
        <vt:lpwstr/>
      </vt:variant>
      <vt:variant>
        <vt:i4>6684769</vt:i4>
      </vt:variant>
      <vt:variant>
        <vt:i4>45</vt:i4>
      </vt:variant>
      <vt:variant>
        <vt:i4>0</vt:i4>
      </vt:variant>
      <vt:variant>
        <vt:i4>5</vt:i4>
      </vt:variant>
      <vt:variant>
        <vt:lpwstr>http://www.nevo.co.il/law/72265/17</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4915283</vt:i4>
      </vt:variant>
      <vt:variant>
        <vt:i4>39</vt:i4>
      </vt:variant>
      <vt:variant>
        <vt:i4>0</vt:i4>
      </vt:variant>
      <vt:variant>
        <vt:i4>5</vt:i4>
      </vt:variant>
      <vt:variant>
        <vt:lpwstr>http://www.nevo.co.il/law/70301/402.b</vt:lpwstr>
      </vt:variant>
      <vt:variant>
        <vt:lpwstr/>
      </vt:variant>
      <vt:variant>
        <vt:i4>5308416</vt:i4>
      </vt:variant>
      <vt:variant>
        <vt:i4>36</vt:i4>
      </vt:variant>
      <vt:variant>
        <vt:i4>0</vt:i4>
      </vt:variant>
      <vt:variant>
        <vt:i4>5</vt:i4>
      </vt:variant>
      <vt:variant>
        <vt:lpwstr>http://www.nevo.co.il/law/74501/2.a.b</vt:lpwstr>
      </vt:variant>
      <vt:variant>
        <vt:lpwstr/>
      </vt:variant>
      <vt:variant>
        <vt:i4>8257634</vt:i4>
      </vt:variant>
      <vt:variant>
        <vt:i4>33</vt:i4>
      </vt:variant>
      <vt:variant>
        <vt:i4>0</vt:i4>
      </vt:variant>
      <vt:variant>
        <vt:i4>5</vt:i4>
      </vt:variant>
      <vt:variant>
        <vt:lpwstr>http://www.nevo.co.il/law/74501</vt:lpwstr>
      </vt:variant>
      <vt:variant>
        <vt:lpwstr/>
      </vt:variant>
      <vt:variant>
        <vt:i4>4784200</vt:i4>
      </vt:variant>
      <vt:variant>
        <vt:i4>30</vt:i4>
      </vt:variant>
      <vt:variant>
        <vt:i4>0</vt:i4>
      </vt:variant>
      <vt:variant>
        <vt:i4>5</vt:i4>
      </vt:variant>
      <vt:variant>
        <vt:lpwstr>http://www.nevo.co.il/law/5227/67</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6684769</vt:i4>
      </vt:variant>
      <vt:variant>
        <vt:i4>12</vt:i4>
      </vt:variant>
      <vt:variant>
        <vt:i4>0</vt:i4>
      </vt:variant>
      <vt:variant>
        <vt:i4>5</vt:i4>
      </vt:variant>
      <vt:variant>
        <vt:lpwstr>http://www.nevo.co.il/law/72265/17</vt:lpwstr>
      </vt:variant>
      <vt:variant>
        <vt:lpwstr/>
      </vt:variant>
      <vt:variant>
        <vt:i4>8257637</vt:i4>
      </vt:variant>
      <vt:variant>
        <vt:i4>9</vt:i4>
      </vt:variant>
      <vt:variant>
        <vt:i4>0</vt:i4>
      </vt:variant>
      <vt:variant>
        <vt:i4>5</vt:i4>
      </vt:variant>
      <vt:variant>
        <vt:lpwstr>http://www.nevo.co.il/law/72265</vt:lpwstr>
      </vt:variant>
      <vt:variant>
        <vt:lpwstr/>
      </vt:variant>
      <vt:variant>
        <vt:i4>4915283</vt:i4>
      </vt:variant>
      <vt:variant>
        <vt:i4>6</vt:i4>
      </vt:variant>
      <vt:variant>
        <vt:i4>0</vt:i4>
      </vt:variant>
      <vt:variant>
        <vt:i4>5</vt:i4>
      </vt:variant>
      <vt:variant>
        <vt:lpwstr>http://www.nevo.co.il/law/70301/402.b</vt:lpwstr>
      </vt:variant>
      <vt:variant>
        <vt:lpwstr/>
      </vt:variant>
      <vt:variant>
        <vt:i4>4915283</vt:i4>
      </vt:variant>
      <vt:variant>
        <vt:i4>3</vt:i4>
      </vt:variant>
      <vt:variant>
        <vt:i4>0</vt:i4>
      </vt:variant>
      <vt:variant>
        <vt:i4>5</vt:i4>
      </vt:variant>
      <vt:variant>
        <vt:lpwstr>http://www.nevo.co.il/law/70301/402.a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2025-04-22T20:33:00Z</dcterms:created>
  <dcterms:modified xsi:type="dcterms:W3CDTF">2025-04-22T20:33:00Z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3507</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ישראל;פרקליטות מחוז צפון</vt:lpwstr>
  </property>
  <property fmtid="{D5CDD505-2E9C-101B-9397-08002B2CF9AE}" pid="9" name="APPELLEE">
    <vt:lpwstr>יוסף חדאד</vt:lpwstr>
  </property>
  <property fmtid="{D5CDD505-2E9C-101B-9397-08002B2CF9AE}" pid="10" name="LAWYER">
    <vt:lpwstr>עזאם טנוס;יעל שוחט פינק</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20141201</vt:lpwstr>
  </property>
  <property fmtid="{D5CDD505-2E9C-101B-9397-08002B2CF9AE}" pid="14" name="TYPE_N_DATE">
    <vt:lpwstr>39020141201</vt:lpwstr>
  </property>
  <property fmtid="{D5CDD505-2E9C-101B-9397-08002B2CF9AE}" pid="15" name="CASESLISTTMP1">
    <vt:lpwstr>4209897:3;4846878:2;5603213;5589995;6038879;6040836;7980301;5590454;5583050</vt:lpwstr>
  </property>
  <property fmtid="{D5CDD505-2E9C-101B-9397-08002B2CF9AE}" pid="16" name="WORDNUMPAGES">
    <vt:lpwstr>8</vt:lpwstr>
  </property>
  <property fmtid="{D5CDD505-2E9C-101B-9397-08002B2CF9AE}" pid="17" name="TYPE_ABS_DATE">
    <vt:lpwstr>390020141201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70301/402.b:4;402.a</vt:lpwstr>
  </property>
  <property fmtid="{D5CDD505-2E9C-101B-9397-08002B2CF9AE}" pid="37" name="LAWLISTTMP2">
    <vt:lpwstr>72265/017</vt:lpwstr>
  </property>
  <property fmtid="{D5CDD505-2E9C-101B-9397-08002B2CF9AE}" pid="38" name="LAWLISTTMP3">
    <vt:lpwstr>4216/007.a;007.c</vt:lpwstr>
  </property>
  <property fmtid="{D5CDD505-2E9C-101B-9397-08002B2CF9AE}" pid="39" name="LAWLISTTMP4">
    <vt:lpwstr>5227/010.a;067</vt:lpwstr>
  </property>
  <property fmtid="{D5CDD505-2E9C-101B-9397-08002B2CF9AE}" pid="40" name="LAWLISTTMP5">
    <vt:lpwstr>74501/002.a.b</vt:lpwstr>
  </property>
</Properties>
</file>