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921932" w:rsidRPr="003B633E" w14:paraId="216EB60D" w14:textId="77777777">
        <w:trPr>
          <w:trHeight w:hRule="exact" w:val="418"/>
          <w:jc w:val="center"/>
        </w:trPr>
        <w:tc>
          <w:tcPr>
            <w:tcW w:w="8721" w:type="dxa"/>
            <w:gridSpan w:val="2"/>
          </w:tcPr>
          <w:p w14:paraId="2D1533BD" w14:textId="77777777" w:rsidR="00921932" w:rsidRPr="003B633E" w:rsidRDefault="003B633E">
            <w:pPr>
              <w:pStyle w:val="a3"/>
              <w:jc w:val="center"/>
              <w:rPr>
                <w:rFonts w:ascii="Tahoma" w:hAnsi="Tahoma" w:cs="Tahoma"/>
                <w:color w:val="000080"/>
                <w:rtl/>
              </w:rPr>
            </w:pPr>
            <w:bookmarkStart w:id="0" w:name="FirstLawyer"/>
            <w:bookmarkStart w:id="1" w:name="LastJudge"/>
            <w:r w:rsidRPr="003B633E">
              <w:rPr>
                <w:rFonts w:ascii="Tahoma" w:hAnsi="Tahoma" w:cs="Tahoma"/>
                <w:b/>
                <w:bCs/>
                <w:color w:val="000080"/>
                <w:rtl/>
              </w:rPr>
              <w:t>בית המשפט המחוזי בחיפה</w:t>
            </w:r>
          </w:p>
        </w:tc>
      </w:tr>
      <w:tr w:rsidR="00921932" w:rsidRPr="003B633E" w14:paraId="0749F4BF" w14:textId="77777777">
        <w:trPr>
          <w:trHeight w:val="337"/>
          <w:jc w:val="center"/>
        </w:trPr>
        <w:tc>
          <w:tcPr>
            <w:tcW w:w="5061" w:type="dxa"/>
          </w:tcPr>
          <w:p w14:paraId="2F4AC2C7" w14:textId="77777777" w:rsidR="00921932" w:rsidRPr="003B633E" w:rsidRDefault="003B633E">
            <w:pPr>
              <w:rPr>
                <w:rFonts w:cs="FrankRuehl"/>
                <w:sz w:val="28"/>
                <w:szCs w:val="28"/>
                <w:rtl/>
              </w:rPr>
            </w:pPr>
            <w:r w:rsidRPr="003B633E">
              <w:rPr>
                <w:rFonts w:cs="FrankRuehl"/>
                <w:sz w:val="28"/>
                <w:szCs w:val="28"/>
                <w:rtl/>
              </w:rPr>
              <w:t>ת"פ</w:t>
            </w:r>
            <w:r w:rsidRPr="003B633E">
              <w:rPr>
                <w:rFonts w:cs="FrankRuehl" w:hint="cs"/>
                <w:sz w:val="28"/>
                <w:szCs w:val="28"/>
                <w:rtl/>
              </w:rPr>
              <w:t xml:space="preserve"> </w:t>
            </w:r>
            <w:r w:rsidRPr="003B633E">
              <w:rPr>
                <w:rFonts w:cs="FrankRuehl"/>
                <w:sz w:val="28"/>
                <w:szCs w:val="28"/>
                <w:rtl/>
              </w:rPr>
              <w:t>46090-03-14</w:t>
            </w:r>
            <w:r w:rsidRPr="003B633E">
              <w:rPr>
                <w:rFonts w:cs="FrankRuehl" w:hint="cs"/>
                <w:sz w:val="28"/>
                <w:szCs w:val="28"/>
                <w:rtl/>
              </w:rPr>
              <w:t xml:space="preserve"> </w:t>
            </w:r>
            <w:r w:rsidRPr="003B633E">
              <w:rPr>
                <w:rFonts w:cs="FrankRuehl"/>
                <w:sz w:val="28"/>
                <w:szCs w:val="28"/>
                <w:rtl/>
              </w:rPr>
              <w:t>מדינת ישראל נ' דנילוביץ'(עציר) ואח'</w:t>
            </w:r>
          </w:p>
          <w:p w14:paraId="621F0CA8" w14:textId="77777777" w:rsidR="00921932" w:rsidRPr="003B633E" w:rsidRDefault="00921932">
            <w:pPr>
              <w:pStyle w:val="a3"/>
              <w:rPr>
                <w:rFonts w:cs="FrankRuehl"/>
                <w:sz w:val="28"/>
                <w:szCs w:val="28"/>
                <w:rtl/>
              </w:rPr>
            </w:pPr>
          </w:p>
        </w:tc>
        <w:tc>
          <w:tcPr>
            <w:tcW w:w="3660" w:type="dxa"/>
          </w:tcPr>
          <w:p w14:paraId="5C3563FE" w14:textId="77777777" w:rsidR="00921932" w:rsidRPr="003B633E" w:rsidRDefault="00921932">
            <w:pPr>
              <w:pStyle w:val="a3"/>
              <w:jc w:val="right"/>
              <w:rPr>
                <w:rFonts w:cs="FrankRuehl"/>
                <w:sz w:val="28"/>
                <w:szCs w:val="28"/>
                <w:rtl/>
              </w:rPr>
            </w:pPr>
          </w:p>
        </w:tc>
      </w:tr>
    </w:tbl>
    <w:p w14:paraId="3B3F0553" w14:textId="77777777" w:rsidR="00921932" w:rsidRPr="003B633E" w:rsidRDefault="003B633E">
      <w:pPr>
        <w:pStyle w:val="a3"/>
        <w:rPr>
          <w:rtl/>
        </w:rPr>
      </w:pPr>
      <w:r w:rsidRPr="003B633E">
        <w:rPr>
          <w:rFonts w:hint="cs"/>
          <w:rtl/>
        </w:rPr>
        <w:t xml:space="preserve"> </w:t>
      </w:r>
    </w:p>
    <w:p w14:paraId="7BBC14FE" w14:textId="77777777" w:rsidR="00921932" w:rsidRPr="003B633E" w:rsidRDefault="00921932">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921932" w:rsidRPr="003B633E" w14:paraId="7FF42D32" w14:textId="77777777">
        <w:trPr>
          <w:gridAfter w:val="1"/>
          <w:wAfter w:w="83" w:type="dxa"/>
        </w:trPr>
        <w:tc>
          <w:tcPr>
            <w:tcW w:w="8719" w:type="dxa"/>
            <w:gridSpan w:val="2"/>
            <w:shd w:val="clear" w:color="auto" w:fill="auto"/>
          </w:tcPr>
          <w:p w14:paraId="797E5E4A" w14:textId="77777777" w:rsidR="00921932" w:rsidRPr="003B633E" w:rsidRDefault="003B633E">
            <w:pPr>
              <w:spacing w:line="360" w:lineRule="auto"/>
              <w:rPr>
                <w:b/>
                <w:bCs/>
                <w:sz w:val="26"/>
                <w:szCs w:val="26"/>
              </w:rPr>
            </w:pPr>
            <w:r w:rsidRPr="003B633E">
              <w:rPr>
                <w:rFonts w:hint="cs"/>
                <w:b/>
                <w:bCs/>
                <w:sz w:val="26"/>
                <w:szCs w:val="26"/>
                <w:rtl/>
              </w:rPr>
              <w:t>בפני כב' ה</w:t>
            </w:r>
            <w:r w:rsidRPr="003B633E">
              <w:rPr>
                <w:rFonts w:hint="cs"/>
                <w:rtl/>
              </w:rPr>
              <w:t>שופט אברהם אליקים</w:t>
            </w:r>
            <w:r w:rsidRPr="003B633E">
              <w:rPr>
                <w:rStyle w:val="TimesNewRomanTimesNewRoman"/>
                <w:rFonts w:hint="cs"/>
                <w:rtl/>
              </w:rPr>
              <w:t xml:space="preserve"> </w:t>
            </w:r>
          </w:p>
        </w:tc>
      </w:tr>
      <w:tr w:rsidR="00921932" w:rsidRPr="003B633E" w14:paraId="0D6E6787" w14:textId="77777777">
        <w:tc>
          <w:tcPr>
            <w:tcW w:w="2880" w:type="dxa"/>
            <w:shd w:val="clear" w:color="auto" w:fill="auto"/>
          </w:tcPr>
          <w:p w14:paraId="5576E228" w14:textId="77777777" w:rsidR="00921932" w:rsidRPr="003B633E" w:rsidRDefault="003B633E">
            <w:pPr>
              <w:ind w:left="26"/>
              <w:rPr>
                <w:b/>
                <w:bCs/>
                <w:sz w:val="26"/>
                <w:szCs w:val="26"/>
              </w:rPr>
            </w:pPr>
            <w:bookmarkStart w:id="2" w:name="FirstAppellant"/>
            <w:r w:rsidRPr="003B633E">
              <w:rPr>
                <w:rFonts w:hint="cs"/>
                <w:b/>
                <w:bCs/>
                <w:sz w:val="26"/>
                <w:szCs w:val="26"/>
                <w:rtl/>
              </w:rPr>
              <w:t>ה</w:t>
            </w:r>
            <w:r w:rsidRPr="003B633E">
              <w:rPr>
                <w:rFonts w:hint="cs"/>
                <w:rtl/>
              </w:rPr>
              <w:t>מאשימה</w:t>
            </w:r>
          </w:p>
        </w:tc>
        <w:tc>
          <w:tcPr>
            <w:tcW w:w="5922" w:type="dxa"/>
            <w:gridSpan w:val="2"/>
            <w:shd w:val="clear" w:color="auto" w:fill="auto"/>
          </w:tcPr>
          <w:p w14:paraId="4CCEF046" w14:textId="77777777" w:rsidR="00921932" w:rsidRPr="003B633E" w:rsidRDefault="003B633E">
            <w:pPr>
              <w:rPr>
                <w:b/>
                <w:bCs/>
                <w:sz w:val="26"/>
                <w:szCs w:val="26"/>
                <w:rtl/>
              </w:rPr>
            </w:pPr>
            <w:r w:rsidRPr="003B633E">
              <w:rPr>
                <w:rFonts w:hint="cs"/>
                <w:rtl/>
              </w:rPr>
              <w:t>מדינת ישראל</w:t>
            </w:r>
          </w:p>
          <w:p w14:paraId="39E47BCE" w14:textId="77777777" w:rsidR="00921932" w:rsidRPr="003B633E" w:rsidRDefault="00921932">
            <w:pPr>
              <w:rPr>
                <w:b/>
                <w:bCs/>
                <w:sz w:val="26"/>
                <w:szCs w:val="26"/>
              </w:rPr>
            </w:pPr>
          </w:p>
        </w:tc>
      </w:tr>
      <w:bookmarkEnd w:id="2"/>
      <w:tr w:rsidR="00921932" w:rsidRPr="003B633E" w14:paraId="6352C992" w14:textId="77777777">
        <w:tc>
          <w:tcPr>
            <w:tcW w:w="8802" w:type="dxa"/>
            <w:gridSpan w:val="3"/>
            <w:shd w:val="clear" w:color="auto" w:fill="auto"/>
          </w:tcPr>
          <w:p w14:paraId="5F8669C7" w14:textId="77777777" w:rsidR="00921932" w:rsidRPr="003B633E" w:rsidRDefault="003B633E">
            <w:pPr>
              <w:jc w:val="center"/>
              <w:rPr>
                <w:rFonts w:ascii="Arial" w:hAnsi="Arial"/>
                <w:b/>
                <w:bCs/>
                <w:sz w:val="26"/>
                <w:szCs w:val="26"/>
                <w:rtl/>
              </w:rPr>
            </w:pPr>
            <w:r w:rsidRPr="003B633E">
              <w:rPr>
                <w:rFonts w:ascii="Arial" w:hAnsi="Arial" w:hint="cs"/>
                <w:b/>
                <w:bCs/>
                <w:sz w:val="26"/>
                <w:szCs w:val="26"/>
                <w:rtl/>
              </w:rPr>
              <w:t>נגד</w:t>
            </w:r>
          </w:p>
          <w:p w14:paraId="4294D8ED" w14:textId="77777777" w:rsidR="00921932" w:rsidRPr="003B633E" w:rsidRDefault="00921932">
            <w:pPr>
              <w:jc w:val="center"/>
              <w:rPr>
                <w:rFonts w:ascii="Arial" w:hAnsi="Arial"/>
                <w:b/>
                <w:bCs/>
                <w:sz w:val="26"/>
                <w:szCs w:val="26"/>
              </w:rPr>
            </w:pPr>
          </w:p>
        </w:tc>
      </w:tr>
      <w:tr w:rsidR="00921932" w:rsidRPr="003B633E" w14:paraId="728F37D4" w14:textId="77777777">
        <w:tc>
          <w:tcPr>
            <w:tcW w:w="2880" w:type="dxa"/>
            <w:shd w:val="clear" w:color="auto" w:fill="auto"/>
          </w:tcPr>
          <w:p w14:paraId="7A0BDF32" w14:textId="77777777" w:rsidR="00921932" w:rsidRPr="003B633E" w:rsidRDefault="003B633E">
            <w:pPr>
              <w:ind w:left="26"/>
              <w:rPr>
                <w:b/>
                <w:bCs/>
                <w:sz w:val="26"/>
                <w:szCs w:val="26"/>
              </w:rPr>
            </w:pPr>
            <w:r w:rsidRPr="003B633E">
              <w:rPr>
                <w:rFonts w:hint="cs"/>
                <w:b/>
                <w:bCs/>
                <w:sz w:val="26"/>
                <w:szCs w:val="26"/>
                <w:rtl/>
              </w:rPr>
              <w:t>ה</w:t>
            </w:r>
            <w:r w:rsidRPr="003B633E">
              <w:rPr>
                <w:rFonts w:hint="cs"/>
                <w:rtl/>
              </w:rPr>
              <w:t>נאשם</w:t>
            </w:r>
          </w:p>
        </w:tc>
        <w:tc>
          <w:tcPr>
            <w:tcW w:w="5922" w:type="dxa"/>
            <w:gridSpan w:val="2"/>
            <w:shd w:val="clear" w:color="auto" w:fill="auto"/>
          </w:tcPr>
          <w:p w14:paraId="347E765A" w14:textId="77777777" w:rsidR="00921932" w:rsidRPr="003B633E" w:rsidRDefault="003B633E">
            <w:pPr>
              <w:rPr>
                <w:b/>
                <w:bCs/>
                <w:sz w:val="26"/>
                <w:szCs w:val="26"/>
              </w:rPr>
            </w:pPr>
            <w:r w:rsidRPr="003B633E">
              <w:rPr>
                <w:rFonts w:hint="cs"/>
                <w:rtl/>
              </w:rPr>
              <w:t>איגור ריאבצ'נקו ת.ז. 317615102</w:t>
            </w:r>
          </w:p>
        </w:tc>
      </w:tr>
    </w:tbl>
    <w:p w14:paraId="7B5DB7BF" w14:textId="77777777" w:rsidR="00A25EBC" w:rsidRPr="00A25EBC" w:rsidRDefault="00A25EBC" w:rsidP="00A25EBC">
      <w:pPr>
        <w:spacing w:after="120" w:line="240" w:lineRule="exact"/>
        <w:jc w:val="both"/>
        <w:rPr>
          <w:rFonts w:ascii="FrankRuehl" w:eastAsia="David" w:hAnsi="FrankRuehl" w:cs="FrankRuehl"/>
          <w:rtl/>
        </w:rPr>
      </w:pPr>
    </w:p>
    <w:p w14:paraId="555F24C7" w14:textId="77777777" w:rsidR="00A25EBC" w:rsidRPr="00A25EBC" w:rsidRDefault="00A25EBC" w:rsidP="00A25EBC">
      <w:pPr>
        <w:spacing w:after="120" w:line="240" w:lineRule="exact"/>
        <w:jc w:val="both"/>
        <w:rPr>
          <w:rFonts w:ascii="FrankRuehl" w:eastAsia="David" w:hAnsi="FrankRuehl" w:cs="FrankRuehl"/>
          <w:rtl/>
        </w:rPr>
      </w:pPr>
      <w:r w:rsidRPr="00A25EBC">
        <w:rPr>
          <w:rFonts w:ascii="FrankRuehl" w:eastAsia="David" w:hAnsi="FrankRuehl" w:cs="FrankRuehl"/>
          <w:color w:val="0000FF"/>
          <w:rtl/>
        </w:rPr>
        <w:t>חקיקה שאוזכרה</w:t>
      </w:r>
      <w:r w:rsidRPr="00A25EBC">
        <w:rPr>
          <w:rFonts w:ascii="FrankRuehl" w:eastAsia="David" w:hAnsi="FrankRuehl" w:cs="FrankRuehl"/>
          <w:rtl/>
        </w:rPr>
        <w:t xml:space="preserve">: </w:t>
      </w:r>
    </w:p>
    <w:p w14:paraId="3E12D304" w14:textId="77777777" w:rsidR="00A25EBC" w:rsidRPr="00A25EBC" w:rsidRDefault="00A25EBC" w:rsidP="00A25EBC">
      <w:pPr>
        <w:spacing w:after="120" w:line="240" w:lineRule="exact"/>
        <w:jc w:val="both"/>
        <w:rPr>
          <w:rFonts w:ascii="FrankRuehl" w:eastAsia="David" w:hAnsi="FrankRuehl" w:cs="FrankRuehl"/>
          <w:rtl/>
        </w:rPr>
      </w:pPr>
      <w:hyperlink r:id="rId7" w:history="1">
        <w:r w:rsidRPr="00A25EBC">
          <w:rPr>
            <w:rFonts w:ascii="FrankRuehl" w:eastAsia="David" w:hAnsi="FrankRuehl" w:cs="FrankRuehl"/>
            <w:rtl/>
          </w:rPr>
          <w:t>פקודת הסמים המסוכנים [נוסח חדש], תשל"ג-1973</w:t>
        </w:r>
      </w:hyperlink>
      <w:r w:rsidRPr="00A25EBC">
        <w:rPr>
          <w:rFonts w:ascii="FrankRuehl" w:eastAsia="David" w:hAnsi="FrankRuehl" w:cs="FrankRuehl"/>
          <w:rtl/>
        </w:rPr>
        <w:t xml:space="preserve">: סע'  </w:t>
      </w:r>
      <w:hyperlink r:id="rId8" w:history="1">
        <w:r w:rsidRPr="00A25EBC">
          <w:rPr>
            <w:rFonts w:ascii="FrankRuehl" w:eastAsia="David" w:hAnsi="FrankRuehl" w:cs="FrankRuehl"/>
            <w:rtl/>
          </w:rPr>
          <w:t>7(א)</w:t>
        </w:r>
      </w:hyperlink>
      <w:r w:rsidRPr="00A25EBC">
        <w:rPr>
          <w:rFonts w:ascii="FrankRuehl" w:eastAsia="David" w:hAnsi="FrankRuehl" w:cs="FrankRuehl"/>
          <w:rtl/>
        </w:rPr>
        <w:t xml:space="preserve">, </w:t>
      </w:r>
      <w:hyperlink r:id="rId9" w:history="1">
        <w:r w:rsidRPr="00A25EBC">
          <w:rPr>
            <w:rFonts w:ascii="FrankRuehl" w:eastAsia="David" w:hAnsi="FrankRuehl" w:cs="FrankRuehl"/>
            <w:rtl/>
          </w:rPr>
          <w:t>7(ג)</w:t>
        </w:r>
      </w:hyperlink>
      <w:r w:rsidRPr="00A25EBC">
        <w:rPr>
          <w:rFonts w:ascii="FrankRuehl" w:eastAsia="David" w:hAnsi="FrankRuehl" w:cs="FrankRuehl"/>
          <w:rtl/>
        </w:rPr>
        <w:t xml:space="preserve">, </w:t>
      </w:r>
      <w:hyperlink r:id="rId10" w:history="1">
        <w:r w:rsidRPr="00A25EBC">
          <w:rPr>
            <w:rFonts w:ascii="FrankRuehl" w:eastAsia="David" w:hAnsi="FrankRuehl" w:cs="FrankRuehl"/>
            <w:rtl/>
          </w:rPr>
          <w:t>13</w:t>
        </w:r>
      </w:hyperlink>
      <w:r w:rsidRPr="00A25EBC">
        <w:rPr>
          <w:rFonts w:ascii="FrankRuehl" w:eastAsia="David" w:hAnsi="FrankRuehl" w:cs="FrankRuehl"/>
          <w:rtl/>
        </w:rPr>
        <w:t xml:space="preserve">, </w:t>
      </w:r>
      <w:hyperlink r:id="rId11" w:history="1">
        <w:r w:rsidRPr="00A25EBC">
          <w:rPr>
            <w:rFonts w:ascii="FrankRuehl" w:eastAsia="David" w:hAnsi="FrankRuehl" w:cs="FrankRuehl"/>
            <w:rtl/>
          </w:rPr>
          <w:t>19א'</w:t>
        </w:r>
      </w:hyperlink>
    </w:p>
    <w:p w14:paraId="7336096E" w14:textId="77777777" w:rsidR="00A25EBC" w:rsidRPr="00A25EBC" w:rsidRDefault="00A25EBC" w:rsidP="00A25EBC">
      <w:pPr>
        <w:spacing w:after="120" w:line="240" w:lineRule="exact"/>
        <w:jc w:val="both"/>
        <w:rPr>
          <w:rFonts w:ascii="FrankRuehl" w:eastAsia="David" w:hAnsi="FrankRuehl" w:cs="FrankRuehl"/>
          <w:rtl/>
        </w:rPr>
      </w:pPr>
      <w:hyperlink r:id="rId12" w:history="1">
        <w:r w:rsidRPr="00A25EBC">
          <w:rPr>
            <w:rFonts w:ascii="FrankRuehl" w:eastAsia="David" w:hAnsi="FrankRuehl" w:cs="FrankRuehl"/>
            <w:rtl/>
          </w:rPr>
          <w:t>חוק העונשין, תשל"ז-1977</w:t>
        </w:r>
      </w:hyperlink>
      <w:r w:rsidRPr="00A25EBC">
        <w:rPr>
          <w:rFonts w:ascii="FrankRuehl" w:eastAsia="David" w:hAnsi="FrankRuehl" w:cs="FrankRuehl"/>
          <w:rtl/>
        </w:rPr>
        <w:t xml:space="preserve">: סע'  </w:t>
      </w:r>
      <w:hyperlink r:id="rId13" w:history="1">
        <w:r w:rsidRPr="00A25EBC">
          <w:rPr>
            <w:rFonts w:ascii="FrankRuehl" w:eastAsia="David" w:hAnsi="FrankRuehl" w:cs="FrankRuehl"/>
            <w:rtl/>
          </w:rPr>
          <w:t>25</w:t>
        </w:r>
      </w:hyperlink>
      <w:r w:rsidRPr="00A25EBC">
        <w:rPr>
          <w:rFonts w:ascii="FrankRuehl" w:eastAsia="David" w:hAnsi="FrankRuehl" w:cs="FrankRuehl"/>
          <w:rtl/>
        </w:rPr>
        <w:t xml:space="preserve">, </w:t>
      </w:r>
      <w:hyperlink r:id="rId14" w:history="1">
        <w:r w:rsidRPr="00A25EBC">
          <w:rPr>
            <w:rFonts w:ascii="FrankRuehl" w:eastAsia="David" w:hAnsi="FrankRuehl" w:cs="FrankRuehl"/>
            <w:rtl/>
          </w:rPr>
          <w:t>29</w:t>
        </w:r>
      </w:hyperlink>
      <w:r w:rsidRPr="00A25EBC">
        <w:rPr>
          <w:rFonts w:ascii="FrankRuehl" w:eastAsia="David" w:hAnsi="FrankRuehl" w:cs="FrankRuehl"/>
          <w:rtl/>
        </w:rPr>
        <w:t xml:space="preserve">, </w:t>
      </w:r>
      <w:hyperlink r:id="rId15" w:history="1">
        <w:r w:rsidRPr="00A25EBC">
          <w:rPr>
            <w:rFonts w:ascii="FrankRuehl" w:eastAsia="David" w:hAnsi="FrankRuehl" w:cs="FrankRuehl"/>
            <w:rtl/>
          </w:rPr>
          <w:t>31</w:t>
        </w:r>
      </w:hyperlink>
      <w:r w:rsidRPr="00A25EBC">
        <w:rPr>
          <w:rFonts w:ascii="FrankRuehl" w:eastAsia="David" w:hAnsi="FrankRuehl" w:cs="FrankRuehl"/>
          <w:rtl/>
        </w:rPr>
        <w:t xml:space="preserve">, </w:t>
      </w:r>
      <w:hyperlink r:id="rId16" w:history="1">
        <w:r w:rsidRPr="00A25EBC">
          <w:rPr>
            <w:rFonts w:ascii="FrankRuehl" w:eastAsia="David" w:hAnsi="FrankRuehl" w:cs="FrankRuehl"/>
            <w:rtl/>
          </w:rPr>
          <w:t>40ב'</w:t>
        </w:r>
      </w:hyperlink>
      <w:r w:rsidRPr="00A25EBC">
        <w:rPr>
          <w:rFonts w:ascii="FrankRuehl" w:eastAsia="David" w:hAnsi="FrankRuehl" w:cs="FrankRuehl"/>
          <w:rtl/>
        </w:rPr>
        <w:t xml:space="preserve">, </w:t>
      </w:r>
      <w:hyperlink r:id="rId17" w:history="1">
        <w:r w:rsidRPr="00A25EBC">
          <w:rPr>
            <w:rFonts w:ascii="FrankRuehl" w:eastAsia="David" w:hAnsi="FrankRuehl" w:cs="FrankRuehl"/>
            <w:rtl/>
          </w:rPr>
          <w:t>40ט'</w:t>
        </w:r>
      </w:hyperlink>
      <w:r w:rsidRPr="00A25EBC">
        <w:rPr>
          <w:rFonts w:ascii="FrankRuehl" w:eastAsia="David" w:hAnsi="FrankRuehl" w:cs="FrankRuehl"/>
          <w:rtl/>
        </w:rPr>
        <w:t xml:space="preserve">, </w:t>
      </w:r>
      <w:hyperlink r:id="rId18" w:history="1">
        <w:r w:rsidRPr="00A25EBC">
          <w:rPr>
            <w:rFonts w:ascii="FrankRuehl" w:eastAsia="David" w:hAnsi="FrankRuehl" w:cs="FrankRuehl"/>
            <w:rtl/>
          </w:rPr>
          <w:t>56</w:t>
        </w:r>
      </w:hyperlink>
      <w:r w:rsidRPr="00A25EBC">
        <w:rPr>
          <w:rFonts w:ascii="FrankRuehl" w:eastAsia="David" w:hAnsi="FrankRuehl" w:cs="FrankRuehl"/>
          <w:rtl/>
        </w:rPr>
        <w:t xml:space="preserve">, </w:t>
      </w:r>
      <w:hyperlink r:id="rId19" w:history="1">
        <w:r w:rsidRPr="00A25EBC">
          <w:rPr>
            <w:rFonts w:ascii="FrankRuehl" w:eastAsia="David" w:hAnsi="FrankRuehl" w:cs="FrankRuehl"/>
            <w:rtl/>
          </w:rPr>
          <w:t>40יא(1)</w:t>
        </w:r>
      </w:hyperlink>
    </w:p>
    <w:p w14:paraId="7B14BE03" w14:textId="77777777" w:rsidR="00A25EBC" w:rsidRPr="00A25EBC" w:rsidRDefault="00A25EBC" w:rsidP="00A25EBC">
      <w:pPr>
        <w:spacing w:after="120" w:line="240" w:lineRule="exact"/>
        <w:jc w:val="both"/>
        <w:rPr>
          <w:rFonts w:ascii="FrankRuehl" w:eastAsia="David" w:hAnsi="FrankRuehl" w:cs="FrankRuehl"/>
          <w:rtl/>
        </w:rPr>
      </w:pPr>
      <w:hyperlink r:id="rId20" w:history="1">
        <w:r w:rsidRPr="00A25EBC">
          <w:rPr>
            <w:rFonts w:ascii="FrankRuehl" w:eastAsia="David" w:hAnsi="FrankRuehl" w:cs="FrankRuehl"/>
            <w:rtl/>
          </w:rPr>
          <w:t>פקודת המבחן [נוסח חדש], תשכ"ט-1969</w:t>
        </w:r>
      </w:hyperlink>
      <w:r w:rsidRPr="00A25EBC">
        <w:rPr>
          <w:rFonts w:ascii="FrankRuehl" w:eastAsia="David" w:hAnsi="FrankRuehl" w:cs="FrankRuehl"/>
          <w:rtl/>
        </w:rPr>
        <w:t xml:space="preserve">: סע'  </w:t>
      </w:r>
      <w:hyperlink r:id="rId21" w:history="1">
        <w:r w:rsidRPr="00A25EBC">
          <w:rPr>
            <w:rFonts w:ascii="FrankRuehl" w:eastAsia="David" w:hAnsi="FrankRuehl" w:cs="FrankRuehl"/>
            <w:rtl/>
          </w:rPr>
          <w:t>1(ב)</w:t>
        </w:r>
      </w:hyperlink>
    </w:p>
    <w:p w14:paraId="65CA7F6F" w14:textId="77777777" w:rsidR="00921932" w:rsidRPr="003B633E" w:rsidRDefault="00921932">
      <w:pPr>
        <w:spacing w:line="360" w:lineRule="auto"/>
        <w:jc w:val="both"/>
      </w:pPr>
    </w:p>
    <w:p w14:paraId="2487B964" w14:textId="77777777" w:rsidR="00921932" w:rsidRPr="003B633E" w:rsidRDefault="0092193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1932" w:rsidRPr="003B633E" w14:paraId="7B6D4C94" w14:textId="77777777">
        <w:trPr>
          <w:trHeight w:val="355"/>
          <w:jc w:val="center"/>
        </w:trPr>
        <w:tc>
          <w:tcPr>
            <w:tcW w:w="8820" w:type="dxa"/>
            <w:tcBorders>
              <w:top w:val="nil"/>
              <w:left w:val="nil"/>
              <w:bottom w:val="nil"/>
              <w:right w:val="nil"/>
            </w:tcBorders>
            <w:shd w:val="clear" w:color="auto" w:fill="auto"/>
          </w:tcPr>
          <w:p w14:paraId="05DFF2AB" w14:textId="77777777" w:rsidR="00921932" w:rsidRPr="003B633E" w:rsidRDefault="003B633E">
            <w:pPr>
              <w:jc w:val="center"/>
              <w:rPr>
                <w:rFonts w:ascii="Arial" w:hAnsi="Arial" w:cs="FrankRuehl"/>
                <w:sz w:val="32"/>
                <w:szCs w:val="32"/>
                <w:rtl/>
              </w:rPr>
            </w:pPr>
            <w:bookmarkStart w:id="3" w:name="PsakDin"/>
            <w:r w:rsidRPr="003B633E">
              <w:rPr>
                <w:rFonts w:ascii="Arial" w:hAnsi="Arial" w:cs="FrankRuehl" w:hint="cs"/>
                <w:b/>
                <w:bCs/>
                <w:sz w:val="32"/>
                <w:szCs w:val="32"/>
                <w:rtl/>
              </w:rPr>
              <w:t>גזר דין</w:t>
            </w:r>
            <w:r w:rsidRPr="003B633E">
              <w:rPr>
                <w:rFonts w:ascii="Arial" w:hAnsi="Arial" w:cs="FrankRuehl" w:hint="cs"/>
                <w:sz w:val="32"/>
                <w:szCs w:val="32"/>
                <w:rtl/>
              </w:rPr>
              <w:t xml:space="preserve"> </w:t>
            </w:r>
            <w:bookmarkEnd w:id="3"/>
            <w:r w:rsidRPr="003B633E">
              <w:rPr>
                <w:rFonts w:ascii="Arial" w:hAnsi="Arial" w:cs="FrankRuehl" w:hint="cs"/>
                <w:sz w:val="32"/>
                <w:szCs w:val="32"/>
                <w:rtl/>
              </w:rPr>
              <w:t>בעניין נאשם 2</w:t>
            </w:r>
          </w:p>
        </w:tc>
      </w:tr>
    </w:tbl>
    <w:p w14:paraId="2B1FCE64" w14:textId="77777777" w:rsidR="00921932" w:rsidRPr="003B633E" w:rsidRDefault="00921932">
      <w:pPr>
        <w:rPr>
          <w:rFonts w:ascii="Arial" w:hAnsi="Arial"/>
          <w:rtl/>
        </w:rPr>
      </w:pPr>
    </w:p>
    <w:p w14:paraId="7E3D9948" w14:textId="77777777" w:rsidR="00921932" w:rsidRPr="003B633E" w:rsidRDefault="003B633E">
      <w:pPr>
        <w:spacing w:line="360" w:lineRule="auto"/>
        <w:ind w:firstLine="720"/>
        <w:jc w:val="both"/>
        <w:rPr>
          <w:rFonts w:ascii="Arial" w:eastAsia="David" w:hAnsi="Arial" w:cs="Miriam"/>
        </w:rPr>
      </w:pPr>
      <w:r w:rsidRPr="003B633E">
        <w:rPr>
          <w:rFonts w:ascii="Arial" w:eastAsia="David" w:hAnsi="Arial" w:cs="Miriam"/>
          <w:rtl/>
        </w:rPr>
        <w:t>מבוא</w:t>
      </w:r>
    </w:p>
    <w:p w14:paraId="1C2E5FE3" w14:textId="77777777" w:rsidR="00921932" w:rsidRPr="003B633E" w:rsidRDefault="003B633E">
      <w:pPr>
        <w:spacing w:line="360" w:lineRule="auto"/>
        <w:ind w:left="720"/>
        <w:jc w:val="both"/>
        <w:rPr>
          <w:rFonts w:ascii="Arial" w:eastAsia="David" w:hAnsi="Arial" w:cs="FrankRuehl"/>
          <w:szCs w:val="28"/>
        </w:rPr>
      </w:pPr>
      <w:bookmarkStart w:id="4" w:name="ABSTRACT_START"/>
      <w:bookmarkEnd w:id="4"/>
      <w:r w:rsidRPr="003B633E">
        <w:rPr>
          <w:rFonts w:ascii="Arial" w:eastAsia="David" w:hAnsi="Arial" w:cs="FrankRuehl"/>
          <w:szCs w:val="28"/>
          <w:rtl/>
        </w:rPr>
        <w:t>הנאשם 2 (להלן</w:t>
      </w:r>
      <w:r w:rsidRPr="003B633E">
        <w:rPr>
          <w:rFonts w:ascii="Arial" w:eastAsia="David" w:hAnsi="Arial" w:cs="FrankRuehl" w:hint="cs"/>
          <w:szCs w:val="28"/>
          <w:rtl/>
        </w:rPr>
        <w:t>-</w:t>
      </w:r>
      <w:r w:rsidRPr="003B633E">
        <w:rPr>
          <w:rFonts w:ascii="Arial" w:eastAsia="David" w:hAnsi="Arial" w:cs="FrankRuehl"/>
          <w:szCs w:val="28"/>
          <w:rtl/>
        </w:rPr>
        <w:t>הנאשם) הורשע ביום 1.7.2014 על פי הודאתו בעובדות כתב אישום מתוקן (סומן באות א) כחלק מהסדר טיעון שלא כלל הסכמה לעניין העונש</w:t>
      </w:r>
      <w:r w:rsidRPr="003B633E">
        <w:rPr>
          <w:rFonts w:ascii="Arial" w:eastAsia="David" w:hAnsi="Arial" w:cs="FrankRuehl" w:hint="cs"/>
          <w:szCs w:val="28"/>
          <w:rtl/>
        </w:rPr>
        <w:t xml:space="preserve">, </w:t>
      </w:r>
      <w:r w:rsidRPr="003B633E">
        <w:rPr>
          <w:rFonts w:ascii="Arial" w:eastAsia="David" w:hAnsi="Arial" w:cs="FrankRuehl"/>
          <w:szCs w:val="28"/>
          <w:rtl/>
        </w:rPr>
        <w:t xml:space="preserve">בעבירות של סיוע ליבוא סם מסוכן, עבירה לפי </w:t>
      </w:r>
      <w:hyperlink r:id="rId22" w:history="1">
        <w:r w:rsidR="00A25EBC" w:rsidRPr="00A25EBC">
          <w:rPr>
            <w:rFonts w:ascii="Arial" w:eastAsia="David" w:hAnsi="Arial" w:cs="FrankRuehl"/>
            <w:color w:val="0000FF"/>
            <w:szCs w:val="28"/>
            <w:u w:val="single"/>
            <w:rtl/>
          </w:rPr>
          <w:t>סעיפים 13</w:t>
        </w:r>
      </w:hyperlink>
      <w:r w:rsidRPr="003B633E">
        <w:rPr>
          <w:rFonts w:ascii="Arial" w:eastAsia="David" w:hAnsi="Arial" w:cs="FrankRuehl"/>
          <w:szCs w:val="28"/>
          <w:rtl/>
        </w:rPr>
        <w:t xml:space="preserve"> ו- </w:t>
      </w:r>
      <w:hyperlink r:id="rId23" w:history="1">
        <w:r w:rsidR="00A25EBC" w:rsidRPr="00A25EBC">
          <w:rPr>
            <w:rFonts w:ascii="Arial" w:eastAsia="David" w:hAnsi="Arial" w:cs="FrankRuehl"/>
            <w:color w:val="0000FF"/>
            <w:szCs w:val="28"/>
            <w:u w:val="single"/>
            <w:rtl/>
          </w:rPr>
          <w:t>19א'</w:t>
        </w:r>
      </w:hyperlink>
      <w:r w:rsidRPr="003B633E">
        <w:rPr>
          <w:rFonts w:ascii="Arial" w:eastAsia="David" w:hAnsi="Arial" w:cs="FrankRuehl"/>
          <w:szCs w:val="28"/>
          <w:rtl/>
        </w:rPr>
        <w:t xml:space="preserve"> </w:t>
      </w:r>
      <w:r w:rsidRPr="003B633E">
        <w:rPr>
          <w:rFonts w:ascii="Arial" w:eastAsia="David" w:hAnsi="Arial" w:cs="Miriam"/>
          <w:rtl/>
        </w:rPr>
        <w:t>ל</w:t>
      </w:r>
      <w:hyperlink r:id="rId24" w:history="1">
        <w:r w:rsidRPr="003B633E">
          <w:rPr>
            <w:rFonts w:ascii="Arial" w:eastAsia="David" w:hAnsi="Arial" w:cs="Miriam"/>
            <w:color w:val="0000FF"/>
            <w:u w:val="single"/>
            <w:rtl/>
          </w:rPr>
          <w:t>פקודת הסמים המסוכנים</w:t>
        </w:r>
      </w:hyperlink>
      <w:r w:rsidRPr="003B633E">
        <w:rPr>
          <w:rFonts w:ascii="Arial" w:eastAsia="David" w:hAnsi="Arial" w:cs="Miriam"/>
          <w:rtl/>
        </w:rPr>
        <w:t xml:space="preserve"> [נוסח חדש], </w:t>
      </w:r>
      <w:r w:rsidRPr="003B633E">
        <w:rPr>
          <w:rFonts w:ascii="Arial" w:eastAsia="David" w:hAnsi="Arial" w:cs="Miriam"/>
          <w:color w:val="000000"/>
          <w:rtl/>
        </w:rPr>
        <w:t>התשל"ג-1973</w:t>
      </w:r>
      <w:r w:rsidRPr="003B633E">
        <w:rPr>
          <w:rFonts w:ascii="Arial" w:eastAsia="David" w:hAnsi="Arial" w:cs="FrankRuehl"/>
          <w:sz w:val="28"/>
          <w:szCs w:val="28"/>
          <w:rtl/>
        </w:rPr>
        <w:t xml:space="preserve"> (להלן-</w:t>
      </w:r>
      <w:r w:rsidRPr="003B633E">
        <w:rPr>
          <w:rFonts w:ascii="Arial" w:eastAsia="David" w:hAnsi="Arial" w:cs="Miriam"/>
          <w:rtl/>
        </w:rPr>
        <w:t>פקודת הסמים המסוכנים</w:t>
      </w:r>
      <w:r w:rsidRPr="003B633E">
        <w:rPr>
          <w:rFonts w:ascii="Arial" w:eastAsia="David" w:hAnsi="Arial" w:cs="FrankRuehl"/>
          <w:sz w:val="28"/>
          <w:szCs w:val="28"/>
          <w:rtl/>
        </w:rPr>
        <w:t>)</w:t>
      </w:r>
      <w:r w:rsidRPr="003B633E">
        <w:rPr>
          <w:rFonts w:ascii="Arial" w:eastAsia="David" w:hAnsi="Arial" w:cs="FrankRuehl"/>
          <w:szCs w:val="28"/>
          <w:rtl/>
        </w:rPr>
        <w:t xml:space="preserve"> ביחד עם </w:t>
      </w:r>
      <w:hyperlink r:id="rId25" w:history="1">
        <w:r w:rsidR="00A25EBC" w:rsidRPr="00A25EBC">
          <w:rPr>
            <w:rFonts w:ascii="Arial" w:eastAsia="David" w:hAnsi="Arial" w:cs="FrankRuehl"/>
            <w:color w:val="0000FF"/>
            <w:szCs w:val="28"/>
            <w:u w:val="single"/>
            <w:rtl/>
          </w:rPr>
          <w:t>סעיף 31</w:t>
        </w:r>
      </w:hyperlink>
      <w:r w:rsidRPr="003B633E">
        <w:rPr>
          <w:rFonts w:ascii="Arial" w:eastAsia="David" w:hAnsi="Arial" w:cs="FrankRuehl"/>
          <w:szCs w:val="28"/>
          <w:rtl/>
        </w:rPr>
        <w:t xml:space="preserve"> </w:t>
      </w:r>
      <w:r w:rsidRPr="003B633E">
        <w:rPr>
          <w:rFonts w:ascii="Arial" w:eastAsia="David" w:hAnsi="Arial" w:cs="Miriam"/>
          <w:rtl/>
        </w:rPr>
        <w:t>ל</w:t>
      </w:r>
      <w:hyperlink r:id="rId26" w:history="1">
        <w:r w:rsidRPr="003B633E">
          <w:rPr>
            <w:rFonts w:ascii="Arial" w:eastAsia="David" w:hAnsi="Arial" w:cs="Miriam"/>
            <w:color w:val="0000FF"/>
            <w:u w:val="single"/>
            <w:rtl/>
          </w:rPr>
          <w:t>חוק העונשין</w:t>
        </w:r>
      </w:hyperlink>
      <w:r w:rsidRPr="003B633E">
        <w:rPr>
          <w:rFonts w:ascii="Arial" w:eastAsia="David" w:hAnsi="Arial" w:cs="FrankRuehl"/>
          <w:sz w:val="28"/>
          <w:szCs w:val="28"/>
          <w:rtl/>
        </w:rPr>
        <w:t xml:space="preserve"> התשל"ז-1977 </w:t>
      </w:r>
      <w:r w:rsidRPr="003B633E">
        <w:rPr>
          <w:rFonts w:ascii="Arial" w:eastAsia="David" w:hAnsi="Arial" w:cs="FrankRuehl"/>
          <w:szCs w:val="28"/>
          <w:rtl/>
        </w:rPr>
        <w:t>(להלן-</w:t>
      </w:r>
      <w:r w:rsidRPr="003B633E">
        <w:rPr>
          <w:rFonts w:ascii="Arial" w:eastAsia="David" w:hAnsi="Arial" w:cs="Miriam"/>
          <w:rtl/>
        </w:rPr>
        <w:t>חוק העונשין</w:t>
      </w:r>
      <w:r w:rsidRPr="003B633E">
        <w:rPr>
          <w:rFonts w:ascii="Arial" w:eastAsia="David" w:hAnsi="Arial" w:cs="FrankRuehl"/>
          <w:szCs w:val="28"/>
          <w:rtl/>
        </w:rPr>
        <w:t xml:space="preserve">) ובעבירה של ניסיון להחזקת סמים שלא לצריכה עצמית, עבירה לפי </w:t>
      </w:r>
      <w:hyperlink r:id="rId27" w:history="1">
        <w:r w:rsidR="00A25EBC" w:rsidRPr="00A25EBC">
          <w:rPr>
            <w:rFonts w:ascii="Arial" w:eastAsia="David" w:hAnsi="Arial" w:cs="FrankRuehl"/>
            <w:color w:val="0000FF"/>
            <w:szCs w:val="28"/>
            <w:u w:val="single"/>
            <w:rtl/>
          </w:rPr>
          <w:t>סעיפים 7(א)</w:t>
        </w:r>
      </w:hyperlink>
      <w:r w:rsidRPr="003B633E">
        <w:rPr>
          <w:rFonts w:ascii="Arial" w:eastAsia="David" w:hAnsi="Arial" w:cs="FrankRuehl"/>
          <w:szCs w:val="28"/>
          <w:rtl/>
        </w:rPr>
        <w:t xml:space="preserve"> + </w:t>
      </w:r>
      <w:hyperlink r:id="rId28" w:history="1">
        <w:r w:rsidR="00A25EBC" w:rsidRPr="00A25EBC">
          <w:rPr>
            <w:rFonts w:ascii="Arial" w:eastAsia="David" w:hAnsi="Arial" w:cs="FrankRuehl"/>
            <w:color w:val="0000FF"/>
            <w:szCs w:val="28"/>
            <w:u w:val="single"/>
            <w:rtl/>
          </w:rPr>
          <w:t>7(ג)</w:t>
        </w:r>
      </w:hyperlink>
      <w:r w:rsidRPr="003B633E">
        <w:rPr>
          <w:rFonts w:ascii="Arial" w:eastAsia="David" w:hAnsi="Arial" w:cs="FrankRuehl"/>
          <w:szCs w:val="28"/>
          <w:rtl/>
        </w:rPr>
        <w:t xml:space="preserve"> רישא  </w:t>
      </w:r>
      <w:r w:rsidRPr="003B633E">
        <w:rPr>
          <w:rFonts w:ascii="Arial" w:eastAsia="David" w:hAnsi="Arial" w:cs="Miriam"/>
          <w:rtl/>
        </w:rPr>
        <w:t>לפקודת הסמים</w:t>
      </w:r>
      <w:r w:rsidRPr="003B633E">
        <w:rPr>
          <w:rFonts w:ascii="Arial" w:eastAsia="David" w:hAnsi="Arial" w:cs="FrankRuehl"/>
          <w:rtl/>
        </w:rPr>
        <w:t xml:space="preserve"> </w:t>
      </w:r>
      <w:r w:rsidRPr="003B633E">
        <w:rPr>
          <w:rFonts w:ascii="Arial" w:eastAsia="David" w:hAnsi="Arial" w:cs="Miriam"/>
          <w:rtl/>
        </w:rPr>
        <w:t>המסוכנים</w:t>
      </w:r>
      <w:r w:rsidRPr="003B633E">
        <w:rPr>
          <w:rFonts w:ascii="Arial" w:eastAsia="David" w:hAnsi="Arial" w:cs="FrankRuehl"/>
          <w:szCs w:val="28"/>
          <w:rtl/>
        </w:rPr>
        <w:t xml:space="preserve"> ביחד עם </w:t>
      </w:r>
      <w:hyperlink r:id="rId29" w:history="1">
        <w:r w:rsidR="00A25EBC" w:rsidRPr="00A25EBC">
          <w:rPr>
            <w:rFonts w:ascii="Arial" w:eastAsia="David" w:hAnsi="Arial" w:cs="FrankRuehl"/>
            <w:color w:val="0000FF"/>
            <w:szCs w:val="28"/>
            <w:u w:val="single"/>
            <w:rtl/>
          </w:rPr>
          <w:t>סעיפים 29</w:t>
        </w:r>
      </w:hyperlink>
      <w:r w:rsidRPr="003B633E">
        <w:rPr>
          <w:rFonts w:ascii="Arial" w:eastAsia="David" w:hAnsi="Arial" w:cs="FrankRuehl"/>
          <w:szCs w:val="28"/>
          <w:rtl/>
        </w:rPr>
        <w:t xml:space="preserve"> ו- </w:t>
      </w:r>
      <w:hyperlink r:id="rId30" w:history="1">
        <w:r w:rsidR="00A25EBC" w:rsidRPr="00A25EBC">
          <w:rPr>
            <w:rFonts w:ascii="Arial" w:eastAsia="David" w:hAnsi="Arial" w:cs="FrankRuehl"/>
            <w:color w:val="0000FF"/>
            <w:szCs w:val="28"/>
            <w:u w:val="single"/>
            <w:rtl/>
          </w:rPr>
          <w:t>25</w:t>
        </w:r>
      </w:hyperlink>
      <w:r w:rsidRPr="003B633E">
        <w:rPr>
          <w:rFonts w:ascii="Arial" w:eastAsia="David" w:hAnsi="Arial" w:cs="FrankRuehl"/>
          <w:szCs w:val="28"/>
          <w:rtl/>
        </w:rPr>
        <w:t xml:space="preserve"> </w:t>
      </w:r>
      <w:r w:rsidRPr="003B633E">
        <w:rPr>
          <w:rFonts w:ascii="Arial" w:eastAsia="David" w:hAnsi="Arial" w:cs="Miriam"/>
          <w:rtl/>
        </w:rPr>
        <w:t>לחוק העונשין</w:t>
      </w:r>
      <w:r w:rsidRPr="003B633E">
        <w:rPr>
          <w:rFonts w:ascii="Arial" w:eastAsia="David" w:hAnsi="Arial" w:cs="FrankRuehl"/>
          <w:szCs w:val="28"/>
          <w:rtl/>
        </w:rPr>
        <w:t>.</w:t>
      </w:r>
    </w:p>
    <w:p w14:paraId="3A213D57" w14:textId="77777777" w:rsidR="00921932" w:rsidRPr="003B633E" w:rsidRDefault="00921932">
      <w:pPr>
        <w:spacing w:line="360" w:lineRule="auto"/>
        <w:ind w:left="360"/>
        <w:jc w:val="both"/>
        <w:rPr>
          <w:rFonts w:ascii="Arial" w:eastAsia="David" w:hAnsi="Arial" w:cs="FrankRuehl"/>
          <w:szCs w:val="28"/>
        </w:rPr>
      </w:pPr>
      <w:bookmarkStart w:id="5" w:name="ABSTRACT_END"/>
      <w:bookmarkEnd w:id="5"/>
    </w:p>
    <w:p w14:paraId="283AFD16" w14:textId="77777777" w:rsidR="00921932" w:rsidRPr="003B633E" w:rsidRDefault="003B633E">
      <w:pPr>
        <w:spacing w:line="360" w:lineRule="auto"/>
        <w:ind w:left="720"/>
        <w:jc w:val="both"/>
        <w:rPr>
          <w:rFonts w:ascii="Arial" w:eastAsia="David" w:hAnsi="Arial" w:cs="FrankRuehl"/>
          <w:szCs w:val="28"/>
          <w:rtl/>
        </w:rPr>
      </w:pPr>
      <w:r w:rsidRPr="003B633E">
        <w:rPr>
          <w:rFonts w:ascii="Arial" w:eastAsia="David" w:hAnsi="Arial" w:cs="FrankRuehl"/>
          <w:szCs w:val="28"/>
          <w:rtl/>
        </w:rPr>
        <w:t>כתב האישום הוגש במקור נגד שני נאשמים, נאשם 1 כפר בעובדות, הורשע לאחר שמיעת ראיות ועניינו נקבע לשמיעת טיעונים לעונש. לבקשת הצדדים החלטתי להפריד את הדיון בין שני הנאשמים ולגזור את עונשו של נאשם 2 בנפרד</w:t>
      </w:r>
      <w:r w:rsidRPr="003B633E">
        <w:rPr>
          <w:rFonts w:ascii="Arial" w:eastAsia="David" w:hAnsi="Arial" w:cs="FrankRuehl" w:hint="cs"/>
          <w:szCs w:val="28"/>
          <w:rtl/>
        </w:rPr>
        <w:t xml:space="preserve"> בטרם הסתיים הדיון בעניינו של נאשם 1, </w:t>
      </w:r>
      <w:r w:rsidRPr="003B633E">
        <w:rPr>
          <w:rFonts w:ascii="Arial" w:eastAsia="David" w:hAnsi="Arial" w:cs="FrankRuehl"/>
          <w:szCs w:val="28"/>
          <w:rtl/>
        </w:rPr>
        <w:t xml:space="preserve">[כתב האישום המתוקן תוקן רק לגבי נאשם 2]. </w:t>
      </w:r>
    </w:p>
    <w:p w14:paraId="7A0BFD98" w14:textId="77777777" w:rsidR="00921932" w:rsidRPr="003B633E" w:rsidRDefault="00921932">
      <w:pPr>
        <w:spacing w:line="360" w:lineRule="auto"/>
        <w:ind w:left="360"/>
        <w:jc w:val="both"/>
        <w:rPr>
          <w:rFonts w:ascii="Arial" w:eastAsia="David" w:hAnsi="Arial" w:cs="FrankRuehl"/>
          <w:szCs w:val="28"/>
        </w:rPr>
      </w:pPr>
    </w:p>
    <w:p w14:paraId="390CB0CC" w14:textId="77777777" w:rsidR="00921932" w:rsidRPr="003B633E" w:rsidRDefault="003B633E">
      <w:pPr>
        <w:spacing w:line="360" w:lineRule="auto"/>
        <w:ind w:left="720"/>
        <w:jc w:val="both"/>
        <w:rPr>
          <w:rFonts w:ascii="Arial" w:eastAsia="David" w:hAnsi="Arial" w:cs="FrankRuehl"/>
          <w:szCs w:val="28"/>
        </w:rPr>
      </w:pPr>
      <w:r w:rsidRPr="003B633E">
        <w:rPr>
          <w:rFonts w:ascii="Arial" w:eastAsia="David" w:hAnsi="Arial" w:cs="FrankRuehl"/>
          <w:szCs w:val="28"/>
          <w:rtl/>
        </w:rPr>
        <w:lastRenderedPageBreak/>
        <w:t xml:space="preserve">על פי עובדות כתב האישום המתוקן בין הנאשם לבין נאשם 1-אלכסיי דנילוביץ (להלן- אלכסיי) ובינם ובין קונסטנטין טרסוב (להלן-קוסטה) קיימת הכרות מוקדמת, כמו כן קיימת היכרות מוקדמת בין הנאשם ואלכסיי לבין דוד קדם (להלן-קדם). </w:t>
      </w:r>
    </w:p>
    <w:p w14:paraId="36E75043" w14:textId="77777777" w:rsidR="00921932" w:rsidRPr="003B633E" w:rsidRDefault="003B633E">
      <w:pPr>
        <w:spacing w:line="360" w:lineRule="auto"/>
        <w:ind w:left="720"/>
        <w:jc w:val="both"/>
        <w:rPr>
          <w:rFonts w:ascii="Arial" w:eastAsia="David" w:hAnsi="Arial" w:cs="FrankRuehl"/>
          <w:szCs w:val="28"/>
          <w:rtl/>
        </w:rPr>
      </w:pPr>
      <w:r w:rsidRPr="003B633E">
        <w:rPr>
          <w:rFonts w:ascii="Arial" w:eastAsia="David" w:hAnsi="Arial" w:cs="FrankRuehl"/>
          <w:szCs w:val="28"/>
          <w:rtl/>
        </w:rPr>
        <w:t>במהלך המחצית השנייה של שנת 2013, קשרו אלכסיי וקוסטה לייבא לישראל שלא כדין סמים מסוכנים מסין לצורך מסחר והפקת רווח עסקי (להלן-הקשר).לשם קידום הקשר, במהלך המחצית השני</w:t>
      </w:r>
      <w:r w:rsidRPr="003B633E">
        <w:rPr>
          <w:rFonts w:ascii="Arial" w:eastAsia="David" w:hAnsi="Arial" w:cs="FrankRuehl" w:hint="cs"/>
          <w:szCs w:val="28"/>
          <w:rtl/>
        </w:rPr>
        <w:t>י</w:t>
      </w:r>
      <w:r w:rsidRPr="003B633E">
        <w:rPr>
          <w:rFonts w:ascii="Arial" w:eastAsia="David" w:hAnsi="Arial" w:cs="FrankRuehl"/>
          <w:szCs w:val="28"/>
          <w:rtl/>
        </w:rPr>
        <w:t xml:space="preserve">ה של שנת 2013, יצר אלכסיי קשר עם ספק סיני, והזמין ממנו </w:t>
      </w:r>
      <w:r w:rsidRPr="003B633E">
        <w:rPr>
          <w:rFonts w:ascii="Arial" w:eastAsia="David" w:hAnsi="Arial" w:cs="FrankRuehl"/>
          <w:sz w:val="28"/>
          <w:szCs w:val="28"/>
          <w:rtl/>
        </w:rPr>
        <w:t xml:space="preserve">סם מסוכן מסוג </w:t>
      </w:r>
      <w:r w:rsidRPr="003B633E">
        <w:rPr>
          <w:rFonts w:ascii="Arial" w:eastAsia="David" w:hAnsi="Arial" w:cs="FrankRuehl"/>
          <w:sz w:val="20"/>
          <w:szCs w:val="20"/>
        </w:rPr>
        <w:t>JWH-210</w:t>
      </w:r>
      <w:r w:rsidRPr="003B633E">
        <w:rPr>
          <w:rFonts w:ascii="Arial" w:eastAsia="David" w:hAnsi="Arial" w:cs="FrankRuehl"/>
          <w:sz w:val="28"/>
          <w:szCs w:val="28"/>
          <w:rtl/>
        </w:rPr>
        <w:t xml:space="preserve"> בכמות של כ-100 גרם בתמורה לסכום של 650$.</w:t>
      </w:r>
      <w:r w:rsidRPr="003B633E">
        <w:rPr>
          <w:rFonts w:ascii="Arial" w:eastAsia="David" w:hAnsi="Arial" w:cs="FrankRuehl"/>
          <w:szCs w:val="28"/>
          <w:rtl/>
        </w:rPr>
        <w:t xml:space="preserve"> </w:t>
      </w:r>
      <w:r w:rsidRPr="003B633E">
        <w:rPr>
          <w:rFonts w:ascii="Arial" w:eastAsia="David" w:hAnsi="Arial" w:cs="FrankRuehl"/>
          <w:sz w:val="28"/>
          <w:szCs w:val="28"/>
          <w:rtl/>
        </w:rPr>
        <w:t xml:space="preserve">אלכסיי ביקש כי המשלוח יגיע לכתובתו של קדם ומסר פרטי טלפון נייד שרכש לצורך קבלת המשלוח (להלן-הטלפון המבצעי). ביום 2.12.2013 אלכסיי העביר לספק הסיני דרך בנק הדואר את הסכום של 650$. </w:t>
      </w:r>
    </w:p>
    <w:p w14:paraId="62FEDF1F" w14:textId="77777777" w:rsidR="00921932" w:rsidRPr="003B633E" w:rsidRDefault="003B633E">
      <w:pPr>
        <w:spacing w:line="360" w:lineRule="auto"/>
        <w:ind w:left="720"/>
        <w:jc w:val="both"/>
        <w:rPr>
          <w:rFonts w:ascii="Arial" w:eastAsia="David" w:hAnsi="Arial" w:cs="FrankRuehl"/>
          <w:sz w:val="28"/>
          <w:szCs w:val="28"/>
          <w:rtl/>
        </w:rPr>
      </w:pPr>
      <w:r w:rsidRPr="003B633E">
        <w:rPr>
          <w:rFonts w:ascii="Arial" w:eastAsia="David" w:hAnsi="Arial" w:cs="FrankRuehl"/>
          <w:sz w:val="28"/>
          <w:szCs w:val="28"/>
          <w:rtl/>
        </w:rPr>
        <w:t xml:space="preserve">ביום 23.2.2014 הגיע לישראל סם מסוכן מסוג </w:t>
      </w:r>
      <w:r w:rsidRPr="003B633E">
        <w:rPr>
          <w:rFonts w:ascii="Arial" w:eastAsia="David" w:hAnsi="Arial" w:cs="FrankRuehl"/>
          <w:sz w:val="20"/>
          <w:szCs w:val="20"/>
        </w:rPr>
        <w:t>JWH-210</w:t>
      </w:r>
      <w:r w:rsidRPr="003B633E">
        <w:rPr>
          <w:rFonts w:ascii="Arial" w:eastAsia="David" w:hAnsi="Arial" w:cs="FrankRuehl"/>
          <w:sz w:val="28"/>
          <w:szCs w:val="28"/>
          <w:rtl/>
        </w:rPr>
        <w:t xml:space="preserve"> במשקל של 110 גרם, מוסלק בתוך פסלון של סנטה קלאוס, כשהוא מיועד להגיע לקדם. בבדיקה במכס נתגלה המשלוח והודעה נמסרה למשטרה.</w:t>
      </w:r>
    </w:p>
    <w:p w14:paraId="66C29EB9" w14:textId="77777777" w:rsidR="00921932" w:rsidRPr="003B633E" w:rsidRDefault="003B633E">
      <w:pPr>
        <w:spacing w:line="360" w:lineRule="auto"/>
        <w:ind w:left="720"/>
        <w:jc w:val="both"/>
        <w:rPr>
          <w:rFonts w:ascii="Arial" w:eastAsia="David" w:hAnsi="Arial" w:cs="FrankRuehl"/>
          <w:sz w:val="28"/>
          <w:szCs w:val="28"/>
          <w:rtl/>
        </w:rPr>
      </w:pPr>
      <w:r w:rsidRPr="003B633E">
        <w:rPr>
          <w:rFonts w:ascii="Arial" w:eastAsia="David" w:hAnsi="Arial" w:cs="FrankRuehl"/>
          <w:sz w:val="28"/>
          <w:szCs w:val="28"/>
          <w:rtl/>
        </w:rPr>
        <w:t xml:space="preserve">בתאריכים 26.2.2014 ו-27.2.2014 התקשרו שוטרים לטלפון המבצעי שהוחזק על ידי קדם, השוטרים הזדהו כשליחים של דואר ישראל ותיאמו עימו את מסירת המשלוח, השיחה עוררה את חשדם של אלכסיי, קוסטה וקדם (להלן-השותפים) </w:t>
      </w:r>
      <w:r w:rsidRPr="003B633E">
        <w:rPr>
          <w:rFonts w:ascii="Arial" w:eastAsia="David" w:hAnsi="Arial" w:cs="FrankRuehl" w:hint="cs"/>
          <w:sz w:val="28"/>
          <w:szCs w:val="28"/>
          <w:rtl/>
        </w:rPr>
        <w:t xml:space="preserve">שחששו </w:t>
      </w:r>
      <w:r w:rsidRPr="003B633E">
        <w:rPr>
          <w:rFonts w:ascii="Arial" w:eastAsia="David" w:hAnsi="Arial" w:cs="FrankRuehl"/>
          <w:sz w:val="28"/>
          <w:szCs w:val="28"/>
          <w:rtl/>
        </w:rPr>
        <w:t xml:space="preserve">כי המשלוח נתפס על ידי המשטרה ולכן החליטו לצרף את הנאשם. </w:t>
      </w:r>
    </w:p>
    <w:p w14:paraId="534FFFB7" w14:textId="77777777" w:rsidR="00921932" w:rsidRPr="003B633E" w:rsidRDefault="00921932">
      <w:pPr>
        <w:spacing w:line="360" w:lineRule="auto"/>
        <w:ind w:left="720"/>
        <w:jc w:val="both"/>
        <w:rPr>
          <w:rFonts w:ascii="Arial" w:eastAsia="David" w:hAnsi="Arial" w:cs="FrankRuehl"/>
          <w:sz w:val="28"/>
          <w:szCs w:val="28"/>
          <w:rtl/>
        </w:rPr>
      </w:pPr>
    </w:p>
    <w:p w14:paraId="3F11E786" w14:textId="77777777" w:rsidR="00921932" w:rsidRPr="003B633E" w:rsidRDefault="003B633E">
      <w:pPr>
        <w:spacing w:line="360" w:lineRule="auto"/>
        <w:ind w:left="720"/>
        <w:jc w:val="both"/>
        <w:rPr>
          <w:rFonts w:ascii="Arial" w:eastAsia="David" w:hAnsi="Arial" w:cs="FrankRuehl"/>
          <w:sz w:val="28"/>
          <w:szCs w:val="28"/>
          <w:rtl/>
        </w:rPr>
      </w:pPr>
      <w:r w:rsidRPr="003B633E">
        <w:rPr>
          <w:rFonts w:ascii="Arial" w:eastAsia="David" w:hAnsi="Arial" w:cs="FrankRuehl"/>
          <w:sz w:val="28"/>
          <w:szCs w:val="28"/>
          <w:rtl/>
        </w:rPr>
        <w:t>ביום 26.2.2014 פנו אלכסיי וקוסטה לנאשם, שתפו אותו בפרטי המשלוח והציעו לו לקבל את המשלוח. הנאשם הסכים לשתף פעולה עם אלכסיי, קוסטה וקדם, להתחזות לקדם ולקבל את המשלוח, בתמורה לחלקו של הנאשם שילמו לו 500 ₪.</w:t>
      </w:r>
    </w:p>
    <w:p w14:paraId="2CEBC391" w14:textId="77777777" w:rsidR="00921932" w:rsidRPr="003B633E" w:rsidRDefault="003B633E">
      <w:pPr>
        <w:spacing w:line="360" w:lineRule="auto"/>
        <w:ind w:left="720"/>
        <w:jc w:val="both"/>
        <w:rPr>
          <w:rFonts w:ascii="Arial" w:eastAsia="David" w:hAnsi="Arial" w:cs="FrankRuehl"/>
          <w:sz w:val="28"/>
          <w:szCs w:val="28"/>
          <w:rtl/>
        </w:rPr>
      </w:pPr>
      <w:r w:rsidRPr="003B633E">
        <w:rPr>
          <w:rFonts w:ascii="Arial" w:eastAsia="David" w:hAnsi="Arial" w:cs="FrankRuehl"/>
          <w:sz w:val="28"/>
          <w:szCs w:val="28"/>
          <w:rtl/>
        </w:rPr>
        <w:t xml:space="preserve">ביום 27.2.2014 קדם העביר </w:t>
      </w:r>
      <w:r w:rsidRPr="003B633E">
        <w:rPr>
          <w:rFonts w:ascii="Arial" w:eastAsia="David" w:hAnsi="Arial" w:cs="FrankRuehl" w:hint="cs"/>
          <w:sz w:val="28"/>
          <w:szCs w:val="28"/>
          <w:rtl/>
        </w:rPr>
        <w:t xml:space="preserve">לנאשם </w:t>
      </w:r>
      <w:r w:rsidRPr="003B633E">
        <w:rPr>
          <w:rFonts w:ascii="Arial" w:eastAsia="David" w:hAnsi="Arial" w:cs="FrankRuehl"/>
          <w:sz w:val="28"/>
          <w:szCs w:val="28"/>
          <w:rtl/>
        </w:rPr>
        <w:t xml:space="preserve">דרך קוסטה, את הטלפון המבצעי ואת תעודת החוגר שלו, במטרה שהנאשם יזדהה בפני השליח לקדם ויקבל לידיו את המשלוח. לאחר מכן העביר קוסטה לידי הנאשם 35 ₪ שישולמו כתשר לשליח. במעמד זה סוכם כי לאחר קבלת המשלוח, יעביר הנאשם את המשלוח לידי קדם, שימתין לו בפארק הסמוך לביתו. </w:t>
      </w:r>
    </w:p>
    <w:p w14:paraId="6BBA5AE1" w14:textId="77777777" w:rsidR="00921932" w:rsidRPr="003B633E" w:rsidRDefault="003B633E">
      <w:pPr>
        <w:spacing w:line="360" w:lineRule="auto"/>
        <w:ind w:left="720"/>
        <w:jc w:val="both"/>
        <w:rPr>
          <w:rFonts w:ascii="Arial" w:eastAsia="David" w:hAnsi="Arial" w:cs="FrankRuehl"/>
          <w:sz w:val="28"/>
          <w:szCs w:val="28"/>
          <w:rtl/>
        </w:rPr>
      </w:pPr>
      <w:r w:rsidRPr="003B633E">
        <w:rPr>
          <w:rFonts w:ascii="Arial" w:eastAsia="David" w:hAnsi="Arial" w:cs="FrankRuehl"/>
          <w:sz w:val="28"/>
          <w:szCs w:val="28"/>
          <w:rtl/>
        </w:rPr>
        <w:t xml:space="preserve">באותו יום סמוך אחרי השעה 15:00, הגיע שוטר שהתחזה לשליח דואר עם המשלוח, הוא פגש את הנאשם שהזדהה באמצעות תעודת החוגר כקדם וחתם על קבלת המשלוח. באותו שלב נעצר הנאשם ע"י השוטר. </w:t>
      </w:r>
    </w:p>
    <w:p w14:paraId="673D5555" w14:textId="77777777" w:rsidR="00921932" w:rsidRPr="003B633E" w:rsidRDefault="00921932">
      <w:pPr>
        <w:spacing w:line="360" w:lineRule="auto"/>
        <w:ind w:left="360"/>
        <w:jc w:val="both"/>
        <w:rPr>
          <w:rFonts w:ascii="Arial" w:eastAsia="David" w:hAnsi="Arial" w:cs="FrankRuehl"/>
          <w:szCs w:val="28"/>
        </w:rPr>
      </w:pPr>
    </w:p>
    <w:p w14:paraId="36FF97CA" w14:textId="77777777" w:rsidR="00921932" w:rsidRPr="003B633E" w:rsidRDefault="003B633E">
      <w:pPr>
        <w:spacing w:line="360" w:lineRule="auto"/>
        <w:ind w:left="360" w:firstLine="360"/>
        <w:jc w:val="both"/>
        <w:rPr>
          <w:rFonts w:ascii="Arial" w:eastAsia="David" w:hAnsi="Arial" w:cs="Miriam"/>
        </w:rPr>
      </w:pPr>
      <w:r w:rsidRPr="003B633E">
        <w:rPr>
          <w:rFonts w:ascii="Arial" w:eastAsia="David" w:hAnsi="Arial" w:cs="Miriam"/>
          <w:rtl/>
        </w:rPr>
        <w:t>ראיות לעונש</w:t>
      </w:r>
    </w:p>
    <w:p w14:paraId="066EE82B" w14:textId="77777777" w:rsidR="00921932" w:rsidRPr="003B633E" w:rsidRDefault="003B633E">
      <w:pPr>
        <w:spacing w:line="360" w:lineRule="auto"/>
        <w:ind w:left="720"/>
        <w:jc w:val="both"/>
        <w:rPr>
          <w:rFonts w:ascii="Arial" w:eastAsia="David" w:hAnsi="Arial" w:cs="FrankRuehl"/>
          <w:szCs w:val="28"/>
          <w:rtl/>
        </w:rPr>
      </w:pPr>
      <w:r w:rsidRPr="003B633E">
        <w:rPr>
          <w:rFonts w:ascii="Arial" w:eastAsia="David" w:hAnsi="Arial" w:cs="FrankRuehl"/>
          <w:szCs w:val="28"/>
          <w:rtl/>
        </w:rPr>
        <w:lastRenderedPageBreak/>
        <w:t>המאשימה הגישה גיליון הרישום הפלילי של הנאשם (ט/1) ממנו עולה כי לנאשם הרשעה אחת מיום 3.7.2013 בבית משפט לנוער בחיפה בעבירות של החזקה/שימוש בסמים לצריכה עצמית ורכישה /החזקת חלק של נשק או תחמושת. בגין עבירות אלו הוטלו עליו בין השאר 7 חודשי מאסר על תנאי שהינו בר הפעלה (</w:t>
      </w:r>
      <w:hyperlink r:id="rId31" w:history="1">
        <w:r w:rsidRPr="003B633E">
          <w:rPr>
            <w:rFonts w:ascii="Arial" w:eastAsia="David" w:hAnsi="Arial" w:cs="FrankRuehl"/>
            <w:color w:val="0000FF"/>
            <w:szCs w:val="28"/>
            <w:u w:val="single"/>
            <w:rtl/>
          </w:rPr>
          <w:t>ת"פ 33090-06-12</w:t>
        </w:r>
      </w:hyperlink>
      <w:r w:rsidRPr="003B633E">
        <w:rPr>
          <w:rFonts w:ascii="Arial" w:eastAsia="David" w:hAnsi="Arial" w:cs="FrankRuehl"/>
          <w:szCs w:val="28"/>
          <w:rtl/>
        </w:rPr>
        <w:t xml:space="preserve">), (ט/2).  </w:t>
      </w:r>
    </w:p>
    <w:p w14:paraId="67CD6D8B" w14:textId="77777777" w:rsidR="00921932" w:rsidRPr="003B633E" w:rsidRDefault="003B633E">
      <w:pPr>
        <w:spacing w:line="360" w:lineRule="auto"/>
        <w:ind w:left="720"/>
        <w:jc w:val="both"/>
        <w:rPr>
          <w:rFonts w:ascii="Arial" w:eastAsia="David" w:hAnsi="Arial" w:cs="FrankRuehl"/>
          <w:szCs w:val="28"/>
          <w:rtl/>
        </w:rPr>
      </w:pPr>
      <w:r w:rsidRPr="003B633E">
        <w:rPr>
          <w:rFonts w:ascii="Arial" w:eastAsia="David" w:hAnsi="Arial" w:cs="FrankRuehl"/>
          <w:szCs w:val="28"/>
          <w:rtl/>
        </w:rPr>
        <w:t>ביום 5.10.2011 נגזר דינו של הנאשם בגין עבירה של סחיטה בכוח, בית המשפט לנוער לא הרשיע את הנאשם והפנה אותו למבחן למשך שנה. ביום 10.1.2012 הופקע צו המבחן. (</w:t>
      </w:r>
      <w:hyperlink r:id="rId32" w:history="1">
        <w:r w:rsidRPr="003B633E">
          <w:rPr>
            <w:rFonts w:ascii="Arial" w:eastAsia="David" w:hAnsi="Arial" w:cs="FrankRuehl"/>
            <w:color w:val="0000FF"/>
            <w:szCs w:val="28"/>
            <w:u w:val="single"/>
            <w:rtl/>
          </w:rPr>
          <w:t>ת.פ. 20917-09-10</w:t>
        </w:r>
      </w:hyperlink>
      <w:r w:rsidRPr="003B633E">
        <w:rPr>
          <w:rFonts w:ascii="Arial" w:eastAsia="David" w:hAnsi="Arial" w:cs="FrankRuehl"/>
          <w:szCs w:val="28"/>
          <w:rtl/>
        </w:rPr>
        <w:t xml:space="preserve"> של בית משפט לנוער חיפה). </w:t>
      </w:r>
    </w:p>
    <w:p w14:paraId="4EF068FA" w14:textId="77777777" w:rsidR="00921932" w:rsidRPr="003B633E" w:rsidRDefault="00921932">
      <w:pPr>
        <w:spacing w:line="360" w:lineRule="auto"/>
        <w:ind w:left="720"/>
        <w:jc w:val="both"/>
        <w:rPr>
          <w:rFonts w:ascii="Arial" w:eastAsia="David" w:hAnsi="Arial" w:cs="FrankRuehl"/>
          <w:szCs w:val="28"/>
          <w:rtl/>
        </w:rPr>
      </w:pPr>
    </w:p>
    <w:p w14:paraId="77F825D8" w14:textId="77777777" w:rsidR="00921932" w:rsidRPr="003B633E" w:rsidRDefault="003B633E">
      <w:pPr>
        <w:spacing w:line="360" w:lineRule="auto"/>
        <w:ind w:left="720"/>
        <w:jc w:val="both"/>
        <w:rPr>
          <w:rFonts w:ascii="Arial" w:eastAsia="David" w:hAnsi="Arial" w:cs="FrankRuehl"/>
          <w:szCs w:val="28"/>
          <w:rtl/>
        </w:rPr>
      </w:pPr>
      <w:r w:rsidRPr="003B633E">
        <w:rPr>
          <w:rFonts w:ascii="Arial" w:eastAsia="David" w:hAnsi="Arial" w:cs="FrankRuehl"/>
          <w:szCs w:val="28"/>
          <w:rtl/>
        </w:rPr>
        <w:t xml:space="preserve">מטעם הנאשם לא הובאו ראיות לעניין העונש. </w:t>
      </w:r>
    </w:p>
    <w:p w14:paraId="05D0C64F" w14:textId="77777777" w:rsidR="00921932" w:rsidRPr="003B633E" w:rsidRDefault="00921932">
      <w:pPr>
        <w:spacing w:line="360" w:lineRule="auto"/>
        <w:ind w:left="720"/>
        <w:jc w:val="both"/>
        <w:rPr>
          <w:rFonts w:ascii="Arial" w:eastAsia="David" w:hAnsi="Arial" w:cs="FrankRuehl"/>
          <w:szCs w:val="28"/>
          <w:rtl/>
        </w:rPr>
      </w:pPr>
    </w:p>
    <w:p w14:paraId="35547B79" w14:textId="77777777" w:rsidR="00921932" w:rsidRPr="003B633E" w:rsidRDefault="003B633E">
      <w:pPr>
        <w:spacing w:line="360" w:lineRule="auto"/>
        <w:ind w:left="360" w:firstLine="360"/>
        <w:jc w:val="both"/>
        <w:rPr>
          <w:rFonts w:ascii="Arial" w:eastAsia="David" w:hAnsi="Arial" w:cs="Miriam"/>
        </w:rPr>
      </w:pPr>
      <w:r w:rsidRPr="003B633E">
        <w:rPr>
          <w:rFonts w:ascii="Arial" w:eastAsia="David" w:hAnsi="Arial" w:cs="Miriam"/>
          <w:rtl/>
        </w:rPr>
        <w:t>תסקיר שירות המבחן</w:t>
      </w:r>
    </w:p>
    <w:p w14:paraId="0511A255" w14:textId="77777777" w:rsidR="00921932" w:rsidRPr="003B633E" w:rsidRDefault="003B633E">
      <w:pPr>
        <w:spacing w:line="360" w:lineRule="auto"/>
        <w:ind w:left="720"/>
        <w:jc w:val="both"/>
        <w:rPr>
          <w:rFonts w:ascii="Arial" w:eastAsia="David" w:hAnsi="Arial" w:cs="FrankRuehl"/>
          <w:szCs w:val="28"/>
          <w:rtl/>
        </w:rPr>
      </w:pPr>
      <w:r w:rsidRPr="003B633E">
        <w:rPr>
          <w:rFonts w:ascii="Arial" w:eastAsia="David" w:hAnsi="Arial" w:cs="FrankRuehl"/>
          <w:szCs w:val="28"/>
          <w:rtl/>
        </w:rPr>
        <w:t xml:space="preserve">בטרם גזירת עונשו ומשקיימת חובת תסקיר בשל גילו הצעיר של הנאשם, (יליד 5.2.1994 בן 20 במועד ביצוע העבירה) הוכנו עבורו שלושה תסקירים לעניין העונש מימים 6.10.2014 ,  25.1.2015 ו- 26.4.2015. </w:t>
      </w:r>
    </w:p>
    <w:p w14:paraId="108D5466" w14:textId="77777777" w:rsidR="00921932" w:rsidRPr="003B633E" w:rsidRDefault="00921932">
      <w:pPr>
        <w:spacing w:line="360" w:lineRule="auto"/>
        <w:ind w:left="720"/>
        <w:jc w:val="both"/>
        <w:rPr>
          <w:rFonts w:ascii="Arial" w:eastAsia="David" w:hAnsi="Arial" w:cs="FrankRuehl"/>
          <w:szCs w:val="28"/>
          <w:rtl/>
        </w:rPr>
      </w:pPr>
    </w:p>
    <w:p w14:paraId="18EB8567" w14:textId="77777777" w:rsidR="00921932" w:rsidRPr="003B633E" w:rsidRDefault="003B633E">
      <w:pPr>
        <w:numPr>
          <w:ilvl w:val="0"/>
          <w:numId w:val="3"/>
        </w:numPr>
        <w:spacing w:line="360" w:lineRule="auto"/>
        <w:jc w:val="both"/>
        <w:rPr>
          <w:rFonts w:ascii="Arial" w:eastAsia="David" w:hAnsi="Arial" w:cs="FrankRuehl"/>
          <w:szCs w:val="28"/>
        </w:rPr>
      </w:pPr>
      <w:r w:rsidRPr="003B633E">
        <w:rPr>
          <w:rFonts w:ascii="Arial" w:eastAsia="David" w:hAnsi="Arial" w:cs="FrankRuehl"/>
          <w:szCs w:val="28"/>
          <w:rtl/>
        </w:rPr>
        <w:t xml:space="preserve">בתסקיר מיום 6.10.2014, קצינת המבחן סקרה את נסיבות חייו הקשות של הנאשם ואת מצבו בטרם ביצוע העבירה, בשל הפניית הנאשם ליחידה לטיפול בהתמכרויות בחיפה והתחלת הליך טיפולי, המליצה לדחות את הדיון בעניינו למשך 3 חודשים על מנת לעקוב אחר המשך השתלבותו בתהליך טיפולי ולבחון את יכולתו להפיק ממנו תועלת. </w:t>
      </w:r>
    </w:p>
    <w:p w14:paraId="1E698AAD" w14:textId="77777777" w:rsidR="00921932" w:rsidRPr="003B633E" w:rsidRDefault="00921932">
      <w:pPr>
        <w:spacing w:line="360" w:lineRule="auto"/>
        <w:ind w:left="360"/>
        <w:jc w:val="both"/>
        <w:rPr>
          <w:rFonts w:ascii="Arial" w:eastAsia="David" w:hAnsi="Arial" w:cs="FrankRuehl"/>
          <w:szCs w:val="28"/>
        </w:rPr>
      </w:pPr>
    </w:p>
    <w:p w14:paraId="51F9C28C" w14:textId="77777777" w:rsidR="0050299F" w:rsidRDefault="003B633E">
      <w:pPr>
        <w:numPr>
          <w:ilvl w:val="0"/>
          <w:numId w:val="3"/>
        </w:numPr>
        <w:spacing w:line="360" w:lineRule="auto"/>
        <w:jc w:val="both"/>
        <w:rPr>
          <w:rFonts w:ascii="Arial" w:eastAsia="David" w:hAnsi="Arial" w:cs="FrankRuehl"/>
          <w:szCs w:val="28"/>
          <w:rtl/>
        </w:rPr>
      </w:pPr>
      <w:r w:rsidRPr="003B633E">
        <w:rPr>
          <w:rFonts w:ascii="Arial" w:eastAsia="David" w:hAnsi="Arial" w:cs="FrankRuehl"/>
          <w:szCs w:val="28"/>
          <w:rtl/>
        </w:rPr>
        <w:t>תסקיר משלים הוגש ביום 25.1.2015, שירות המבחן התרשם מרצונו ומיכולתו של הנאשם להיעזר בתהליך הטיפולי, על מנת ליצור שינוי בדפוסי התמכרותו, דבר שבא לידי ביטוי גם במאמצים שעשה במישור התעסוקתי ולכן קצינת המבחן המליצה על הארכת המאסר המותנה והעמדתו במבחן למשך שנה וחצי, במהלכם ימשיך בתהליך הטיפולי</w:t>
      </w:r>
      <w:bookmarkStart w:id="6" w:name="LawTable"/>
      <w:bookmarkEnd w:id="6"/>
    </w:p>
    <w:p w14:paraId="75A95B6F" w14:textId="77777777" w:rsidR="0050299F" w:rsidRPr="0050299F" w:rsidRDefault="0050299F" w:rsidP="0050299F">
      <w:pPr>
        <w:numPr>
          <w:ilvl w:val="0"/>
          <w:numId w:val="3"/>
        </w:numPr>
        <w:spacing w:after="120" w:line="240" w:lineRule="exact"/>
        <w:ind w:left="283" w:hanging="283"/>
        <w:jc w:val="both"/>
        <w:rPr>
          <w:rFonts w:ascii="FrankRuehl" w:eastAsia="David" w:hAnsi="FrankRuehl" w:cs="FrankRuehl"/>
          <w:rtl/>
        </w:rPr>
      </w:pPr>
    </w:p>
    <w:p w14:paraId="7D25A4B6" w14:textId="77777777" w:rsidR="0050299F" w:rsidRPr="0050299F" w:rsidRDefault="0050299F" w:rsidP="0050299F">
      <w:pPr>
        <w:numPr>
          <w:ilvl w:val="0"/>
          <w:numId w:val="3"/>
        </w:numPr>
        <w:spacing w:after="120" w:line="240" w:lineRule="exact"/>
        <w:ind w:left="283" w:hanging="283"/>
        <w:jc w:val="both"/>
        <w:rPr>
          <w:rFonts w:ascii="FrankRuehl" w:eastAsia="David" w:hAnsi="FrankRuehl" w:cs="FrankRuehl"/>
          <w:rtl/>
        </w:rPr>
      </w:pPr>
      <w:r w:rsidRPr="0050299F">
        <w:rPr>
          <w:rFonts w:ascii="FrankRuehl" w:eastAsia="David" w:hAnsi="FrankRuehl" w:cs="FrankRuehl"/>
          <w:rtl/>
        </w:rPr>
        <w:t xml:space="preserve">חקיקה שאוזכרה: </w:t>
      </w:r>
    </w:p>
    <w:p w14:paraId="282CCFD5" w14:textId="77777777" w:rsidR="0050299F" w:rsidRPr="0050299F" w:rsidRDefault="0050299F" w:rsidP="0050299F">
      <w:pPr>
        <w:numPr>
          <w:ilvl w:val="0"/>
          <w:numId w:val="3"/>
        </w:numPr>
        <w:spacing w:after="120" w:line="240" w:lineRule="exact"/>
        <w:ind w:left="283" w:hanging="283"/>
        <w:jc w:val="both"/>
        <w:rPr>
          <w:rFonts w:ascii="FrankRuehl" w:eastAsia="David" w:hAnsi="FrankRuehl" w:cs="FrankRuehl"/>
          <w:rtl/>
        </w:rPr>
      </w:pPr>
      <w:hyperlink r:id="rId33" w:history="1">
        <w:r w:rsidRPr="0050299F">
          <w:rPr>
            <w:rFonts w:ascii="FrankRuehl" w:eastAsia="David" w:hAnsi="FrankRuehl" w:cs="FrankRuehl"/>
            <w:rtl/>
          </w:rPr>
          <w:t>פקודת הסמים המסוכנים [נוסח חדש], תשל"ג-1973</w:t>
        </w:r>
      </w:hyperlink>
      <w:r w:rsidRPr="0050299F">
        <w:rPr>
          <w:rFonts w:ascii="FrankRuehl" w:eastAsia="David" w:hAnsi="FrankRuehl" w:cs="FrankRuehl"/>
          <w:rtl/>
        </w:rPr>
        <w:t xml:space="preserve">: סע'  </w:t>
      </w:r>
      <w:hyperlink r:id="rId34" w:history="1">
        <w:r w:rsidRPr="0050299F">
          <w:rPr>
            <w:rFonts w:ascii="FrankRuehl" w:eastAsia="David" w:hAnsi="FrankRuehl" w:cs="FrankRuehl"/>
            <w:rtl/>
          </w:rPr>
          <w:t>7(א)</w:t>
        </w:r>
      </w:hyperlink>
      <w:r w:rsidRPr="0050299F">
        <w:rPr>
          <w:rFonts w:ascii="FrankRuehl" w:eastAsia="David" w:hAnsi="FrankRuehl" w:cs="FrankRuehl"/>
          <w:rtl/>
        </w:rPr>
        <w:t xml:space="preserve">, </w:t>
      </w:r>
      <w:hyperlink r:id="rId35" w:history="1">
        <w:r w:rsidRPr="0050299F">
          <w:rPr>
            <w:rFonts w:ascii="FrankRuehl" w:eastAsia="David" w:hAnsi="FrankRuehl" w:cs="FrankRuehl"/>
            <w:rtl/>
          </w:rPr>
          <w:t>7(ג)</w:t>
        </w:r>
      </w:hyperlink>
      <w:r w:rsidRPr="0050299F">
        <w:rPr>
          <w:rFonts w:ascii="FrankRuehl" w:eastAsia="David" w:hAnsi="FrankRuehl" w:cs="FrankRuehl"/>
          <w:rtl/>
        </w:rPr>
        <w:t xml:space="preserve">, </w:t>
      </w:r>
      <w:hyperlink r:id="rId36" w:history="1">
        <w:r w:rsidRPr="0050299F">
          <w:rPr>
            <w:rFonts w:ascii="FrankRuehl" w:eastAsia="David" w:hAnsi="FrankRuehl" w:cs="FrankRuehl"/>
            <w:rtl/>
          </w:rPr>
          <w:t>13</w:t>
        </w:r>
      </w:hyperlink>
      <w:r w:rsidRPr="0050299F">
        <w:rPr>
          <w:rFonts w:ascii="FrankRuehl" w:eastAsia="David" w:hAnsi="FrankRuehl" w:cs="FrankRuehl"/>
          <w:rtl/>
        </w:rPr>
        <w:t xml:space="preserve">, </w:t>
      </w:r>
      <w:hyperlink r:id="rId37" w:history="1">
        <w:r w:rsidRPr="0050299F">
          <w:rPr>
            <w:rFonts w:ascii="FrankRuehl" w:eastAsia="David" w:hAnsi="FrankRuehl" w:cs="FrankRuehl"/>
            <w:rtl/>
          </w:rPr>
          <w:t>19א'</w:t>
        </w:r>
      </w:hyperlink>
    </w:p>
    <w:p w14:paraId="5A2DDFA4" w14:textId="77777777" w:rsidR="0050299F" w:rsidRPr="0050299F" w:rsidRDefault="0050299F" w:rsidP="0050299F">
      <w:pPr>
        <w:numPr>
          <w:ilvl w:val="0"/>
          <w:numId w:val="3"/>
        </w:numPr>
        <w:spacing w:after="120" w:line="240" w:lineRule="exact"/>
        <w:ind w:left="283" w:hanging="283"/>
        <w:jc w:val="both"/>
        <w:rPr>
          <w:rFonts w:ascii="FrankRuehl" w:eastAsia="David" w:hAnsi="FrankRuehl" w:cs="FrankRuehl"/>
          <w:rtl/>
        </w:rPr>
      </w:pPr>
      <w:hyperlink r:id="rId38" w:history="1">
        <w:r w:rsidRPr="0050299F">
          <w:rPr>
            <w:rFonts w:ascii="FrankRuehl" w:eastAsia="David" w:hAnsi="FrankRuehl" w:cs="FrankRuehl"/>
            <w:rtl/>
          </w:rPr>
          <w:t>חוק העונשין, תשל"ז-1977</w:t>
        </w:r>
      </w:hyperlink>
      <w:r w:rsidRPr="0050299F">
        <w:rPr>
          <w:rFonts w:ascii="FrankRuehl" w:eastAsia="David" w:hAnsi="FrankRuehl" w:cs="FrankRuehl"/>
          <w:rtl/>
        </w:rPr>
        <w:t xml:space="preserve">: סע'  </w:t>
      </w:r>
      <w:hyperlink r:id="rId39" w:history="1">
        <w:r w:rsidRPr="0050299F">
          <w:rPr>
            <w:rFonts w:ascii="FrankRuehl" w:eastAsia="David" w:hAnsi="FrankRuehl" w:cs="FrankRuehl"/>
            <w:rtl/>
          </w:rPr>
          <w:t>25</w:t>
        </w:r>
      </w:hyperlink>
      <w:r w:rsidRPr="0050299F">
        <w:rPr>
          <w:rFonts w:ascii="FrankRuehl" w:eastAsia="David" w:hAnsi="FrankRuehl" w:cs="FrankRuehl"/>
          <w:rtl/>
        </w:rPr>
        <w:t xml:space="preserve">, </w:t>
      </w:r>
      <w:hyperlink r:id="rId40" w:history="1">
        <w:r w:rsidRPr="0050299F">
          <w:rPr>
            <w:rFonts w:ascii="FrankRuehl" w:eastAsia="David" w:hAnsi="FrankRuehl" w:cs="FrankRuehl"/>
            <w:rtl/>
          </w:rPr>
          <w:t>29</w:t>
        </w:r>
      </w:hyperlink>
      <w:r w:rsidRPr="0050299F">
        <w:rPr>
          <w:rFonts w:ascii="FrankRuehl" w:eastAsia="David" w:hAnsi="FrankRuehl" w:cs="FrankRuehl"/>
          <w:rtl/>
        </w:rPr>
        <w:t xml:space="preserve">, </w:t>
      </w:r>
      <w:hyperlink r:id="rId41" w:history="1">
        <w:r w:rsidRPr="0050299F">
          <w:rPr>
            <w:rFonts w:ascii="FrankRuehl" w:eastAsia="David" w:hAnsi="FrankRuehl" w:cs="FrankRuehl"/>
            <w:rtl/>
          </w:rPr>
          <w:t>31</w:t>
        </w:r>
      </w:hyperlink>
      <w:r w:rsidRPr="0050299F">
        <w:rPr>
          <w:rFonts w:ascii="FrankRuehl" w:eastAsia="David" w:hAnsi="FrankRuehl" w:cs="FrankRuehl"/>
          <w:rtl/>
        </w:rPr>
        <w:t xml:space="preserve">, </w:t>
      </w:r>
      <w:hyperlink r:id="rId42" w:history="1">
        <w:r w:rsidRPr="0050299F">
          <w:rPr>
            <w:rFonts w:ascii="FrankRuehl" w:eastAsia="David" w:hAnsi="FrankRuehl" w:cs="FrankRuehl"/>
            <w:rtl/>
          </w:rPr>
          <w:t>40ב'</w:t>
        </w:r>
      </w:hyperlink>
      <w:r w:rsidRPr="0050299F">
        <w:rPr>
          <w:rFonts w:ascii="FrankRuehl" w:eastAsia="David" w:hAnsi="FrankRuehl" w:cs="FrankRuehl"/>
          <w:rtl/>
        </w:rPr>
        <w:t xml:space="preserve">, </w:t>
      </w:r>
      <w:hyperlink r:id="rId43" w:history="1">
        <w:r w:rsidRPr="0050299F">
          <w:rPr>
            <w:rFonts w:ascii="FrankRuehl" w:eastAsia="David" w:hAnsi="FrankRuehl" w:cs="FrankRuehl"/>
            <w:rtl/>
          </w:rPr>
          <w:t>40ט'</w:t>
        </w:r>
      </w:hyperlink>
      <w:r w:rsidRPr="0050299F">
        <w:rPr>
          <w:rFonts w:ascii="FrankRuehl" w:eastAsia="David" w:hAnsi="FrankRuehl" w:cs="FrankRuehl"/>
          <w:rtl/>
        </w:rPr>
        <w:t xml:space="preserve">, </w:t>
      </w:r>
      <w:hyperlink r:id="rId44" w:history="1">
        <w:r w:rsidRPr="0050299F">
          <w:rPr>
            <w:rFonts w:ascii="FrankRuehl" w:eastAsia="David" w:hAnsi="FrankRuehl" w:cs="FrankRuehl"/>
            <w:rtl/>
          </w:rPr>
          <w:t>56</w:t>
        </w:r>
      </w:hyperlink>
      <w:r w:rsidRPr="0050299F">
        <w:rPr>
          <w:rFonts w:ascii="FrankRuehl" w:eastAsia="David" w:hAnsi="FrankRuehl" w:cs="FrankRuehl"/>
          <w:rtl/>
        </w:rPr>
        <w:t xml:space="preserve">, </w:t>
      </w:r>
      <w:hyperlink r:id="rId45" w:history="1">
        <w:r w:rsidRPr="0050299F">
          <w:rPr>
            <w:rFonts w:ascii="FrankRuehl" w:eastAsia="David" w:hAnsi="FrankRuehl" w:cs="FrankRuehl"/>
            <w:rtl/>
          </w:rPr>
          <w:t>40יא(1)</w:t>
        </w:r>
      </w:hyperlink>
    </w:p>
    <w:p w14:paraId="2CE97870" w14:textId="77777777" w:rsidR="0050299F" w:rsidRPr="0050299F" w:rsidRDefault="0050299F" w:rsidP="0050299F">
      <w:pPr>
        <w:numPr>
          <w:ilvl w:val="0"/>
          <w:numId w:val="3"/>
        </w:numPr>
        <w:spacing w:after="120" w:line="240" w:lineRule="exact"/>
        <w:ind w:left="283" w:hanging="283"/>
        <w:jc w:val="both"/>
        <w:rPr>
          <w:rFonts w:ascii="FrankRuehl" w:eastAsia="David" w:hAnsi="FrankRuehl" w:cs="FrankRuehl"/>
          <w:rtl/>
        </w:rPr>
      </w:pPr>
      <w:hyperlink r:id="rId46" w:history="1">
        <w:r w:rsidRPr="0050299F">
          <w:rPr>
            <w:rFonts w:ascii="FrankRuehl" w:eastAsia="David" w:hAnsi="FrankRuehl" w:cs="FrankRuehl"/>
            <w:rtl/>
          </w:rPr>
          <w:t>פקודת המבחן [נוסח חדש], תשכ"ט-1969</w:t>
        </w:r>
      </w:hyperlink>
      <w:r w:rsidRPr="0050299F">
        <w:rPr>
          <w:rFonts w:ascii="FrankRuehl" w:eastAsia="David" w:hAnsi="FrankRuehl" w:cs="FrankRuehl"/>
          <w:rtl/>
        </w:rPr>
        <w:t xml:space="preserve">: סע'  </w:t>
      </w:r>
      <w:hyperlink r:id="rId47" w:history="1">
        <w:r w:rsidRPr="0050299F">
          <w:rPr>
            <w:rFonts w:ascii="FrankRuehl" w:eastAsia="David" w:hAnsi="FrankRuehl" w:cs="FrankRuehl"/>
            <w:rtl/>
          </w:rPr>
          <w:t>1(ב)</w:t>
        </w:r>
      </w:hyperlink>
    </w:p>
    <w:p w14:paraId="13BE1CB5" w14:textId="77777777" w:rsidR="0050299F" w:rsidRPr="0050299F" w:rsidRDefault="0050299F" w:rsidP="0050299F">
      <w:pPr>
        <w:numPr>
          <w:ilvl w:val="0"/>
          <w:numId w:val="3"/>
        </w:numPr>
        <w:spacing w:after="120" w:line="240" w:lineRule="exact"/>
        <w:ind w:left="283" w:hanging="283"/>
        <w:jc w:val="both"/>
        <w:rPr>
          <w:rFonts w:ascii="FrankRuehl" w:eastAsia="David" w:hAnsi="FrankRuehl" w:cs="FrankRuehl"/>
          <w:rtl/>
        </w:rPr>
      </w:pPr>
    </w:p>
    <w:p w14:paraId="7F60122F" w14:textId="77777777" w:rsidR="0050299F" w:rsidRPr="0050299F" w:rsidRDefault="0050299F">
      <w:pPr>
        <w:numPr>
          <w:ilvl w:val="0"/>
          <w:numId w:val="3"/>
        </w:numPr>
        <w:spacing w:line="360" w:lineRule="auto"/>
        <w:jc w:val="both"/>
        <w:rPr>
          <w:rFonts w:ascii="Arial" w:eastAsia="David" w:hAnsi="Arial" w:cs="FrankRuehl"/>
          <w:szCs w:val="28"/>
          <w:rtl/>
        </w:rPr>
      </w:pPr>
      <w:bookmarkStart w:id="7" w:name="LawTable_End"/>
      <w:bookmarkEnd w:id="7"/>
    </w:p>
    <w:p w14:paraId="23A68B63" w14:textId="77777777" w:rsidR="0050299F" w:rsidRPr="0050299F" w:rsidRDefault="0050299F">
      <w:pPr>
        <w:numPr>
          <w:ilvl w:val="0"/>
          <w:numId w:val="3"/>
        </w:numPr>
        <w:spacing w:line="360" w:lineRule="auto"/>
        <w:jc w:val="both"/>
        <w:rPr>
          <w:rFonts w:ascii="Arial" w:eastAsia="David" w:hAnsi="Arial" w:cs="FrankRuehl"/>
          <w:szCs w:val="28"/>
          <w:rtl/>
        </w:rPr>
      </w:pPr>
    </w:p>
    <w:p w14:paraId="473E279C" w14:textId="77777777" w:rsidR="00A25EBC" w:rsidRDefault="003B633E">
      <w:pPr>
        <w:numPr>
          <w:ilvl w:val="0"/>
          <w:numId w:val="3"/>
        </w:numPr>
        <w:spacing w:line="360" w:lineRule="auto"/>
        <w:jc w:val="both"/>
        <w:rPr>
          <w:rFonts w:ascii="Arial" w:eastAsia="David" w:hAnsi="Arial" w:cs="FrankRuehl"/>
          <w:szCs w:val="28"/>
          <w:rtl/>
        </w:rPr>
      </w:pPr>
      <w:r w:rsidRPr="0050299F">
        <w:rPr>
          <w:rFonts w:ascii="Arial" w:eastAsia="David" w:hAnsi="Arial" w:cs="FrankRuehl"/>
          <w:szCs w:val="28"/>
          <w:rtl/>
        </w:rPr>
        <w:t>,</w:t>
      </w:r>
    </w:p>
    <w:p w14:paraId="368272ED" w14:textId="77777777" w:rsidR="003B633E" w:rsidRPr="003B633E" w:rsidRDefault="003B633E" w:rsidP="00A25EBC">
      <w:pPr>
        <w:spacing w:line="360" w:lineRule="auto"/>
        <w:ind w:left="360"/>
        <w:jc w:val="both"/>
        <w:rPr>
          <w:rFonts w:ascii="Arial" w:eastAsia="David" w:hAnsi="Arial" w:cs="FrankRuehl"/>
          <w:szCs w:val="28"/>
          <w:rtl/>
        </w:rPr>
      </w:pPr>
    </w:p>
    <w:bookmarkEnd w:id="0"/>
    <w:bookmarkEnd w:id="1"/>
    <w:p w14:paraId="457FAD1D" w14:textId="77777777" w:rsidR="003B633E" w:rsidRPr="003B633E" w:rsidRDefault="003B633E" w:rsidP="003B633E">
      <w:pPr>
        <w:numPr>
          <w:ilvl w:val="0"/>
          <w:numId w:val="3"/>
        </w:numPr>
        <w:spacing w:line="360" w:lineRule="auto"/>
        <w:jc w:val="center"/>
        <w:rPr>
          <w:rFonts w:ascii="Arial" w:eastAsia="David" w:hAnsi="Arial" w:cs="FrankRuehl"/>
          <w:bCs/>
          <w:szCs w:val="28"/>
          <w:rtl/>
        </w:rPr>
      </w:pPr>
      <w:r w:rsidRPr="003B633E">
        <w:rPr>
          <w:rFonts w:ascii="Arial" w:eastAsia="David" w:hAnsi="Arial" w:cs="FrankRuehl"/>
          <w:bCs/>
          <w:szCs w:val="28"/>
          <w:rtl/>
        </w:rPr>
        <w:t>בנוסף קצינת המבחן המליצה על הטלת צו של"צ בהיקף של 340 שעות, כחלופה עונשית</w:t>
      </w:r>
    </w:p>
    <w:p w14:paraId="4E210228" w14:textId="77777777" w:rsidR="00921932" w:rsidRDefault="003B633E">
      <w:pPr>
        <w:numPr>
          <w:ilvl w:val="0"/>
          <w:numId w:val="3"/>
        </w:numPr>
        <w:spacing w:line="360" w:lineRule="auto"/>
        <w:jc w:val="both"/>
        <w:rPr>
          <w:rFonts w:ascii="Arial" w:eastAsia="David" w:hAnsi="Arial" w:cs="FrankRuehl"/>
          <w:szCs w:val="28"/>
        </w:rPr>
      </w:pPr>
      <w:r>
        <w:rPr>
          <w:rFonts w:ascii="Arial" w:eastAsia="David" w:hAnsi="Arial" w:cs="FrankRuehl"/>
          <w:szCs w:val="28"/>
          <w:rtl/>
        </w:rPr>
        <w:t xml:space="preserve">מוחשית, חינוכית ומציבת גבולות ברורים. </w:t>
      </w:r>
    </w:p>
    <w:p w14:paraId="635CA374"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בדיון מיום 27.1.2015 ולאחר שמיעת טענות הצדדים, החלטתי שלא לגזור את דינו באותו יום ולבחון התקדמות ההליך הטיפולי במסגרת היחידה העירונית לטיפול בהתמכרויות ולכן דחיתי את המשך הדיון, על מנת שיוכן תסקיר עדכני לאחר התקדמות ההליך הטיפולי.</w:t>
      </w:r>
    </w:p>
    <w:p w14:paraId="73F77AB2" w14:textId="77777777" w:rsidR="00921932" w:rsidRDefault="00921932">
      <w:pPr>
        <w:spacing w:line="360" w:lineRule="auto"/>
        <w:ind w:left="720"/>
        <w:jc w:val="both"/>
        <w:rPr>
          <w:rFonts w:ascii="Arial" w:eastAsia="David" w:hAnsi="Arial" w:cs="FrankRuehl"/>
          <w:szCs w:val="28"/>
          <w:rtl/>
        </w:rPr>
      </w:pPr>
    </w:p>
    <w:p w14:paraId="782AEB88" w14:textId="77777777" w:rsidR="00921932" w:rsidRDefault="003B633E">
      <w:pPr>
        <w:numPr>
          <w:ilvl w:val="0"/>
          <w:numId w:val="3"/>
        </w:numPr>
        <w:spacing w:line="360" w:lineRule="auto"/>
        <w:jc w:val="both"/>
        <w:rPr>
          <w:rFonts w:ascii="Arial" w:eastAsia="David" w:hAnsi="Arial" w:cs="FrankRuehl"/>
          <w:szCs w:val="28"/>
          <w:u w:val="single"/>
          <w:rtl/>
        </w:rPr>
      </w:pPr>
      <w:r>
        <w:rPr>
          <w:rFonts w:ascii="Arial" w:eastAsia="David" w:hAnsi="Arial" w:cs="FrankRuehl"/>
          <w:szCs w:val="28"/>
          <w:rtl/>
        </w:rPr>
        <w:t>בתסקיר המשלים נוסף מיום 26.4.2015, שירות המבחן ציין כי הנאשם ממשיך לשתף פעולה בטיפול בהתמכרויות ושומר על ניקיונו מסמי רחוב ואלכוהול. התרשם מיכולת</w:t>
      </w:r>
      <w:r>
        <w:rPr>
          <w:rFonts w:ascii="Arial" w:eastAsia="David" w:hAnsi="Arial" w:cs="FrankRuehl" w:hint="cs"/>
          <w:szCs w:val="28"/>
          <w:rtl/>
        </w:rPr>
        <w:t>ו</w:t>
      </w:r>
      <w:r>
        <w:rPr>
          <w:rFonts w:ascii="Arial" w:eastAsia="David" w:hAnsi="Arial" w:cs="FrankRuehl"/>
          <w:szCs w:val="28"/>
          <w:rtl/>
        </w:rPr>
        <w:t xml:space="preserve"> לקחת אחריות על עצמו ועל חייו ולאור ההתרשמות מיכולתו להיעזר בתהליך הטיפולי על מנת ליצור שינוי בדפוסי התמכרותו, דבר שבא לידי ביטוי במאמצים שעשה גם במישור התעסוקתי, שב והמליץ שירות המבחן לשקול את האפיק השיקומי זאת מבלי להתעלם מחומרת מעשיו, להאריך את המאסר המותנה ל</w:t>
      </w:r>
      <w:r>
        <w:rPr>
          <w:rFonts w:ascii="Arial" w:eastAsia="David" w:hAnsi="Arial" w:cs="FrankRuehl" w:hint="cs"/>
          <w:szCs w:val="28"/>
          <w:rtl/>
        </w:rPr>
        <w:t xml:space="preserve">העמיד את </w:t>
      </w:r>
      <w:r>
        <w:rPr>
          <w:rFonts w:ascii="Arial" w:eastAsia="David" w:hAnsi="Arial" w:cs="FrankRuehl"/>
          <w:szCs w:val="28"/>
          <w:rtl/>
        </w:rPr>
        <w:t xml:space="preserve">הנאשם </w:t>
      </w:r>
      <w:r>
        <w:rPr>
          <w:rFonts w:ascii="Arial" w:eastAsia="David" w:hAnsi="Arial" w:cs="FrankRuehl" w:hint="cs"/>
          <w:szCs w:val="28"/>
          <w:rtl/>
        </w:rPr>
        <w:t xml:space="preserve">תחת </w:t>
      </w:r>
      <w:r>
        <w:rPr>
          <w:rFonts w:ascii="Arial" w:eastAsia="David" w:hAnsi="Arial" w:cs="FrankRuehl"/>
          <w:szCs w:val="28"/>
          <w:rtl/>
        </w:rPr>
        <w:t>צו מבחן למשך שנה וחצי במהלכ</w:t>
      </w:r>
      <w:r>
        <w:rPr>
          <w:rFonts w:ascii="Arial" w:eastAsia="David" w:hAnsi="Arial" w:cs="FrankRuehl" w:hint="cs"/>
          <w:szCs w:val="28"/>
          <w:rtl/>
        </w:rPr>
        <w:t>ה</w:t>
      </w:r>
      <w:r>
        <w:rPr>
          <w:rFonts w:ascii="Arial" w:eastAsia="David" w:hAnsi="Arial" w:cs="FrankRuehl"/>
          <w:szCs w:val="28"/>
          <w:rtl/>
        </w:rPr>
        <w:t xml:space="preserve"> ימשיך בתהליך הטיפולי במסגרת היחידה לטיפול בהתמכרויות בחיפה. בנוסף המליצו על הטלת צו של"צ בהיקף של 340 שעות</w:t>
      </w:r>
      <w:r>
        <w:rPr>
          <w:rFonts w:ascii="Arial" w:eastAsia="David" w:hAnsi="Arial" w:cs="FrankRuehl" w:hint="cs"/>
          <w:szCs w:val="28"/>
          <w:rtl/>
        </w:rPr>
        <w:t xml:space="preserve">, </w:t>
      </w:r>
      <w:r>
        <w:rPr>
          <w:rFonts w:ascii="Arial" w:eastAsia="David" w:hAnsi="Arial" w:cs="FrankRuehl"/>
          <w:szCs w:val="28"/>
          <w:rtl/>
        </w:rPr>
        <w:t xml:space="preserve">שיבוצעו במסגרת אגודת "צער בעלי חיים" בחיפה בתפקידי ניקיון, האכלה, טיול, טיפול בבעלי חיים.  </w:t>
      </w:r>
    </w:p>
    <w:p w14:paraId="219ABDC3" w14:textId="77777777" w:rsidR="00921932" w:rsidRDefault="00921932">
      <w:pPr>
        <w:spacing w:line="360" w:lineRule="auto"/>
        <w:ind w:left="720"/>
        <w:jc w:val="both"/>
        <w:rPr>
          <w:rFonts w:ascii="Arial" w:eastAsia="David" w:hAnsi="Arial" w:cs="FrankRuehl"/>
          <w:szCs w:val="28"/>
          <w:u w:val="single"/>
          <w:rtl/>
        </w:rPr>
      </w:pPr>
    </w:p>
    <w:p w14:paraId="486EB755" w14:textId="77777777" w:rsidR="00921932" w:rsidRDefault="003B633E">
      <w:pPr>
        <w:spacing w:line="360" w:lineRule="auto"/>
        <w:ind w:left="360" w:firstLine="360"/>
        <w:jc w:val="both"/>
        <w:rPr>
          <w:rFonts w:ascii="Arial" w:eastAsia="David" w:hAnsi="Arial" w:cs="Miriam"/>
        </w:rPr>
      </w:pPr>
      <w:r>
        <w:rPr>
          <w:rFonts w:ascii="Arial" w:eastAsia="David" w:hAnsi="Arial" w:cs="Miriam"/>
          <w:rtl/>
        </w:rPr>
        <w:t>תמצית טענות הצדדים</w:t>
      </w:r>
    </w:p>
    <w:p w14:paraId="5A7C1B62" w14:textId="77777777" w:rsidR="00921932" w:rsidRDefault="003B633E">
      <w:pPr>
        <w:numPr>
          <w:ilvl w:val="0"/>
          <w:numId w:val="1"/>
        </w:numPr>
        <w:spacing w:line="360" w:lineRule="auto"/>
        <w:jc w:val="both"/>
        <w:rPr>
          <w:rFonts w:ascii="Arial" w:eastAsia="David" w:hAnsi="Arial" w:cs="FrankRuehl"/>
          <w:szCs w:val="28"/>
          <w:rtl/>
        </w:rPr>
      </w:pPr>
      <w:r>
        <w:rPr>
          <w:rFonts w:ascii="Arial" w:eastAsia="David" w:hAnsi="Arial" w:cs="FrankRuehl"/>
          <w:szCs w:val="28"/>
          <w:rtl/>
        </w:rPr>
        <w:t xml:space="preserve">ב"כ המאשימה  בטיעוניו בכתב (ט/3) ובעל פה העריך כי מתחם העונש ההולם נע בין 12-30 חודשי מאסר, גם משום שהוא המתחם שקבע בית המשפט בעניין קדם (ראו </w:t>
      </w:r>
      <w:r>
        <w:rPr>
          <w:rFonts w:ascii="Arial" w:eastAsia="David" w:hAnsi="Arial" w:cs="FrankRuehl" w:hint="cs"/>
          <w:szCs w:val="28"/>
          <w:rtl/>
        </w:rPr>
        <w:t xml:space="preserve">      </w:t>
      </w:r>
      <w:hyperlink r:id="rId48" w:history="1">
        <w:r w:rsidRPr="003B633E">
          <w:rPr>
            <w:rFonts w:ascii="Arial" w:eastAsia="David" w:hAnsi="Arial" w:cs="FrankRuehl"/>
            <w:color w:val="0000FF"/>
            <w:szCs w:val="28"/>
            <w:u w:val="single"/>
            <w:rtl/>
          </w:rPr>
          <w:t>ת.פ. 46018-03-14</w:t>
        </w:r>
      </w:hyperlink>
      <w:r>
        <w:rPr>
          <w:rFonts w:ascii="Arial" w:eastAsia="David" w:hAnsi="Arial" w:cs="FrankRuehl"/>
          <w:szCs w:val="28"/>
          <w:rtl/>
        </w:rPr>
        <w:t xml:space="preserve">) שהורשע לטענתו בעבירות זהות וביקש להטיל עליו עונש של מאסר בפועל בתוך המתחם, להפעיל את המאסר המותנה במצטבר, בנוסף למאסר מותנה וקנס. </w:t>
      </w:r>
    </w:p>
    <w:p w14:paraId="663360D5" w14:textId="77777777" w:rsidR="00921932" w:rsidRDefault="00921932">
      <w:pPr>
        <w:spacing w:line="360" w:lineRule="auto"/>
        <w:ind w:left="720"/>
        <w:jc w:val="both"/>
        <w:rPr>
          <w:rFonts w:ascii="Arial" w:eastAsia="David" w:hAnsi="Arial" w:cs="FrankRuehl"/>
          <w:szCs w:val="28"/>
          <w:rtl/>
        </w:rPr>
      </w:pPr>
    </w:p>
    <w:p w14:paraId="5C16AA3D"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ב"כ המאשימה סבור כי מעורבותו של הנאשם אינה פחותה מזו של קדם, ותפקיד</w:t>
      </w:r>
      <w:r>
        <w:rPr>
          <w:rFonts w:ascii="Arial" w:eastAsia="David" w:hAnsi="Arial" w:cs="FrankRuehl" w:hint="cs"/>
          <w:szCs w:val="28"/>
          <w:rtl/>
        </w:rPr>
        <w:t>ו</w:t>
      </w:r>
      <w:r>
        <w:rPr>
          <w:rFonts w:ascii="Arial" w:eastAsia="David" w:hAnsi="Arial" w:cs="FrankRuehl"/>
          <w:szCs w:val="28"/>
          <w:rtl/>
        </w:rPr>
        <w:t xml:space="preserve"> במזימה לייבא הסמים דומה אם לא זהה. דווקא מעורבותו של קדם בסופו של דבר הייתה פסיבית יותר מהנאשם, אשר בפועל היה זה שקיבל את הסמים עבור שותפיו תמורת תשלום</w:t>
      </w:r>
      <w:r>
        <w:rPr>
          <w:rFonts w:ascii="Arial" w:eastAsia="David" w:hAnsi="Arial" w:cs="FrankRuehl" w:hint="cs"/>
          <w:szCs w:val="28"/>
          <w:rtl/>
        </w:rPr>
        <w:t xml:space="preserve">, </w:t>
      </w:r>
      <w:r>
        <w:rPr>
          <w:rFonts w:ascii="Arial" w:eastAsia="David" w:hAnsi="Arial" w:cs="FrankRuehl"/>
          <w:szCs w:val="28"/>
          <w:rtl/>
        </w:rPr>
        <w:t xml:space="preserve">על כן יש לגזור לטענתו גזירה שווה בין השניים.  </w:t>
      </w:r>
    </w:p>
    <w:p w14:paraId="6C8DBE59" w14:textId="77777777" w:rsidR="00921932" w:rsidRDefault="00921932">
      <w:pPr>
        <w:spacing w:line="360" w:lineRule="auto"/>
        <w:ind w:left="720"/>
        <w:jc w:val="both"/>
        <w:rPr>
          <w:rFonts w:ascii="Arial" w:eastAsia="David" w:hAnsi="Arial" w:cs="FrankRuehl"/>
          <w:szCs w:val="28"/>
          <w:rtl/>
        </w:rPr>
      </w:pPr>
    </w:p>
    <w:p w14:paraId="14CC5485"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לתמיכה בטענותיו הפנה ב"כ המאשימה לשני גזרי הדין בעניינם של קדם וקוסטה </w:t>
      </w:r>
      <w:r>
        <w:rPr>
          <w:rFonts w:ascii="Arial" w:eastAsia="David" w:hAnsi="Arial" w:cs="FrankRuehl" w:hint="cs"/>
          <w:szCs w:val="28"/>
          <w:rtl/>
        </w:rPr>
        <w:t xml:space="preserve">           </w:t>
      </w:r>
      <w:r>
        <w:rPr>
          <w:rFonts w:ascii="Arial" w:eastAsia="David" w:hAnsi="Arial" w:cs="FrankRuehl"/>
          <w:szCs w:val="28"/>
          <w:rtl/>
        </w:rPr>
        <w:t>(</w:t>
      </w:r>
      <w:hyperlink r:id="rId49" w:history="1">
        <w:r w:rsidRPr="003B633E">
          <w:rPr>
            <w:rFonts w:ascii="Arial" w:eastAsia="David" w:hAnsi="Arial" w:cs="FrankRuehl"/>
            <w:color w:val="0000FF"/>
            <w:szCs w:val="28"/>
            <w:u w:val="single"/>
            <w:rtl/>
          </w:rPr>
          <w:t>ת.פ. 46018-03-14</w:t>
        </w:r>
      </w:hyperlink>
      <w:r>
        <w:rPr>
          <w:rFonts w:ascii="Arial" w:eastAsia="David" w:hAnsi="Arial" w:cs="FrankRuehl"/>
          <w:szCs w:val="28"/>
          <w:rtl/>
        </w:rPr>
        <w:t xml:space="preserve">), </w:t>
      </w:r>
      <w:r>
        <w:rPr>
          <w:rFonts w:ascii="Arial" w:eastAsia="David" w:hAnsi="Arial" w:cs="FrankRuehl" w:hint="cs"/>
          <w:szCs w:val="28"/>
          <w:rtl/>
        </w:rPr>
        <w:t>ק</w:t>
      </w:r>
      <w:r>
        <w:rPr>
          <w:rFonts w:ascii="Arial" w:eastAsia="David" w:hAnsi="Arial" w:cs="FrankRuehl"/>
          <w:szCs w:val="28"/>
          <w:rtl/>
        </w:rPr>
        <w:t>דם נידון ל- 12 חודשי מאסר בפועל (בעניינו תלוי ועומד ערעור בבית המשפט העליון על חומרת העונש ובקשה לחזרה מהודיה)</w:t>
      </w:r>
      <w:r>
        <w:rPr>
          <w:rFonts w:ascii="Arial" w:eastAsia="David" w:hAnsi="Arial" w:cs="FrankRuehl" w:hint="cs"/>
          <w:szCs w:val="28"/>
          <w:rtl/>
        </w:rPr>
        <w:t>, וכל זאת בהתאם ל</w:t>
      </w:r>
      <w:r>
        <w:rPr>
          <w:rFonts w:ascii="Arial" w:eastAsia="David" w:hAnsi="Arial" w:cs="FrankRuehl"/>
          <w:szCs w:val="28"/>
          <w:rtl/>
        </w:rPr>
        <w:t>רף התחתון של המתחם, תוך התחשבות בעברו הנקי – נסיבה שאינה עומדת לטענת</w:t>
      </w:r>
      <w:r>
        <w:rPr>
          <w:rFonts w:ascii="Arial" w:eastAsia="David" w:hAnsi="Arial" w:cs="FrankRuehl" w:hint="cs"/>
          <w:szCs w:val="28"/>
          <w:rtl/>
        </w:rPr>
        <w:t xml:space="preserve"> ב"כ המאשימה </w:t>
      </w:r>
      <w:r>
        <w:rPr>
          <w:rFonts w:ascii="Arial" w:eastAsia="David" w:hAnsi="Arial" w:cs="FrankRuehl"/>
          <w:szCs w:val="28"/>
          <w:rtl/>
        </w:rPr>
        <w:t xml:space="preserve">לזכות הנאשם. </w:t>
      </w:r>
    </w:p>
    <w:p w14:paraId="7DD33347" w14:textId="77777777" w:rsidR="00921932" w:rsidRDefault="00921932">
      <w:pPr>
        <w:spacing w:line="360" w:lineRule="auto"/>
        <w:ind w:left="720"/>
        <w:jc w:val="both"/>
        <w:rPr>
          <w:rFonts w:ascii="Arial" w:eastAsia="David" w:hAnsi="Arial" w:cs="FrankRuehl"/>
          <w:szCs w:val="28"/>
          <w:rtl/>
        </w:rPr>
      </w:pPr>
    </w:p>
    <w:p w14:paraId="2A631724"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בטיעוניו שם דגש על חומרת העבירה, על הערכים שנפגעו בעבירה- שלום הציבור, זכותו של אדם לגופו, חייו וחירותו, ופגיעתו הרעה של הסם. באשר לנסיבות הקשורות בביצוע העבירה הפנה למעורבותו הפעילה של הנאשם, שהיווה חוליה הכרחית ליבוא הסמים בתור מי שקיבל לידיו את חבילת הסמים, האופן המתוחכם של היבוא תוך הסלקת הסמים בפסלון סנטה קלאוס, כמות הסם, אופיו המסוכן של הסם והשפעותיו הרעות וביצוע בצוותא ע"י 4 אנשים. </w:t>
      </w:r>
    </w:p>
    <w:p w14:paraId="367B8CBB" w14:textId="77777777" w:rsidR="00921932" w:rsidRDefault="00921932">
      <w:pPr>
        <w:spacing w:line="360" w:lineRule="auto"/>
        <w:ind w:left="720"/>
        <w:jc w:val="both"/>
        <w:rPr>
          <w:rFonts w:ascii="Arial" w:eastAsia="David" w:hAnsi="Arial" w:cs="FrankRuehl"/>
          <w:szCs w:val="28"/>
          <w:rtl/>
        </w:rPr>
      </w:pPr>
    </w:p>
    <w:p w14:paraId="3CD2B4CE"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ב"כ המאשימה ביקש לשקול לחומרא את עברו הפלילי של הנאשם ולטענתו שרות המבחן התעלם מחומרת העבירות, מעברו הפלילי ובפרט מכ</w:t>
      </w:r>
      <w:r>
        <w:rPr>
          <w:rFonts w:ascii="Arial" w:eastAsia="David" w:hAnsi="Arial" w:cs="FrankRuehl" w:hint="cs"/>
          <w:szCs w:val="28"/>
          <w:rtl/>
        </w:rPr>
        <w:t>י</w:t>
      </w:r>
      <w:r>
        <w:rPr>
          <w:rFonts w:ascii="Arial" w:eastAsia="David" w:hAnsi="Arial" w:cs="FrankRuehl"/>
          <w:szCs w:val="28"/>
          <w:rtl/>
        </w:rPr>
        <w:t xml:space="preserve">שלון ניסיונות להשתקם בעבר. יחד עם זאת לאור נטילת האחריות והחיסכון בזמן השיפוטי ושיתוף הפעולה של הנאשם עם גורמי הטיפול, המאשימה ביקשה לגזור את עונשו ברף התחתון של המתחם. </w:t>
      </w:r>
    </w:p>
    <w:p w14:paraId="7A6F18A0" w14:textId="77777777" w:rsidR="00921932" w:rsidRDefault="00921932">
      <w:pPr>
        <w:spacing w:line="360" w:lineRule="auto"/>
        <w:ind w:left="720"/>
        <w:jc w:val="both"/>
        <w:rPr>
          <w:rFonts w:ascii="Arial" w:eastAsia="David" w:hAnsi="Arial" w:cs="FrankRuehl"/>
          <w:szCs w:val="28"/>
          <w:rtl/>
        </w:rPr>
      </w:pPr>
    </w:p>
    <w:p w14:paraId="1310B182"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לתמיכה בטענותיו ב"כ המאשימה הגיש אסופת פסיקה בהם נקבעו עונשים של 12, 30 ,  36 חודשי מאסר בפועל. </w:t>
      </w:r>
    </w:p>
    <w:p w14:paraId="0276739D" w14:textId="77777777" w:rsidR="00921932" w:rsidRDefault="00921932">
      <w:pPr>
        <w:spacing w:line="360" w:lineRule="auto"/>
        <w:ind w:left="720"/>
        <w:jc w:val="both"/>
        <w:rPr>
          <w:rFonts w:ascii="Arial" w:eastAsia="David" w:hAnsi="Arial" w:cs="FrankRuehl"/>
          <w:szCs w:val="28"/>
          <w:rtl/>
        </w:rPr>
      </w:pPr>
    </w:p>
    <w:p w14:paraId="153E0808" w14:textId="77777777" w:rsidR="00921932" w:rsidRDefault="003B633E">
      <w:pPr>
        <w:numPr>
          <w:ilvl w:val="0"/>
          <w:numId w:val="1"/>
        </w:numPr>
        <w:spacing w:line="360" w:lineRule="auto"/>
        <w:jc w:val="both"/>
        <w:rPr>
          <w:rFonts w:ascii="Arial" w:eastAsia="David" w:hAnsi="Arial" w:cs="FrankRuehl"/>
          <w:szCs w:val="28"/>
          <w:rtl/>
        </w:rPr>
      </w:pPr>
      <w:r>
        <w:rPr>
          <w:rFonts w:ascii="Arial" w:eastAsia="David" w:hAnsi="Arial" w:cs="FrankRuehl"/>
          <w:szCs w:val="28"/>
          <w:rtl/>
        </w:rPr>
        <w:t>ב"כ הנאשם ביקש לאמץ את המלצת שירות המבחן, לסטות לקול</w:t>
      </w:r>
      <w:r>
        <w:rPr>
          <w:rFonts w:ascii="Arial" w:eastAsia="David" w:hAnsi="Arial" w:cs="FrankRuehl" w:hint="cs"/>
          <w:szCs w:val="28"/>
          <w:rtl/>
        </w:rPr>
        <w:t>ה</w:t>
      </w:r>
      <w:r>
        <w:rPr>
          <w:rFonts w:ascii="Arial" w:eastAsia="David" w:hAnsi="Arial" w:cs="FrankRuehl"/>
          <w:szCs w:val="28"/>
          <w:rtl/>
        </w:rPr>
        <w:t xml:space="preserve"> ממתחם העונש ההולם ולהאריך את המאסר המותנה לצד הטלת צו של"צ שאורכו ייקבע בהתאם לשיקול דעת בית משפט. ב"כ הנאשם שם דגש על אינטרס השיקום, הודיית הנאשם  בהזדמנות הראשונה, נטילת אחריות, החיסכון בזמן השיפוטי, עבר הלא מכביד, וגילו הצעיר של הנאשם הנמנה על קבוצת "בגירים צעירים" שיש לתת לה משקל נוסף יחד עם  המשקל שיש לתת לתיקון 113 הנותן משקל מיוחד לשיקולי שיקום. ב"כ הנאשם הפנה לאמור בתסקירים המתייחסים גם לקשיים שהתהליך לווה בהם, אך הבהיר כי לאחר תקופה ממושכת בה הנאשם היה במעקב צמוד של שירות המבחן התוצאה  חיובית. </w:t>
      </w:r>
    </w:p>
    <w:p w14:paraId="07C6E504" w14:textId="77777777" w:rsidR="00921932" w:rsidRDefault="00921932">
      <w:pPr>
        <w:spacing w:line="360" w:lineRule="auto"/>
        <w:ind w:left="720"/>
        <w:jc w:val="both"/>
        <w:rPr>
          <w:rFonts w:ascii="Arial" w:eastAsia="David" w:hAnsi="Arial" w:cs="FrankRuehl"/>
          <w:szCs w:val="28"/>
          <w:rtl/>
        </w:rPr>
      </w:pPr>
    </w:p>
    <w:p w14:paraId="744C8738"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בטיעוניו עשה ב"כ הנאשם אבחנה בין חלקו של הנאשם לבין קדם, קדם היה מעורב עוד מהשלב של הזמנת הסם, הסם הוזמן על שמו והוא היה אמור לקבל את המשלוח ורק לאחר חששם של שלושת השותפים שמא המשלוח נתפס ע"י המשטרה, פנו לנאשם, שילמו לו 500 ₪ כדי שיזדהה כקדם ויקבל את המשלוח. מבחינה מעשית, מבחינת המודעות והאשם, אשמו של הנאשם נמוך הרבה יותר לטענתו.</w:t>
      </w:r>
    </w:p>
    <w:p w14:paraId="36EC5519" w14:textId="77777777" w:rsidR="00921932" w:rsidRDefault="00921932">
      <w:pPr>
        <w:spacing w:line="360" w:lineRule="auto"/>
        <w:jc w:val="both"/>
        <w:rPr>
          <w:rFonts w:ascii="Arial" w:eastAsia="David" w:hAnsi="Arial" w:cs="FrankRuehl"/>
          <w:szCs w:val="28"/>
          <w:rtl/>
        </w:rPr>
      </w:pPr>
    </w:p>
    <w:p w14:paraId="23896D56"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ב"כ הנאשם העריך כי מתחם העונש ההולם נע בין 6 חודשי מאסר שיכול וירוצו בעבודות שירות לבין 12 חודשי מאסר בפועל. והבהיר כי במקרה זה יש לקבוע מתחם שונה וקל יותר מהמתחם שנקבע בעניינו של קדם. </w:t>
      </w:r>
    </w:p>
    <w:p w14:paraId="6A343A21"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 </w:t>
      </w:r>
    </w:p>
    <w:p w14:paraId="70A70589"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לטענת ב"כ הנאשם הסם הספציפי הוא לא סם נפוץ לייבוא, כתבי האישום בודדים, הפסיקה לגבי עבירות סמים מאותו סוג נמצאת בהתהוות, לכך הוסיף כי כתבי אישום מאותו סוג מוגשים לבית המשפט השלום.</w:t>
      </w:r>
    </w:p>
    <w:p w14:paraId="528C5B25" w14:textId="77777777" w:rsidR="00921932" w:rsidRDefault="00921932">
      <w:pPr>
        <w:spacing w:line="360" w:lineRule="auto"/>
        <w:ind w:left="720"/>
        <w:jc w:val="both"/>
        <w:rPr>
          <w:rFonts w:ascii="Arial" w:eastAsia="David" w:hAnsi="Arial" w:cs="FrankRuehl"/>
          <w:szCs w:val="28"/>
          <w:rtl/>
        </w:rPr>
      </w:pPr>
    </w:p>
    <w:p w14:paraId="6D917660"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ב"כ הנאשם הגיש אסופת פסיקה ממנה עולה כי בתי משפט הסתפקו בהעמדה במבחן במקרים בהם הוכחה גמילה מוצלחת או התחלה של שיקום מוכח, כן הגיש פסקי דין בהם הוטלו צו מבחן, 6 חודשי מאסר בעבודות שירות, 9 חודשי מאסר. </w:t>
      </w:r>
    </w:p>
    <w:p w14:paraId="00773C36"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 </w:t>
      </w:r>
    </w:p>
    <w:p w14:paraId="794D967E"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הנאשם בתום הטיעונים לעונש, ציין כי הוא עבר שינוי ארוך והשתקם בחיים, הוא עבר לגור בדרום הארץ ופתח דף חדש בחייו וביקש לאמץ את המלצת שירות המבחן.</w:t>
      </w:r>
    </w:p>
    <w:p w14:paraId="3093466D" w14:textId="77777777" w:rsidR="00921932" w:rsidRDefault="00921932">
      <w:pPr>
        <w:spacing w:line="360" w:lineRule="auto"/>
        <w:jc w:val="both"/>
        <w:rPr>
          <w:rFonts w:ascii="Arial" w:eastAsia="David" w:hAnsi="Arial" w:cs="FrankRuehl"/>
          <w:szCs w:val="28"/>
          <w:rtl/>
        </w:rPr>
      </w:pPr>
    </w:p>
    <w:p w14:paraId="1D01A322" w14:textId="77777777" w:rsidR="00921932" w:rsidRDefault="003B633E">
      <w:pPr>
        <w:spacing w:line="360" w:lineRule="auto"/>
        <w:ind w:left="360" w:firstLine="360"/>
        <w:jc w:val="both"/>
        <w:rPr>
          <w:rFonts w:ascii="Arial" w:eastAsia="David" w:hAnsi="Arial" w:cs="Miriam"/>
        </w:rPr>
      </w:pPr>
      <w:r>
        <w:rPr>
          <w:rFonts w:ascii="Arial" w:eastAsia="David" w:hAnsi="Arial" w:cs="Miriam"/>
          <w:rtl/>
        </w:rPr>
        <w:t>דיון</w:t>
      </w:r>
    </w:p>
    <w:p w14:paraId="62DC1987" w14:textId="77777777" w:rsidR="00921932" w:rsidRDefault="003B633E">
      <w:pPr>
        <w:spacing w:line="360" w:lineRule="auto"/>
        <w:ind w:left="720"/>
        <w:jc w:val="both"/>
        <w:rPr>
          <w:rFonts w:ascii="Arial" w:eastAsia="David" w:hAnsi="Arial" w:cs="FrankRuehl"/>
          <w:color w:val="000000"/>
          <w:szCs w:val="28"/>
          <w:rtl/>
        </w:rPr>
      </w:pPr>
      <w:r>
        <w:rPr>
          <w:rFonts w:ascii="Arial" w:eastAsia="David" w:hAnsi="Arial" w:cs="FrankRuehl"/>
          <w:color w:val="000000"/>
          <w:szCs w:val="28"/>
          <w:rtl/>
        </w:rPr>
        <w:t>במקרה זה חל תיקון 113 ל</w:t>
      </w:r>
      <w:hyperlink r:id="rId50" w:history="1">
        <w:r w:rsidRPr="003B633E">
          <w:rPr>
            <w:rFonts w:ascii="Arial" w:eastAsia="David" w:hAnsi="Arial" w:cs="FrankRuehl"/>
            <w:color w:val="0000FF"/>
            <w:szCs w:val="28"/>
            <w:u w:val="single"/>
            <w:rtl/>
          </w:rPr>
          <w:t>חוק העונשין</w:t>
        </w:r>
      </w:hyperlink>
      <w:r>
        <w:rPr>
          <w:rFonts w:ascii="Arial" w:eastAsia="David" w:hAnsi="Arial" w:cs="FrankRuehl"/>
          <w:color w:val="000000"/>
          <w:szCs w:val="28"/>
          <w:rtl/>
        </w:rPr>
        <w:t xml:space="preserve"> שקובע כי "</w:t>
      </w:r>
      <w:r>
        <w:rPr>
          <w:rFonts w:ascii="Arial" w:eastAsia="David" w:hAnsi="Arial" w:cs="FrankRuehl"/>
          <w:szCs w:val="28"/>
          <w:rtl/>
        </w:rPr>
        <w:t>העיקרון המנחה בענישה הוא קיומו של יחס הולם בין חומרת מעשה העבירה בנסיבותיו ומידת אשמו של הנאשם ובין סוג ומידת העונש המוטל עלי</w:t>
      </w:r>
      <w:r>
        <w:rPr>
          <w:rFonts w:ascii="Arial" w:eastAsia="David" w:hAnsi="Arial" w:cs="FrankRuehl"/>
          <w:color w:val="000000"/>
          <w:szCs w:val="28"/>
          <w:rtl/>
        </w:rPr>
        <w:t>ו" (</w:t>
      </w:r>
      <w:hyperlink r:id="rId51" w:history="1">
        <w:r w:rsidR="00A25EBC" w:rsidRPr="00A25EBC">
          <w:rPr>
            <w:rFonts w:ascii="Arial" w:eastAsia="David" w:hAnsi="Arial" w:cs="FrankRuehl"/>
            <w:color w:val="0000FF"/>
            <w:szCs w:val="28"/>
            <w:u w:val="single"/>
            <w:rtl/>
          </w:rPr>
          <w:t>סעיף 40ב'</w:t>
        </w:r>
      </w:hyperlink>
      <w:r>
        <w:rPr>
          <w:rFonts w:ascii="Arial" w:eastAsia="David" w:hAnsi="Arial" w:cs="FrankRuehl"/>
          <w:color w:val="000000"/>
          <w:szCs w:val="28"/>
          <w:rtl/>
        </w:rPr>
        <w:t xml:space="preserve"> לחוק העונשין).</w:t>
      </w:r>
    </w:p>
    <w:p w14:paraId="30CC4981" w14:textId="77777777" w:rsidR="00921932" w:rsidRDefault="00921932">
      <w:pPr>
        <w:spacing w:line="360" w:lineRule="auto"/>
        <w:ind w:left="720"/>
        <w:jc w:val="both"/>
        <w:rPr>
          <w:rFonts w:ascii="Arial" w:eastAsia="David" w:hAnsi="Arial" w:cs="FrankRuehl"/>
          <w:color w:val="000000"/>
          <w:szCs w:val="28"/>
          <w:rtl/>
        </w:rPr>
      </w:pPr>
    </w:p>
    <w:p w14:paraId="282C9E33" w14:textId="77777777" w:rsidR="00921932" w:rsidRDefault="003B633E">
      <w:pPr>
        <w:spacing w:line="360" w:lineRule="auto"/>
        <w:ind w:left="720"/>
        <w:jc w:val="both"/>
        <w:rPr>
          <w:rFonts w:ascii="Arial" w:eastAsia="David" w:hAnsi="Arial" w:cs="Miriam"/>
          <w:color w:val="000000"/>
          <w:rtl/>
        </w:rPr>
      </w:pPr>
      <w:r>
        <w:rPr>
          <w:rFonts w:ascii="Arial" w:eastAsia="David" w:hAnsi="Arial" w:cs="Miriam"/>
          <w:color w:val="000000"/>
          <w:rtl/>
        </w:rPr>
        <w:t xml:space="preserve">מתחם העונש ההולם </w:t>
      </w:r>
    </w:p>
    <w:p w14:paraId="52BDD72E" w14:textId="77777777" w:rsidR="00921932" w:rsidRDefault="003B633E">
      <w:pPr>
        <w:spacing w:line="360" w:lineRule="auto"/>
        <w:ind w:left="720"/>
        <w:jc w:val="both"/>
        <w:rPr>
          <w:rFonts w:ascii="Arial" w:eastAsia="David" w:hAnsi="Arial" w:cs="FrankRuehl"/>
          <w:color w:val="000000"/>
          <w:szCs w:val="28"/>
          <w:rtl/>
        </w:rPr>
      </w:pPr>
      <w:r>
        <w:rPr>
          <w:rFonts w:ascii="Arial" w:eastAsia="David" w:hAnsi="Arial" w:cs="FrankRuehl"/>
          <w:color w:val="000000"/>
          <w:szCs w:val="28"/>
          <w:rtl/>
        </w:rPr>
        <w:t xml:space="preserve">העבירות המיוחסות לנאשם בוצעו במסגרת אירוע אחד, הנאשם הצטרף בשלב בו אלכסיי, קוסטה וקדם חשדו שמא המשלוח שכבר הגיע לארץ נתפס ע"י המשטרה, שיתפו אותו בפרטי המשלוח והציעו לו להתחזות לקדם ולקבל את המשלוח בתמורה לתשלום 500 ₪, ולאחר קבלת המשלוח להעבירו לקדם. הנאשם לקח את הטלפון המבצעי ואת תעודת החוגר של קדם ו- 35 ₪ מקוסטה על מנת לשלמם כתשר לשליח, הנאשם פגש את השליח, הזדהה באמצעות תעודת החוגר כקדם חתם על קבלת המשלוח ובאותו שלב נעצר ע"י שוטר. מאחר ומדובר באירוע אחד ייקבע מתחם עונש הולם אחד. </w:t>
      </w:r>
    </w:p>
    <w:p w14:paraId="57F4D295" w14:textId="77777777" w:rsidR="00921932" w:rsidRDefault="00921932">
      <w:pPr>
        <w:spacing w:line="360" w:lineRule="auto"/>
        <w:jc w:val="both"/>
        <w:rPr>
          <w:rFonts w:ascii="Arial" w:eastAsia="David" w:hAnsi="Arial" w:cs="FrankRuehl"/>
          <w:sz w:val="28"/>
          <w:szCs w:val="28"/>
          <w:rtl/>
        </w:rPr>
      </w:pPr>
    </w:p>
    <w:p w14:paraId="663F73EB" w14:textId="77777777" w:rsidR="00921932" w:rsidRDefault="003B633E">
      <w:pPr>
        <w:spacing w:line="360" w:lineRule="auto"/>
        <w:ind w:left="720"/>
        <w:jc w:val="both"/>
        <w:rPr>
          <w:rFonts w:ascii="Arial" w:eastAsia="David" w:hAnsi="Arial" w:cs="FrankRuehl"/>
          <w:color w:val="000000"/>
          <w:szCs w:val="28"/>
          <w:rtl/>
        </w:rPr>
      </w:pPr>
      <w:r>
        <w:rPr>
          <w:rFonts w:ascii="Arial" w:eastAsia="David" w:hAnsi="Arial" w:cs="FrankRuehl"/>
          <w:sz w:val="28"/>
          <w:szCs w:val="28"/>
          <w:rtl/>
        </w:rPr>
        <w:t>במעשיו פגע הנאשם בערכים חברתיים הקשורים בהגנה על שלום הציבור, כבודו וביטחונו,</w:t>
      </w:r>
      <w:r>
        <w:rPr>
          <w:rFonts w:ascii="Arial" w:eastAsia="David" w:hAnsi="Arial" w:cs="FrankRuehl"/>
          <w:color w:val="000000"/>
          <w:szCs w:val="28"/>
          <w:rtl/>
        </w:rPr>
        <w:t xml:space="preserve"> במקרה זה הפגיעה אינה חמורה.  </w:t>
      </w:r>
    </w:p>
    <w:p w14:paraId="2B4EFDC0" w14:textId="77777777" w:rsidR="00921932" w:rsidRDefault="00921932">
      <w:pPr>
        <w:spacing w:line="360" w:lineRule="auto"/>
        <w:ind w:left="720"/>
        <w:jc w:val="both"/>
        <w:rPr>
          <w:rFonts w:ascii="Arial" w:eastAsia="David" w:hAnsi="Arial" w:cs="FrankRuehl"/>
          <w:color w:val="000000"/>
          <w:szCs w:val="28"/>
          <w:rtl/>
        </w:rPr>
      </w:pPr>
    </w:p>
    <w:p w14:paraId="10698080" w14:textId="77777777" w:rsidR="00921932" w:rsidRDefault="003B633E">
      <w:pPr>
        <w:spacing w:line="360" w:lineRule="auto"/>
        <w:ind w:left="720"/>
        <w:jc w:val="both"/>
        <w:rPr>
          <w:rFonts w:ascii="Arial" w:eastAsia="David" w:hAnsi="Arial" w:cs="FrankRuehl"/>
          <w:sz w:val="28"/>
          <w:szCs w:val="28"/>
          <w:rtl/>
        </w:rPr>
      </w:pPr>
      <w:r>
        <w:rPr>
          <w:rFonts w:ascii="Arial" w:eastAsia="David" w:hAnsi="Arial" w:cs="FrankRuehl"/>
          <w:sz w:val="28"/>
          <w:szCs w:val="28"/>
          <w:rtl/>
        </w:rPr>
        <w:t>לענ</w:t>
      </w:r>
      <w:r>
        <w:rPr>
          <w:rFonts w:ascii="Arial" w:eastAsia="David" w:hAnsi="Arial" w:cs="FrankRuehl" w:hint="cs"/>
          <w:sz w:val="28"/>
          <w:szCs w:val="28"/>
          <w:rtl/>
        </w:rPr>
        <w:t>י</w:t>
      </w:r>
      <w:r>
        <w:rPr>
          <w:rFonts w:ascii="Arial" w:eastAsia="David" w:hAnsi="Arial" w:cs="FrankRuehl"/>
          <w:sz w:val="28"/>
          <w:szCs w:val="28"/>
          <w:rtl/>
        </w:rPr>
        <w:t>ין מדיניות הענישה אפנה ל</w:t>
      </w:r>
      <w:hyperlink r:id="rId52" w:history="1">
        <w:r w:rsidRPr="003B633E">
          <w:rPr>
            <w:rFonts w:ascii="Arial" w:eastAsia="David" w:hAnsi="Arial" w:cs="FrankRuehl"/>
            <w:color w:val="0000FF"/>
            <w:sz w:val="28"/>
            <w:szCs w:val="28"/>
            <w:u w:val="single"/>
            <w:rtl/>
          </w:rPr>
          <w:t>ע"פ 6990/13</w:t>
        </w:r>
      </w:hyperlink>
      <w:r>
        <w:rPr>
          <w:rFonts w:ascii="Arial" w:eastAsia="David" w:hAnsi="Arial" w:cs="FrankRuehl"/>
          <w:sz w:val="28"/>
          <w:szCs w:val="28"/>
          <w:rtl/>
        </w:rPr>
        <w:t xml:space="preserve"> שנדון במאוחד עם </w:t>
      </w:r>
      <w:hyperlink r:id="rId53" w:history="1">
        <w:r w:rsidRPr="003B633E">
          <w:rPr>
            <w:rFonts w:ascii="Arial" w:eastAsia="David" w:hAnsi="Arial" w:cs="FrankRuehl"/>
            <w:color w:val="0000FF"/>
            <w:sz w:val="28"/>
            <w:szCs w:val="28"/>
            <w:u w:val="single"/>
            <w:rtl/>
          </w:rPr>
          <w:t>ע"פ 7046/13</w:t>
        </w:r>
      </w:hyperlink>
      <w:r>
        <w:rPr>
          <w:rFonts w:ascii="Arial" w:eastAsia="David" w:hAnsi="Arial" w:cs="FrankRuehl"/>
          <w:sz w:val="28"/>
          <w:szCs w:val="28"/>
          <w:rtl/>
        </w:rPr>
        <w:t xml:space="preserve">, </w:t>
      </w:r>
      <w:r>
        <w:rPr>
          <w:rFonts w:ascii="Arial" w:eastAsia="David" w:hAnsi="Arial" w:cs="Miriam"/>
          <w:rtl/>
        </w:rPr>
        <w:t>חט</w:t>
      </w:r>
      <w:r>
        <w:rPr>
          <w:rFonts w:ascii="Arial" w:eastAsia="David" w:hAnsi="Arial" w:cs="Miriam"/>
        </w:rPr>
        <w:t>'</w:t>
      </w:r>
      <w:r>
        <w:rPr>
          <w:rFonts w:ascii="Arial" w:eastAsia="David" w:hAnsi="Arial" w:cs="Miriam"/>
          <w:rtl/>
        </w:rPr>
        <w:t>יב נגד מדינת ישראל</w:t>
      </w:r>
      <w:r>
        <w:rPr>
          <w:rFonts w:ascii="Arial" w:eastAsia="David" w:hAnsi="Arial" w:cs="FrankRuehl"/>
          <w:sz w:val="28"/>
          <w:szCs w:val="28"/>
          <w:rtl/>
        </w:rPr>
        <w:t xml:space="preserve"> (24.2.2014):</w:t>
      </w:r>
    </w:p>
    <w:p w14:paraId="3A73687F" w14:textId="77777777" w:rsidR="00921932" w:rsidRDefault="003B633E">
      <w:pPr>
        <w:tabs>
          <w:tab w:val="left" w:pos="800"/>
        </w:tabs>
        <w:overflowPunct w:val="0"/>
        <w:adjustRightInd w:val="0"/>
        <w:ind w:left="1440" w:right="539"/>
        <w:jc w:val="both"/>
        <w:rPr>
          <w:rFonts w:eastAsia="David" w:cs="FrankRuehl"/>
          <w:spacing w:val="10"/>
          <w:sz w:val="28"/>
          <w:szCs w:val="28"/>
          <w:rtl/>
        </w:rPr>
      </w:pPr>
      <w:r>
        <w:rPr>
          <w:rFonts w:eastAsia="David" w:cs="FrankRuehl"/>
          <w:spacing w:val="10"/>
          <w:sz w:val="28"/>
          <w:szCs w:val="28"/>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w:t>
      </w:r>
      <w:r>
        <w:rPr>
          <w:rFonts w:ascii="Century" w:eastAsia="David" w:hAnsi="Century" w:cs="FrankRuehl"/>
          <w:b/>
          <w:sz w:val="28"/>
          <w:szCs w:val="28"/>
          <w:rtl/>
        </w:rPr>
        <w:t>"</w:t>
      </w:r>
      <w:r>
        <w:rPr>
          <w:rFonts w:ascii="Century" w:eastAsia="David" w:hAnsi="Century" w:cs="FrankRuehl" w:hint="eastAsia"/>
          <w:b/>
          <w:sz w:val="28"/>
          <w:szCs w:val="28"/>
          <w:rtl/>
        </w:rPr>
        <w:t>וידענו</w:t>
      </w:r>
      <w:r>
        <w:rPr>
          <w:rFonts w:ascii="Century" w:eastAsia="David" w:hAnsi="Century" w:cs="FrankRuehl"/>
          <w:b/>
          <w:sz w:val="28"/>
          <w:szCs w:val="28"/>
          <w:rtl/>
        </w:rPr>
        <w:t xml:space="preserve"> </w:t>
      </w:r>
      <w:r>
        <w:rPr>
          <w:rFonts w:ascii="Century" w:eastAsia="David" w:hAnsi="Century" w:cs="FrankRuehl" w:hint="eastAsia"/>
          <w:b/>
          <w:sz w:val="28"/>
          <w:szCs w:val="28"/>
          <w:rtl/>
        </w:rPr>
        <w:t>מכבר</w:t>
      </w:r>
      <w:r>
        <w:rPr>
          <w:rFonts w:ascii="Century" w:eastAsia="David" w:hAnsi="Century" w:cs="FrankRuehl"/>
          <w:b/>
          <w:sz w:val="28"/>
          <w:szCs w:val="28"/>
          <w:rtl/>
        </w:rPr>
        <w:t xml:space="preserve"> </w:t>
      </w:r>
      <w:r>
        <w:rPr>
          <w:rFonts w:ascii="Century" w:eastAsia="David" w:hAnsi="Century" w:cs="FrankRuehl" w:hint="eastAsia"/>
          <w:b/>
          <w:sz w:val="28"/>
          <w:szCs w:val="28"/>
          <w:rtl/>
        </w:rPr>
        <w:t>כי</w:t>
      </w:r>
      <w:r>
        <w:rPr>
          <w:rFonts w:ascii="Century" w:eastAsia="David" w:hAnsi="Century" w:cs="FrankRuehl"/>
          <w:b/>
          <w:sz w:val="28"/>
          <w:szCs w:val="28"/>
          <w:rtl/>
        </w:rPr>
        <w:t xml:space="preserve"> </w:t>
      </w:r>
      <w:r>
        <w:rPr>
          <w:rFonts w:ascii="Century" w:eastAsia="David" w:hAnsi="Century" w:cs="FrankRuehl" w:hint="eastAsia"/>
          <w:b/>
          <w:sz w:val="28"/>
          <w:szCs w:val="28"/>
          <w:rtl/>
        </w:rPr>
        <w:t>בלא</w:t>
      </w:r>
      <w:r>
        <w:rPr>
          <w:rFonts w:ascii="Century" w:eastAsia="David" w:hAnsi="Century" w:cs="FrankRuehl"/>
          <w:b/>
          <w:sz w:val="28"/>
          <w:szCs w:val="28"/>
          <w:rtl/>
        </w:rPr>
        <w:t xml:space="preserve"> </w:t>
      </w:r>
      <w:r>
        <w:rPr>
          <w:rFonts w:ascii="Century" w:eastAsia="David" w:hAnsi="Century" w:cs="FrankRuehl" w:hint="eastAsia"/>
          <w:b/>
          <w:sz w:val="28"/>
          <w:szCs w:val="28"/>
          <w:rtl/>
        </w:rPr>
        <w:t>חוליות</w:t>
      </w:r>
      <w:r>
        <w:rPr>
          <w:rFonts w:ascii="Century" w:eastAsia="David" w:hAnsi="Century" w:cs="FrankRuehl"/>
          <w:b/>
          <w:sz w:val="28"/>
          <w:szCs w:val="28"/>
          <w:rtl/>
        </w:rPr>
        <w:t>-</w:t>
      </w:r>
      <w:r>
        <w:rPr>
          <w:rFonts w:ascii="Century" w:eastAsia="David" w:hAnsi="Century" w:cs="FrankRuehl" w:hint="eastAsia"/>
          <w:b/>
          <w:sz w:val="28"/>
          <w:szCs w:val="28"/>
          <w:rtl/>
        </w:rPr>
        <w:t>הביניים</w:t>
      </w:r>
      <w:r>
        <w:rPr>
          <w:rFonts w:ascii="Century" w:eastAsia="David" w:hAnsi="Century" w:cs="FrankRuehl"/>
          <w:b/>
          <w:sz w:val="28"/>
          <w:szCs w:val="28"/>
          <w:rtl/>
        </w:rPr>
        <w:t xml:space="preserve"> </w:t>
      </w:r>
      <w:r>
        <w:rPr>
          <w:rFonts w:ascii="Century" w:eastAsia="David" w:hAnsi="Century" w:cs="FrankRuehl" w:hint="eastAsia"/>
          <w:b/>
          <w:sz w:val="28"/>
          <w:szCs w:val="28"/>
          <w:rtl/>
        </w:rPr>
        <w:t>המרכיבות</w:t>
      </w:r>
      <w:r>
        <w:rPr>
          <w:rFonts w:ascii="Century" w:eastAsia="David" w:hAnsi="Century" w:cs="FrankRuehl"/>
          <w:b/>
          <w:sz w:val="28"/>
          <w:szCs w:val="28"/>
          <w:rtl/>
        </w:rPr>
        <w:t xml:space="preserve"> </w:t>
      </w:r>
      <w:r>
        <w:rPr>
          <w:rFonts w:ascii="Century" w:eastAsia="David" w:hAnsi="Century" w:cs="FrankRuehl" w:hint="eastAsia"/>
          <w:b/>
          <w:sz w:val="28"/>
          <w:szCs w:val="28"/>
          <w:rtl/>
        </w:rPr>
        <w:t>את</w:t>
      </w:r>
      <w:r>
        <w:rPr>
          <w:rFonts w:ascii="Century" w:eastAsia="David" w:hAnsi="Century" w:cs="FrankRuehl"/>
          <w:b/>
          <w:sz w:val="28"/>
          <w:szCs w:val="28"/>
          <w:rtl/>
        </w:rPr>
        <w:t xml:space="preserve"> </w:t>
      </w:r>
      <w:r>
        <w:rPr>
          <w:rFonts w:ascii="Century" w:eastAsia="David" w:hAnsi="Century" w:cs="FrankRuehl" w:hint="eastAsia"/>
          <w:b/>
          <w:sz w:val="28"/>
          <w:szCs w:val="28"/>
          <w:rtl/>
        </w:rPr>
        <w:t>השרשרת</w:t>
      </w:r>
      <w:r>
        <w:rPr>
          <w:rFonts w:ascii="Century" w:eastAsia="David" w:hAnsi="Century" w:cs="FrankRuehl"/>
          <w:b/>
          <w:sz w:val="28"/>
          <w:szCs w:val="28"/>
          <w:rtl/>
        </w:rPr>
        <w:t xml:space="preserve"> </w:t>
      </w:r>
      <w:r>
        <w:rPr>
          <w:rFonts w:ascii="Century" w:eastAsia="David" w:hAnsi="Century" w:cs="FrankRuehl" w:hint="eastAsia"/>
          <w:b/>
          <w:sz w:val="28"/>
          <w:szCs w:val="28"/>
          <w:rtl/>
        </w:rPr>
        <w:t>יתקשו</w:t>
      </w:r>
      <w:r>
        <w:rPr>
          <w:rFonts w:ascii="Century" w:eastAsia="David" w:hAnsi="Century" w:cs="FrankRuehl"/>
          <w:b/>
          <w:sz w:val="28"/>
          <w:szCs w:val="28"/>
          <w:rtl/>
        </w:rPr>
        <w:t xml:space="preserve"> </w:t>
      </w:r>
      <w:r>
        <w:rPr>
          <w:rFonts w:ascii="Century" w:eastAsia="David" w:hAnsi="Century" w:cs="FrankRuehl" w:hint="eastAsia"/>
          <w:b/>
          <w:sz w:val="28"/>
          <w:szCs w:val="28"/>
          <w:rtl/>
        </w:rPr>
        <w:t>עברייני</w:t>
      </w:r>
      <w:r>
        <w:rPr>
          <w:rFonts w:ascii="Century" w:eastAsia="David" w:hAnsi="Century" w:cs="FrankRuehl"/>
          <w:b/>
          <w:sz w:val="28"/>
          <w:szCs w:val="28"/>
          <w:rtl/>
        </w:rPr>
        <w:t xml:space="preserve"> </w:t>
      </w:r>
      <w:r>
        <w:rPr>
          <w:rFonts w:ascii="Century" w:eastAsia="David" w:hAnsi="Century" w:cs="FrankRuehl" w:hint="eastAsia"/>
          <w:b/>
          <w:sz w:val="28"/>
          <w:szCs w:val="28"/>
          <w:rtl/>
        </w:rPr>
        <w:t>הסמים</w:t>
      </w:r>
      <w:r>
        <w:rPr>
          <w:rFonts w:ascii="Century" w:eastAsia="David" w:hAnsi="Century" w:cs="FrankRuehl"/>
          <w:b/>
          <w:sz w:val="28"/>
          <w:szCs w:val="28"/>
          <w:rtl/>
        </w:rPr>
        <w:t xml:space="preserve"> </w:t>
      </w:r>
      <w:r>
        <w:rPr>
          <w:rFonts w:ascii="Century" w:eastAsia="David" w:hAnsi="Century" w:cs="FrankRuehl" w:hint="eastAsia"/>
          <w:b/>
          <w:sz w:val="28"/>
          <w:szCs w:val="28"/>
          <w:rtl/>
        </w:rPr>
        <w:t>העיקריים</w:t>
      </w:r>
      <w:r>
        <w:rPr>
          <w:rFonts w:ascii="Century" w:eastAsia="David" w:hAnsi="Century" w:cs="FrankRuehl"/>
          <w:b/>
          <w:sz w:val="28"/>
          <w:szCs w:val="28"/>
          <w:rtl/>
        </w:rPr>
        <w:t xml:space="preserve"> </w:t>
      </w:r>
      <w:r>
        <w:rPr>
          <w:rFonts w:ascii="Century" w:eastAsia="David" w:hAnsi="Century" w:cs="FrankRuehl" w:hint="eastAsia"/>
          <w:b/>
          <w:sz w:val="28"/>
          <w:szCs w:val="28"/>
          <w:rtl/>
        </w:rPr>
        <w:t>לבצע</w:t>
      </w:r>
      <w:r>
        <w:rPr>
          <w:rFonts w:ascii="Century" w:eastAsia="David" w:hAnsi="Century" w:cs="FrankRuehl"/>
          <w:b/>
          <w:sz w:val="28"/>
          <w:szCs w:val="28"/>
          <w:rtl/>
        </w:rPr>
        <w:t xml:space="preserve"> </w:t>
      </w:r>
      <w:r>
        <w:rPr>
          <w:rFonts w:ascii="Century" w:eastAsia="David" w:hAnsi="Century" w:cs="FrankRuehl" w:hint="eastAsia"/>
          <w:b/>
          <w:sz w:val="28"/>
          <w:szCs w:val="28"/>
          <w:rtl/>
        </w:rPr>
        <w:t>את</w:t>
      </w:r>
      <w:r>
        <w:rPr>
          <w:rFonts w:ascii="Century" w:eastAsia="David" w:hAnsi="Century" w:cs="FrankRuehl"/>
          <w:b/>
          <w:sz w:val="28"/>
          <w:szCs w:val="28"/>
          <w:rtl/>
        </w:rPr>
        <w:t xml:space="preserve"> </w:t>
      </w:r>
      <w:r>
        <w:rPr>
          <w:rFonts w:ascii="Century" w:eastAsia="David" w:hAnsi="Century" w:cs="FrankRuehl" w:hint="eastAsia"/>
          <w:b/>
          <w:sz w:val="28"/>
          <w:szCs w:val="28"/>
          <w:rtl/>
        </w:rPr>
        <w:t>זממם</w:t>
      </w:r>
      <w:r>
        <w:rPr>
          <w:rFonts w:ascii="Century" w:eastAsia="David" w:hAnsi="Century" w:cs="FrankRuehl"/>
          <w:b/>
          <w:sz w:val="28"/>
          <w:szCs w:val="28"/>
          <w:rtl/>
        </w:rPr>
        <w:t xml:space="preserve">. </w:t>
      </w:r>
      <w:r>
        <w:rPr>
          <w:rFonts w:ascii="Century" w:eastAsia="David" w:hAnsi="Century" w:cs="FrankRuehl" w:hint="eastAsia"/>
          <w:b/>
          <w:sz w:val="28"/>
          <w:szCs w:val="28"/>
          <w:rtl/>
        </w:rPr>
        <w:t>כנדרש</w:t>
      </w:r>
      <w:r>
        <w:rPr>
          <w:rFonts w:ascii="Century" w:eastAsia="David" w:hAnsi="Century" w:cs="FrankRuehl"/>
          <w:b/>
          <w:sz w:val="28"/>
          <w:szCs w:val="28"/>
          <w:rtl/>
        </w:rPr>
        <w:t xml:space="preserve"> </w:t>
      </w:r>
      <w:r>
        <w:rPr>
          <w:rFonts w:ascii="Century" w:eastAsia="David" w:hAnsi="Century" w:cs="FrankRuehl" w:hint="eastAsia"/>
          <w:b/>
          <w:sz w:val="28"/>
          <w:szCs w:val="28"/>
          <w:rtl/>
        </w:rPr>
        <w:t>מכאן</w:t>
      </w:r>
      <w:r>
        <w:rPr>
          <w:rFonts w:ascii="Century" w:eastAsia="David" w:hAnsi="Century" w:cs="FrankRuehl"/>
          <w:b/>
          <w:sz w:val="28"/>
          <w:szCs w:val="28"/>
          <w:rtl/>
        </w:rPr>
        <w:t xml:space="preserve">, </w:t>
      </w:r>
      <w:r>
        <w:rPr>
          <w:rFonts w:ascii="Century" w:eastAsia="David" w:hAnsi="Century" w:cs="FrankRuehl" w:hint="eastAsia"/>
          <w:b/>
          <w:sz w:val="28"/>
          <w:szCs w:val="28"/>
          <w:rtl/>
        </w:rPr>
        <w:t>חובה</w:t>
      </w:r>
      <w:r>
        <w:rPr>
          <w:rFonts w:ascii="Century" w:eastAsia="David" w:hAnsi="Century" w:cs="FrankRuehl"/>
          <w:b/>
          <w:sz w:val="28"/>
          <w:szCs w:val="28"/>
          <w:rtl/>
        </w:rPr>
        <w:t xml:space="preserve"> </w:t>
      </w:r>
      <w:r>
        <w:rPr>
          <w:rFonts w:ascii="Century" w:eastAsia="David" w:hAnsi="Century" w:cs="FrankRuehl" w:hint="eastAsia"/>
          <w:b/>
          <w:sz w:val="28"/>
          <w:szCs w:val="28"/>
          <w:rtl/>
        </w:rPr>
        <w:t>היא</w:t>
      </w:r>
      <w:r>
        <w:rPr>
          <w:rFonts w:ascii="Century" w:eastAsia="David" w:hAnsi="Century" w:cs="FrankRuehl"/>
          <w:b/>
          <w:sz w:val="28"/>
          <w:szCs w:val="28"/>
          <w:rtl/>
        </w:rPr>
        <w:t xml:space="preserve"> </w:t>
      </w:r>
      <w:r>
        <w:rPr>
          <w:rFonts w:ascii="Century" w:eastAsia="David" w:hAnsi="Century" w:cs="FrankRuehl" w:hint="eastAsia"/>
          <w:b/>
          <w:sz w:val="28"/>
          <w:szCs w:val="28"/>
          <w:rtl/>
        </w:rPr>
        <w:t>המוטלת</w:t>
      </w:r>
      <w:r>
        <w:rPr>
          <w:rFonts w:ascii="Century" w:eastAsia="David" w:hAnsi="Century" w:cs="FrankRuehl"/>
          <w:b/>
          <w:sz w:val="28"/>
          <w:szCs w:val="28"/>
          <w:rtl/>
        </w:rPr>
        <w:t xml:space="preserve"> </w:t>
      </w:r>
      <w:r>
        <w:rPr>
          <w:rFonts w:ascii="Century" w:eastAsia="David" w:hAnsi="Century" w:cs="FrankRuehl" w:hint="eastAsia"/>
          <w:b/>
          <w:sz w:val="28"/>
          <w:szCs w:val="28"/>
          <w:rtl/>
        </w:rPr>
        <w:t>עלינו</w:t>
      </w:r>
      <w:r>
        <w:rPr>
          <w:rFonts w:ascii="Century" w:eastAsia="David" w:hAnsi="Century" w:cs="FrankRuehl"/>
          <w:b/>
          <w:sz w:val="28"/>
          <w:szCs w:val="28"/>
          <w:rtl/>
        </w:rPr>
        <w:t xml:space="preserve"> </w:t>
      </w:r>
      <w:r>
        <w:rPr>
          <w:rFonts w:ascii="Century" w:eastAsia="David" w:hAnsi="Century" w:cs="FrankRuehl" w:hint="eastAsia"/>
          <w:b/>
          <w:sz w:val="28"/>
          <w:szCs w:val="28"/>
          <w:rtl/>
        </w:rPr>
        <w:t>להיאבק</w:t>
      </w:r>
      <w:r>
        <w:rPr>
          <w:rFonts w:ascii="Century" w:eastAsia="David" w:hAnsi="Century" w:cs="FrankRuehl"/>
          <w:b/>
          <w:sz w:val="28"/>
          <w:szCs w:val="28"/>
          <w:rtl/>
        </w:rPr>
        <w:t xml:space="preserve"> </w:t>
      </w:r>
      <w:r>
        <w:rPr>
          <w:rFonts w:ascii="Century" w:eastAsia="David" w:hAnsi="Century" w:cs="FrankRuehl" w:hint="eastAsia"/>
          <w:b/>
          <w:sz w:val="28"/>
          <w:szCs w:val="28"/>
          <w:rtl/>
        </w:rPr>
        <w:t>בכל</w:t>
      </w:r>
      <w:r>
        <w:rPr>
          <w:rFonts w:ascii="Century" w:eastAsia="David" w:hAnsi="Century" w:cs="FrankRuehl"/>
          <w:b/>
          <w:sz w:val="28"/>
          <w:szCs w:val="28"/>
          <w:rtl/>
        </w:rPr>
        <w:t xml:space="preserve"> </w:t>
      </w:r>
      <w:r>
        <w:rPr>
          <w:rFonts w:ascii="Century" w:eastAsia="David" w:hAnsi="Century" w:cs="FrankRuehl" w:hint="eastAsia"/>
          <w:b/>
          <w:sz w:val="28"/>
          <w:szCs w:val="28"/>
          <w:rtl/>
        </w:rPr>
        <w:t>חוליה</w:t>
      </w:r>
      <w:r>
        <w:rPr>
          <w:rFonts w:ascii="Century" w:eastAsia="David" w:hAnsi="Century" w:cs="FrankRuehl"/>
          <w:b/>
          <w:sz w:val="28"/>
          <w:szCs w:val="28"/>
          <w:rtl/>
        </w:rPr>
        <w:t xml:space="preserve"> </w:t>
      </w:r>
      <w:r>
        <w:rPr>
          <w:rFonts w:ascii="Century" w:eastAsia="David" w:hAnsi="Century" w:cs="FrankRuehl" w:hint="eastAsia"/>
          <w:b/>
          <w:sz w:val="28"/>
          <w:szCs w:val="28"/>
          <w:rtl/>
        </w:rPr>
        <w:t>וחוליה</w:t>
      </w:r>
      <w:r>
        <w:rPr>
          <w:rFonts w:ascii="Century" w:eastAsia="David" w:hAnsi="Century" w:cs="FrankRuehl"/>
          <w:b/>
          <w:sz w:val="28"/>
          <w:szCs w:val="28"/>
          <w:rtl/>
        </w:rPr>
        <w:t xml:space="preserve"> </w:t>
      </w:r>
      <w:r>
        <w:rPr>
          <w:rFonts w:ascii="Century" w:eastAsia="David" w:hAnsi="Century" w:cs="FrankRuehl" w:hint="eastAsia"/>
          <w:b/>
          <w:sz w:val="28"/>
          <w:szCs w:val="28"/>
          <w:rtl/>
        </w:rPr>
        <w:t>ולנתק</w:t>
      </w:r>
      <w:r>
        <w:rPr>
          <w:rFonts w:ascii="Century" w:eastAsia="David" w:hAnsi="Century" w:cs="FrankRuehl"/>
          <w:b/>
          <w:sz w:val="28"/>
          <w:szCs w:val="28"/>
          <w:rtl/>
        </w:rPr>
        <w:t xml:space="preserve"> </w:t>
      </w:r>
      <w:r>
        <w:rPr>
          <w:rFonts w:ascii="Century" w:eastAsia="David" w:hAnsi="Century" w:cs="FrankRuehl" w:hint="eastAsia"/>
          <w:b/>
          <w:sz w:val="28"/>
          <w:szCs w:val="28"/>
          <w:rtl/>
        </w:rPr>
        <w:t>את</w:t>
      </w:r>
      <w:r>
        <w:rPr>
          <w:rFonts w:ascii="Century" w:eastAsia="David" w:hAnsi="Century" w:cs="FrankRuehl"/>
          <w:b/>
          <w:sz w:val="28"/>
          <w:szCs w:val="28"/>
          <w:rtl/>
        </w:rPr>
        <w:t xml:space="preserve"> </w:t>
      </w:r>
      <w:r>
        <w:rPr>
          <w:rFonts w:ascii="Century" w:eastAsia="David" w:hAnsi="Century" w:cs="FrankRuehl" w:hint="eastAsia"/>
          <w:b/>
          <w:sz w:val="28"/>
          <w:szCs w:val="28"/>
          <w:rtl/>
        </w:rPr>
        <w:t>השרשרת</w:t>
      </w:r>
      <w:r>
        <w:rPr>
          <w:rFonts w:ascii="Century" w:eastAsia="David" w:hAnsi="Century" w:cs="FrankRuehl"/>
          <w:b/>
          <w:sz w:val="28"/>
          <w:szCs w:val="28"/>
          <w:rtl/>
        </w:rPr>
        <w:t>"</w:t>
      </w:r>
      <w:r>
        <w:rPr>
          <w:rFonts w:ascii="Arial TUR" w:eastAsia="David" w:hAnsi="Arial TUR" w:cs="FrankRuehl"/>
          <w:spacing w:val="10"/>
          <w:sz w:val="28"/>
          <w:szCs w:val="28"/>
          <w:rtl/>
        </w:rPr>
        <w:t xml:space="preserve"> </w:t>
      </w:r>
      <w:r>
        <w:rPr>
          <w:rFonts w:ascii="Century" w:eastAsia="David" w:hAnsi="Century" w:cs="FrankRuehl"/>
          <w:spacing w:val="10"/>
          <w:sz w:val="28"/>
          <w:szCs w:val="28"/>
          <w:rtl/>
        </w:rPr>
        <w:t>(</w:t>
      </w:r>
      <w:hyperlink r:id="rId54" w:history="1">
        <w:r w:rsidRPr="003B633E">
          <w:rPr>
            <w:rFonts w:ascii="Century" w:eastAsia="David" w:hAnsi="Century" w:cs="FrankRuehl" w:hint="eastAsia"/>
            <w:color w:val="0000FF"/>
            <w:spacing w:val="10"/>
            <w:sz w:val="28"/>
            <w:szCs w:val="28"/>
            <w:u w:val="single"/>
            <w:rtl/>
          </w:rPr>
          <w:t>ע</w:t>
        </w:r>
        <w:r w:rsidRPr="003B633E">
          <w:rPr>
            <w:rFonts w:ascii="Century" w:eastAsia="David" w:hAnsi="Century" w:cs="FrankRuehl"/>
            <w:color w:val="0000FF"/>
            <w:spacing w:val="10"/>
            <w:sz w:val="28"/>
            <w:szCs w:val="28"/>
            <w:u w:val="single"/>
            <w:rtl/>
          </w:rPr>
          <w:t>"</w:t>
        </w:r>
        <w:r w:rsidRPr="003B633E">
          <w:rPr>
            <w:rFonts w:ascii="Century" w:eastAsia="David" w:hAnsi="Century" w:cs="FrankRuehl" w:hint="eastAsia"/>
            <w:color w:val="0000FF"/>
            <w:spacing w:val="10"/>
            <w:sz w:val="28"/>
            <w:szCs w:val="28"/>
            <w:u w:val="single"/>
            <w:rtl/>
          </w:rPr>
          <w:t>פ</w:t>
        </w:r>
        <w:r w:rsidRPr="003B633E">
          <w:rPr>
            <w:rFonts w:ascii="Century" w:eastAsia="David" w:hAnsi="Century" w:cs="FrankRuehl"/>
            <w:color w:val="0000FF"/>
            <w:spacing w:val="10"/>
            <w:sz w:val="28"/>
            <w:szCs w:val="28"/>
            <w:u w:val="single"/>
            <w:rtl/>
          </w:rPr>
          <w:t xml:space="preserve"> 7757/04 </w:t>
        </w:r>
        <w:r w:rsidRPr="003B633E">
          <w:rPr>
            <w:rFonts w:ascii="Century" w:eastAsia="David" w:hAnsi="Century" w:cs="FrankRuehl" w:hint="eastAsia"/>
            <w:color w:val="0000FF"/>
            <w:spacing w:val="10"/>
            <w:sz w:val="28"/>
            <w:szCs w:val="28"/>
            <w:u w:val="single"/>
            <w:rtl/>
          </w:rPr>
          <w:t>בורשטיין</w:t>
        </w:r>
        <w:r w:rsidRPr="003B633E">
          <w:rPr>
            <w:rFonts w:ascii="Century" w:eastAsia="David" w:hAnsi="Century" w:cs="FrankRuehl"/>
            <w:color w:val="0000FF"/>
            <w:spacing w:val="10"/>
            <w:sz w:val="28"/>
            <w:szCs w:val="28"/>
            <w:u w:val="single"/>
            <w:rtl/>
          </w:rPr>
          <w:t xml:space="preserve"> </w:t>
        </w:r>
        <w:r w:rsidRPr="003B633E">
          <w:rPr>
            <w:rFonts w:ascii="Century" w:eastAsia="David" w:hAnsi="Century" w:cs="FrankRuehl" w:hint="eastAsia"/>
            <w:color w:val="0000FF"/>
            <w:spacing w:val="10"/>
            <w:sz w:val="28"/>
            <w:szCs w:val="28"/>
            <w:u w:val="single"/>
            <w:rtl/>
          </w:rPr>
          <w:t>נ</w:t>
        </w:r>
        <w:r w:rsidRPr="003B633E">
          <w:rPr>
            <w:rFonts w:ascii="Century" w:eastAsia="David" w:hAnsi="Century" w:cs="FrankRuehl"/>
            <w:color w:val="0000FF"/>
            <w:spacing w:val="10"/>
            <w:sz w:val="28"/>
            <w:szCs w:val="28"/>
            <w:u w:val="single"/>
            <w:rtl/>
          </w:rPr>
          <w:t xml:space="preserve">' </w:t>
        </w:r>
        <w:r w:rsidRPr="003B633E">
          <w:rPr>
            <w:rFonts w:ascii="Century" w:eastAsia="David" w:hAnsi="Century" w:cs="FrankRuehl" w:hint="eastAsia"/>
            <w:color w:val="0000FF"/>
            <w:spacing w:val="10"/>
            <w:sz w:val="28"/>
            <w:szCs w:val="28"/>
            <w:u w:val="single"/>
            <w:rtl/>
          </w:rPr>
          <w:t>מדינת</w:t>
        </w:r>
        <w:r w:rsidRPr="003B633E">
          <w:rPr>
            <w:rFonts w:ascii="Century" w:eastAsia="David" w:hAnsi="Century" w:cs="FrankRuehl"/>
            <w:color w:val="0000FF"/>
            <w:spacing w:val="10"/>
            <w:sz w:val="28"/>
            <w:szCs w:val="28"/>
            <w:u w:val="single"/>
            <w:rtl/>
          </w:rPr>
          <w:t xml:space="preserve"> </w:t>
        </w:r>
        <w:r w:rsidRPr="003B633E">
          <w:rPr>
            <w:rFonts w:ascii="Century" w:eastAsia="David" w:hAnsi="Century" w:cs="FrankRuehl" w:hint="eastAsia"/>
            <w:color w:val="0000FF"/>
            <w:spacing w:val="10"/>
            <w:sz w:val="28"/>
            <w:szCs w:val="28"/>
            <w:u w:val="single"/>
            <w:rtl/>
          </w:rPr>
          <w:t>ישראל</w:t>
        </w:r>
        <w:r w:rsidRPr="003B633E">
          <w:rPr>
            <w:rFonts w:ascii="Century" w:eastAsia="David" w:hAnsi="Century" w:cs="FrankRuehl"/>
            <w:color w:val="0000FF"/>
            <w:spacing w:val="10"/>
            <w:sz w:val="28"/>
            <w:szCs w:val="28"/>
            <w:u w:val="single"/>
            <w:rtl/>
          </w:rPr>
          <w:t xml:space="preserve">, </w:t>
        </w:r>
        <w:r w:rsidRPr="003B633E">
          <w:rPr>
            <w:rFonts w:ascii="Century" w:eastAsia="David" w:hAnsi="Century" w:cs="FrankRuehl" w:hint="eastAsia"/>
            <w:color w:val="0000FF"/>
            <w:spacing w:val="10"/>
            <w:sz w:val="28"/>
            <w:szCs w:val="28"/>
            <w:u w:val="single"/>
            <w:rtl/>
          </w:rPr>
          <w:t>פ</w:t>
        </w:r>
        <w:r w:rsidRPr="003B633E">
          <w:rPr>
            <w:rFonts w:ascii="Century" w:eastAsia="David" w:hAnsi="Century" w:cs="FrankRuehl"/>
            <w:color w:val="0000FF"/>
            <w:spacing w:val="10"/>
            <w:sz w:val="28"/>
            <w:szCs w:val="28"/>
            <w:u w:val="single"/>
            <w:rtl/>
          </w:rPr>
          <w:t>"</w:t>
        </w:r>
        <w:r w:rsidRPr="003B633E">
          <w:rPr>
            <w:rFonts w:ascii="Century" w:eastAsia="David" w:hAnsi="Century" w:cs="FrankRuehl" w:hint="eastAsia"/>
            <w:color w:val="0000FF"/>
            <w:spacing w:val="10"/>
            <w:sz w:val="28"/>
            <w:szCs w:val="28"/>
            <w:u w:val="single"/>
            <w:rtl/>
          </w:rPr>
          <w:t>ד</w:t>
        </w:r>
        <w:r w:rsidRPr="003B633E">
          <w:rPr>
            <w:rFonts w:ascii="Century" w:eastAsia="David" w:hAnsi="Century" w:cs="FrankRuehl"/>
            <w:color w:val="0000FF"/>
            <w:spacing w:val="10"/>
            <w:sz w:val="28"/>
            <w:szCs w:val="28"/>
            <w:u w:val="single"/>
            <w:rtl/>
          </w:rPr>
          <w:t xml:space="preserve"> </w:t>
        </w:r>
        <w:r w:rsidRPr="003B633E">
          <w:rPr>
            <w:rFonts w:ascii="Century" w:eastAsia="David" w:hAnsi="Century" w:cs="FrankRuehl" w:hint="eastAsia"/>
            <w:color w:val="0000FF"/>
            <w:spacing w:val="10"/>
            <w:sz w:val="28"/>
            <w:szCs w:val="28"/>
            <w:u w:val="single"/>
            <w:rtl/>
          </w:rPr>
          <w:t>נט</w:t>
        </w:r>
      </w:hyperlink>
      <w:r>
        <w:rPr>
          <w:rFonts w:ascii="Century" w:eastAsia="David" w:hAnsi="Century" w:cs="FrankRuehl"/>
          <w:spacing w:val="10"/>
          <w:sz w:val="28"/>
          <w:szCs w:val="28"/>
          <w:rtl/>
        </w:rPr>
        <w:t>(5) 218, 232 (2005))".</w:t>
      </w:r>
      <w:r>
        <w:rPr>
          <w:rFonts w:eastAsia="David" w:cs="FrankRuehl"/>
          <w:spacing w:val="10"/>
          <w:sz w:val="28"/>
          <w:szCs w:val="28"/>
          <w:rtl/>
        </w:rPr>
        <w:t xml:space="preserve"> </w:t>
      </w:r>
    </w:p>
    <w:p w14:paraId="787C9A3D" w14:textId="77777777" w:rsidR="00921932" w:rsidRDefault="00921932">
      <w:pPr>
        <w:spacing w:line="360" w:lineRule="auto"/>
        <w:ind w:left="720"/>
        <w:jc w:val="both"/>
        <w:rPr>
          <w:rFonts w:ascii="Arial" w:eastAsia="David" w:hAnsi="Arial" w:cs="FrankRuehl"/>
          <w:color w:val="000000"/>
          <w:szCs w:val="28"/>
          <w:rtl/>
        </w:rPr>
      </w:pPr>
    </w:p>
    <w:p w14:paraId="5F3608A6" w14:textId="77777777" w:rsidR="00921932" w:rsidRDefault="003B633E">
      <w:pPr>
        <w:spacing w:line="360" w:lineRule="auto"/>
        <w:ind w:left="720"/>
        <w:jc w:val="both"/>
        <w:rPr>
          <w:rFonts w:ascii="Arial" w:eastAsia="David" w:hAnsi="Arial" w:cs="FrankRuehl"/>
          <w:color w:val="000000"/>
          <w:szCs w:val="28"/>
          <w:rtl/>
        </w:rPr>
      </w:pPr>
      <w:r>
        <w:rPr>
          <w:rFonts w:ascii="Arial" w:eastAsia="David" w:hAnsi="Arial" w:cs="FrankRuehl"/>
          <w:color w:val="000000"/>
          <w:szCs w:val="28"/>
          <w:rtl/>
        </w:rPr>
        <w:t xml:space="preserve">בעבירות סמים, מינעד הענישה רחב והוא מושפע בצורה משמעותית, מכמות הסם, טיבו, חומרת העבירות שבוצעו, התכנון המוקדם, חלקו של הנאשם בעבירות ועברו הפלילי. </w:t>
      </w:r>
    </w:p>
    <w:p w14:paraId="36F6B720" w14:textId="77777777" w:rsidR="00921932" w:rsidRDefault="00921932">
      <w:pPr>
        <w:spacing w:line="360" w:lineRule="auto"/>
        <w:ind w:left="720"/>
        <w:jc w:val="both"/>
        <w:rPr>
          <w:rFonts w:ascii="Arial" w:eastAsia="David" w:hAnsi="Arial" w:cs="FrankRuehl"/>
          <w:szCs w:val="28"/>
          <w:rtl/>
        </w:rPr>
      </w:pPr>
    </w:p>
    <w:p w14:paraId="31DC12E7" w14:textId="77777777" w:rsidR="00921932" w:rsidRDefault="003B633E">
      <w:pPr>
        <w:spacing w:line="360" w:lineRule="auto"/>
        <w:ind w:left="720"/>
        <w:jc w:val="both"/>
        <w:rPr>
          <w:rFonts w:ascii="Arial TUR" w:eastAsia="David" w:hAnsi="Arial TUR" w:cs="FrankRuehl"/>
          <w:spacing w:val="10"/>
          <w:sz w:val="22"/>
          <w:szCs w:val="28"/>
          <w:rtl/>
        </w:rPr>
      </w:pPr>
      <w:r>
        <w:rPr>
          <w:rFonts w:ascii="Arial" w:eastAsia="David" w:hAnsi="Arial" w:cs="FrankRuehl"/>
          <w:szCs w:val="28"/>
          <w:rtl/>
        </w:rPr>
        <w:t xml:space="preserve">אפנה בעניין זה לדברי כב' </w:t>
      </w:r>
      <w:r>
        <w:rPr>
          <w:rFonts w:eastAsia="David" w:cs="Miriam"/>
          <w:sz w:val="28"/>
          <w:rtl/>
        </w:rPr>
        <w:t>השופט ח' מלצר:</w:t>
      </w:r>
      <w:r>
        <w:rPr>
          <w:rFonts w:eastAsia="David" w:cs="Miriam"/>
          <w:sz w:val="28"/>
          <w:u w:val="single"/>
          <w:rtl/>
        </w:rPr>
        <w:t xml:space="preserve"> </w:t>
      </w:r>
    </w:p>
    <w:p w14:paraId="62CDFE4F" w14:textId="77777777" w:rsidR="00921932" w:rsidRDefault="003B633E">
      <w:pPr>
        <w:tabs>
          <w:tab w:val="left" w:pos="800"/>
        </w:tabs>
        <w:overflowPunct w:val="0"/>
        <w:adjustRightInd w:val="0"/>
        <w:ind w:left="1440" w:right="539"/>
        <w:jc w:val="both"/>
        <w:rPr>
          <w:rFonts w:eastAsia="David" w:cs="FrankRuehl"/>
          <w:spacing w:val="10"/>
          <w:sz w:val="28"/>
          <w:szCs w:val="28"/>
          <w:rtl/>
        </w:rPr>
      </w:pPr>
      <w:r>
        <w:rPr>
          <w:rFonts w:eastAsia="David" w:cs="FrankRuehl"/>
          <w:spacing w:val="10"/>
          <w:sz w:val="28"/>
          <w:szCs w:val="28"/>
          <w:rtl/>
        </w:rPr>
        <w:t xml:space="preserve">"כאמור, על בתי המשפט לנקוט במדיניות ענישה משמעותית כלפי כל המעורבים בשרשרת הפצת הסמים, שכן רק בדרך זו ניתן אולי לתרום למיגור התופעה. ... הנה כי כן, הענקת משקל – למשקל הסם איננה איפוא בגדר שיקול זר, או לא רלוונטי ובדין לקח זאת בית המשפט המחוזי בחשבון ...אכן נסיבות חייהם של הבגירים קשות הן. ואולם, הסכנה הטמונה בייבוא סם מסוכן חמורה לא פחות. בית משפט זה חזר פעם אחר פעם על הצורך להחמיר בעונשם של מי שעברו עבירות סמים וכבר נפסק כי ככלל, כאשר בעבירות סמים עסקינן – השיקולים הנוגעים לנסיבותיו האישיות של הנאשם נסוגים מפני האינטרס הציבורי שבהרתעת הרבים ומפני הצורך למיגור נגע זה", </w:t>
      </w:r>
      <w:hyperlink r:id="rId55" w:history="1">
        <w:r w:rsidRPr="003B633E">
          <w:rPr>
            <w:rFonts w:eastAsia="David" w:cs="FrankRuehl"/>
            <w:color w:val="0000FF"/>
            <w:spacing w:val="10"/>
            <w:sz w:val="28"/>
            <w:szCs w:val="28"/>
            <w:u w:val="single"/>
            <w:rtl/>
          </w:rPr>
          <w:t>ע"פ 165/15</w:t>
        </w:r>
      </w:hyperlink>
      <w:r>
        <w:rPr>
          <w:rFonts w:eastAsia="David" w:cs="FrankRuehl"/>
          <w:spacing w:val="10"/>
          <w:sz w:val="28"/>
          <w:szCs w:val="28"/>
          <w:rtl/>
        </w:rPr>
        <w:t xml:space="preserve"> </w:t>
      </w:r>
      <w:hyperlink r:id="rId56" w:history="1">
        <w:r w:rsidR="0050299F" w:rsidRPr="0050299F">
          <w:rPr>
            <w:rStyle w:val="Hyperlink"/>
            <w:rFonts w:eastAsia="David" w:cs="FrankRuehl"/>
            <w:spacing w:val="10"/>
            <w:sz w:val="28"/>
            <w:szCs w:val="28"/>
            <w:rtl/>
          </w:rPr>
          <w:t>וע"פ 193/15</w:t>
        </w:r>
      </w:hyperlink>
      <w:r>
        <w:rPr>
          <w:rFonts w:eastAsia="David" w:cs="FrankRuehl"/>
          <w:spacing w:val="10"/>
          <w:sz w:val="28"/>
          <w:szCs w:val="28"/>
          <w:rtl/>
        </w:rPr>
        <w:t xml:space="preserve"> </w:t>
      </w:r>
      <w:r>
        <w:rPr>
          <w:rFonts w:eastAsia="David" w:cs="Miriam"/>
          <w:spacing w:val="10"/>
          <w:rtl/>
        </w:rPr>
        <w:t>בניאת נגד מדינת ישראל</w:t>
      </w:r>
      <w:r>
        <w:rPr>
          <w:rFonts w:eastAsia="David" w:cs="Miriam" w:hint="cs"/>
          <w:spacing w:val="10"/>
          <w:rtl/>
        </w:rPr>
        <w:t xml:space="preserve"> </w:t>
      </w:r>
      <w:r>
        <w:rPr>
          <w:rFonts w:eastAsia="David" w:cs="FrankRuehl"/>
          <w:spacing w:val="10"/>
          <w:sz w:val="28"/>
          <w:szCs w:val="28"/>
          <w:rtl/>
        </w:rPr>
        <w:t xml:space="preserve">(‏6.5.2015). </w:t>
      </w:r>
    </w:p>
    <w:p w14:paraId="13A2071A" w14:textId="77777777" w:rsidR="00921932" w:rsidRDefault="00921932">
      <w:pPr>
        <w:spacing w:line="360" w:lineRule="auto"/>
        <w:ind w:left="720"/>
        <w:jc w:val="both"/>
        <w:rPr>
          <w:rFonts w:ascii="Arial" w:eastAsia="David" w:hAnsi="Arial" w:cs="FrankRuehl"/>
          <w:color w:val="000000"/>
          <w:szCs w:val="28"/>
          <w:rtl/>
        </w:rPr>
      </w:pPr>
    </w:p>
    <w:p w14:paraId="49F72139"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מסכים אני עם ב"כ הנאשם כי קיים הבדל בין מקרה זה ל</w:t>
      </w:r>
      <w:hyperlink r:id="rId57" w:history="1">
        <w:r w:rsidRPr="003B633E">
          <w:rPr>
            <w:rFonts w:ascii="Arial" w:eastAsia="David" w:hAnsi="Arial" w:cs="FrankRuehl"/>
            <w:color w:val="0000FF"/>
            <w:szCs w:val="28"/>
            <w:u w:val="single"/>
            <w:rtl/>
          </w:rPr>
          <w:t>ע"פ 1635/14</w:t>
        </w:r>
      </w:hyperlink>
      <w:r>
        <w:rPr>
          <w:rFonts w:ascii="Arial" w:eastAsia="David" w:hAnsi="Arial" w:cs="FrankRuehl"/>
          <w:szCs w:val="28"/>
          <w:rtl/>
        </w:rPr>
        <w:t xml:space="preserve"> </w:t>
      </w:r>
      <w:r>
        <w:rPr>
          <w:rFonts w:ascii="Arial" w:eastAsia="David" w:hAnsi="Arial" w:cs="Miriam"/>
          <w:rtl/>
        </w:rPr>
        <w:t xml:space="preserve">שי יהודה נ' מדינת ישראל </w:t>
      </w:r>
      <w:r>
        <w:rPr>
          <w:rFonts w:ascii="Arial" w:eastAsia="David" w:hAnsi="Arial" w:cs="FrankRuehl"/>
          <w:szCs w:val="28"/>
          <w:rtl/>
        </w:rPr>
        <w:t xml:space="preserve">אליו הפנה ב"כ המאשימה, באותו מקרה הנאשמים ביצעו שתי עסקאות של ייבוא סם מסוכן בכמות של כ- 8 ק"ג במצטבר. שם הוטל על הנאשם 30 חודשי מאסר, ערעור שהוגש לעליון נדחה. </w:t>
      </w:r>
    </w:p>
    <w:p w14:paraId="28C26B10" w14:textId="77777777" w:rsidR="00921932" w:rsidRDefault="00921932">
      <w:pPr>
        <w:spacing w:line="360" w:lineRule="auto"/>
        <w:ind w:left="720"/>
        <w:jc w:val="both"/>
        <w:rPr>
          <w:rFonts w:ascii="Arial" w:eastAsia="David" w:hAnsi="Arial" w:cs="FrankRuehl"/>
          <w:szCs w:val="28"/>
          <w:rtl/>
        </w:rPr>
      </w:pPr>
    </w:p>
    <w:p w14:paraId="4592191B"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המאשימה הפנתה לשני פסקי דין נוספים- </w:t>
      </w:r>
    </w:p>
    <w:p w14:paraId="10DA07EA" w14:textId="77777777" w:rsidR="00921932" w:rsidRDefault="003B633E">
      <w:pPr>
        <w:spacing w:line="360" w:lineRule="auto"/>
        <w:ind w:left="720"/>
        <w:jc w:val="both"/>
        <w:rPr>
          <w:rFonts w:ascii="Arial" w:eastAsia="David" w:hAnsi="Arial" w:cs="FrankRuehl"/>
          <w:szCs w:val="28"/>
          <w:rtl/>
        </w:rPr>
      </w:pPr>
      <w:hyperlink r:id="rId58" w:history="1">
        <w:r w:rsidRPr="003B633E">
          <w:rPr>
            <w:rFonts w:ascii="Arial" w:eastAsia="David" w:hAnsi="Arial" w:cs="FrankRuehl"/>
            <w:color w:val="0000FF"/>
            <w:szCs w:val="28"/>
            <w:u w:val="single"/>
            <w:rtl/>
          </w:rPr>
          <w:t>ע"פ 810/11</w:t>
        </w:r>
      </w:hyperlink>
      <w:r>
        <w:rPr>
          <w:rFonts w:ascii="Arial" w:eastAsia="David" w:hAnsi="Arial" w:cs="FrankRuehl"/>
          <w:szCs w:val="28"/>
          <w:rtl/>
        </w:rPr>
        <w:t xml:space="preserve"> </w:t>
      </w:r>
      <w:r>
        <w:rPr>
          <w:rFonts w:ascii="Arial" w:eastAsia="David" w:hAnsi="Arial" w:cs="Miriam"/>
          <w:rtl/>
        </w:rPr>
        <w:t>בורגרקר נגד מדינת ישראל</w:t>
      </w:r>
      <w:r>
        <w:rPr>
          <w:rFonts w:ascii="Arial" w:eastAsia="David" w:hAnsi="Arial" w:cs="FrankRuehl"/>
          <w:szCs w:val="28"/>
          <w:rtl/>
        </w:rPr>
        <w:t xml:space="preserve"> (30.5.2011) המערער הורשע בעבירה של החזקת סם מסוכן מסוג הרואין שלא לצריכה עצמית במשקל של כ- 59 גרם, הוא נדון </w:t>
      </w:r>
      <w:r>
        <w:rPr>
          <w:rFonts w:ascii="Arial" w:eastAsia="David" w:hAnsi="Arial" w:cs="FrankRuehl" w:hint="cs"/>
          <w:szCs w:val="28"/>
          <w:rtl/>
        </w:rPr>
        <w:t xml:space="preserve">     </w:t>
      </w:r>
      <w:r>
        <w:rPr>
          <w:rFonts w:ascii="Arial" w:eastAsia="David" w:hAnsi="Arial" w:cs="FrankRuehl"/>
          <w:szCs w:val="28"/>
          <w:rtl/>
        </w:rPr>
        <w:t xml:space="preserve">ל- 36 חודשי מאסר בפועל, ערעור שהוגש לעליון נדחה. </w:t>
      </w:r>
    </w:p>
    <w:p w14:paraId="176E4D17" w14:textId="77777777" w:rsidR="00921932" w:rsidRDefault="00921932">
      <w:pPr>
        <w:spacing w:line="360" w:lineRule="auto"/>
        <w:ind w:left="720"/>
        <w:jc w:val="both"/>
        <w:rPr>
          <w:rFonts w:ascii="Arial" w:eastAsia="David" w:hAnsi="Arial" w:cs="FrankRuehl"/>
          <w:szCs w:val="28"/>
          <w:rtl/>
        </w:rPr>
      </w:pPr>
    </w:p>
    <w:p w14:paraId="7D901DDB" w14:textId="77777777" w:rsidR="00921932" w:rsidRDefault="003B633E">
      <w:pPr>
        <w:spacing w:line="360" w:lineRule="auto"/>
        <w:ind w:left="720"/>
        <w:jc w:val="both"/>
        <w:rPr>
          <w:rFonts w:ascii="Arial" w:eastAsia="David" w:hAnsi="Arial" w:cs="FrankRuehl"/>
          <w:szCs w:val="28"/>
          <w:rtl/>
        </w:rPr>
      </w:pPr>
      <w:hyperlink r:id="rId59" w:history="1">
        <w:r w:rsidRPr="003B633E">
          <w:rPr>
            <w:rFonts w:ascii="Arial" w:eastAsia="David" w:hAnsi="Arial" w:cs="FrankRuehl"/>
            <w:color w:val="0000FF"/>
            <w:szCs w:val="28"/>
            <w:u w:val="single"/>
            <w:rtl/>
          </w:rPr>
          <w:t>רע"פ 9274/09</w:t>
        </w:r>
      </w:hyperlink>
      <w:r>
        <w:rPr>
          <w:rFonts w:ascii="Arial" w:eastAsia="David" w:hAnsi="Arial" w:cs="FrankRuehl"/>
          <w:szCs w:val="28"/>
          <w:rtl/>
        </w:rPr>
        <w:t xml:space="preserve"> </w:t>
      </w:r>
      <w:r>
        <w:rPr>
          <w:rFonts w:ascii="Arial" w:eastAsia="David" w:hAnsi="Arial" w:cs="Miriam"/>
          <w:rtl/>
        </w:rPr>
        <w:t>בלייווייס נגד מדינת ישראל</w:t>
      </w:r>
      <w:r>
        <w:rPr>
          <w:rFonts w:ascii="Arial" w:eastAsia="David" w:hAnsi="Arial" w:cs="FrankRuehl"/>
          <w:szCs w:val="28"/>
          <w:rtl/>
        </w:rPr>
        <w:t xml:space="preserve"> (24.11.2009) הנאשם הורשע בעבירה של החזקת סם מסוכן שלא לצריכה עצמית ועבירה של החזקת כלים להכנת סם, הסם מסוג קוקאין במשקל של כ-  287 גרם. בית המשפט השלום הטיל עליו שלוש שנות מאסר בפועל, בית המשפט המחוזי מצא לנכון לקצר את התקופה בשישה חודשים. ערעור שהוגש לעליון נדחה. </w:t>
      </w:r>
    </w:p>
    <w:p w14:paraId="1CD644BC" w14:textId="77777777" w:rsidR="00921932" w:rsidRDefault="00921932">
      <w:pPr>
        <w:spacing w:line="360" w:lineRule="auto"/>
        <w:ind w:left="720"/>
        <w:jc w:val="both"/>
        <w:rPr>
          <w:rFonts w:ascii="Arial" w:eastAsia="David" w:hAnsi="Arial" w:cs="FrankRuehl"/>
          <w:szCs w:val="28"/>
          <w:rtl/>
        </w:rPr>
      </w:pPr>
    </w:p>
    <w:p w14:paraId="6317A29B"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ב"כ הנאשם הפנה לת.פ. 4023/05 </w:t>
      </w:r>
      <w:r>
        <w:rPr>
          <w:rFonts w:ascii="Arial" w:eastAsia="David" w:hAnsi="Arial" w:cs="Miriam"/>
          <w:rtl/>
        </w:rPr>
        <w:t>מדינת ישראל נ' רוזינסקי</w:t>
      </w:r>
      <w:r>
        <w:rPr>
          <w:rFonts w:ascii="Arial" w:eastAsia="David" w:hAnsi="Arial" w:cs="FrankRuehl"/>
          <w:szCs w:val="28"/>
          <w:rtl/>
        </w:rPr>
        <w:t xml:space="preserve"> (18.10.2006), שם הנאשם הורשע בהחזקת סם שלא לצריכה עצמית, סם הרואין בכמות של 153.8 גרם נטו, בית המשפט המחוזי האריך מאסר מותנה והטיל על הנאשם צו מבחן ושל"צ. </w:t>
      </w:r>
    </w:p>
    <w:p w14:paraId="1CC60AFF" w14:textId="77777777" w:rsidR="00921932" w:rsidRDefault="00921932">
      <w:pPr>
        <w:spacing w:line="360" w:lineRule="auto"/>
        <w:ind w:left="720"/>
        <w:jc w:val="both"/>
        <w:rPr>
          <w:rFonts w:ascii="Arial" w:eastAsia="David" w:hAnsi="Arial" w:cs="FrankRuehl"/>
          <w:szCs w:val="28"/>
          <w:rtl/>
        </w:rPr>
      </w:pPr>
    </w:p>
    <w:p w14:paraId="74A0A7AF"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כן הפנה ב"כ הנאשם ל</w:t>
      </w:r>
      <w:hyperlink r:id="rId60" w:history="1">
        <w:r w:rsidRPr="003B633E">
          <w:rPr>
            <w:rFonts w:ascii="Arial" w:eastAsia="David" w:hAnsi="Arial" w:cs="FrankRuehl"/>
            <w:color w:val="0000FF"/>
            <w:szCs w:val="28"/>
            <w:u w:val="single"/>
            <w:rtl/>
          </w:rPr>
          <w:t>ע"פ 8092/04</w:t>
        </w:r>
      </w:hyperlink>
      <w:r>
        <w:rPr>
          <w:rFonts w:ascii="Arial" w:eastAsia="David" w:hAnsi="Arial" w:cs="FrankRuehl"/>
          <w:szCs w:val="28"/>
          <w:rtl/>
        </w:rPr>
        <w:t xml:space="preserve"> </w:t>
      </w:r>
      <w:r>
        <w:rPr>
          <w:rFonts w:ascii="Arial" w:eastAsia="David" w:hAnsi="Arial" w:cs="Miriam"/>
          <w:rtl/>
        </w:rPr>
        <w:t>חביב נגד מדינת ישראל</w:t>
      </w:r>
      <w:r>
        <w:rPr>
          <w:rFonts w:ascii="Arial" w:eastAsia="David" w:hAnsi="Arial" w:cs="FrankRuehl"/>
          <w:szCs w:val="28"/>
          <w:rtl/>
        </w:rPr>
        <w:t xml:space="preserve"> (10.9.2006) שם המערער הורשע בארבע עבירות סחר בסמים והחזקת סם מסוכן שלא לשימוש עצמי, בעשרות קילוגרמים של סמים, במספר רב של עסקאות, בית המשפט העליון ביטל את המאסר בפועל של 40 חודשים שהוטלו ע"י בית המשפט המחוזי והטיל עליו צו מבחן ועבודות שירות לתועלת הציבור.  </w:t>
      </w:r>
    </w:p>
    <w:p w14:paraId="524DD69D" w14:textId="77777777" w:rsidR="00921932" w:rsidRDefault="00921932">
      <w:pPr>
        <w:spacing w:line="360" w:lineRule="auto"/>
        <w:jc w:val="both"/>
        <w:rPr>
          <w:rFonts w:ascii="Arial" w:eastAsia="David" w:hAnsi="Arial" w:cs="FrankRuehl"/>
          <w:color w:val="000000"/>
          <w:szCs w:val="28"/>
          <w:rtl/>
        </w:rPr>
      </w:pPr>
    </w:p>
    <w:p w14:paraId="0F2F3090"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באשר לנסיבות הקשורות בביצוע העבירה (</w:t>
      </w:r>
      <w:hyperlink r:id="rId61" w:history="1">
        <w:r w:rsidR="00A25EBC" w:rsidRPr="00A25EBC">
          <w:rPr>
            <w:rFonts w:ascii="Arial" w:eastAsia="David" w:hAnsi="Arial" w:cs="FrankRuehl"/>
            <w:color w:val="0000FF"/>
            <w:szCs w:val="28"/>
            <w:u w:val="single"/>
            <w:rtl/>
          </w:rPr>
          <w:t>סעיף 40ט'</w:t>
        </w:r>
      </w:hyperlink>
      <w:r>
        <w:rPr>
          <w:rFonts w:ascii="Arial" w:eastAsia="David" w:hAnsi="Arial" w:cs="FrankRuehl"/>
          <w:szCs w:val="28"/>
          <w:rtl/>
        </w:rPr>
        <w:t xml:space="preserve"> לחוק),  לעבירה קדם תכנון מוקדם, ביום 26.2.2014 אלכסיי וקוסטה פנו לנאשם, שיתפו אותו בפרטי המשלוח והציעו לו לקבל את המשלוח, הם הסבירו לו כי עליו להתחזות לקדם ולקבל את המשלוח מהשליח, והנאשם הסכים לשתף פעולה.</w:t>
      </w:r>
    </w:p>
    <w:p w14:paraId="2066AA87"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 </w:t>
      </w:r>
    </w:p>
    <w:p w14:paraId="1DA8C8F3"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חלקו היחסי של הנאשם קטן יותר מחלקם של כל השותפים האחרים, הנאשם לא היה מעורב בהזמנת הסם, הנאשם צורף רק לאחר שהמשלוח הגיע לארץ כאשר השותפים חשדו כי המשלוח נתפס ע"י המשטרה, מעורבותו של הנאשם הייתה לצורך קבלת המשלוח מהשליח תמורת תשלום סכום של 500 ₪. </w:t>
      </w:r>
    </w:p>
    <w:p w14:paraId="6F31C5D3" w14:textId="77777777" w:rsidR="00921932" w:rsidRDefault="00921932">
      <w:pPr>
        <w:spacing w:line="360" w:lineRule="auto"/>
        <w:ind w:left="720"/>
        <w:jc w:val="both"/>
        <w:rPr>
          <w:rFonts w:ascii="Arial" w:eastAsia="David" w:hAnsi="Arial" w:cs="FrankRuehl"/>
          <w:szCs w:val="28"/>
          <w:rtl/>
        </w:rPr>
      </w:pPr>
    </w:p>
    <w:p w14:paraId="637F2EA7"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מסכים אני עם ב"כ הנאשם כי חלקם של הנאשם וקדם אינו זהה, בהתאם לעובדות כתב האישום המתוקן, פרטיו האישיים של קדם שימשו לקבלת המשלוח ובהם שמו וכתובתו, המשלוח שהתקבל היה ממוען לקדם,  לפני יום 26.2.2014 אלכסיי שיתף את קדם בפרטי המשלוח והוא הסכים לשתף פעולה איתם, ולקח את הטלפון המבצעי. השוטרים שוחחו עם קדם בטלפון המבצעי, מעורבותו של קדם נמשכה גם בשלב של קבלת המשלוח בכך שהוא מסר לידי הנאשם את תעודת החוגר שלו כדי שהנאשם יזדהה בפני השליח כקדם והוא אף סיכם עם הנאשם שלאחר קבלת המשלוח יעבירו הנאשם לקדם שימתין לו בפארק סמוך לביתו. </w:t>
      </w:r>
    </w:p>
    <w:p w14:paraId="212DB860" w14:textId="77777777" w:rsidR="00921932" w:rsidRDefault="00921932">
      <w:pPr>
        <w:spacing w:line="360" w:lineRule="auto"/>
        <w:ind w:left="720"/>
        <w:jc w:val="both"/>
        <w:rPr>
          <w:rFonts w:ascii="Arial" w:eastAsia="David" w:hAnsi="Arial" w:cs="FrankRuehl"/>
          <w:szCs w:val="28"/>
          <w:rtl/>
        </w:rPr>
      </w:pPr>
    </w:p>
    <w:p w14:paraId="72071071"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איני מקל ראש בחלקו של הנאשם שכן למרות שחלקו היה קטן יותר מחלקם של השותפים, הוא הסכים לשתף פעולה ולסייע לאחרים לקבל לידיהם את הסם שיובא לישראל.</w:t>
      </w:r>
    </w:p>
    <w:p w14:paraId="140EA987" w14:textId="77777777" w:rsidR="00921932" w:rsidRDefault="00921932">
      <w:pPr>
        <w:spacing w:line="360" w:lineRule="auto"/>
        <w:ind w:left="720"/>
        <w:jc w:val="both"/>
        <w:rPr>
          <w:rFonts w:ascii="Arial" w:eastAsia="David" w:hAnsi="Arial" w:cs="FrankRuehl"/>
          <w:szCs w:val="28"/>
        </w:rPr>
      </w:pPr>
    </w:p>
    <w:p w14:paraId="118A57DE"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אין ספק כי עבירות בתחום הסמים, הן עבירות חמורות ומיותר לציין כי הנזק שהיה צפוי להיגרם מביצוע העבירה הוא חמור ביותר מהנזק שנגרם בפועל, שכן המשלוח שכלל כמות של כ- 110 גרם סם מסוכן נתפס בסופו של יום ע"י המשטרה.  </w:t>
      </w:r>
    </w:p>
    <w:p w14:paraId="03599F7E" w14:textId="77777777" w:rsidR="00921932" w:rsidRDefault="00921932">
      <w:pPr>
        <w:spacing w:line="360" w:lineRule="auto"/>
        <w:ind w:left="720"/>
        <w:jc w:val="both"/>
        <w:rPr>
          <w:rFonts w:ascii="Arial" w:eastAsia="David" w:hAnsi="Arial" w:cs="FrankRuehl"/>
          <w:szCs w:val="28"/>
          <w:rtl/>
        </w:rPr>
      </w:pPr>
    </w:p>
    <w:p w14:paraId="20484EF6"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לנגד עיניי עומד גם המתחם שנקבע בהליך המקביל בעניינו של קדם </w:t>
      </w:r>
      <w:r>
        <w:rPr>
          <w:rFonts w:ascii="Arial" w:eastAsia="David" w:hAnsi="Arial" w:cs="FrankRuehl" w:hint="cs"/>
          <w:szCs w:val="28"/>
          <w:rtl/>
        </w:rPr>
        <w:t xml:space="preserve">                         </w:t>
      </w:r>
      <w:r>
        <w:rPr>
          <w:rFonts w:ascii="Arial" w:eastAsia="David" w:hAnsi="Arial" w:cs="FrankRuehl"/>
          <w:szCs w:val="28"/>
          <w:rtl/>
        </w:rPr>
        <w:t>(</w:t>
      </w:r>
      <w:hyperlink r:id="rId62" w:history="1">
        <w:r w:rsidRPr="003B633E">
          <w:rPr>
            <w:rFonts w:ascii="Arial" w:eastAsia="David" w:hAnsi="Arial" w:cs="FrankRuehl"/>
            <w:color w:val="0000FF"/>
            <w:szCs w:val="28"/>
            <w:u w:val="single"/>
            <w:rtl/>
          </w:rPr>
          <w:t>ת.פ. 46018-03-14</w:t>
        </w:r>
      </w:hyperlink>
      <w:r>
        <w:rPr>
          <w:rFonts w:ascii="Arial" w:eastAsia="David" w:hAnsi="Arial" w:cs="FrankRuehl"/>
          <w:szCs w:val="28"/>
          <w:rtl/>
        </w:rPr>
        <w:t>)</w:t>
      </w:r>
      <w:r>
        <w:rPr>
          <w:rFonts w:ascii="Arial" w:eastAsia="David" w:hAnsi="Arial" w:cs="FrankRuehl" w:hint="cs"/>
          <w:szCs w:val="28"/>
          <w:rtl/>
        </w:rPr>
        <w:t xml:space="preserve">, </w:t>
      </w:r>
      <w:r>
        <w:rPr>
          <w:rFonts w:ascii="Arial" w:eastAsia="David" w:hAnsi="Arial" w:cs="FrankRuehl"/>
          <w:szCs w:val="28"/>
          <w:rtl/>
        </w:rPr>
        <w:t xml:space="preserve">מתחם עונש הנע בין 12-30 חודשי מאסר בפועל. והמתחם שנקבע לגבי קוסטה שהיה יותר דומיננטי מהנאשם ומקדם הועמד על 18-56 חודשי מאסר בפועל. </w:t>
      </w:r>
    </w:p>
    <w:p w14:paraId="1109F0F6" w14:textId="77777777" w:rsidR="00921932" w:rsidRDefault="00921932">
      <w:pPr>
        <w:spacing w:line="360" w:lineRule="auto"/>
        <w:jc w:val="both"/>
        <w:rPr>
          <w:rFonts w:ascii="Arial" w:eastAsia="David" w:hAnsi="Arial" w:cs="FrankRuehl"/>
          <w:szCs w:val="28"/>
        </w:rPr>
      </w:pPr>
    </w:p>
    <w:p w14:paraId="456DCCAE" w14:textId="77777777" w:rsidR="00921932" w:rsidRDefault="003B633E">
      <w:pPr>
        <w:spacing w:line="360" w:lineRule="auto"/>
        <w:ind w:left="720"/>
        <w:jc w:val="both"/>
        <w:rPr>
          <w:rFonts w:ascii="Arial" w:eastAsia="David" w:hAnsi="Arial" w:cs="FrankRuehl"/>
          <w:szCs w:val="28"/>
        </w:rPr>
      </w:pPr>
      <w:r>
        <w:rPr>
          <w:rFonts w:ascii="Arial" w:eastAsia="David" w:hAnsi="Arial" w:cs="FrankRuehl"/>
          <w:szCs w:val="28"/>
          <w:rtl/>
        </w:rPr>
        <w:t xml:space="preserve">בהתחשב בערך החברתי שנפגע מביצוע העבירה, במידת הפגיעה בו, במדיניות הענישה הנהוגה ובנסיבות הקשורות בביצוע העבירה, בשיקולי האחדה בענישה ושוויון אני קובע כי מתחם הענישה ההולם </w:t>
      </w:r>
      <w:r>
        <w:rPr>
          <w:rFonts w:ascii="Arial" w:eastAsia="David" w:hAnsi="Arial" w:cs="FrankRuehl" w:hint="cs"/>
          <w:szCs w:val="28"/>
          <w:rtl/>
        </w:rPr>
        <w:t xml:space="preserve">לגבי נאשם </w:t>
      </w:r>
      <w:r>
        <w:rPr>
          <w:rFonts w:ascii="Arial" w:eastAsia="David" w:hAnsi="Arial" w:cs="FrankRuehl"/>
          <w:szCs w:val="28"/>
          <w:rtl/>
        </w:rPr>
        <w:t>זה</w:t>
      </w:r>
      <w:r>
        <w:rPr>
          <w:rFonts w:ascii="Arial" w:eastAsia="David" w:hAnsi="Arial" w:cs="FrankRuehl" w:hint="cs"/>
          <w:szCs w:val="28"/>
          <w:rtl/>
        </w:rPr>
        <w:t xml:space="preserve"> בהתחשב באמור לעיל</w:t>
      </w:r>
      <w:r>
        <w:rPr>
          <w:rFonts w:ascii="Arial" w:eastAsia="David" w:hAnsi="Arial" w:cs="FrankRuehl"/>
          <w:szCs w:val="28"/>
          <w:rtl/>
        </w:rPr>
        <w:t xml:space="preserve">, יהיה מתחם שבין </w:t>
      </w:r>
      <w:r>
        <w:rPr>
          <w:rFonts w:ascii="Arial" w:eastAsia="David" w:hAnsi="Arial" w:cs="FrankRuehl"/>
          <w:szCs w:val="28"/>
          <w:u w:val="single"/>
          <w:rtl/>
        </w:rPr>
        <w:t>6</w:t>
      </w:r>
      <w:r>
        <w:rPr>
          <w:rFonts w:ascii="Arial" w:eastAsia="David" w:hAnsi="Arial" w:cs="FrankRuehl"/>
          <w:szCs w:val="28"/>
          <w:rtl/>
        </w:rPr>
        <w:t xml:space="preserve"> חודשים שיכול וירוצו בעבודות שירות לבין </w:t>
      </w:r>
      <w:r>
        <w:rPr>
          <w:rFonts w:ascii="Arial" w:eastAsia="David" w:hAnsi="Arial" w:cs="FrankRuehl"/>
          <w:szCs w:val="28"/>
          <w:u w:val="single"/>
          <w:rtl/>
        </w:rPr>
        <w:t>24</w:t>
      </w:r>
      <w:r>
        <w:rPr>
          <w:rFonts w:ascii="Arial" w:eastAsia="David" w:hAnsi="Arial" w:cs="FrankRuehl"/>
          <w:szCs w:val="28"/>
          <w:rtl/>
        </w:rPr>
        <w:t xml:space="preserve"> חודשי מאסר בפועל, מאסר על תנאי וקנס.  </w:t>
      </w:r>
    </w:p>
    <w:p w14:paraId="20521BB6" w14:textId="77777777" w:rsidR="00921932" w:rsidRDefault="00921932">
      <w:pPr>
        <w:spacing w:line="360" w:lineRule="auto"/>
        <w:ind w:left="360" w:firstLine="360"/>
        <w:jc w:val="both"/>
        <w:rPr>
          <w:rFonts w:ascii="Arial" w:eastAsia="David" w:hAnsi="Arial" w:cs="FrankRuehl"/>
          <w:szCs w:val="28"/>
          <w:u w:val="single"/>
          <w:rtl/>
        </w:rPr>
      </w:pPr>
    </w:p>
    <w:p w14:paraId="08FDC932" w14:textId="77777777" w:rsidR="00921932" w:rsidRDefault="003B633E">
      <w:pPr>
        <w:spacing w:line="360" w:lineRule="auto"/>
        <w:ind w:left="360" w:firstLine="360"/>
        <w:jc w:val="both"/>
        <w:rPr>
          <w:rFonts w:ascii="Arial" w:eastAsia="David" w:hAnsi="Arial" w:cs="Miriam"/>
          <w:rtl/>
        </w:rPr>
      </w:pPr>
      <w:r>
        <w:rPr>
          <w:rFonts w:ascii="Arial" w:eastAsia="David" w:hAnsi="Arial" w:cs="Miriam"/>
          <w:rtl/>
        </w:rPr>
        <w:t>העונש המתאים</w:t>
      </w:r>
    </w:p>
    <w:p w14:paraId="0B1C3FDC" w14:textId="77777777" w:rsidR="00921932" w:rsidRDefault="003B633E">
      <w:pPr>
        <w:spacing w:line="360" w:lineRule="auto"/>
        <w:ind w:left="360" w:firstLine="360"/>
        <w:jc w:val="both"/>
        <w:rPr>
          <w:rFonts w:ascii="Arial" w:eastAsia="David" w:hAnsi="Arial" w:cs="Miriam"/>
          <w:rtl/>
        </w:rPr>
      </w:pPr>
      <w:r>
        <w:rPr>
          <w:rFonts w:ascii="Arial" w:eastAsia="David" w:hAnsi="Arial" w:cs="Miriam"/>
          <w:rtl/>
        </w:rPr>
        <w:t xml:space="preserve">האם קיים סיכוי שיקום של ממש שהנאשם ישתקם? </w:t>
      </w:r>
    </w:p>
    <w:p w14:paraId="55CA9358"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הנאשם צעיר, יליד 5.2.1994, בן 20 במועד ביצוע העבירה (כיום בן 21), לנאשם הרשעה פלילית אחת מיום 3.7.2013 בגינה הוטלו על הנאשם 7 חודשי מאסר מותנה בר הפעלה ב</w:t>
      </w:r>
      <w:hyperlink r:id="rId63" w:history="1">
        <w:r w:rsidRPr="003B633E">
          <w:rPr>
            <w:rFonts w:ascii="Arial" w:eastAsia="David" w:hAnsi="Arial" w:cs="FrankRuehl"/>
            <w:color w:val="0000FF"/>
            <w:szCs w:val="28"/>
            <w:u w:val="single"/>
            <w:rtl/>
          </w:rPr>
          <w:t>ת.פ. 33090-06-12</w:t>
        </w:r>
      </w:hyperlink>
      <w:r>
        <w:rPr>
          <w:rFonts w:ascii="Arial" w:eastAsia="David" w:hAnsi="Arial" w:cs="FrankRuehl"/>
          <w:szCs w:val="28"/>
          <w:rtl/>
        </w:rPr>
        <w:t xml:space="preserve"> (בית המשפט לנוער חיפה). הנאשם ביצע עבירה נוספת בגינה לא הורשע והוטל עליו צו מבחן שהופקע, (</w:t>
      </w:r>
      <w:hyperlink r:id="rId64" w:history="1">
        <w:r w:rsidRPr="003B633E">
          <w:rPr>
            <w:rFonts w:ascii="Arial" w:eastAsia="David" w:hAnsi="Arial" w:cs="FrankRuehl"/>
            <w:color w:val="0000FF"/>
            <w:szCs w:val="28"/>
            <w:u w:val="single"/>
            <w:rtl/>
          </w:rPr>
          <w:t>ת.פ. 20917-09-10</w:t>
        </w:r>
      </w:hyperlink>
      <w:r>
        <w:rPr>
          <w:rFonts w:ascii="Arial" w:eastAsia="David" w:hAnsi="Arial" w:cs="FrankRuehl"/>
          <w:szCs w:val="28"/>
          <w:rtl/>
        </w:rPr>
        <w:t xml:space="preserve">).  </w:t>
      </w:r>
    </w:p>
    <w:p w14:paraId="57836831" w14:textId="77777777" w:rsidR="00921932" w:rsidRDefault="00921932">
      <w:pPr>
        <w:spacing w:line="360" w:lineRule="auto"/>
        <w:ind w:left="720"/>
        <w:jc w:val="both"/>
        <w:rPr>
          <w:rFonts w:ascii="Arial" w:eastAsia="David" w:hAnsi="Arial" w:cs="FrankRuehl"/>
          <w:szCs w:val="28"/>
          <w:rtl/>
        </w:rPr>
      </w:pPr>
    </w:p>
    <w:p w14:paraId="6740F5BE"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מעיון בתסקירי שירות המבחן עולה כי יש סיכוי של ממש כי הנאשם ישתקם,  חשוב להדגיש כי  סמוך לאחר הודיית הנאשם בפניי (שהי</w:t>
      </w:r>
      <w:r>
        <w:rPr>
          <w:rFonts w:ascii="Arial" w:eastAsia="David" w:hAnsi="Arial" w:cs="FrankRuehl" w:hint="cs"/>
          <w:szCs w:val="28"/>
          <w:rtl/>
        </w:rPr>
        <w:t>י</w:t>
      </w:r>
      <w:r>
        <w:rPr>
          <w:rFonts w:ascii="Arial" w:eastAsia="David" w:hAnsi="Arial" w:cs="FrankRuehl"/>
          <w:szCs w:val="28"/>
          <w:rtl/>
        </w:rPr>
        <w:t>תה בתחילת המשפט), הופנה הנאשם לשירות המבחן והתחיל בהליך טיפולי שנמשך מזה תשעה חודשים, (ראו את התקדמותו החיובית של ההליך כמתואר בשלושת תסקירי שירות המבחן).</w:t>
      </w:r>
    </w:p>
    <w:p w14:paraId="422060FA" w14:textId="77777777" w:rsidR="00921932" w:rsidRDefault="00921932">
      <w:pPr>
        <w:spacing w:line="360" w:lineRule="auto"/>
        <w:ind w:left="720"/>
        <w:jc w:val="both"/>
        <w:rPr>
          <w:rFonts w:ascii="Arial" w:eastAsia="David" w:hAnsi="Arial" w:cs="FrankRuehl"/>
          <w:szCs w:val="28"/>
          <w:rtl/>
        </w:rPr>
      </w:pPr>
    </w:p>
    <w:p w14:paraId="6F352053"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הנאשם נמצא בעיצומו של תהליך טיפולי, הנאשם הופנה ליחידה לטיפול בהתמכרויות בחיפה, שירות המבחן התרשם מרצונו ומיכולתו של הנאשם להיעזר בתהליך הטיפולי, ליצירת שינוי בדפוסי התמכרותו, הנאשם ממשיך לשתף פעולה וניתן להתרשם מהיכולת שלו לקחת אחריות על עצמו ועל חייו. על כן שירות המבחן המליץ לשקול את האפיק השיקומי,  להאריך את המאסר המותנה, להטיל על הנאשם צו מבחן למשך שנה וחצי במהלכם ימשיך בתהליך הטיפולי במסגרת היחידה לטיפול בהתמכרויות בחיפה, בנוסף להטלת צו של"צ בהיקף של 340 שעות שיבוצעו במסגרת אגודת "צער בעלי חיים" בחיפה בתפקידי ניקיון, האכלה, טיול, טיפול בבעלי חיים.  </w:t>
      </w:r>
    </w:p>
    <w:p w14:paraId="6425F142" w14:textId="77777777" w:rsidR="00921932" w:rsidRDefault="00921932">
      <w:pPr>
        <w:spacing w:line="360" w:lineRule="auto"/>
        <w:ind w:left="720"/>
        <w:jc w:val="both"/>
        <w:rPr>
          <w:rFonts w:ascii="Arial" w:eastAsia="David" w:hAnsi="Arial" w:cs="FrankRuehl"/>
          <w:szCs w:val="28"/>
          <w:rtl/>
        </w:rPr>
      </w:pPr>
    </w:p>
    <w:p w14:paraId="1EA55A67"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 xml:space="preserve">כפי שציינתי לעיל בעת ניתוח נסיבות ביצוע העבירה, בהתאם לעובדות כתב האישום המתוקן ניתן לראות כי קיים שוני בין מעשיו של הנאשם </w:t>
      </w:r>
      <w:r>
        <w:rPr>
          <w:rFonts w:ascii="Arial" w:eastAsia="David" w:hAnsi="Arial" w:cs="FrankRuehl" w:hint="cs"/>
          <w:szCs w:val="28"/>
          <w:rtl/>
        </w:rPr>
        <w:t>חלקם של המעורבים האחרים וספציפית שוני גם ביחס ל</w:t>
      </w:r>
      <w:r>
        <w:rPr>
          <w:rFonts w:ascii="Arial" w:eastAsia="David" w:hAnsi="Arial" w:cs="FrankRuehl"/>
          <w:szCs w:val="28"/>
          <w:rtl/>
        </w:rPr>
        <w:t xml:space="preserve">מעשיו של קדם, קיים גם הבדל נוסף משמעותי ביניהם לשאלת העונש הספציפי והוא באשר לאופק השיקומי והמלצות שירות המבחן. </w:t>
      </w:r>
    </w:p>
    <w:p w14:paraId="4889EAB3" w14:textId="77777777" w:rsidR="00921932" w:rsidRDefault="00921932">
      <w:pPr>
        <w:spacing w:line="360" w:lineRule="auto"/>
        <w:ind w:left="720"/>
        <w:jc w:val="both"/>
        <w:rPr>
          <w:rFonts w:ascii="Arial" w:eastAsia="David" w:hAnsi="Arial" w:cs="FrankRuehl"/>
          <w:szCs w:val="28"/>
          <w:rtl/>
        </w:rPr>
      </w:pPr>
    </w:p>
    <w:p w14:paraId="6DFDA13A"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כמתואר בגזר הדין ב</w:t>
      </w:r>
      <w:hyperlink r:id="rId65" w:history="1">
        <w:r w:rsidRPr="003B633E">
          <w:rPr>
            <w:rFonts w:ascii="Arial" w:eastAsia="David" w:hAnsi="Arial" w:cs="FrankRuehl"/>
            <w:color w:val="0000FF"/>
            <w:szCs w:val="28"/>
            <w:u w:val="single"/>
            <w:rtl/>
          </w:rPr>
          <w:t>ת.פ. 46018-03-14</w:t>
        </w:r>
      </w:hyperlink>
      <w:r>
        <w:rPr>
          <w:rFonts w:ascii="Arial" w:eastAsia="David" w:hAnsi="Arial" w:cs="FrankRuehl"/>
          <w:szCs w:val="28"/>
          <w:rtl/>
        </w:rPr>
        <w:t xml:space="preserve"> בעינינו של קדם, שירות המבחן לא בא בהמלצה טיפולית, שכן קדם שלל נזקקות טיפולית ולא שיתף פעולה, קצינת המבחן התרשמה כי קדם לקח אחריות חלקית בלבד על ביצוע העבירה, שירות המבחן הגיש בקשה לביטול צו פיקוח בשל העדר שיתוף פעולה מצידו של קדם. לאור גילו הצעיר של קדם שירות המבחן המליץ לשקול מאסר בעבודות שירות, מאסר מותנה וקנס. </w:t>
      </w:r>
    </w:p>
    <w:p w14:paraId="361F23DC" w14:textId="77777777" w:rsidR="00921932" w:rsidRDefault="00921932">
      <w:pPr>
        <w:spacing w:line="360" w:lineRule="auto"/>
        <w:ind w:left="720"/>
        <w:jc w:val="both"/>
        <w:rPr>
          <w:rFonts w:ascii="Arial" w:eastAsia="David" w:hAnsi="Arial" w:cs="FrankRuehl"/>
          <w:szCs w:val="28"/>
          <w:rtl/>
        </w:rPr>
      </w:pPr>
    </w:p>
    <w:p w14:paraId="63AF7713" w14:textId="77777777" w:rsidR="00921932" w:rsidRDefault="003B633E">
      <w:pPr>
        <w:spacing w:line="360" w:lineRule="auto"/>
        <w:ind w:left="720"/>
        <w:jc w:val="both"/>
        <w:rPr>
          <w:rFonts w:ascii="Arial" w:eastAsia="David" w:hAnsi="Arial" w:cs="FrankRuehl"/>
          <w:sz w:val="28"/>
          <w:szCs w:val="28"/>
          <w:rtl/>
        </w:rPr>
      </w:pPr>
      <w:r>
        <w:rPr>
          <w:rFonts w:ascii="Arial" w:eastAsia="David" w:hAnsi="Arial" w:cs="FrankRuehl"/>
          <w:sz w:val="28"/>
          <w:szCs w:val="28"/>
          <w:rtl/>
        </w:rPr>
        <w:t xml:space="preserve">עונש מאסר מאחורי סורג ובריח </w:t>
      </w:r>
      <w:r>
        <w:rPr>
          <w:rFonts w:ascii="Arial" w:eastAsia="David" w:hAnsi="Arial" w:cs="FrankRuehl" w:hint="cs"/>
          <w:sz w:val="28"/>
          <w:szCs w:val="28"/>
          <w:rtl/>
        </w:rPr>
        <w:t>י</w:t>
      </w:r>
      <w:r>
        <w:rPr>
          <w:rFonts w:ascii="Arial" w:eastAsia="David" w:hAnsi="Arial" w:cs="FrankRuehl"/>
          <w:sz w:val="28"/>
          <w:szCs w:val="28"/>
          <w:rtl/>
        </w:rPr>
        <w:t>פגע בנאשם ובשיקומו ולאור סיכויי השיקום והתפנית החיובית בהליך הטיפולי והתמדתו האינטנסיבית של הנאשם בהליך, במקרה זה יש להעדיף את שיקול השיקום על פני שיקולי גמול והרתעה ויש לתת לנאשם הצעיר הזדמנות לחזור לדרך המוטב.  ער אני לניסיונו הקודם של הנאשם להשתקם, אך הנני סבור כי הנאשם נמצא בתהליך שינוי משמעותי, גם שירות המבחן התרשם מיכולתו לקחת אחריות על עצמו ועל חייו.</w:t>
      </w:r>
    </w:p>
    <w:p w14:paraId="5D781108" w14:textId="77777777" w:rsidR="00921932" w:rsidRDefault="003B633E">
      <w:pPr>
        <w:spacing w:line="360" w:lineRule="auto"/>
        <w:ind w:left="720"/>
        <w:jc w:val="both"/>
        <w:rPr>
          <w:rFonts w:ascii="Arial" w:eastAsia="David" w:hAnsi="Arial" w:cs="FrankRuehl"/>
          <w:sz w:val="28"/>
          <w:szCs w:val="28"/>
          <w:rtl/>
        </w:rPr>
      </w:pPr>
      <w:r>
        <w:rPr>
          <w:rFonts w:ascii="Arial" w:eastAsia="David" w:hAnsi="Arial" w:cs="FrankRuehl"/>
          <w:sz w:val="28"/>
          <w:szCs w:val="28"/>
          <w:rtl/>
        </w:rPr>
        <w:t xml:space="preserve"> </w:t>
      </w:r>
    </w:p>
    <w:p w14:paraId="623246C8" w14:textId="77777777" w:rsidR="00921932" w:rsidRDefault="003B633E">
      <w:pPr>
        <w:spacing w:line="360" w:lineRule="auto"/>
        <w:ind w:left="720"/>
        <w:jc w:val="both"/>
        <w:rPr>
          <w:rFonts w:ascii="Arial" w:eastAsia="David" w:hAnsi="Arial" w:cs="FrankRuehl"/>
          <w:sz w:val="28"/>
          <w:szCs w:val="28"/>
          <w:rtl/>
        </w:rPr>
      </w:pPr>
      <w:r>
        <w:rPr>
          <w:rFonts w:ascii="Arial" w:eastAsia="David" w:hAnsi="Arial" w:cs="FrankRuehl"/>
          <w:sz w:val="28"/>
          <w:szCs w:val="28"/>
          <w:rtl/>
        </w:rPr>
        <w:t>העמדת הנאשם במבחן מצד אחד נותנת לו ולחברה פתח של תקווה ומצד שני קיימת אפשרות לשוב ולגזור את דינו של הנאשם באופן הולם במידה ויפר את תנאי המבחן.</w:t>
      </w:r>
    </w:p>
    <w:p w14:paraId="3DD24F8E" w14:textId="77777777" w:rsidR="00921932" w:rsidRDefault="00921932">
      <w:pPr>
        <w:spacing w:line="360" w:lineRule="auto"/>
        <w:ind w:left="720"/>
        <w:jc w:val="both"/>
        <w:rPr>
          <w:rFonts w:ascii="Arial" w:eastAsia="David" w:hAnsi="Arial" w:cs="FrankRuehl"/>
          <w:sz w:val="28"/>
          <w:szCs w:val="28"/>
          <w:rtl/>
        </w:rPr>
      </w:pPr>
    </w:p>
    <w:p w14:paraId="4842DFD0" w14:textId="77777777" w:rsidR="00921932" w:rsidRDefault="00921932">
      <w:pPr>
        <w:spacing w:line="360" w:lineRule="auto"/>
        <w:ind w:left="720"/>
        <w:jc w:val="both"/>
        <w:rPr>
          <w:rFonts w:ascii="Arial" w:eastAsia="David" w:hAnsi="Arial" w:cs="FrankRuehl"/>
          <w:sz w:val="28"/>
          <w:szCs w:val="28"/>
          <w:rtl/>
        </w:rPr>
      </w:pPr>
    </w:p>
    <w:p w14:paraId="4891179D" w14:textId="77777777" w:rsidR="00921932" w:rsidRDefault="00921932">
      <w:pPr>
        <w:spacing w:line="360" w:lineRule="auto"/>
        <w:ind w:left="720"/>
        <w:jc w:val="both"/>
        <w:rPr>
          <w:rFonts w:ascii="Arial" w:eastAsia="David" w:hAnsi="Arial" w:cs="FrankRuehl"/>
          <w:sz w:val="28"/>
          <w:szCs w:val="28"/>
          <w:rtl/>
        </w:rPr>
      </w:pPr>
    </w:p>
    <w:p w14:paraId="0143AED7" w14:textId="77777777" w:rsidR="00921932" w:rsidRDefault="00921932">
      <w:pPr>
        <w:spacing w:line="360" w:lineRule="auto"/>
        <w:ind w:left="720"/>
        <w:jc w:val="both"/>
        <w:rPr>
          <w:rFonts w:ascii="Arial" w:eastAsia="David" w:hAnsi="Arial" w:cs="FrankRuehl"/>
          <w:sz w:val="28"/>
          <w:szCs w:val="28"/>
          <w:rtl/>
        </w:rPr>
      </w:pPr>
    </w:p>
    <w:p w14:paraId="1C97288D" w14:textId="77777777" w:rsidR="00921932" w:rsidRDefault="003B633E">
      <w:pPr>
        <w:spacing w:line="360" w:lineRule="auto"/>
        <w:ind w:left="540" w:firstLine="180"/>
        <w:jc w:val="both"/>
        <w:rPr>
          <w:rFonts w:ascii="Arial" w:eastAsia="David" w:hAnsi="Arial" w:cs="FrankRuehl"/>
          <w:sz w:val="28"/>
          <w:szCs w:val="28"/>
        </w:rPr>
      </w:pPr>
      <w:r>
        <w:rPr>
          <w:rFonts w:ascii="Arial" w:eastAsia="David" w:hAnsi="Arial" w:cs="FrankRuehl"/>
          <w:sz w:val="28"/>
          <w:szCs w:val="28"/>
          <w:rtl/>
        </w:rPr>
        <w:t xml:space="preserve">ראו </w:t>
      </w:r>
      <w:r>
        <w:rPr>
          <w:rFonts w:ascii="Arial" w:eastAsia="David" w:hAnsi="Arial" w:cs="FrankRuehl" w:hint="cs"/>
          <w:sz w:val="28"/>
          <w:szCs w:val="28"/>
          <w:rtl/>
        </w:rPr>
        <w:t>ל</w:t>
      </w:r>
      <w:r>
        <w:rPr>
          <w:rFonts w:ascii="Arial" w:eastAsia="David" w:hAnsi="Arial" w:cs="FrankRuehl"/>
          <w:sz w:val="28"/>
          <w:szCs w:val="28"/>
          <w:rtl/>
        </w:rPr>
        <w:t xml:space="preserve">עניין זה, פסק דינו של כב' הש' מלצר: </w:t>
      </w:r>
    </w:p>
    <w:p w14:paraId="6DFB76C6" w14:textId="77777777" w:rsidR="00921932" w:rsidRDefault="003B633E">
      <w:pPr>
        <w:ind w:left="1440" w:right="539"/>
        <w:jc w:val="both"/>
        <w:rPr>
          <w:rFonts w:eastAsia="David" w:cs="FrankRuehl"/>
          <w:spacing w:val="10"/>
          <w:sz w:val="28"/>
          <w:szCs w:val="28"/>
          <w:rtl/>
        </w:rPr>
      </w:pPr>
      <w:r>
        <w:rPr>
          <w:rFonts w:eastAsia="David" w:cs="FrankRuehl"/>
          <w:spacing w:val="10"/>
          <w:sz w:val="28"/>
          <w:szCs w:val="28"/>
          <w:rtl/>
        </w:rPr>
        <w:t>"...אכן, שיקולי שיקום הם שיקולים חשובים שעל בית המשפט להתחשב בהם עובר לגזירת דינו של הנאשם (יוער כי גם לאחר תיקון 113 ל</w:t>
      </w:r>
      <w:hyperlink r:id="rId66" w:history="1">
        <w:r w:rsidRPr="003B633E">
          <w:rPr>
            <w:rFonts w:eastAsia="David" w:cs="FrankRuehl"/>
            <w:color w:val="0000FF"/>
            <w:spacing w:val="10"/>
            <w:sz w:val="28"/>
            <w:szCs w:val="28"/>
            <w:u w:val="single"/>
            <w:rtl/>
          </w:rPr>
          <w:t>חוק העונשין</w:t>
        </w:r>
      </w:hyperlink>
      <w:r>
        <w:rPr>
          <w:rFonts w:eastAsia="David" w:cs="FrankRuehl"/>
          <w:spacing w:val="10"/>
          <w:sz w:val="28"/>
          <w:szCs w:val="28"/>
          <w:rtl/>
        </w:rPr>
        <w:t xml:space="preserve"> ההתחשבות בשיקולים אלה נתונה לשיקול דעתו של בית המשפט, בפרט כך בבוא בית המשפט לגזור את דינו של נאשם המצוי על סף קטינות). לעיתים, במקרים יוצאים מן הכלל, מוצדק אף להעניק את הבכורה לשיקולי שיקומו של הנאשם ולהעדיפם על פני שיקולים אחרים, תוך חריגה לקולא ממתחם הענישה ההולם את העבירה בנסיבותיה. כך הוא בעיקר כאשר בית המשפט משתכנע כי הנאשם השתקם ושינה את דרכיו, או כי קיים סיכוי ממשי לשיקומו...."</w:t>
      </w:r>
      <w:hyperlink r:id="rId67" w:history="1">
        <w:r w:rsidRPr="003B633E">
          <w:rPr>
            <w:rFonts w:eastAsia="David" w:cs="FrankRuehl"/>
            <w:color w:val="0000FF"/>
            <w:spacing w:val="10"/>
            <w:sz w:val="28"/>
            <w:szCs w:val="28"/>
            <w:u w:val="single"/>
            <w:rtl/>
          </w:rPr>
          <w:t>ע"פ 8163/13</w:t>
        </w:r>
      </w:hyperlink>
      <w:r>
        <w:rPr>
          <w:rFonts w:eastAsia="David" w:cs="FrankRuehl"/>
          <w:spacing w:val="10"/>
          <w:sz w:val="28"/>
          <w:szCs w:val="28"/>
          <w:rtl/>
        </w:rPr>
        <w:t xml:space="preserve"> </w:t>
      </w:r>
      <w:r>
        <w:rPr>
          <w:rFonts w:eastAsia="David" w:cs="Miriam"/>
          <w:spacing w:val="10"/>
          <w:rtl/>
        </w:rPr>
        <w:t>פלוני נ' מדינת ישראל</w:t>
      </w:r>
      <w:r>
        <w:rPr>
          <w:rFonts w:eastAsia="David" w:cs="FrankRuehl"/>
          <w:spacing w:val="10"/>
          <w:sz w:val="28"/>
          <w:szCs w:val="28"/>
          <w:rtl/>
        </w:rPr>
        <w:t xml:space="preserve"> (27.3.14), ראו גם </w:t>
      </w:r>
      <w:hyperlink r:id="rId68" w:history="1">
        <w:r w:rsidRPr="003B633E">
          <w:rPr>
            <w:rFonts w:eastAsia="David" w:cs="FrankRuehl"/>
            <w:color w:val="0000FF"/>
            <w:spacing w:val="10"/>
            <w:sz w:val="28"/>
            <w:szCs w:val="28"/>
            <w:u w:val="single"/>
            <w:rtl/>
          </w:rPr>
          <w:t>ע"פ 5832/13</w:t>
        </w:r>
      </w:hyperlink>
      <w:r>
        <w:rPr>
          <w:rFonts w:eastAsia="David" w:cs="FrankRuehl"/>
          <w:spacing w:val="10"/>
          <w:sz w:val="28"/>
          <w:szCs w:val="28"/>
          <w:rtl/>
        </w:rPr>
        <w:t xml:space="preserve"> </w:t>
      </w:r>
      <w:r>
        <w:rPr>
          <w:rFonts w:eastAsia="David" w:cs="Miriam" w:hint="cs"/>
          <w:spacing w:val="10"/>
          <w:rtl/>
        </w:rPr>
        <w:t>ר</w:t>
      </w:r>
      <w:r>
        <w:rPr>
          <w:rFonts w:eastAsia="David" w:cs="Miriam"/>
          <w:spacing w:val="10"/>
          <w:rtl/>
        </w:rPr>
        <w:t>ובין נ' מדינת ישראל</w:t>
      </w:r>
      <w:r>
        <w:rPr>
          <w:rFonts w:eastAsia="David" w:cs="FrankRuehl"/>
          <w:spacing w:val="10"/>
          <w:sz w:val="28"/>
          <w:szCs w:val="28"/>
          <w:rtl/>
        </w:rPr>
        <w:t xml:space="preserve"> (8.4.2014). </w:t>
      </w:r>
    </w:p>
    <w:p w14:paraId="63086F32" w14:textId="77777777" w:rsidR="00921932" w:rsidRDefault="00921932">
      <w:pPr>
        <w:spacing w:line="360" w:lineRule="auto"/>
        <w:jc w:val="both"/>
        <w:rPr>
          <w:rFonts w:ascii="Arial" w:eastAsia="David" w:hAnsi="Arial" w:cs="FrankRuehl"/>
          <w:sz w:val="28"/>
          <w:szCs w:val="28"/>
          <w:rtl/>
        </w:rPr>
      </w:pPr>
    </w:p>
    <w:p w14:paraId="559EAA8D" w14:textId="77777777" w:rsidR="00921932" w:rsidRDefault="00921932">
      <w:pPr>
        <w:spacing w:line="360" w:lineRule="auto"/>
        <w:jc w:val="both"/>
        <w:rPr>
          <w:rFonts w:ascii="Arial" w:eastAsia="David" w:hAnsi="Arial" w:cs="FrankRuehl"/>
          <w:sz w:val="28"/>
          <w:szCs w:val="28"/>
          <w:rtl/>
        </w:rPr>
      </w:pPr>
    </w:p>
    <w:p w14:paraId="4301D7D0" w14:textId="77777777" w:rsidR="00921932" w:rsidRDefault="003B633E">
      <w:pPr>
        <w:spacing w:line="360" w:lineRule="auto"/>
        <w:ind w:left="720"/>
        <w:jc w:val="both"/>
        <w:rPr>
          <w:rFonts w:ascii="Arial" w:eastAsia="David" w:hAnsi="Arial" w:cs="FrankRuehl"/>
          <w:sz w:val="28"/>
          <w:szCs w:val="28"/>
          <w:rtl/>
        </w:rPr>
      </w:pPr>
      <w:r>
        <w:rPr>
          <w:rFonts w:ascii="Arial" w:eastAsia="David" w:hAnsi="Arial" w:cs="FrankRuehl"/>
          <w:sz w:val="28"/>
          <w:szCs w:val="28"/>
          <w:rtl/>
        </w:rPr>
        <w:t xml:space="preserve">לאור המלצת שירות המבחן, גילו הצעיר של הנאשם ונסיבות חייו הקשות, אני סבור כי יש סיכוי של ממש שהנאשם ישתקם, לו יועמד במבחן וישתתף בהליכים הטיפוליים המומלצים על ידי שירות המבחן ולכן אני סבור כי יש לחרוג במקרה זה ממתחם העונש ההולם, והעונש המתאים ייקבע לפי שיקולי השיקום </w:t>
      </w:r>
    </w:p>
    <w:p w14:paraId="38C11251" w14:textId="77777777" w:rsidR="00921932" w:rsidRDefault="00921932">
      <w:pPr>
        <w:tabs>
          <w:tab w:val="left" w:pos="800"/>
        </w:tabs>
        <w:overflowPunct w:val="0"/>
        <w:adjustRightInd w:val="0"/>
        <w:spacing w:line="360" w:lineRule="auto"/>
        <w:jc w:val="both"/>
        <w:rPr>
          <w:rFonts w:ascii="Arial TUR" w:eastAsia="David" w:hAnsi="Arial TUR" w:cs="FrankRuehl"/>
          <w:spacing w:val="10"/>
          <w:sz w:val="22"/>
          <w:szCs w:val="28"/>
          <w:rtl/>
        </w:rPr>
      </w:pPr>
    </w:p>
    <w:p w14:paraId="61E87967" w14:textId="77777777" w:rsidR="00921932" w:rsidRDefault="00921932">
      <w:pPr>
        <w:spacing w:line="360" w:lineRule="auto"/>
        <w:ind w:left="720"/>
        <w:jc w:val="both"/>
        <w:rPr>
          <w:rFonts w:ascii="Arial" w:eastAsia="David" w:hAnsi="Arial" w:cs="FrankRuehl"/>
          <w:sz w:val="28"/>
          <w:szCs w:val="28"/>
          <w:rtl/>
        </w:rPr>
      </w:pPr>
    </w:p>
    <w:p w14:paraId="2E86454D" w14:textId="77777777" w:rsidR="00921932" w:rsidRDefault="003B633E">
      <w:pPr>
        <w:spacing w:line="360" w:lineRule="auto"/>
        <w:ind w:left="720"/>
        <w:jc w:val="both"/>
        <w:rPr>
          <w:rFonts w:ascii="Arial" w:eastAsia="David" w:hAnsi="Arial" w:cs="FrankRuehl"/>
          <w:sz w:val="28"/>
          <w:szCs w:val="28"/>
          <w:rtl/>
        </w:rPr>
      </w:pPr>
      <w:r>
        <w:rPr>
          <w:rFonts w:ascii="Arial" w:eastAsia="David" w:hAnsi="Arial" w:cs="FrankRuehl"/>
          <w:sz w:val="28"/>
          <w:szCs w:val="28"/>
          <w:rtl/>
        </w:rPr>
        <w:t>זה השלב לשוב ולהזכיר את גילו הצעיר של הנאשם, כבן 20 במועד ביצוע העבירות, בעניין זה כונה הנאשם ע"י הסנגור "בגיר צעיר". אמנם מעמד זה טרם הוכרע על ידי בית המשפט העליון ואפנה לדעות השונות של שני שופטי ההרכב ב</w:t>
      </w:r>
      <w:hyperlink r:id="rId69" w:history="1">
        <w:r w:rsidRPr="003B633E">
          <w:rPr>
            <w:rFonts w:ascii="Arial" w:eastAsia="David" w:hAnsi="Arial" w:cs="FrankRuehl"/>
            <w:color w:val="0000FF"/>
            <w:sz w:val="28"/>
            <w:szCs w:val="28"/>
            <w:u w:val="single"/>
            <w:rtl/>
          </w:rPr>
          <w:t>ע"פ 7661/13</w:t>
        </w:r>
      </w:hyperlink>
      <w:r>
        <w:rPr>
          <w:rFonts w:ascii="Arial" w:eastAsia="David" w:hAnsi="Arial" w:cs="FrankRuehl"/>
          <w:sz w:val="28"/>
          <w:szCs w:val="28"/>
          <w:rtl/>
        </w:rPr>
        <w:t xml:space="preserve"> 7722/13 </w:t>
      </w:r>
      <w:r>
        <w:rPr>
          <w:rFonts w:ascii="Arial" w:eastAsia="David" w:hAnsi="Arial" w:cs="Miriam"/>
          <w:rtl/>
        </w:rPr>
        <w:t>אבו-נאסר נגד מדינת ישראל</w:t>
      </w:r>
      <w:r>
        <w:rPr>
          <w:rFonts w:ascii="Arial" w:eastAsia="David" w:hAnsi="Arial" w:cs="FrankRuehl"/>
          <w:sz w:val="28"/>
          <w:szCs w:val="28"/>
          <w:rtl/>
        </w:rPr>
        <w:t xml:space="preserve"> (21.8.2014), אך גם בהתעלם משאלת מעמדו של בגיר צעיר, חשוב לזכור כי כחלק מגזירת הדין לפי תיקון 113, בעת קביעת העונש המתאים יש להתייחס גם ל"פגיעה של העונש בנאשם, לרבות בשל גילו", (</w:t>
      </w:r>
      <w:hyperlink r:id="rId70" w:history="1">
        <w:r w:rsidR="00A25EBC" w:rsidRPr="00A25EBC">
          <w:rPr>
            <w:rFonts w:ascii="Arial" w:eastAsia="David" w:hAnsi="Arial" w:cs="FrankRuehl"/>
            <w:color w:val="0000FF"/>
            <w:sz w:val="28"/>
            <w:szCs w:val="28"/>
            <w:u w:val="single"/>
            <w:rtl/>
          </w:rPr>
          <w:t>סעיף 40יא(1)</w:t>
        </w:r>
      </w:hyperlink>
      <w:r>
        <w:rPr>
          <w:rFonts w:ascii="Arial" w:eastAsia="David" w:hAnsi="Arial" w:cs="FrankRuehl"/>
          <w:sz w:val="28"/>
          <w:szCs w:val="28"/>
          <w:rtl/>
        </w:rPr>
        <w:t xml:space="preserve"> </w:t>
      </w:r>
      <w:r>
        <w:rPr>
          <w:rFonts w:ascii="Arial" w:eastAsia="David" w:hAnsi="Arial" w:cs="FrankRuehl"/>
          <w:szCs w:val="28"/>
          <w:rtl/>
        </w:rPr>
        <w:t>ל</w:t>
      </w:r>
      <w:hyperlink r:id="rId71" w:history="1">
        <w:r w:rsidRPr="003B633E">
          <w:rPr>
            <w:rFonts w:ascii="Arial" w:eastAsia="David" w:hAnsi="Arial" w:cs="FrankRuehl"/>
            <w:color w:val="0000FF"/>
            <w:szCs w:val="28"/>
            <w:u w:val="single"/>
            <w:rtl/>
          </w:rPr>
          <w:t>חוק העונשין</w:t>
        </w:r>
      </w:hyperlink>
      <w:r>
        <w:rPr>
          <w:rFonts w:ascii="Arial" w:eastAsia="David" w:hAnsi="Arial" w:cs="FrankRuehl"/>
          <w:sz w:val="28"/>
          <w:szCs w:val="28"/>
          <w:rtl/>
        </w:rPr>
        <w:t>), גילו הצעיר מחייב התייחסות גם באספקט השיקומי.</w:t>
      </w:r>
    </w:p>
    <w:p w14:paraId="701D6F7D" w14:textId="77777777" w:rsidR="00921932" w:rsidRDefault="00921932">
      <w:pPr>
        <w:spacing w:line="360" w:lineRule="auto"/>
        <w:ind w:left="720"/>
        <w:jc w:val="both"/>
        <w:rPr>
          <w:rFonts w:ascii="Arial" w:eastAsia="David" w:hAnsi="Arial" w:cs="FrankRuehl"/>
          <w:sz w:val="28"/>
          <w:szCs w:val="28"/>
          <w:rtl/>
        </w:rPr>
      </w:pPr>
    </w:p>
    <w:p w14:paraId="344B0A6B" w14:textId="77777777" w:rsidR="00921932" w:rsidRDefault="003B633E">
      <w:pPr>
        <w:spacing w:line="360" w:lineRule="auto"/>
        <w:ind w:left="720"/>
        <w:jc w:val="both"/>
        <w:rPr>
          <w:rFonts w:ascii="Arial" w:eastAsia="David" w:hAnsi="Arial" w:cs="FrankRuehl"/>
          <w:szCs w:val="28"/>
          <w:rtl/>
        </w:rPr>
      </w:pPr>
      <w:r>
        <w:rPr>
          <w:rFonts w:ascii="Arial" w:eastAsia="David" w:hAnsi="Arial" w:cs="FrankRuehl"/>
          <w:szCs w:val="28"/>
          <w:rtl/>
        </w:rPr>
        <w:t>באשר לנסיבות נוספות שאינן קשורות בביצוע העבירה (40יא' ל</w:t>
      </w:r>
      <w:hyperlink r:id="rId72" w:history="1">
        <w:r w:rsidRPr="003B633E">
          <w:rPr>
            <w:rFonts w:ascii="Arial" w:eastAsia="David" w:hAnsi="Arial" w:cs="FrankRuehl"/>
            <w:color w:val="0000FF"/>
            <w:szCs w:val="28"/>
            <w:u w:val="single"/>
            <w:rtl/>
          </w:rPr>
          <w:t>חוק העונשין</w:t>
        </w:r>
      </w:hyperlink>
      <w:r>
        <w:rPr>
          <w:rFonts w:ascii="Arial" w:eastAsia="David" w:hAnsi="Arial" w:cs="FrankRuehl"/>
          <w:szCs w:val="28"/>
          <w:rtl/>
        </w:rPr>
        <w:t xml:space="preserve">), הנאשם נטל אחריות על מעשיו, הודה בהזדמנות הראשונה, שיתף פעולה עם שירות המבחן והביע רצון לקבל טיפול, הנאשם עושה מאמצים על מנת לחזור לדרך המוטב ומתמיד בהליך הטיפולי, עוד יש להתחשב בפגיעה של העונש בנאשם בשל גילו הצעיר ובנסיבות חייו הקשות של הנאשם כפי שפורטו בתסקיר שירות המבחן. </w:t>
      </w:r>
    </w:p>
    <w:p w14:paraId="3DDB7606" w14:textId="77777777" w:rsidR="00921932" w:rsidRDefault="00921932">
      <w:pPr>
        <w:spacing w:line="360" w:lineRule="auto"/>
        <w:ind w:left="720"/>
        <w:jc w:val="both"/>
        <w:rPr>
          <w:rFonts w:ascii="Arial" w:eastAsia="David" w:hAnsi="Arial" w:cs="FrankRuehl"/>
          <w:sz w:val="28"/>
          <w:szCs w:val="28"/>
          <w:rtl/>
        </w:rPr>
      </w:pPr>
    </w:p>
    <w:p w14:paraId="274BA524" w14:textId="77777777" w:rsidR="00921932" w:rsidRDefault="003B633E">
      <w:pPr>
        <w:spacing w:line="360" w:lineRule="auto"/>
        <w:ind w:left="720"/>
        <w:jc w:val="both"/>
        <w:rPr>
          <w:rFonts w:ascii="Arial" w:eastAsia="David" w:hAnsi="Arial" w:cs="FrankRuehl"/>
          <w:sz w:val="28"/>
          <w:szCs w:val="28"/>
          <w:rtl/>
        </w:rPr>
      </w:pPr>
      <w:r>
        <w:rPr>
          <w:rFonts w:ascii="Arial" w:eastAsia="David" w:hAnsi="Arial" w:cs="FrankRuehl"/>
          <w:sz w:val="28"/>
          <w:szCs w:val="28"/>
          <w:rtl/>
        </w:rPr>
        <w:t xml:space="preserve">אשר על כן, לאור האמור בתסקירי שירות המבחן, שאת המלצתם אאמץ במלואה, הענישה תהא שילוב של צו מבחן ביחד עם ביצוע עבודות של"צ בהיקף של 340 שעות.  </w:t>
      </w:r>
    </w:p>
    <w:p w14:paraId="1C0B0B34" w14:textId="77777777" w:rsidR="00921932" w:rsidRDefault="003B633E">
      <w:pPr>
        <w:spacing w:line="360" w:lineRule="auto"/>
        <w:ind w:left="720"/>
        <w:jc w:val="both"/>
        <w:rPr>
          <w:rFonts w:ascii="Arial" w:eastAsia="David" w:hAnsi="Arial" w:cs="FrankRuehl"/>
          <w:sz w:val="28"/>
          <w:szCs w:val="28"/>
          <w:rtl/>
        </w:rPr>
      </w:pPr>
      <w:r>
        <w:rPr>
          <w:rFonts w:ascii="Arial" w:eastAsia="David" w:hAnsi="Arial" w:cs="FrankRuehl"/>
          <w:sz w:val="28"/>
          <w:szCs w:val="28"/>
          <w:rtl/>
        </w:rPr>
        <w:t>לא אטיל על הנאשם קנס (מרכיב שאינו חלק מהמלצת שירות המבחן), על מנת לסייע לנאשם בשיקומו.</w:t>
      </w:r>
    </w:p>
    <w:p w14:paraId="6EB99B69" w14:textId="77777777" w:rsidR="00921932" w:rsidRDefault="00921932">
      <w:pPr>
        <w:spacing w:line="360" w:lineRule="auto"/>
        <w:ind w:left="720"/>
        <w:jc w:val="both"/>
        <w:rPr>
          <w:rFonts w:ascii="Arial" w:eastAsia="David" w:hAnsi="Arial" w:cs="FrankRuehl"/>
          <w:sz w:val="28"/>
          <w:szCs w:val="28"/>
          <w:rtl/>
        </w:rPr>
      </w:pPr>
    </w:p>
    <w:p w14:paraId="618BFCF5" w14:textId="77777777" w:rsidR="00921932" w:rsidRDefault="003B633E">
      <w:pPr>
        <w:spacing w:line="360" w:lineRule="auto"/>
        <w:ind w:left="360" w:firstLine="360"/>
        <w:jc w:val="both"/>
        <w:rPr>
          <w:rFonts w:ascii="Arial" w:eastAsia="David" w:hAnsi="Arial" w:cs="Miriam"/>
          <w:rtl/>
        </w:rPr>
      </w:pPr>
      <w:r>
        <w:rPr>
          <w:rFonts w:ascii="Arial" w:eastAsia="David" w:hAnsi="Arial" w:cs="Miriam"/>
          <w:rtl/>
        </w:rPr>
        <w:t>סיכום</w:t>
      </w:r>
    </w:p>
    <w:p w14:paraId="52743FE9" w14:textId="77777777" w:rsidR="00921932" w:rsidRDefault="003B633E">
      <w:pPr>
        <w:spacing w:line="360" w:lineRule="auto"/>
        <w:ind w:left="360" w:firstLine="360"/>
        <w:jc w:val="both"/>
        <w:rPr>
          <w:rFonts w:ascii="Arial" w:eastAsia="David" w:hAnsi="Arial" w:cs="FrankRuehl"/>
          <w:sz w:val="28"/>
          <w:szCs w:val="28"/>
          <w:rtl/>
        </w:rPr>
      </w:pPr>
      <w:r>
        <w:rPr>
          <w:rFonts w:ascii="Arial" w:eastAsia="David" w:hAnsi="Arial" w:cs="FrankRuehl"/>
          <w:sz w:val="28"/>
          <w:szCs w:val="28"/>
          <w:rtl/>
        </w:rPr>
        <w:t>לאור כל האמור לעיל אני דן את הנאשם לעונשים הבאים:</w:t>
      </w:r>
    </w:p>
    <w:p w14:paraId="50C49F9E" w14:textId="77777777" w:rsidR="00921932" w:rsidRDefault="003B633E">
      <w:pPr>
        <w:numPr>
          <w:ilvl w:val="0"/>
          <w:numId w:val="2"/>
        </w:numPr>
        <w:spacing w:line="360" w:lineRule="auto"/>
        <w:jc w:val="both"/>
        <w:rPr>
          <w:rFonts w:eastAsia="David" w:cs="FrankRuehl"/>
          <w:sz w:val="28"/>
          <w:szCs w:val="28"/>
        </w:rPr>
      </w:pPr>
      <w:r>
        <w:rPr>
          <w:rFonts w:eastAsia="David" w:cs="FrankRuehl"/>
          <w:sz w:val="28"/>
          <w:szCs w:val="28"/>
          <w:rtl/>
        </w:rPr>
        <w:t xml:space="preserve">הנני מעמיד את הנאשם למבחן על פי </w:t>
      </w:r>
      <w:hyperlink r:id="rId73" w:history="1">
        <w:r w:rsidR="00A25EBC" w:rsidRPr="00A25EBC">
          <w:rPr>
            <w:rFonts w:eastAsia="David" w:cs="FrankRuehl"/>
            <w:color w:val="0000FF"/>
            <w:sz w:val="28"/>
            <w:szCs w:val="28"/>
            <w:u w:val="single"/>
            <w:rtl/>
          </w:rPr>
          <w:t>סעיף 1(ב)</w:t>
        </w:r>
      </w:hyperlink>
      <w:r>
        <w:rPr>
          <w:rFonts w:eastAsia="David" w:cs="FrankRuehl"/>
          <w:sz w:val="28"/>
          <w:szCs w:val="28"/>
          <w:rtl/>
        </w:rPr>
        <w:t xml:space="preserve"> </w:t>
      </w:r>
      <w:r>
        <w:rPr>
          <w:rFonts w:eastAsia="David" w:cs="Miriam"/>
          <w:rtl/>
        </w:rPr>
        <w:t>ל</w:t>
      </w:r>
      <w:hyperlink r:id="rId74" w:history="1">
        <w:r w:rsidRPr="003B633E">
          <w:rPr>
            <w:rFonts w:eastAsia="David" w:cs="Miriam"/>
            <w:color w:val="0000FF"/>
            <w:u w:val="single"/>
            <w:rtl/>
          </w:rPr>
          <w:t>פקודת המבחן</w:t>
        </w:r>
      </w:hyperlink>
      <w:r>
        <w:rPr>
          <w:rFonts w:eastAsia="David" w:cs="Miriam"/>
          <w:rtl/>
        </w:rPr>
        <w:t xml:space="preserve"> [נוסח חדש], </w:t>
      </w:r>
      <w:r>
        <w:rPr>
          <w:rFonts w:eastAsia="David" w:cs="Miriam" w:hint="cs"/>
          <w:rtl/>
        </w:rPr>
        <w:t xml:space="preserve">      </w:t>
      </w:r>
      <w:r>
        <w:rPr>
          <w:rFonts w:eastAsia="David" w:cs="Miriam"/>
          <w:rtl/>
        </w:rPr>
        <w:t xml:space="preserve">תשכ"ט-1969 </w:t>
      </w:r>
      <w:r>
        <w:rPr>
          <w:rFonts w:eastAsia="David" w:cs="FrankRuehl"/>
          <w:sz w:val="28"/>
          <w:szCs w:val="28"/>
          <w:rtl/>
        </w:rPr>
        <w:t>למשך 18 חודשים מהיום. בתקופת המבחן יעמוד הנאשם לפיקוחו של שירות המבחן וישתף פעולה לשם מימוש התוכניות והמטרות הטיפוליות שייקבעו לגביו ע"י שירות המבחן.</w:t>
      </w:r>
    </w:p>
    <w:p w14:paraId="222C3F4D" w14:textId="77777777" w:rsidR="00921932" w:rsidRDefault="003B633E">
      <w:pPr>
        <w:spacing w:line="360" w:lineRule="auto"/>
        <w:ind w:left="720"/>
        <w:jc w:val="both"/>
        <w:rPr>
          <w:rFonts w:ascii="Arial" w:eastAsia="David" w:hAnsi="Arial" w:cs="FrankRuehl"/>
          <w:sz w:val="28"/>
          <w:szCs w:val="28"/>
          <w:rtl/>
        </w:rPr>
      </w:pPr>
      <w:r>
        <w:rPr>
          <w:rFonts w:ascii="Arial" w:eastAsia="David" w:hAnsi="Arial" w:cs="FrankRuehl"/>
          <w:sz w:val="28"/>
          <w:szCs w:val="28"/>
          <w:rtl/>
        </w:rPr>
        <w:t xml:space="preserve">לפני מתן צו המבחן הסברתי לנאשם את משמעותו של צו המבחן והזהרתי אותו שאם לא ימלא אחרי הצו מכל בחינה שהיא או יעבור עבירה נוספת יהיה צפוי לעונש, או להרשעה ועונש, על העבירה שבגללה ניתן הצו והוא הביע את נכונותו למלא אחר הוראות הצו. </w:t>
      </w:r>
    </w:p>
    <w:p w14:paraId="16852AB7" w14:textId="77777777" w:rsidR="00921932" w:rsidRDefault="00921932">
      <w:pPr>
        <w:spacing w:line="360" w:lineRule="auto"/>
        <w:jc w:val="both"/>
        <w:rPr>
          <w:rFonts w:ascii="Arial" w:eastAsia="David" w:hAnsi="Arial" w:cs="FrankRuehl"/>
          <w:szCs w:val="28"/>
        </w:rPr>
      </w:pPr>
    </w:p>
    <w:p w14:paraId="0DC47BBC" w14:textId="77777777" w:rsidR="00921932" w:rsidRDefault="003B633E">
      <w:pPr>
        <w:numPr>
          <w:ilvl w:val="0"/>
          <w:numId w:val="2"/>
        </w:numPr>
        <w:spacing w:line="360" w:lineRule="auto"/>
        <w:jc w:val="both"/>
        <w:rPr>
          <w:rFonts w:ascii="Arial" w:eastAsia="David" w:hAnsi="Arial" w:cs="FrankRuehl"/>
          <w:szCs w:val="28"/>
        </w:rPr>
      </w:pPr>
      <w:r>
        <w:rPr>
          <w:rFonts w:ascii="Arial" w:eastAsia="David" w:hAnsi="Arial" w:cs="FrankRuehl"/>
          <w:sz w:val="28"/>
          <w:szCs w:val="28"/>
          <w:rtl/>
        </w:rPr>
        <w:t xml:space="preserve">6 חודשי מאסר על תנאי.  הנאשם לא ישא את עונש המאסר על  תנאי אלא אם יעבור תוך שלוש שנים כל עבירה לפי </w:t>
      </w:r>
      <w:hyperlink r:id="rId75" w:history="1">
        <w:r w:rsidRPr="003B633E">
          <w:rPr>
            <w:rFonts w:eastAsia="David" w:cs="Miriam"/>
            <w:color w:val="0000FF"/>
            <w:u w:val="single"/>
            <w:rtl/>
          </w:rPr>
          <w:t>פקודת הסמים המסוכנים</w:t>
        </w:r>
      </w:hyperlink>
      <w:r>
        <w:rPr>
          <w:rFonts w:eastAsia="David" w:cs="Miriam"/>
          <w:rtl/>
        </w:rPr>
        <w:t xml:space="preserve"> [נוסח חדש], התשל"ג- 1977</w:t>
      </w:r>
      <w:r>
        <w:rPr>
          <w:rFonts w:eastAsia="David" w:cs="Times New Roman"/>
          <w:sz w:val="26"/>
          <w:szCs w:val="26"/>
          <w:rtl/>
        </w:rPr>
        <w:t xml:space="preserve">, ויורשע בשל עבירה כזאת תוך תקופת התנאי או לאחריה.  </w:t>
      </w:r>
    </w:p>
    <w:p w14:paraId="45CB9930" w14:textId="77777777" w:rsidR="00921932" w:rsidRDefault="00921932">
      <w:pPr>
        <w:spacing w:line="360" w:lineRule="auto"/>
        <w:ind w:left="360"/>
        <w:jc w:val="both"/>
        <w:rPr>
          <w:rFonts w:ascii="Arial" w:eastAsia="David" w:hAnsi="Arial" w:cs="FrankRuehl"/>
          <w:sz w:val="28"/>
          <w:szCs w:val="28"/>
        </w:rPr>
      </w:pPr>
    </w:p>
    <w:p w14:paraId="2EC0A1A0" w14:textId="77777777" w:rsidR="00921932" w:rsidRDefault="003B633E">
      <w:pPr>
        <w:numPr>
          <w:ilvl w:val="0"/>
          <w:numId w:val="2"/>
        </w:numPr>
        <w:spacing w:line="360" w:lineRule="auto"/>
        <w:jc w:val="both"/>
        <w:rPr>
          <w:rFonts w:ascii="Arial" w:eastAsia="David" w:hAnsi="Arial" w:cs="FrankRuehl"/>
          <w:sz w:val="28"/>
          <w:szCs w:val="28"/>
        </w:rPr>
      </w:pPr>
      <w:r>
        <w:rPr>
          <w:rFonts w:ascii="Arial" w:eastAsia="David" w:hAnsi="Arial" w:cs="FrankRuehl"/>
          <w:szCs w:val="28"/>
          <w:rtl/>
        </w:rPr>
        <w:t xml:space="preserve">מכוח סמכותי לפי </w:t>
      </w:r>
      <w:hyperlink r:id="rId76" w:history="1">
        <w:r w:rsidR="00A25EBC" w:rsidRPr="00A25EBC">
          <w:rPr>
            <w:rFonts w:ascii="Arial" w:eastAsia="David" w:hAnsi="Arial" w:cs="FrankRuehl"/>
            <w:color w:val="0000FF"/>
            <w:szCs w:val="28"/>
            <w:u w:val="single"/>
            <w:rtl/>
          </w:rPr>
          <w:t>סעיף 56</w:t>
        </w:r>
      </w:hyperlink>
      <w:r>
        <w:rPr>
          <w:rFonts w:ascii="Arial" w:eastAsia="David" w:hAnsi="Arial" w:cs="FrankRuehl"/>
          <w:szCs w:val="28"/>
          <w:rtl/>
        </w:rPr>
        <w:t xml:space="preserve"> ל</w:t>
      </w:r>
      <w:hyperlink r:id="rId77" w:history="1">
        <w:r w:rsidRPr="003B633E">
          <w:rPr>
            <w:rFonts w:ascii="Arial" w:eastAsia="David" w:hAnsi="Arial" w:cs="FrankRuehl"/>
            <w:color w:val="0000FF"/>
            <w:szCs w:val="28"/>
            <w:u w:val="single"/>
            <w:rtl/>
          </w:rPr>
          <w:t>חוק העונשין</w:t>
        </w:r>
      </w:hyperlink>
      <w:r>
        <w:rPr>
          <w:rFonts w:ascii="Arial" w:eastAsia="David" w:hAnsi="Arial" w:cs="FrankRuehl"/>
          <w:szCs w:val="28"/>
          <w:rtl/>
        </w:rPr>
        <w:t xml:space="preserve">, אני מאריך למשך 12 חודשים החל מהיום את המאסר על תנאי של 7 חודשים שתלוי ועומד נגד הנאשם בהתאם לגזר דין מיום 3.7.2013 (ניתן במסגרת </w:t>
      </w:r>
      <w:hyperlink r:id="rId78" w:history="1">
        <w:r w:rsidRPr="003B633E">
          <w:rPr>
            <w:rFonts w:ascii="Arial" w:eastAsia="David" w:hAnsi="Arial" w:cs="FrankRuehl"/>
            <w:color w:val="0000FF"/>
            <w:szCs w:val="28"/>
            <w:u w:val="single"/>
            <w:rtl/>
          </w:rPr>
          <w:t>ת.פ. 33090-06-12</w:t>
        </w:r>
      </w:hyperlink>
      <w:r>
        <w:rPr>
          <w:rFonts w:ascii="Arial" w:eastAsia="David" w:hAnsi="Arial" w:cs="FrankRuehl"/>
          <w:szCs w:val="28"/>
          <w:rtl/>
        </w:rPr>
        <w:t xml:space="preserve"> של בימ"ש לנוער חיפה</w:t>
      </w:r>
      <w:r>
        <w:rPr>
          <w:rFonts w:ascii="Arial" w:eastAsia="David" w:hAnsi="Arial" w:cs="FrankRuehl" w:hint="cs"/>
          <w:szCs w:val="28"/>
          <w:rtl/>
        </w:rPr>
        <w:t>)</w:t>
      </w:r>
      <w:r>
        <w:rPr>
          <w:rFonts w:ascii="Arial" w:eastAsia="David" w:hAnsi="Arial" w:cs="FrankRuehl"/>
          <w:szCs w:val="28"/>
          <w:rtl/>
        </w:rPr>
        <w:t>.</w:t>
      </w:r>
    </w:p>
    <w:p w14:paraId="2F055323" w14:textId="77777777" w:rsidR="00921932" w:rsidRDefault="00921932">
      <w:pPr>
        <w:spacing w:line="360" w:lineRule="auto"/>
        <w:jc w:val="both"/>
        <w:rPr>
          <w:rFonts w:ascii="Arial" w:eastAsia="David" w:hAnsi="Arial" w:cs="FrankRuehl"/>
          <w:szCs w:val="28"/>
          <w:rtl/>
        </w:rPr>
      </w:pPr>
    </w:p>
    <w:p w14:paraId="7A5341A6" w14:textId="77777777" w:rsidR="00921932" w:rsidRDefault="003B633E">
      <w:pPr>
        <w:spacing w:line="360" w:lineRule="auto"/>
        <w:ind w:left="360"/>
        <w:jc w:val="both"/>
        <w:rPr>
          <w:rFonts w:ascii="Arial" w:eastAsia="David" w:hAnsi="Arial" w:cs="FrankRuehl"/>
          <w:sz w:val="28"/>
          <w:szCs w:val="28"/>
        </w:rPr>
      </w:pPr>
      <w:r>
        <w:rPr>
          <w:rFonts w:ascii="Arial" w:eastAsia="David" w:hAnsi="Arial" w:cs="FrankRuehl"/>
          <w:szCs w:val="28"/>
          <w:rtl/>
        </w:rPr>
        <w:t xml:space="preserve"> </w:t>
      </w:r>
    </w:p>
    <w:p w14:paraId="670A78A2" w14:textId="77777777" w:rsidR="00921932" w:rsidRDefault="003B633E">
      <w:pPr>
        <w:numPr>
          <w:ilvl w:val="0"/>
          <w:numId w:val="2"/>
        </w:numPr>
        <w:spacing w:line="360" w:lineRule="auto"/>
        <w:jc w:val="both"/>
        <w:rPr>
          <w:rFonts w:ascii="Arial" w:eastAsia="David" w:hAnsi="Arial" w:cs="FrankRuehl"/>
          <w:sz w:val="28"/>
          <w:szCs w:val="28"/>
        </w:rPr>
      </w:pPr>
      <w:r>
        <w:rPr>
          <w:rFonts w:ascii="Arial" w:eastAsia="David" w:hAnsi="Arial" w:cs="FrankRuehl"/>
          <w:szCs w:val="28"/>
          <w:rtl/>
        </w:rPr>
        <w:t xml:space="preserve">אני מטיל על הנאשם </w:t>
      </w:r>
      <w:r>
        <w:rPr>
          <w:rFonts w:ascii="Arial" w:eastAsia="David" w:hAnsi="Arial" w:cs="FrankRuehl" w:hint="cs"/>
          <w:szCs w:val="28"/>
          <w:rtl/>
        </w:rPr>
        <w:t xml:space="preserve">לעשות שירות לתועלת הציבור </w:t>
      </w:r>
      <w:r>
        <w:rPr>
          <w:rFonts w:ascii="Arial" w:eastAsia="David" w:hAnsi="Arial" w:cs="FrankRuehl"/>
          <w:szCs w:val="28"/>
          <w:rtl/>
        </w:rPr>
        <w:t xml:space="preserve">בהיקף של 340 שעות, אשר יבוצעו במשך שנה. על פי תוכנית שקבע שירות המבחן,  העבודות יבוצעו במסגרת אגודת "צער בעלי חיים" בחיפה או בכל מקום אחר לפי קביעת שירות המבחן.  </w:t>
      </w:r>
    </w:p>
    <w:p w14:paraId="17C2DE75" w14:textId="77777777" w:rsidR="00921932" w:rsidRDefault="00921932">
      <w:pPr>
        <w:spacing w:line="360" w:lineRule="auto"/>
        <w:jc w:val="both"/>
        <w:rPr>
          <w:rFonts w:ascii="Arial" w:eastAsia="David" w:hAnsi="Arial" w:cs="FrankRuehl"/>
          <w:sz w:val="28"/>
          <w:szCs w:val="28"/>
          <w:rtl/>
        </w:rPr>
      </w:pPr>
    </w:p>
    <w:p w14:paraId="29DCEECB" w14:textId="77777777" w:rsidR="00921932" w:rsidRDefault="003B633E">
      <w:pPr>
        <w:numPr>
          <w:ilvl w:val="0"/>
          <w:numId w:val="2"/>
        </w:numPr>
        <w:spacing w:line="360" w:lineRule="auto"/>
        <w:jc w:val="both"/>
        <w:rPr>
          <w:rFonts w:ascii="Arial" w:eastAsia="David" w:hAnsi="Arial" w:cs="FrankRuehl"/>
          <w:sz w:val="28"/>
          <w:szCs w:val="28"/>
        </w:rPr>
      </w:pPr>
      <w:r>
        <w:rPr>
          <w:rFonts w:ascii="Arial" w:eastAsia="David" w:hAnsi="Arial" w:cs="FrankRuehl"/>
          <w:sz w:val="28"/>
          <w:szCs w:val="28"/>
          <w:rtl/>
        </w:rPr>
        <w:t>בשל גילו הצעיר של הנאשם ו</w:t>
      </w:r>
      <w:r>
        <w:rPr>
          <w:rFonts w:ascii="Arial" w:eastAsia="David" w:hAnsi="Arial" w:cs="FrankRuehl" w:hint="cs"/>
          <w:sz w:val="28"/>
          <w:szCs w:val="28"/>
          <w:rtl/>
        </w:rPr>
        <w:t xml:space="preserve">תוכנו של תסקיר </w:t>
      </w:r>
      <w:r>
        <w:rPr>
          <w:rFonts w:ascii="Arial" w:eastAsia="David" w:hAnsi="Arial" w:cs="FrankRuehl"/>
          <w:sz w:val="28"/>
          <w:szCs w:val="28"/>
          <w:rtl/>
        </w:rPr>
        <w:t xml:space="preserve">שירות המבחן לא מצאתי לנכון להטיל עליו קנס. </w:t>
      </w:r>
    </w:p>
    <w:p w14:paraId="1BC1B5BE" w14:textId="77777777" w:rsidR="00921932" w:rsidRDefault="00921932">
      <w:pPr>
        <w:spacing w:line="360" w:lineRule="auto"/>
        <w:ind w:left="360"/>
        <w:jc w:val="both"/>
        <w:rPr>
          <w:rFonts w:ascii="Arial" w:eastAsia="David" w:hAnsi="Arial" w:cs="FrankRuehl"/>
          <w:sz w:val="28"/>
          <w:szCs w:val="28"/>
        </w:rPr>
      </w:pPr>
    </w:p>
    <w:p w14:paraId="71660540" w14:textId="77777777" w:rsidR="00921932" w:rsidRDefault="003B633E">
      <w:pPr>
        <w:spacing w:line="360" w:lineRule="auto"/>
        <w:ind w:left="360" w:firstLine="360"/>
        <w:jc w:val="both"/>
        <w:rPr>
          <w:rFonts w:ascii="Arial" w:eastAsia="David" w:hAnsi="Arial" w:cs="FrankRuehl"/>
          <w:sz w:val="28"/>
          <w:szCs w:val="28"/>
          <w:rtl/>
        </w:rPr>
      </w:pPr>
      <w:r>
        <w:rPr>
          <w:rFonts w:ascii="Arial" w:eastAsia="David" w:hAnsi="Arial" w:cs="FrankRuehl"/>
          <w:sz w:val="28"/>
          <w:szCs w:val="28"/>
          <w:rtl/>
        </w:rPr>
        <w:t>המזכירות תשלח העתק מגזר הדין לשירות המבחן.</w:t>
      </w:r>
    </w:p>
    <w:p w14:paraId="71E4502C" w14:textId="77777777" w:rsidR="00921932" w:rsidRDefault="003B633E">
      <w:pPr>
        <w:spacing w:line="360" w:lineRule="auto"/>
        <w:ind w:firstLine="720"/>
        <w:jc w:val="both"/>
        <w:rPr>
          <w:rFonts w:ascii="Arial" w:eastAsia="David" w:hAnsi="Arial" w:cs="FrankRuehl"/>
          <w:sz w:val="28"/>
          <w:szCs w:val="28"/>
          <w:u w:val="single"/>
          <w:rtl/>
        </w:rPr>
      </w:pPr>
      <w:r>
        <w:rPr>
          <w:rFonts w:ascii="Arial" w:eastAsia="David" w:hAnsi="Arial" w:cs="FrankRuehl"/>
          <w:sz w:val="28"/>
          <w:szCs w:val="28"/>
          <w:u w:val="single"/>
          <w:rtl/>
        </w:rPr>
        <w:t>זכות ערעור לבית המשפט העליון תוך 45 יום.</w:t>
      </w:r>
    </w:p>
    <w:p w14:paraId="5EE4A5CA" w14:textId="77777777" w:rsidR="00921932" w:rsidRDefault="00921932">
      <w:pPr>
        <w:spacing w:line="360" w:lineRule="auto"/>
        <w:jc w:val="both"/>
        <w:rPr>
          <w:rFonts w:ascii="Arial" w:eastAsia="David" w:hAnsi="Arial" w:cs="FrankRuehl"/>
          <w:szCs w:val="28"/>
        </w:rPr>
      </w:pPr>
    </w:p>
    <w:p w14:paraId="04B90F54" w14:textId="77777777" w:rsidR="00921932" w:rsidRDefault="003B633E">
      <w:pPr>
        <w:spacing w:line="360" w:lineRule="auto"/>
        <w:jc w:val="both"/>
        <w:rPr>
          <w:rFonts w:ascii="Arial" w:hAnsi="Arial"/>
        </w:rPr>
      </w:pPr>
      <w:r w:rsidRPr="003B633E">
        <w:rPr>
          <w:rFonts w:ascii="Arial" w:hAnsi="Arial"/>
          <w:color w:val="FFFFFF"/>
          <w:sz w:val="2"/>
          <w:szCs w:val="2"/>
          <w:rtl/>
        </w:rPr>
        <w:t>5129371</w:t>
      </w:r>
      <w:r>
        <w:rPr>
          <w:rFonts w:ascii="Arial" w:hAnsi="Arial"/>
          <w:rtl/>
        </w:rPr>
        <w:t xml:space="preserve">ניתן היום,  כ"ח אייר תשע"ה, 17 מאי 2015, בנוכחות, ב"כ המאשימה עו"ד אור זך, הסנגור עו"ד </w:t>
      </w:r>
      <w:r>
        <w:rPr>
          <w:rFonts w:ascii="Arial" w:hAnsi="Arial" w:hint="cs"/>
          <w:rtl/>
        </w:rPr>
        <w:t>סלבה רוזנפלד ממשרדו של עו"ד בוריס שרמן והנאשם בעצמו.</w:t>
      </w:r>
    </w:p>
    <w:p w14:paraId="4A8DADEE" w14:textId="77777777" w:rsidR="00921932" w:rsidRPr="003B633E" w:rsidRDefault="003B633E">
      <w:pPr>
        <w:rPr>
          <w:rFonts w:cs="FrankRuehl"/>
          <w:color w:val="FFFFFF"/>
          <w:sz w:val="2"/>
          <w:szCs w:val="2"/>
          <w:rtl/>
        </w:rPr>
      </w:pPr>
      <w:r w:rsidRPr="003B633E">
        <w:rPr>
          <w:rFonts w:cs="FrankRuehl"/>
          <w:color w:val="FFFFFF"/>
          <w:sz w:val="2"/>
          <w:szCs w:val="2"/>
          <w:rtl/>
        </w:rPr>
        <w:t>54678313</w:t>
      </w:r>
    </w:p>
    <w:p w14:paraId="385667F1" w14:textId="77777777" w:rsidR="00921932" w:rsidRDefault="003B633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5DE5247" w14:textId="77777777" w:rsidR="00921932" w:rsidRDefault="00921932">
      <w:pPr>
        <w:jc w:val="center"/>
        <w:rPr>
          <w:rFonts w:ascii="Arial" w:hAnsi="Arial" w:cs="FrankRuehl"/>
          <w:sz w:val="28"/>
          <w:szCs w:val="28"/>
          <w:rtl/>
        </w:rPr>
      </w:pPr>
    </w:p>
    <w:p w14:paraId="1D0763CF" w14:textId="77777777" w:rsidR="00921932" w:rsidRDefault="00921932">
      <w:pPr>
        <w:rPr>
          <w:rFonts w:cs="FrankRuehl"/>
          <w:sz w:val="28"/>
          <w:szCs w:val="28"/>
          <w:rtl/>
        </w:rPr>
      </w:pPr>
    </w:p>
    <w:p w14:paraId="3F8CB2E6" w14:textId="77777777" w:rsidR="00921932" w:rsidRDefault="00921932">
      <w:pPr>
        <w:pStyle w:val="a3"/>
        <w:jc w:val="center"/>
        <w:rPr>
          <w:rtl/>
        </w:rPr>
      </w:pPr>
    </w:p>
    <w:p w14:paraId="13B7EBF6" w14:textId="77777777" w:rsidR="003B633E" w:rsidRPr="003B633E" w:rsidRDefault="003B633E" w:rsidP="003B633E">
      <w:pPr>
        <w:keepNext/>
        <w:rPr>
          <w:rFonts w:ascii="David" w:hAnsi="David"/>
          <w:color w:val="000000"/>
          <w:sz w:val="22"/>
          <w:szCs w:val="22"/>
          <w:rtl/>
        </w:rPr>
      </w:pPr>
    </w:p>
    <w:p w14:paraId="11E3FE02" w14:textId="77777777" w:rsidR="003B633E" w:rsidRPr="003B633E" w:rsidRDefault="003B633E" w:rsidP="003B633E">
      <w:pPr>
        <w:keepNext/>
        <w:rPr>
          <w:rFonts w:ascii="David" w:hAnsi="David"/>
          <w:color w:val="000000"/>
          <w:sz w:val="22"/>
          <w:szCs w:val="22"/>
          <w:rtl/>
        </w:rPr>
      </w:pPr>
      <w:r w:rsidRPr="003B633E">
        <w:rPr>
          <w:rFonts w:ascii="David" w:hAnsi="David"/>
          <w:color w:val="000000"/>
          <w:sz w:val="22"/>
          <w:szCs w:val="22"/>
          <w:rtl/>
        </w:rPr>
        <w:t>אברהם אליקים 54678313</w:t>
      </w:r>
    </w:p>
    <w:p w14:paraId="72944AB2" w14:textId="77777777" w:rsidR="003B633E" w:rsidRDefault="003B633E" w:rsidP="003B633E">
      <w:r w:rsidRPr="003B633E">
        <w:rPr>
          <w:color w:val="000000"/>
          <w:rtl/>
        </w:rPr>
        <w:t>נוסח מסמך זה כפוף לשינויי ניסוח ועריכה</w:t>
      </w:r>
    </w:p>
    <w:p w14:paraId="3E0282CE" w14:textId="77777777" w:rsidR="003B633E" w:rsidRDefault="003B633E" w:rsidP="003B633E">
      <w:pPr>
        <w:rPr>
          <w:rtl/>
        </w:rPr>
      </w:pPr>
    </w:p>
    <w:p w14:paraId="0160E14C" w14:textId="77777777" w:rsidR="003B633E" w:rsidRDefault="003B633E" w:rsidP="003B633E">
      <w:pPr>
        <w:jc w:val="center"/>
        <w:rPr>
          <w:color w:val="0000FF"/>
          <w:u w:val="single"/>
        </w:rPr>
      </w:pPr>
      <w:hyperlink r:id="rId79" w:history="1">
        <w:r>
          <w:rPr>
            <w:color w:val="0000FF"/>
            <w:u w:val="single"/>
            <w:rtl/>
          </w:rPr>
          <w:t>בעניין עריכה ושינויים במסמכי פסיקה, חקיקה ועוד באתר נבו – הקש כאן</w:t>
        </w:r>
      </w:hyperlink>
    </w:p>
    <w:p w14:paraId="7CAFC685" w14:textId="77777777" w:rsidR="00921932" w:rsidRPr="003B633E" w:rsidRDefault="002A6B05" w:rsidP="003B633E">
      <w:pPr>
        <w:jc w:val="center"/>
        <w:rPr>
          <w:color w:val="0000FF"/>
          <w:u w:val="single"/>
        </w:rPr>
      </w:pPr>
      <w:r>
        <w:rPr>
          <w:rFonts w:hint="cs"/>
          <w:color w:val="0000FF"/>
          <w:u w:val="single"/>
          <w:rtl/>
        </w:rPr>
        <w:t xml:space="preserve">  </w:t>
      </w:r>
      <w:r w:rsidR="00684E5C">
        <w:rPr>
          <w:rFonts w:hint="cs"/>
          <w:color w:val="0000FF"/>
          <w:u w:val="single"/>
          <w:rtl/>
        </w:rPr>
        <w:t xml:space="preserve">  </w:t>
      </w:r>
    </w:p>
    <w:sectPr w:rsidR="00921932" w:rsidRPr="003B633E" w:rsidSect="003B633E">
      <w:headerReference w:type="even" r:id="rId80"/>
      <w:headerReference w:type="default" r:id="rId81"/>
      <w:footerReference w:type="even" r:id="rId82"/>
      <w:footerReference w:type="default" r:id="rId8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178D5" w14:textId="77777777" w:rsidR="00371FF3" w:rsidRDefault="00371FF3">
      <w:r>
        <w:separator/>
      </w:r>
    </w:p>
  </w:endnote>
  <w:endnote w:type="continuationSeparator" w:id="0">
    <w:p w14:paraId="2D7FD7C7" w14:textId="77777777" w:rsidR="00371FF3" w:rsidRDefault="00371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uhaus 93">
    <w:panose1 w:val="04030905020B02020C02"/>
    <w:charset w:val="00"/>
    <w:family w:val="decorativ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A13BA" w14:textId="77777777" w:rsidR="000F677D" w:rsidRDefault="000F677D" w:rsidP="003B633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A737DF1" w14:textId="77777777" w:rsidR="000F677D" w:rsidRPr="003B633E" w:rsidRDefault="000F677D" w:rsidP="003B633E">
    <w:pPr>
      <w:pStyle w:val="a4"/>
      <w:pBdr>
        <w:top w:val="single" w:sz="4" w:space="1" w:color="auto"/>
        <w:between w:val="single" w:sz="4" w:space="0" w:color="auto"/>
      </w:pBdr>
      <w:spacing w:after="60"/>
      <w:jc w:val="center"/>
      <w:rPr>
        <w:rFonts w:ascii="FrankRuehl" w:hAnsi="FrankRuehl" w:cs="FrankRuehl"/>
        <w:color w:val="000000"/>
      </w:rPr>
    </w:pPr>
    <w:r w:rsidRPr="003B63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BBE9C" w14:textId="77777777" w:rsidR="000F677D" w:rsidRDefault="000F677D" w:rsidP="003B633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02F1">
      <w:rPr>
        <w:rFonts w:ascii="FrankRuehl" w:hAnsi="FrankRuehl" w:cs="FrankRuehl"/>
        <w:noProof/>
        <w:rtl/>
      </w:rPr>
      <w:t>1</w:t>
    </w:r>
    <w:r>
      <w:rPr>
        <w:rFonts w:ascii="FrankRuehl" w:hAnsi="FrankRuehl" w:cs="FrankRuehl"/>
        <w:rtl/>
      </w:rPr>
      <w:fldChar w:fldCharType="end"/>
    </w:r>
  </w:p>
  <w:p w14:paraId="752C4873" w14:textId="77777777" w:rsidR="000F677D" w:rsidRPr="003B633E" w:rsidRDefault="000F677D" w:rsidP="003B633E">
    <w:pPr>
      <w:pStyle w:val="a4"/>
      <w:pBdr>
        <w:top w:val="single" w:sz="4" w:space="1" w:color="auto"/>
        <w:between w:val="single" w:sz="4" w:space="0" w:color="auto"/>
      </w:pBdr>
      <w:spacing w:after="60"/>
      <w:jc w:val="center"/>
      <w:rPr>
        <w:rFonts w:ascii="FrankRuehl" w:hAnsi="FrankRuehl" w:cs="FrankRuehl"/>
        <w:color w:val="000000"/>
      </w:rPr>
    </w:pPr>
    <w:r w:rsidRPr="003B633E">
      <w:rPr>
        <w:rFonts w:ascii="FrankRuehl" w:hAnsi="FrankRuehl" w:cs="FrankRuehl"/>
        <w:color w:val="000000"/>
      </w:rPr>
      <w:pict w14:anchorId="60030B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77D8D" w14:textId="77777777" w:rsidR="00371FF3" w:rsidRDefault="00371FF3">
      <w:r>
        <w:separator/>
      </w:r>
    </w:p>
  </w:footnote>
  <w:footnote w:type="continuationSeparator" w:id="0">
    <w:p w14:paraId="5CE205CB" w14:textId="77777777" w:rsidR="00371FF3" w:rsidRDefault="00371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9753A" w14:textId="77777777" w:rsidR="000F677D" w:rsidRPr="003B633E" w:rsidRDefault="000F677D" w:rsidP="003B633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46090-03-14</w:t>
    </w:r>
    <w:r>
      <w:rPr>
        <w:rFonts w:ascii="David" w:hAnsi="David"/>
        <w:color w:val="000000"/>
        <w:sz w:val="22"/>
        <w:szCs w:val="22"/>
        <w:rtl/>
      </w:rPr>
      <w:tab/>
      <w:t xml:space="preserve"> מדינת ישראל נ' איגור ריאבצ'נקו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8ACC6" w14:textId="77777777" w:rsidR="000F677D" w:rsidRPr="003B633E" w:rsidRDefault="000F677D" w:rsidP="003B633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46090-03-14</w:t>
    </w:r>
    <w:r>
      <w:rPr>
        <w:rFonts w:ascii="David" w:hAnsi="David"/>
        <w:color w:val="000000"/>
        <w:sz w:val="22"/>
        <w:szCs w:val="22"/>
        <w:rtl/>
      </w:rPr>
      <w:tab/>
      <w:t xml:space="preserve"> מדינת ישראל נ' איגור ריאבצ'נקו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25876"/>
    <w:multiLevelType w:val="hybridMultilevel"/>
    <w:tmpl w:val="2DC65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B35DE6"/>
    <w:multiLevelType w:val="hybridMultilevel"/>
    <w:tmpl w:val="261A1254"/>
    <w:lvl w:ilvl="0" w:tplc="84B6A714">
      <w:start w:val="22"/>
      <w:numFmt w:val="bullet"/>
      <w:lvlText w:val="-"/>
      <w:lvlJc w:val="left"/>
      <w:pPr>
        <w:tabs>
          <w:tab w:val="num" w:pos="720"/>
        </w:tabs>
        <w:ind w:left="720" w:hanging="360"/>
      </w:pPr>
      <w:rPr>
        <w:rFonts w:ascii="Bauhaus 93" w:eastAsia="Times New Roman" w:hAnsi="Bauhaus 93"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A508DE"/>
    <w:multiLevelType w:val="hybridMultilevel"/>
    <w:tmpl w:val="1772D61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452943784">
    <w:abstractNumId w:val="2"/>
  </w:num>
  <w:num w:numId="2" w16cid:durableId="53164602">
    <w:abstractNumId w:val="0"/>
  </w:num>
  <w:num w:numId="3" w16cid:durableId="1905525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1932"/>
    <w:rsid w:val="000F677D"/>
    <w:rsid w:val="001F1653"/>
    <w:rsid w:val="002228CE"/>
    <w:rsid w:val="00233407"/>
    <w:rsid w:val="002A6B05"/>
    <w:rsid w:val="00371FF3"/>
    <w:rsid w:val="003B633E"/>
    <w:rsid w:val="003F02F1"/>
    <w:rsid w:val="0050299F"/>
    <w:rsid w:val="00684E5C"/>
    <w:rsid w:val="00921932"/>
    <w:rsid w:val="00A25EBC"/>
    <w:rsid w:val="00A449F9"/>
    <w:rsid w:val="00BA5AC6"/>
    <w:rsid w:val="00EF4669"/>
    <w:rsid w:val="00F042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15965D"/>
  <w15:chartTrackingRefBased/>
  <w15:docId w15:val="{B066884F-0F26-43E2-92A8-0C5D326C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193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21932"/>
    <w:pPr>
      <w:tabs>
        <w:tab w:val="center" w:pos="4153"/>
        <w:tab w:val="right" w:pos="8306"/>
      </w:tabs>
    </w:pPr>
  </w:style>
  <w:style w:type="paragraph" w:styleId="a4">
    <w:name w:val="footer"/>
    <w:basedOn w:val="a"/>
    <w:rsid w:val="00921932"/>
    <w:pPr>
      <w:tabs>
        <w:tab w:val="center" w:pos="4153"/>
        <w:tab w:val="right" w:pos="8306"/>
      </w:tabs>
    </w:pPr>
  </w:style>
  <w:style w:type="character" w:styleId="a5">
    <w:name w:val="page number"/>
    <w:basedOn w:val="a0"/>
    <w:rsid w:val="00921932"/>
  </w:style>
  <w:style w:type="character" w:customStyle="1" w:styleId="TimesNewRomanTimesNewRoman">
    <w:name w:val="סגנון (לטיני) Times New Roman (עברית ושפות אחרות) Times New Roman..."/>
    <w:rsid w:val="00921932"/>
    <w:rPr>
      <w:rFonts w:ascii="Times New Roman" w:hAnsi="Times New Roman" w:cs="David" w:hint="default"/>
      <w:b/>
      <w:bCs/>
      <w:sz w:val="26"/>
      <w:szCs w:val="26"/>
    </w:rPr>
  </w:style>
  <w:style w:type="character" w:styleId="Hyperlink">
    <w:name w:val="Hyperlink"/>
    <w:rsid w:val="003B63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1553/1.b" TargetMode="External"/><Relationship Id="rId42" Type="http://schemas.openxmlformats.org/officeDocument/2006/relationships/hyperlink" Target="http://www.nevo.co.il/law/70301/40b" TargetMode="External"/><Relationship Id="rId47" Type="http://schemas.openxmlformats.org/officeDocument/2006/relationships/hyperlink" Target="http://www.nevo.co.il/law/71553/1.b" TargetMode="External"/><Relationship Id="rId63" Type="http://schemas.openxmlformats.org/officeDocument/2006/relationships/hyperlink" Target="http://www.nevo.co.il/case/3331583" TargetMode="External"/><Relationship Id="rId68" Type="http://schemas.openxmlformats.org/officeDocument/2006/relationships/hyperlink" Target="http://www.nevo.co.il/case/7980226" TargetMode="External"/><Relationship Id="rId84" Type="http://schemas.openxmlformats.org/officeDocument/2006/relationships/fontTable" Target="fontTable.xml"/><Relationship Id="rId16" Type="http://schemas.openxmlformats.org/officeDocument/2006/relationships/hyperlink" Target="http://www.nevo.co.il/law/70301/40b" TargetMode="External"/><Relationship Id="rId11" Type="http://schemas.openxmlformats.org/officeDocument/2006/relationships/hyperlink" Target="http://www.nevo.co.il/law/4216/19a" TargetMode="External"/><Relationship Id="rId32" Type="http://schemas.openxmlformats.org/officeDocument/2006/relationships/hyperlink" Target="http://www.nevo.co.il/case/4277522" TargetMode="External"/><Relationship Id="rId37" Type="http://schemas.openxmlformats.org/officeDocument/2006/relationships/hyperlink" Target="http://www.nevo.co.il/law/4216/19a" TargetMode="External"/><Relationship Id="rId53" Type="http://schemas.openxmlformats.org/officeDocument/2006/relationships/hyperlink" Target="http://www.nevo.co.il/case/16900334" TargetMode="External"/><Relationship Id="rId58" Type="http://schemas.openxmlformats.org/officeDocument/2006/relationships/hyperlink" Target="http://www.nevo.co.il/case/5727295" TargetMode="External"/><Relationship Id="rId74" Type="http://schemas.openxmlformats.org/officeDocument/2006/relationships/hyperlink" Target="http://www.nevo.co.il/law/71553"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www.nevo.co.il/law/70301/40ja.1"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4216/7.c" TargetMode="External"/><Relationship Id="rId43" Type="http://schemas.openxmlformats.org/officeDocument/2006/relationships/hyperlink" Target="http://www.nevo.co.il/law/70301/40i" TargetMode="External"/><Relationship Id="rId48" Type="http://schemas.openxmlformats.org/officeDocument/2006/relationships/hyperlink" Target="http://www.nevo.co.il/case/13075030" TargetMode="External"/><Relationship Id="rId56" Type="http://schemas.openxmlformats.org/officeDocument/2006/relationships/hyperlink" Target="http://www.nevo.co.il/case/20251483" TargetMode="External"/><Relationship Id="rId64" Type="http://schemas.openxmlformats.org/officeDocument/2006/relationships/hyperlink" Target="http://www.nevo.co.il/case/4277522" TargetMode="External"/><Relationship Id="rId69" Type="http://schemas.openxmlformats.org/officeDocument/2006/relationships/hyperlink" Target="http://www.nevo.co.il/case/10459124" TargetMode="External"/><Relationship Id="rId77" Type="http://schemas.openxmlformats.org/officeDocument/2006/relationships/hyperlink" Target="http://www.nevo.co.il/law/70301"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40b" TargetMode="External"/><Relationship Id="rId72" Type="http://schemas.openxmlformats.org/officeDocument/2006/relationships/hyperlink" Target="http://www.nevo.co.il/law/70301"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31"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1553" TargetMode="External"/><Relationship Id="rId59" Type="http://schemas.openxmlformats.org/officeDocument/2006/relationships/hyperlink" Target="http://www.nevo.co.il/case/6149190" TargetMode="External"/><Relationship Id="rId67" Type="http://schemas.openxmlformats.org/officeDocument/2006/relationships/hyperlink" Target="http://www.nevo.co.il/case/10490459" TargetMode="External"/><Relationship Id="rId20" Type="http://schemas.openxmlformats.org/officeDocument/2006/relationships/hyperlink" Target="http://www.nevo.co.il/law/71553" TargetMode="External"/><Relationship Id="rId41" Type="http://schemas.openxmlformats.org/officeDocument/2006/relationships/hyperlink" Target="http://www.nevo.co.il/law/70301/31" TargetMode="External"/><Relationship Id="rId54" Type="http://schemas.openxmlformats.org/officeDocument/2006/relationships/hyperlink" Target="http://www.nevo.co.il/case/5821045" TargetMode="External"/><Relationship Id="rId62" Type="http://schemas.openxmlformats.org/officeDocument/2006/relationships/hyperlink" Target="http://www.nevo.co.il/case/13075030" TargetMode="External"/><Relationship Id="rId70" Type="http://schemas.openxmlformats.org/officeDocument/2006/relationships/hyperlink" Target="http://www.nevo.co.il/law/70301/40ja.1" TargetMode="External"/><Relationship Id="rId75" Type="http://schemas.openxmlformats.org/officeDocument/2006/relationships/hyperlink" Target="http://www.nevo.co.il/law/4216"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1"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4216/13" TargetMode="External"/><Relationship Id="rId49" Type="http://schemas.openxmlformats.org/officeDocument/2006/relationships/hyperlink" Target="http://www.nevo.co.il/case/13075030" TargetMode="External"/><Relationship Id="rId57" Type="http://schemas.openxmlformats.org/officeDocument/2006/relationships/hyperlink" Target="http://www.nevo.co.il/case/13022249"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3331583" TargetMode="External"/><Relationship Id="rId44" Type="http://schemas.openxmlformats.org/officeDocument/2006/relationships/hyperlink" Target="http://www.nevo.co.il/law/70301/56" TargetMode="External"/><Relationship Id="rId52" Type="http://schemas.openxmlformats.org/officeDocument/2006/relationships/hyperlink" Target="http://www.nevo.co.il/case/11269774" TargetMode="External"/><Relationship Id="rId60" Type="http://schemas.openxmlformats.org/officeDocument/2006/relationships/hyperlink" Target="http://www.nevo.co.il/case/6120591" TargetMode="External"/><Relationship Id="rId65" Type="http://schemas.openxmlformats.org/officeDocument/2006/relationships/hyperlink" Target="http://www.nevo.co.il/case/13075030" TargetMode="External"/><Relationship Id="rId73" Type="http://schemas.openxmlformats.org/officeDocument/2006/relationships/hyperlink" Target="http://www.nevo.co.il/law/71553/1.b" TargetMode="External"/><Relationship Id="rId78" Type="http://schemas.openxmlformats.org/officeDocument/2006/relationships/hyperlink" Target="http://www.nevo.co.il/case/3331583"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25" TargetMode="External"/><Relationship Id="rId18" Type="http://schemas.openxmlformats.org/officeDocument/2006/relationships/hyperlink" Target="http://www.nevo.co.il/law/70301/56" TargetMode="External"/><Relationship Id="rId39" Type="http://schemas.openxmlformats.org/officeDocument/2006/relationships/hyperlink" Target="http://www.nevo.co.il/law/70301/25" TargetMode="External"/><Relationship Id="rId34" Type="http://schemas.openxmlformats.org/officeDocument/2006/relationships/hyperlink" Target="http://www.nevo.co.il/law/4216/7.a"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0251483" TargetMode="External"/><Relationship Id="rId76" Type="http://schemas.openxmlformats.org/officeDocument/2006/relationships/hyperlink" Target="http://www.nevo.co.il/law/70301/56" TargetMode="Externa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29" TargetMode="External"/><Relationship Id="rId24" Type="http://schemas.openxmlformats.org/officeDocument/2006/relationships/hyperlink" Target="http://www.nevo.co.il/law/4216"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40ja.1" TargetMode="External"/><Relationship Id="rId66" Type="http://schemas.openxmlformats.org/officeDocument/2006/relationships/hyperlink" Target="http://www.nevo.co.il/law/70301" TargetMode="External"/><Relationship Id="rId61" Type="http://schemas.openxmlformats.org/officeDocument/2006/relationships/hyperlink" Target="http://www.nevo.co.il/law/70301/40i"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4034</Words>
  <Characters>20174</Characters>
  <Application>Microsoft Office Word</Application>
  <DocSecurity>0</DocSecurity>
  <Lines>168</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24160</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3539070</vt:i4>
      </vt:variant>
      <vt:variant>
        <vt:i4>213</vt:i4>
      </vt:variant>
      <vt:variant>
        <vt:i4>0</vt:i4>
      </vt:variant>
      <vt:variant>
        <vt:i4>5</vt:i4>
      </vt:variant>
      <vt:variant>
        <vt:lpwstr>http://www.nevo.co.il/case/3331583</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6488160</vt:i4>
      </vt:variant>
      <vt:variant>
        <vt:i4>207</vt:i4>
      </vt:variant>
      <vt:variant>
        <vt:i4>0</vt:i4>
      </vt:variant>
      <vt:variant>
        <vt:i4>5</vt:i4>
      </vt:variant>
      <vt:variant>
        <vt:lpwstr>http://www.nevo.co.il/law/70301/56</vt:lpwstr>
      </vt:variant>
      <vt:variant>
        <vt:lpwstr/>
      </vt:variant>
      <vt:variant>
        <vt:i4>8257637</vt:i4>
      </vt:variant>
      <vt:variant>
        <vt:i4>204</vt:i4>
      </vt:variant>
      <vt:variant>
        <vt:i4>0</vt:i4>
      </vt:variant>
      <vt:variant>
        <vt:i4>5</vt:i4>
      </vt:variant>
      <vt:variant>
        <vt:lpwstr>http://www.nevo.co.il/law/4216</vt:lpwstr>
      </vt:variant>
      <vt:variant>
        <vt:lpwstr/>
      </vt:variant>
      <vt:variant>
        <vt:i4>8257634</vt:i4>
      </vt:variant>
      <vt:variant>
        <vt:i4>201</vt:i4>
      </vt:variant>
      <vt:variant>
        <vt:i4>0</vt:i4>
      </vt:variant>
      <vt:variant>
        <vt:i4>5</vt:i4>
      </vt:variant>
      <vt:variant>
        <vt:lpwstr>http://www.nevo.co.il/law/71553</vt:lpwstr>
      </vt:variant>
      <vt:variant>
        <vt:lpwstr/>
      </vt:variant>
      <vt:variant>
        <vt:i4>8323168</vt:i4>
      </vt:variant>
      <vt:variant>
        <vt:i4>198</vt:i4>
      </vt:variant>
      <vt:variant>
        <vt:i4>0</vt:i4>
      </vt:variant>
      <vt:variant>
        <vt:i4>5</vt:i4>
      </vt:variant>
      <vt:variant>
        <vt:lpwstr>http://www.nevo.co.il/law/71553/1.b</vt:lpwstr>
      </vt:variant>
      <vt:variant>
        <vt:lpwstr/>
      </vt:variant>
      <vt:variant>
        <vt:i4>7995492</vt:i4>
      </vt:variant>
      <vt:variant>
        <vt:i4>195</vt:i4>
      </vt:variant>
      <vt:variant>
        <vt:i4>0</vt:i4>
      </vt:variant>
      <vt:variant>
        <vt:i4>5</vt:i4>
      </vt:variant>
      <vt:variant>
        <vt:lpwstr>http://www.nevo.co.il/law/70301</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3473445</vt:i4>
      </vt:variant>
      <vt:variant>
        <vt:i4>189</vt:i4>
      </vt:variant>
      <vt:variant>
        <vt:i4>0</vt:i4>
      </vt:variant>
      <vt:variant>
        <vt:i4>5</vt:i4>
      </vt:variant>
      <vt:variant>
        <vt:lpwstr>http://www.nevo.co.il/law/70301/40ja.1</vt:lpwstr>
      </vt:variant>
      <vt:variant>
        <vt:lpwstr/>
      </vt:variant>
      <vt:variant>
        <vt:i4>4063344</vt:i4>
      </vt:variant>
      <vt:variant>
        <vt:i4>186</vt:i4>
      </vt:variant>
      <vt:variant>
        <vt:i4>0</vt:i4>
      </vt:variant>
      <vt:variant>
        <vt:i4>5</vt:i4>
      </vt:variant>
      <vt:variant>
        <vt:lpwstr>http://www.nevo.co.il/case/10459124</vt:lpwstr>
      </vt:variant>
      <vt:variant>
        <vt:lpwstr/>
      </vt:variant>
      <vt:variant>
        <vt:i4>3866751</vt:i4>
      </vt:variant>
      <vt:variant>
        <vt:i4>183</vt:i4>
      </vt:variant>
      <vt:variant>
        <vt:i4>0</vt:i4>
      </vt:variant>
      <vt:variant>
        <vt:i4>5</vt:i4>
      </vt:variant>
      <vt:variant>
        <vt:lpwstr>http://www.nevo.co.il/case/7980226</vt:lpwstr>
      </vt:variant>
      <vt:variant>
        <vt:lpwstr/>
      </vt:variant>
      <vt:variant>
        <vt:i4>3145849</vt:i4>
      </vt:variant>
      <vt:variant>
        <vt:i4>180</vt:i4>
      </vt:variant>
      <vt:variant>
        <vt:i4>0</vt:i4>
      </vt:variant>
      <vt:variant>
        <vt:i4>5</vt:i4>
      </vt:variant>
      <vt:variant>
        <vt:lpwstr>http://www.nevo.co.il/case/10490459</vt:lpwstr>
      </vt:variant>
      <vt:variant>
        <vt:lpwstr/>
      </vt:variant>
      <vt:variant>
        <vt:i4>7995492</vt:i4>
      </vt:variant>
      <vt:variant>
        <vt:i4>177</vt:i4>
      </vt:variant>
      <vt:variant>
        <vt:i4>0</vt:i4>
      </vt:variant>
      <vt:variant>
        <vt:i4>5</vt:i4>
      </vt:variant>
      <vt:variant>
        <vt:lpwstr>http://www.nevo.co.il/law/70301</vt:lpwstr>
      </vt:variant>
      <vt:variant>
        <vt:lpwstr/>
      </vt:variant>
      <vt:variant>
        <vt:i4>3604592</vt:i4>
      </vt:variant>
      <vt:variant>
        <vt:i4>174</vt:i4>
      </vt:variant>
      <vt:variant>
        <vt:i4>0</vt:i4>
      </vt:variant>
      <vt:variant>
        <vt:i4>5</vt:i4>
      </vt:variant>
      <vt:variant>
        <vt:lpwstr>http://www.nevo.co.il/case/13075030</vt:lpwstr>
      </vt:variant>
      <vt:variant>
        <vt:lpwstr/>
      </vt:variant>
      <vt:variant>
        <vt:i4>3407987</vt:i4>
      </vt:variant>
      <vt:variant>
        <vt:i4>171</vt:i4>
      </vt:variant>
      <vt:variant>
        <vt:i4>0</vt:i4>
      </vt:variant>
      <vt:variant>
        <vt:i4>5</vt:i4>
      </vt:variant>
      <vt:variant>
        <vt:lpwstr>http://www.nevo.co.il/case/4277522</vt:lpwstr>
      </vt:variant>
      <vt:variant>
        <vt:lpwstr/>
      </vt:variant>
      <vt:variant>
        <vt:i4>3539070</vt:i4>
      </vt:variant>
      <vt:variant>
        <vt:i4>168</vt:i4>
      </vt:variant>
      <vt:variant>
        <vt:i4>0</vt:i4>
      </vt:variant>
      <vt:variant>
        <vt:i4>5</vt:i4>
      </vt:variant>
      <vt:variant>
        <vt:lpwstr>http://www.nevo.co.il/case/3331583</vt:lpwstr>
      </vt:variant>
      <vt:variant>
        <vt:lpwstr/>
      </vt:variant>
      <vt:variant>
        <vt:i4>3604592</vt:i4>
      </vt:variant>
      <vt:variant>
        <vt:i4>165</vt:i4>
      </vt:variant>
      <vt:variant>
        <vt:i4>0</vt:i4>
      </vt:variant>
      <vt:variant>
        <vt:i4>5</vt:i4>
      </vt:variant>
      <vt:variant>
        <vt:lpwstr>http://www.nevo.co.il/case/13075030</vt:lpwstr>
      </vt:variant>
      <vt:variant>
        <vt:lpwstr/>
      </vt:variant>
      <vt:variant>
        <vt:i4>6619233</vt:i4>
      </vt:variant>
      <vt:variant>
        <vt:i4>162</vt:i4>
      </vt:variant>
      <vt:variant>
        <vt:i4>0</vt:i4>
      </vt:variant>
      <vt:variant>
        <vt:i4>5</vt:i4>
      </vt:variant>
      <vt:variant>
        <vt:lpwstr>http://www.nevo.co.il/law/70301/40i</vt:lpwstr>
      </vt:variant>
      <vt:variant>
        <vt:lpwstr/>
      </vt:variant>
      <vt:variant>
        <vt:i4>3145852</vt:i4>
      </vt:variant>
      <vt:variant>
        <vt:i4>159</vt:i4>
      </vt:variant>
      <vt:variant>
        <vt:i4>0</vt:i4>
      </vt:variant>
      <vt:variant>
        <vt:i4>5</vt:i4>
      </vt:variant>
      <vt:variant>
        <vt:lpwstr>http://www.nevo.co.il/case/6120591</vt:lpwstr>
      </vt:variant>
      <vt:variant>
        <vt:lpwstr/>
      </vt:variant>
      <vt:variant>
        <vt:i4>3342453</vt:i4>
      </vt:variant>
      <vt:variant>
        <vt:i4>156</vt:i4>
      </vt:variant>
      <vt:variant>
        <vt:i4>0</vt:i4>
      </vt:variant>
      <vt:variant>
        <vt:i4>5</vt:i4>
      </vt:variant>
      <vt:variant>
        <vt:lpwstr>http://www.nevo.co.il/case/6149190</vt:lpwstr>
      </vt:variant>
      <vt:variant>
        <vt:lpwstr/>
      </vt:variant>
      <vt:variant>
        <vt:i4>3145853</vt:i4>
      </vt:variant>
      <vt:variant>
        <vt:i4>153</vt:i4>
      </vt:variant>
      <vt:variant>
        <vt:i4>0</vt:i4>
      </vt:variant>
      <vt:variant>
        <vt:i4>5</vt:i4>
      </vt:variant>
      <vt:variant>
        <vt:lpwstr>http://www.nevo.co.il/case/5727295</vt:lpwstr>
      </vt:variant>
      <vt:variant>
        <vt:lpwstr/>
      </vt:variant>
      <vt:variant>
        <vt:i4>3604599</vt:i4>
      </vt:variant>
      <vt:variant>
        <vt:i4>150</vt:i4>
      </vt:variant>
      <vt:variant>
        <vt:i4>0</vt:i4>
      </vt:variant>
      <vt:variant>
        <vt:i4>5</vt:i4>
      </vt:variant>
      <vt:variant>
        <vt:lpwstr>http://www.nevo.co.il/case/13022249</vt:lpwstr>
      </vt:variant>
      <vt:variant>
        <vt:lpwstr/>
      </vt:variant>
      <vt:variant>
        <vt:i4>3735669</vt:i4>
      </vt:variant>
      <vt:variant>
        <vt:i4>147</vt:i4>
      </vt:variant>
      <vt:variant>
        <vt:i4>0</vt:i4>
      </vt:variant>
      <vt:variant>
        <vt:i4>5</vt:i4>
      </vt:variant>
      <vt:variant>
        <vt:lpwstr>http://www.nevo.co.il/case/20251483</vt:lpwstr>
      </vt:variant>
      <vt:variant>
        <vt:lpwstr/>
      </vt:variant>
      <vt:variant>
        <vt:i4>3735669</vt:i4>
      </vt:variant>
      <vt:variant>
        <vt:i4>144</vt:i4>
      </vt:variant>
      <vt:variant>
        <vt:i4>0</vt:i4>
      </vt:variant>
      <vt:variant>
        <vt:i4>5</vt:i4>
      </vt:variant>
      <vt:variant>
        <vt:lpwstr>http://www.nevo.co.il/case/20251483</vt:lpwstr>
      </vt:variant>
      <vt:variant>
        <vt:lpwstr/>
      </vt:variant>
      <vt:variant>
        <vt:i4>3276921</vt:i4>
      </vt:variant>
      <vt:variant>
        <vt:i4>141</vt:i4>
      </vt:variant>
      <vt:variant>
        <vt:i4>0</vt:i4>
      </vt:variant>
      <vt:variant>
        <vt:i4>5</vt:i4>
      </vt:variant>
      <vt:variant>
        <vt:lpwstr>http://www.nevo.co.il/case/5821045</vt:lpwstr>
      </vt:variant>
      <vt:variant>
        <vt:lpwstr/>
      </vt:variant>
      <vt:variant>
        <vt:i4>3866737</vt:i4>
      </vt:variant>
      <vt:variant>
        <vt:i4>138</vt:i4>
      </vt:variant>
      <vt:variant>
        <vt:i4>0</vt:i4>
      </vt:variant>
      <vt:variant>
        <vt:i4>5</vt:i4>
      </vt:variant>
      <vt:variant>
        <vt:lpwstr>http://www.nevo.co.il/case/16900334</vt:lpwstr>
      </vt:variant>
      <vt:variant>
        <vt:lpwstr/>
      </vt:variant>
      <vt:variant>
        <vt:i4>3997812</vt:i4>
      </vt:variant>
      <vt:variant>
        <vt:i4>135</vt:i4>
      </vt:variant>
      <vt:variant>
        <vt:i4>0</vt:i4>
      </vt:variant>
      <vt:variant>
        <vt:i4>5</vt:i4>
      </vt:variant>
      <vt:variant>
        <vt:lpwstr>http://www.nevo.co.il/case/11269774</vt:lpwstr>
      </vt:variant>
      <vt:variant>
        <vt:lpwstr/>
      </vt:variant>
      <vt:variant>
        <vt:i4>6619233</vt:i4>
      </vt:variant>
      <vt:variant>
        <vt:i4>132</vt:i4>
      </vt:variant>
      <vt:variant>
        <vt:i4>0</vt:i4>
      </vt:variant>
      <vt:variant>
        <vt:i4>5</vt:i4>
      </vt:variant>
      <vt:variant>
        <vt:lpwstr>http://www.nevo.co.il/law/70301/40b</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3604592</vt:i4>
      </vt:variant>
      <vt:variant>
        <vt:i4>126</vt:i4>
      </vt:variant>
      <vt:variant>
        <vt:i4>0</vt:i4>
      </vt:variant>
      <vt:variant>
        <vt:i4>5</vt:i4>
      </vt:variant>
      <vt:variant>
        <vt:lpwstr>http://www.nevo.co.il/case/13075030</vt:lpwstr>
      </vt:variant>
      <vt:variant>
        <vt:lpwstr/>
      </vt:variant>
      <vt:variant>
        <vt:i4>3604592</vt:i4>
      </vt:variant>
      <vt:variant>
        <vt:i4>123</vt:i4>
      </vt:variant>
      <vt:variant>
        <vt:i4>0</vt:i4>
      </vt:variant>
      <vt:variant>
        <vt:i4>5</vt:i4>
      </vt:variant>
      <vt:variant>
        <vt:lpwstr>http://www.nevo.co.il/case/13075030</vt:lpwstr>
      </vt:variant>
      <vt:variant>
        <vt:lpwstr/>
      </vt:variant>
      <vt:variant>
        <vt:i4>8323168</vt:i4>
      </vt:variant>
      <vt:variant>
        <vt:i4>120</vt:i4>
      </vt:variant>
      <vt:variant>
        <vt:i4>0</vt:i4>
      </vt:variant>
      <vt:variant>
        <vt:i4>5</vt:i4>
      </vt:variant>
      <vt:variant>
        <vt:lpwstr>http://www.nevo.co.il/law/71553/1.b</vt:lpwstr>
      </vt:variant>
      <vt:variant>
        <vt:lpwstr/>
      </vt:variant>
      <vt:variant>
        <vt:i4>8257634</vt:i4>
      </vt:variant>
      <vt:variant>
        <vt:i4>117</vt:i4>
      </vt:variant>
      <vt:variant>
        <vt:i4>0</vt:i4>
      </vt:variant>
      <vt:variant>
        <vt:i4>5</vt:i4>
      </vt:variant>
      <vt:variant>
        <vt:lpwstr>http://www.nevo.co.il/law/71553</vt:lpwstr>
      </vt:variant>
      <vt:variant>
        <vt:lpwstr/>
      </vt:variant>
      <vt:variant>
        <vt:i4>3473445</vt:i4>
      </vt:variant>
      <vt:variant>
        <vt:i4>114</vt:i4>
      </vt:variant>
      <vt:variant>
        <vt:i4>0</vt:i4>
      </vt:variant>
      <vt:variant>
        <vt:i4>5</vt:i4>
      </vt:variant>
      <vt:variant>
        <vt:lpwstr>http://www.nevo.co.il/law/70301/40ja.1</vt:lpwstr>
      </vt:variant>
      <vt:variant>
        <vt:lpwstr/>
      </vt:variant>
      <vt:variant>
        <vt:i4>6488160</vt:i4>
      </vt:variant>
      <vt:variant>
        <vt:i4>111</vt:i4>
      </vt:variant>
      <vt:variant>
        <vt:i4>0</vt:i4>
      </vt:variant>
      <vt:variant>
        <vt:i4>5</vt:i4>
      </vt:variant>
      <vt:variant>
        <vt:lpwstr>http://www.nevo.co.il/law/70301/56</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6619233</vt:i4>
      </vt:variant>
      <vt:variant>
        <vt:i4>105</vt:i4>
      </vt:variant>
      <vt:variant>
        <vt:i4>0</vt:i4>
      </vt:variant>
      <vt:variant>
        <vt:i4>5</vt:i4>
      </vt:variant>
      <vt:variant>
        <vt:lpwstr>http://www.nevo.co.il/law/70301/40b</vt:lpwstr>
      </vt:variant>
      <vt:variant>
        <vt:lpwstr/>
      </vt:variant>
      <vt:variant>
        <vt:i4>6553702</vt:i4>
      </vt:variant>
      <vt:variant>
        <vt:i4>102</vt:i4>
      </vt:variant>
      <vt:variant>
        <vt:i4>0</vt:i4>
      </vt:variant>
      <vt:variant>
        <vt:i4>5</vt:i4>
      </vt:variant>
      <vt:variant>
        <vt:lpwstr>http://www.nevo.co.il/law/70301/31</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6291559</vt:i4>
      </vt:variant>
      <vt:variant>
        <vt:i4>96</vt:i4>
      </vt:variant>
      <vt:variant>
        <vt:i4>0</vt:i4>
      </vt:variant>
      <vt:variant>
        <vt:i4>5</vt:i4>
      </vt:variant>
      <vt:variant>
        <vt:lpwstr>http://www.nevo.co.il/law/70301/25</vt:lpwstr>
      </vt:variant>
      <vt:variant>
        <vt:lpwstr/>
      </vt:variant>
      <vt:variant>
        <vt:i4>7995492</vt:i4>
      </vt:variant>
      <vt:variant>
        <vt:i4>93</vt:i4>
      </vt:variant>
      <vt:variant>
        <vt:i4>0</vt:i4>
      </vt:variant>
      <vt:variant>
        <vt:i4>5</vt:i4>
      </vt:variant>
      <vt:variant>
        <vt:lpwstr>http://www.nevo.co.il/law/70301</vt:lpwstr>
      </vt:variant>
      <vt:variant>
        <vt:lpwstr/>
      </vt:variant>
      <vt:variant>
        <vt:i4>3014771</vt:i4>
      </vt:variant>
      <vt:variant>
        <vt:i4>90</vt:i4>
      </vt:variant>
      <vt:variant>
        <vt:i4>0</vt:i4>
      </vt:variant>
      <vt:variant>
        <vt:i4>5</vt:i4>
      </vt:variant>
      <vt:variant>
        <vt:lpwstr>http://www.nevo.co.il/law/4216/19a</vt:lpwstr>
      </vt:variant>
      <vt:variant>
        <vt:lpwstr/>
      </vt:variant>
      <vt:variant>
        <vt:i4>5177418</vt:i4>
      </vt:variant>
      <vt:variant>
        <vt:i4>87</vt:i4>
      </vt:variant>
      <vt:variant>
        <vt:i4>0</vt:i4>
      </vt:variant>
      <vt:variant>
        <vt:i4>5</vt:i4>
      </vt:variant>
      <vt:variant>
        <vt:lpwstr>http://www.nevo.co.il/law/4216/13</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8257637</vt:i4>
      </vt:variant>
      <vt:variant>
        <vt:i4>78</vt:i4>
      </vt:variant>
      <vt:variant>
        <vt:i4>0</vt:i4>
      </vt:variant>
      <vt:variant>
        <vt:i4>5</vt:i4>
      </vt:variant>
      <vt:variant>
        <vt:lpwstr>http://www.nevo.co.il/law/4216</vt:lpwstr>
      </vt:variant>
      <vt:variant>
        <vt:lpwstr/>
      </vt:variant>
      <vt:variant>
        <vt:i4>3407987</vt:i4>
      </vt:variant>
      <vt:variant>
        <vt:i4>75</vt:i4>
      </vt:variant>
      <vt:variant>
        <vt:i4>0</vt:i4>
      </vt:variant>
      <vt:variant>
        <vt:i4>5</vt:i4>
      </vt:variant>
      <vt:variant>
        <vt:lpwstr>http://www.nevo.co.il/case/4277522</vt:lpwstr>
      </vt:variant>
      <vt:variant>
        <vt:lpwstr/>
      </vt:variant>
      <vt:variant>
        <vt:i4>3539070</vt:i4>
      </vt:variant>
      <vt:variant>
        <vt:i4>72</vt:i4>
      </vt:variant>
      <vt:variant>
        <vt:i4>0</vt:i4>
      </vt:variant>
      <vt:variant>
        <vt:i4>5</vt:i4>
      </vt:variant>
      <vt:variant>
        <vt:lpwstr>http://www.nevo.co.il/case/3331583</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8323168</vt:i4>
      </vt:variant>
      <vt:variant>
        <vt:i4>42</vt:i4>
      </vt:variant>
      <vt:variant>
        <vt:i4>0</vt:i4>
      </vt:variant>
      <vt:variant>
        <vt:i4>5</vt:i4>
      </vt:variant>
      <vt:variant>
        <vt:lpwstr>http://www.nevo.co.il/law/71553/1.b</vt:lpwstr>
      </vt:variant>
      <vt:variant>
        <vt:lpwstr/>
      </vt:variant>
      <vt:variant>
        <vt:i4>8257634</vt:i4>
      </vt:variant>
      <vt:variant>
        <vt:i4>39</vt:i4>
      </vt:variant>
      <vt:variant>
        <vt:i4>0</vt:i4>
      </vt:variant>
      <vt:variant>
        <vt:i4>5</vt:i4>
      </vt:variant>
      <vt:variant>
        <vt:lpwstr>http://www.nevo.co.il/law/71553</vt:lpwstr>
      </vt:variant>
      <vt:variant>
        <vt:lpwstr/>
      </vt:variant>
      <vt:variant>
        <vt:i4>3473445</vt:i4>
      </vt:variant>
      <vt:variant>
        <vt:i4>36</vt:i4>
      </vt:variant>
      <vt:variant>
        <vt:i4>0</vt:i4>
      </vt:variant>
      <vt:variant>
        <vt:i4>5</vt:i4>
      </vt:variant>
      <vt:variant>
        <vt:lpwstr>http://www.nevo.co.il/law/70301/40ja.1</vt:lpwstr>
      </vt:variant>
      <vt:variant>
        <vt:lpwstr/>
      </vt:variant>
      <vt:variant>
        <vt:i4>6488160</vt:i4>
      </vt:variant>
      <vt:variant>
        <vt:i4>33</vt:i4>
      </vt:variant>
      <vt:variant>
        <vt:i4>0</vt:i4>
      </vt:variant>
      <vt:variant>
        <vt:i4>5</vt:i4>
      </vt:variant>
      <vt:variant>
        <vt:lpwstr>http://www.nevo.co.il/law/70301/56</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2025-04-22T20:33:00Z</dcterms:created>
  <dcterms:modified xsi:type="dcterms:W3CDTF">2025-04-22T20:33:00Z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46090</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איגור ריאבצ'נקו</vt:lpwstr>
  </property>
  <property fmtid="{D5CDD505-2E9C-101B-9397-08002B2CF9AE}" pid="10" name="LAWYER">
    <vt:lpwstr/>
  </property>
  <property fmtid="{D5CDD505-2E9C-101B-9397-08002B2CF9AE}" pid="11" name="JUDGE">
    <vt:lpwstr>אברהם אליקים</vt:lpwstr>
  </property>
  <property fmtid="{D5CDD505-2E9C-101B-9397-08002B2CF9AE}" pid="12" name="CITY">
    <vt:lpwstr>חי'</vt:lpwstr>
  </property>
  <property fmtid="{D5CDD505-2E9C-101B-9397-08002B2CF9AE}" pid="13" name="DATE">
    <vt:lpwstr>20150517</vt:lpwstr>
  </property>
  <property fmtid="{D5CDD505-2E9C-101B-9397-08002B2CF9AE}" pid="14" name="TYPE_N_DATE">
    <vt:lpwstr>39020150517</vt:lpwstr>
  </property>
  <property fmtid="{D5CDD505-2E9C-101B-9397-08002B2CF9AE}" pid="15" name="WORDNUMPAGES">
    <vt:lpwstr>14</vt:lpwstr>
  </property>
  <property fmtid="{D5CDD505-2E9C-101B-9397-08002B2CF9AE}" pid="16" name="TYPE_ABS_DATE">
    <vt:lpwstr>390020150517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3331583:3;4277522:2;13075030:4;11269774;16900334;5821045;20251483:2;13022249;5727295;6149190;6120591;10490459;7980226;10459124</vt:lpwstr>
  </property>
  <property fmtid="{D5CDD505-2E9C-101B-9397-08002B2CF9AE}" pid="36" name="LAWLISTTMP1">
    <vt:lpwstr>4216/007.a:2;007.c:2;013:2;019a:2</vt:lpwstr>
  </property>
  <property fmtid="{D5CDD505-2E9C-101B-9397-08002B2CF9AE}" pid="37" name="LAWLISTTMP2">
    <vt:lpwstr>70301/025:2;029:2;031:2;040b:2;040i:2;056:2;40ja.1:2</vt:lpwstr>
  </property>
  <property fmtid="{D5CDD505-2E9C-101B-9397-08002B2CF9AE}" pid="38" name="LAWLISTTMP3">
    <vt:lpwstr>71553/001.b:2</vt:lpwstr>
  </property>
</Properties>
</file>