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26265" w:rsidRPr="00A11007" w14:paraId="39AA8835" w14:textId="77777777">
        <w:trPr>
          <w:trHeight w:hRule="exact" w:val="418"/>
          <w:jc w:val="center"/>
        </w:trPr>
        <w:tc>
          <w:tcPr>
            <w:tcW w:w="8721" w:type="dxa"/>
            <w:gridSpan w:val="2"/>
          </w:tcPr>
          <w:p w14:paraId="14B332A4" w14:textId="77777777" w:rsidR="00D26265" w:rsidRPr="00A11007" w:rsidRDefault="00A11007">
            <w:pPr>
              <w:pStyle w:val="a3"/>
              <w:jc w:val="center"/>
              <w:rPr>
                <w:rFonts w:ascii="Tahoma" w:hAnsi="Tahoma" w:cs="Tahoma"/>
                <w:color w:val="000080"/>
                <w:rtl/>
              </w:rPr>
            </w:pPr>
            <w:bookmarkStart w:id="0" w:name="LastJudge"/>
            <w:r w:rsidRPr="00A11007">
              <w:rPr>
                <w:rFonts w:ascii="Tahoma" w:hAnsi="Tahoma" w:cs="Tahoma"/>
                <w:b/>
                <w:bCs/>
                <w:color w:val="000080"/>
                <w:rtl/>
              </w:rPr>
              <w:t>בית המשפט המחוזי בחיפה</w:t>
            </w:r>
          </w:p>
        </w:tc>
      </w:tr>
      <w:tr w:rsidR="00D26265" w:rsidRPr="00A11007" w14:paraId="707B2F87" w14:textId="77777777">
        <w:trPr>
          <w:trHeight w:val="337"/>
          <w:jc w:val="center"/>
        </w:trPr>
        <w:tc>
          <w:tcPr>
            <w:tcW w:w="5054" w:type="dxa"/>
          </w:tcPr>
          <w:p w14:paraId="5E382FCB" w14:textId="77777777" w:rsidR="00D26265" w:rsidRPr="00A11007" w:rsidRDefault="00A11007">
            <w:pPr>
              <w:rPr>
                <w:b/>
                <w:bCs/>
                <w:sz w:val="28"/>
                <w:szCs w:val="28"/>
                <w:rtl/>
              </w:rPr>
            </w:pPr>
            <w:r w:rsidRPr="00A11007">
              <w:rPr>
                <w:b/>
                <w:bCs/>
                <w:rtl/>
              </w:rPr>
              <w:t>ת"פ</w:t>
            </w:r>
            <w:r w:rsidRPr="00A11007">
              <w:rPr>
                <w:rFonts w:hint="cs"/>
                <w:b/>
                <w:bCs/>
                <w:sz w:val="28"/>
                <w:szCs w:val="28"/>
                <w:rtl/>
              </w:rPr>
              <w:t xml:space="preserve"> </w:t>
            </w:r>
            <w:r w:rsidRPr="00A11007">
              <w:rPr>
                <w:b/>
                <w:bCs/>
                <w:rtl/>
              </w:rPr>
              <w:t>26524-10-14</w:t>
            </w:r>
            <w:r w:rsidRPr="00A11007">
              <w:rPr>
                <w:rFonts w:hint="cs"/>
                <w:b/>
                <w:bCs/>
                <w:sz w:val="28"/>
                <w:szCs w:val="28"/>
                <w:rtl/>
              </w:rPr>
              <w:t xml:space="preserve"> </w:t>
            </w:r>
            <w:r w:rsidRPr="00A11007">
              <w:rPr>
                <w:b/>
                <w:bCs/>
                <w:rtl/>
              </w:rPr>
              <w:t>מדינת ישראל נ' ביטון</w:t>
            </w:r>
          </w:p>
        </w:tc>
        <w:tc>
          <w:tcPr>
            <w:tcW w:w="3667" w:type="dxa"/>
          </w:tcPr>
          <w:p w14:paraId="2C8E7715" w14:textId="77777777" w:rsidR="00D26265" w:rsidRPr="00A11007" w:rsidRDefault="00D26265">
            <w:pPr>
              <w:pStyle w:val="a3"/>
              <w:jc w:val="right"/>
              <w:rPr>
                <w:b/>
                <w:bCs/>
                <w:sz w:val="28"/>
                <w:szCs w:val="28"/>
                <w:rtl/>
              </w:rPr>
            </w:pPr>
          </w:p>
        </w:tc>
      </w:tr>
    </w:tbl>
    <w:p w14:paraId="40DB3226" w14:textId="77777777" w:rsidR="00D26265" w:rsidRPr="00A11007" w:rsidRDefault="00A11007">
      <w:pPr>
        <w:pStyle w:val="a3"/>
        <w:rPr>
          <w:b/>
          <w:bCs/>
          <w:rtl/>
        </w:rPr>
      </w:pPr>
      <w:r w:rsidRPr="00A11007">
        <w:rPr>
          <w:rFonts w:hint="cs"/>
          <w:b/>
          <w:bCs/>
          <w:rtl/>
        </w:rPr>
        <w:t xml:space="preserve"> </w:t>
      </w:r>
    </w:p>
    <w:p w14:paraId="341FA90F" w14:textId="77777777" w:rsidR="00D26265" w:rsidRPr="00A11007" w:rsidRDefault="00D2626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26265" w:rsidRPr="00A11007" w14:paraId="4026627A" w14:textId="77777777">
        <w:trPr>
          <w:trHeight w:val="295"/>
          <w:jc w:val="center"/>
        </w:trPr>
        <w:tc>
          <w:tcPr>
            <w:tcW w:w="923" w:type="dxa"/>
            <w:tcBorders>
              <w:top w:val="nil"/>
              <w:left w:val="nil"/>
              <w:bottom w:val="nil"/>
              <w:right w:val="nil"/>
            </w:tcBorders>
            <w:shd w:val="clear" w:color="auto" w:fill="auto"/>
          </w:tcPr>
          <w:p w14:paraId="3DA56257" w14:textId="77777777" w:rsidR="00D26265" w:rsidRPr="00A11007" w:rsidRDefault="00A11007">
            <w:pPr>
              <w:jc w:val="both"/>
              <w:rPr>
                <w:rFonts w:ascii="Arial" w:hAnsi="Arial"/>
                <w:b/>
                <w:bCs/>
                <w:sz w:val="26"/>
                <w:szCs w:val="26"/>
              </w:rPr>
            </w:pPr>
            <w:r w:rsidRPr="00A11007">
              <w:rPr>
                <w:rFonts w:ascii="Arial" w:hAnsi="Arial" w:hint="cs"/>
                <w:b/>
                <w:bCs/>
                <w:sz w:val="26"/>
                <w:szCs w:val="26"/>
                <w:rtl/>
              </w:rPr>
              <w:t>ב</w:t>
            </w:r>
            <w:r w:rsidRPr="00A11007">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0CBA7ECC" w14:textId="77777777" w:rsidR="00D26265" w:rsidRPr="00A11007" w:rsidRDefault="00A11007">
            <w:pPr>
              <w:rPr>
                <w:rFonts w:ascii="Arial" w:hAnsi="Arial"/>
                <w:b/>
                <w:bCs/>
                <w:sz w:val="26"/>
                <w:szCs w:val="26"/>
                <w:rtl/>
              </w:rPr>
            </w:pPr>
            <w:r w:rsidRPr="00A11007">
              <w:rPr>
                <w:rFonts w:ascii="Arial" w:hAnsi="Arial" w:hint="cs"/>
                <w:b/>
                <w:bCs/>
                <w:sz w:val="26"/>
                <w:szCs w:val="26"/>
                <w:rtl/>
              </w:rPr>
              <w:t>כב' ה</w:t>
            </w:r>
            <w:r w:rsidRPr="00A11007">
              <w:rPr>
                <w:rFonts w:hint="cs"/>
                <w:b/>
                <w:bCs/>
                <w:sz w:val="26"/>
                <w:szCs w:val="26"/>
                <w:rtl/>
              </w:rPr>
              <w:t>שופטת</w:t>
            </w:r>
            <w:r w:rsidRPr="00A11007">
              <w:rPr>
                <w:rFonts w:ascii="Arial" w:hAnsi="Arial" w:hint="cs"/>
                <w:b/>
                <w:bCs/>
                <w:sz w:val="26"/>
                <w:szCs w:val="26"/>
                <w:rtl/>
              </w:rPr>
              <w:t xml:space="preserve">  </w:t>
            </w:r>
            <w:r w:rsidRPr="00A11007">
              <w:rPr>
                <w:rFonts w:hint="cs"/>
                <w:b/>
                <w:bCs/>
                <w:sz w:val="26"/>
                <w:szCs w:val="26"/>
                <w:rtl/>
              </w:rPr>
              <w:t>תמר שרון נתנאל</w:t>
            </w:r>
          </w:p>
          <w:p w14:paraId="699F0DC1" w14:textId="77777777" w:rsidR="00D26265" w:rsidRPr="00A11007" w:rsidRDefault="00D26265">
            <w:pPr>
              <w:rPr>
                <w:b/>
                <w:bCs/>
                <w:sz w:val="26"/>
                <w:szCs w:val="26"/>
                <w:rtl/>
              </w:rPr>
            </w:pPr>
          </w:p>
          <w:p w14:paraId="15DFA76B" w14:textId="77777777" w:rsidR="00D26265" w:rsidRPr="00A11007" w:rsidRDefault="00D26265">
            <w:pPr>
              <w:jc w:val="both"/>
              <w:rPr>
                <w:rFonts w:ascii="Arial" w:hAnsi="Arial"/>
                <w:b/>
                <w:bCs/>
                <w:sz w:val="26"/>
                <w:szCs w:val="26"/>
              </w:rPr>
            </w:pPr>
          </w:p>
        </w:tc>
      </w:tr>
      <w:tr w:rsidR="00D26265" w:rsidRPr="00A11007" w14:paraId="340CCE60" w14:textId="77777777">
        <w:trPr>
          <w:trHeight w:val="355"/>
          <w:jc w:val="center"/>
        </w:trPr>
        <w:tc>
          <w:tcPr>
            <w:tcW w:w="923" w:type="dxa"/>
            <w:tcBorders>
              <w:top w:val="nil"/>
              <w:left w:val="nil"/>
              <w:bottom w:val="nil"/>
              <w:right w:val="nil"/>
            </w:tcBorders>
            <w:shd w:val="clear" w:color="auto" w:fill="auto"/>
          </w:tcPr>
          <w:p w14:paraId="1B9CBB6A" w14:textId="77777777" w:rsidR="00D26265" w:rsidRPr="00A11007" w:rsidRDefault="00A11007">
            <w:pPr>
              <w:jc w:val="both"/>
              <w:rPr>
                <w:rFonts w:ascii="Arial" w:hAnsi="Arial"/>
                <w:b/>
                <w:bCs/>
                <w:sz w:val="26"/>
                <w:szCs w:val="26"/>
              </w:rPr>
            </w:pPr>
            <w:bookmarkStart w:id="1" w:name="FirstAppellant"/>
            <w:r w:rsidRPr="00A11007">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66CE83DC" w14:textId="77777777" w:rsidR="00D26265" w:rsidRPr="00A11007" w:rsidRDefault="00A11007">
            <w:pPr>
              <w:rPr>
                <w:b/>
                <w:bCs/>
                <w:sz w:val="26"/>
                <w:szCs w:val="26"/>
              </w:rPr>
            </w:pPr>
            <w:r w:rsidRPr="00A11007">
              <w:rPr>
                <w:rFonts w:hint="cs"/>
                <w:b/>
                <w:bCs/>
                <w:sz w:val="26"/>
                <w:szCs w:val="26"/>
                <w:rtl/>
              </w:rPr>
              <w:t>מדינת ישראל</w:t>
            </w:r>
          </w:p>
        </w:tc>
        <w:tc>
          <w:tcPr>
            <w:tcW w:w="3771" w:type="dxa"/>
            <w:tcBorders>
              <w:top w:val="nil"/>
              <w:left w:val="nil"/>
              <w:bottom w:val="nil"/>
              <w:right w:val="nil"/>
            </w:tcBorders>
            <w:shd w:val="clear" w:color="auto" w:fill="auto"/>
          </w:tcPr>
          <w:p w14:paraId="1BA56B29" w14:textId="77777777" w:rsidR="00D26265" w:rsidRPr="00A11007" w:rsidRDefault="00D26265">
            <w:pPr>
              <w:jc w:val="both"/>
              <w:rPr>
                <w:rFonts w:ascii="Arial" w:hAnsi="Arial"/>
                <w:b/>
                <w:bCs/>
                <w:sz w:val="26"/>
                <w:szCs w:val="26"/>
              </w:rPr>
            </w:pPr>
          </w:p>
        </w:tc>
      </w:tr>
      <w:bookmarkEnd w:id="1"/>
      <w:tr w:rsidR="00D26265" w:rsidRPr="00A11007" w14:paraId="32BF828A" w14:textId="77777777">
        <w:trPr>
          <w:trHeight w:val="355"/>
          <w:jc w:val="center"/>
        </w:trPr>
        <w:tc>
          <w:tcPr>
            <w:tcW w:w="923" w:type="dxa"/>
            <w:tcBorders>
              <w:top w:val="nil"/>
              <w:left w:val="nil"/>
              <w:bottom w:val="nil"/>
              <w:right w:val="nil"/>
            </w:tcBorders>
            <w:shd w:val="clear" w:color="auto" w:fill="auto"/>
          </w:tcPr>
          <w:p w14:paraId="6A56017A" w14:textId="77777777" w:rsidR="00D26265" w:rsidRPr="00A11007" w:rsidRDefault="00D26265">
            <w:pPr>
              <w:jc w:val="both"/>
              <w:rPr>
                <w:rFonts w:ascii="Arial" w:hAnsi="Arial"/>
                <w:b/>
                <w:bCs/>
                <w:sz w:val="26"/>
                <w:szCs w:val="26"/>
                <w:rtl/>
              </w:rPr>
            </w:pPr>
          </w:p>
        </w:tc>
        <w:tc>
          <w:tcPr>
            <w:tcW w:w="4126" w:type="dxa"/>
            <w:tcBorders>
              <w:top w:val="nil"/>
              <w:left w:val="nil"/>
              <w:bottom w:val="nil"/>
              <w:right w:val="nil"/>
            </w:tcBorders>
            <w:shd w:val="clear" w:color="auto" w:fill="auto"/>
          </w:tcPr>
          <w:p w14:paraId="0083A5E7" w14:textId="77777777" w:rsidR="00D26265" w:rsidRPr="00A11007" w:rsidRDefault="00D26265">
            <w:pPr>
              <w:jc w:val="both"/>
              <w:rPr>
                <w:b/>
                <w:bCs/>
                <w:sz w:val="26"/>
                <w:szCs w:val="26"/>
                <w:rtl/>
              </w:rPr>
            </w:pPr>
          </w:p>
        </w:tc>
        <w:tc>
          <w:tcPr>
            <w:tcW w:w="3771" w:type="dxa"/>
            <w:tcBorders>
              <w:top w:val="nil"/>
              <w:left w:val="nil"/>
              <w:bottom w:val="nil"/>
              <w:right w:val="nil"/>
            </w:tcBorders>
            <w:shd w:val="clear" w:color="auto" w:fill="auto"/>
          </w:tcPr>
          <w:p w14:paraId="558036B4" w14:textId="77777777" w:rsidR="00D26265" w:rsidRPr="00A11007" w:rsidRDefault="00A11007">
            <w:pPr>
              <w:jc w:val="right"/>
              <w:rPr>
                <w:rFonts w:ascii="Arial" w:hAnsi="Arial"/>
                <w:b/>
                <w:bCs/>
                <w:sz w:val="26"/>
                <w:szCs w:val="26"/>
                <w:rtl/>
              </w:rPr>
            </w:pPr>
            <w:r w:rsidRPr="00A11007">
              <w:rPr>
                <w:rFonts w:ascii="Arial" w:hAnsi="Arial" w:hint="cs"/>
                <w:b/>
                <w:bCs/>
                <w:sz w:val="26"/>
                <w:szCs w:val="26"/>
                <w:rtl/>
              </w:rPr>
              <w:t>ה</w:t>
            </w:r>
            <w:r w:rsidRPr="00A11007">
              <w:rPr>
                <w:rFonts w:hint="cs"/>
                <w:b/>
                <w:bCs/>
                <w:sz w:val="26"/>
                <w:szCs w:val="26"/>
                <w:rtl/>
              </w:rPr>
              <w:t>מאשימה</w:t>
            </w:r>
          </w:p>
        </w:tc>
      </w:tr>
      <w:tr w:rsidR="00D26265" w:rsidRPr="00A11007" w14:paraId="19869D5D" w14:textId="77777777">
        <w:trPr>
          <w:trHeight w:val="355"/>
          <w:jc w:val="center"/>
        </w:trPr>
        <w:tc>
          <w:tcPr>
            <w:tcW w:w="923" w:type="dxa"/>
            <w:tcBorders>
              <w:top w:val="nil"/>
              <w:left w:val="nil"/>
              <w:bottom w:val="nil"/>
              <w:right w:val="nil"/>
            </w:tcBorders>
            <w:shd w:val="clear" w:color="auto" w:fill="auto"/>
          </w:tcPr>
          <w:p w14:paraId="77FFC3B1" w14:textId="77777777" w:rsidR="00D26265" w:rsidRPr="00A11007" w:rsidRDefault="00D26265">
            <w:pPr>
              <w:jc w:val="both"/>
              <w:rPr>
                <w:rFonts w:ascii="Arial" w:hAnsi="Arial"/>
                <w:b/>
                <w:bCs/>
                <w:sz w:val="26"/>
                <w:szCs w:val="26"/>
                <w:rtl/>
              </w:rPr>
            </w:pPr>
          </w:p>
        </w:tc>
        <w:tc>
          <w:tcPr>
            <w:tcW w:w="7897" w:type="dxa"/>
            <w:gridSpan w:val="2"/>
            <w:tcBorders>
              <w:top w:val="nil"/>
              <w:left w:val="nil"/>
              <w:bottom w:val="nil"/>
              <w:right w:val="nil"/>
            </w:tcBorders>
            <w:shd w:val="clear" w:color="auto" w:fill="auto"/>
          </w:tcPr>
          <w:p w14:paraId="2A035C28" w14:textId="77777777" w:rsidR="00D26265" w:rsidRPr="00A11007" w:rsidRDefault="00D26265">
            <w:pPr>
              <w:jc w:val="center"/>
              <w:rPr>
                <w:rFonts w:ascii="Arial" w:hAnsi="Arial"/>
                <w:b/>
                <w:bCs/>
                <w:sz w:val="26"/>
                <w:szCs w:val="26"/>
                <w:rtl/>
              </w:rPr>
            </w:pPr>
          </w:p>
          <w:p w14:paraId="5DF331F0" w14:textId="77777777" w:rsidR="00D26265" w:rsidRPr="00A11007" w:rsidRDefault="00A11007">
            <w:pPr>
              <w:jc w:val="center"/>
              <w:rPr>
                <w:rFonts w:ascii="Arial" w:hAnsi="Arial"/>
                <w:b/>
                <w:bCs/>
                <w:sz w:val="26"/>
                <w:szCs w:val="26"/>
                <w:rtl/>
              </w:rPr>
            </w:pPr>
            <w:r w:rsidRPr="00A11007">
              <w:rPr>
                <w:rFonts w:ascii="Arial" w:hAnsi="Arial"/>
                <w:b/>
                <w:bCs/>
                <w:sz w:val="26"/>
                <w:szCs w:val="26"/>
                <w:rtl/>
              </w:rPr>
              <w:t>נגד</w:t>
            </w:r>
          </w:p>
          <w:p w14:paraId="55CFA1FF" w14:textId="77777777" w:rsidR="00D26265" w:rsidRPr="00A11007" w:rsidRDefault="00D26265">
            <w:pPr>
              <w:jc w:val="both"/>
              <w:rPr>
                <w:rFonts w:ascii="Arial" w:hAnsi="Arial"/>
                <w:b/>
                <w:bCs/>
                <w:sz w:val="26"/>
                <w:szCs w:val="26"/>
              </w:rPr>
            </w:pPr>
          </w:p>
        </w:tc>
      </w:tr>
      <w:tr w:rsidR="00D26265" w:rsidRPr="00A11007" w14:paraId="738C3F86" w14:textId="77777777">
        <w:trPr>
          <w:trHeight w:val="355"/>
          <w:jc w:val="center"/>
        </w:trPr>
        <w:tc>
          <w:tcPr>
            <w:tcW w:w="923" w:type="dxa"/>
            <w:tcBorders>
              <w:top w:val="nil"/>
              <w:left w:val="nil"/>
              <w:bottom w:val="nil"/>
              <w:right w:val="nil"/>
            </w:tcBorders>
            <w:shd w:val="clear" w:color="auto" w:fill="auto"/>
          </w:tcPr>
          <w:p w14:paraId="5C4FB793" w14:textId="77777777" w:rsidR="00D26265" w:rsidRPr="00A11007" w:rsidRDefault="00D26265">
            <w:pPr>
              <w:rPr>
                <w:rFonts w:ascii="Arial" w:hAnsi="Arial"/>
                <w:b/>
                <w:bCs/>
                <w:sz w:val="26"/>
                <w:szCs w:val="26"/>
                <w:rtl/>
              </w:rPr>
            </w:pPr>
          </w:p>
        </w:tc>
        <w:tc>
          <w:tcPr>
            <w:tcW w:w="4126" w:type="dxa"/>
            <w:tcBorders>
              <w:top w:val="nil"/>
              <w:left w:val="nil"/>
              <w:bottom w:val="nil"/>
              <w:right w:val="nil"/>
            </w:tcBorders>
            <w:shd w:val="clear" w:color="auto" w:fill="auto"/>
          </w:tcPr>
          <w:p w14:paraId="7942647B" w14:textId="77777777" w:rsidR="00D26265" w:rsidRPr="00A11007" w:rsidRDefault="00A11007">
            <w:pPr>
              <w:rPr>
                <w:b/>
                <w:bCs/>
                <w:sz w:val="26"/>
                <w:szCs w:val="26"/>
                <w:rtl/>
              </w:rPr>
            </w:pPr>
            <w:r w:rsidRPr="00A11007">
              <w:rPr>
                <w:rFonts w:hint="cs"/>
                <w:b/>
                <w:bCs/>
                <w:sz w:val="26"/>
                <w:szCs w:val="26"/>
                <w:rtl/>
              </w:rPr>
              <w:t>פנחס ביטון</w:t>
            </w:r>
          </w:p>
        </w:tc>
        <w:tc>
          <w:tcPr>
            <w:tcW w:w="3771" w:type="dxa"/>
            <w:tcBorders>
              <w:top w:val="nil"/>
              <w:left w:val="nil"/>
              <w:bottom w:val="nil"/>
              <w:right w:val="nil"/>
            </w:tcBorders>
            <w:shd w:val="clear" w:color="auto" w:fill="auto"/>
          </w:tcPr>
          <w:p w14:paraId="0315B9F9" w14:textId="77777777" w:rsidR="00D26265" w:rsidRPr="00A11007" w:rsidRDefault="00D26265">
            <w:pPr>
              <w:jc w:val="right"/>
              <w:rPr>
                <w:rFonts w:ascii="Arial" w:hAnsi="Arial"/>
                <w:b/>
                <w:bCs/>
                <w:sz w:val="26"/>
                <w:szCs w:val="26"/>
              </w:rPr>
            </w:pPr>
          </w:p>
        </w:tc>
      </w:tr>
      <w:tr w:rsidR="00D26265" w:rsidRPr="00A11007" w14:paraId="5218619D" w14:textId="77777777">
        <w:trPr>
          <w:trHeight w:val="355"/>
          <w:jc w:val="center"/>
        </w:trPr>
        <w:tc>
          <w:tcPr>
            <w:tcW w:w="923" w:type="dxa"/>
            <w:tcBorders>
              <w:top w:val="nil"/>
              <w:left w:val="nil"/>
              <w:bottom w:val="nil"/>
              <w:right w:val="nil"/>
            </w:tcBorders>
            <w:shd w:val="clear" w:color="auto" w:fill="auto"/>
          </w:tcPr>
          <w:p w14:paraId="666DEF1E" w14:textId="77777777" w:rsidR="00D26265" w:rsidRPr="00A11007" w:rsidRDefault="00D26265">
            <w:pPr>
              <w:jc w:val="both"/>
              <w:rPr>
                <w:rFonts w:ascii="Arial" w:hAnsi="Arial"/>
                <w:b/>
                <w:bCs/>
                <w:sz w:val="26"/>
                <w:szCs w:val="26"/>
                <w:rtl/>
              </w:rPr>
            </w:pPr>
          </w:p>
        </w:tc>
        <w:tc>
          <w:tcPr>
            <w:tcW w:w="4126" w:type="dxa"/>
            <w:tcBorders>
              <w:top w:val="nil"/>
              <w:left w:val="nil"/>
              <w:bottom w:val="nil"/>
              <w:right w:val="nil"/>
            </w:tcBorders>
            <w:shd w:val="clear" w:color="auto" w:fill="auto"/>
          </w:tcPr>
          <w:p w14:paraId="227B30FC" w14:textId="77777777" w:rsidR="00D26265" w:rsidRPr="00A11007" w:rsidRDefault="00D26265">
            <w:pPr>
              <w:jc w:val="both"/>
              <w:rPr>
                <w:b/>
                <w:bCs/>
                <w:sz w:val="26"/>
                <w:szCs w:val="26"/>
                <w:rtl/>
              </w:rPr>
            </w:pPr>
          </w:p>
        </w:tc>
        <w:tc>
          <w:tcPr>
            <w:tcW w:w="3771" w:type="dxa"/>
            <w:tcBorders>
              <w:top w:val="nil"/>
              <w:left w:val="nil"/>
              <w:bottom w:val="nil"/>
              <w:right w:val="nil"/>
            </w:tcBorders>
            <w:shd w:val="clear" w:color="auto" w:fill="auto"/>
          </w:tcPr>
          <w:p w14:paraId="6B12FA47" w14:textId="77777777" w:rsidR="00D26265" w:rsidRPr="00A11007" w:rsidRDefault="00A11007">
            <w:pPr>
              <w:jc w:val="right"/>
              <w:rPr>
                <w:rFonts w:ascii="Arial" w:hAnsi="Arial"/>
                <w:b/>
                <w:bCs/>
                <w:sz w:val="26"/>
                <w:szCs w:val="26"/>
              </w:rPr>
            </w:pPr>
            <w:r w:rsidRPr="00A11007">
              <w:rPr>
                <w:rFonts w:ascii="Arial" w:hAnsi="Arial" w:hint="cs"/>
                <w:b/>
                <w:bCs/>
                <w:sz w:val="26"/>
                <w:szCs w:val="26"/>
                <w:rtl/>
              </w:rPr>
              <w:t>ה</w:t>
            </w:r>
            <w:r w:rsidRPr="00A11007">
              <w:rPr>
                <w:rFonts w:hint="cs"/>
                <w:b/>
                <w:bCs/>
                <w:sz w:val="26"/>
                <w:szCs w:val="26"/>
                <w:rtl/>
              </w:rPr>
              <w:t>נאשם</w:t>
            </w:r>
          </w:p>
        </w:tc>
      </w:tr>
    </w:tbl>
    <w:p w14:paraId="0C65AC90" w14:textId="77777777" w:rsidR="00D26265" w:rsidRPr="00A11007" w:rsidRDefault="00D26265">
      <w:pPr>
        <w:rPr>
          <w:rtl/>
        </w:rPr>
      </w:pPr>
    </w:p>
    <w:p w14:paraId="3399D2B3" w14:textId="77777777" w:rsidR="00D26265" w:rsidRPr="00A11007" w:rsidRDefault="00A11007">
      <w:pPr>
        <w:rPr>
          <w:b/>
          <w:bCs/>
          <w:rtl/>
        </w:rPr>
      </w:pPr>
      <w:r w:rsidRPr="00A11007">
        <w:rPr>
          <w:rFonts w:hint="cs"/>
          <w:b/>
          <w:bCs/>
          <w:rtl/>
        </w:rPr>
        <w:t>נוכחים:</w:t>
      </w:r>
    </w:p>
    <w:p w14:paraId="2F34F452" w14:textId="77777777" w:rsidR="00D26265" w:rsidRPr="00A11007" w:rsidRDefault="00A11007">
      <w:pPr>
        <w:jc w:val="both"/>
      </w:pPr>
      <w:bookmarkStart w:id="2" w:name="FirstLawyer"/>
      <w:r w:rsidRPr="00A11007">
        <w:rPr>
          <w:rFonts w:hint="cs"/>
          <w:rtl/>
        </w:rPr>
        <w:t>ב"כ</w:t>
      </w:r>
      <w:bookmarkEnd w:id="2"/>
      <w:r w:rsidRPr="00A11007">
        <w:rPr>
          <w:rFonts w:hint="cs"/>
          <w:rtl/>
        </w:rPr>
        <w:t xml:space="preserve"> המאשימה: עו"ד קדם נימצן </w:t>
      </w:r>
    </w:p>
    <w:p w14:paraId="1D8DB8B8" w14:textId="77777777" w:rsidR="00D26265" w:rsidRPr="00A11007" w:rsidRDefault="00A11007">
      <w:pPr>
        <w:jc w:val="both"/>
        <w:rPr>
          <w:rtl/>
        </w:rPr>
      </w:pPr>
      <w:r w:rsidRPr="00A11007">
        <w:rPr>
          <w:rFonts w:hint="cs"/>
          <w:rtl/>
        </w:rPr>
        <w:t xml:space="preserve">ב"כ הנאשם: עו"ד מסרי </w:t>
      </w:r>
    </w:p>
    <w:p w14:paraId="60F436E5" w14:textId="77777777" w:rsidR="00D26265" w:rsidRPr="00A11007" w:rsidRDefault="00A11007">
      <w:pPr>
        <w:jc w:val="both"/>
        <w:rPr>
          <w:rtl/>
        </w:rPr>
      </w:pPr>
      <w:r w:rsidRPr="00A11007">
        <w:rPr>
          <w:rFonts w:hint="cs"/>
          <w:rtl/>
        </w:rPr>
        <w:t xml:space="preserve">הנאשם בעצמו </w:t>
      </w:r>
    </w:p>
    <w:p w14:paraId="13EAD70C" w14:textId="77777777" w:rsidR="00D54964" w:rsidRDefault="00D54964" w:rsidP="00A11007">
      <w:pPr>
        <w:spacing w:after="120" w:line="240" w:lineRule="exact"/>
        <w:ind w:left="283" w:hanging="283"/>
        <w:jc w:val="both"/>
        <w:rPr>
          <w:rFonts w:ascii="FrankRuehl" w:hAnsi="FrankRuehl" w:cs="FrankRuehl"/>
          <w:rtl/>
        </w:rPr>
      </w:pPr>
      <w:bookmarkStart w:id="3" w:name="LawTable"/>
      <w:bookmarkEnd w:id="3"/>
    </w:p>
    <w:p w14:paraId="33489165" w14:textId="77777777" w:rsidR="00D54964" w:rsidRPr="00D54964" w:rsidRDefault="00D54964" w:rsidP="00D54964">
      <w:pPr>
        <w:spacing w:after="120" w:line="240" w:lineRule="exact"/>
        <w:ind w:left="283" w:hanging="283"/>
        <w:jc w:val="both"/>
        <w:rPr>
          <w:rFonts w:ascii="FrankRuehl" w:hAnsi="FrankRuehl" w:cs="FrankRuehl"/>
          <w:rtl/>
        </w:rPr>
      </w:pPr>
    </w:p>
    <w:p w14:paraId="01FEA5B7" w14:textId="77777777" w:rsidR="00D54964" w:rsidRPr="00D54964" w:rsidRDefault="00D54964" w:rsidP="00D54964">
      <w:pPr>
        <w:spacing w:after="120" w:line="240" w:lineRule="exact"/>
        <w:ind w:left="283" w:hanging="283"/>
        <w:jc w:val="both"/>
        <w:rPr>
          <w:rFonts w:ascii="FrankRuehl" w:hAnsi="FrankRuehl" w:cs="FrankRuehl"/>
          <w:rtl/>
        </w:rPr>
      </w:pPr>
      <w:r w:rsidRPr="00D54964">
        <w:rPr>
          <w:rFonts w:ascii="FrankRuehl" w:hAnsi="FrankRuehl" w:cs="FrankRuehl"/>
          <w:rtl/>
        </w:rPr>
        <w:t xml:space="preserve">חקיקה שאוזכרה: </w:t>
      </w:r>
    </w:p>
    <w:p w14:paraId="2127FEAD" w14:textId="77777777" w:rsidR="00D54964" w:rsidRPr="00D54964" w:rsidRDefault="00D54964" w:rsidP="00D54964">
      <w:pPr>
        <w:spacing w:after="120" w:line="240" w:lineRule="exact"/>
        <w:ind w:left="283" w:hanging="283"/>
        <w:jc w:val="both"/>
        <w:rPr>
          <w:rFonts w:ascii="FrankRuehl" w:hAnsi="FrankRuehl" w:cs="FrankRuehl"/>
          <w:rtl/>
        </w:rPr>
      </w:pPr>
      <w:hyperlink r:id="rId7" w:history="1">
        <w:r w:rsidRPr="00D54964">
          <w:rPr>
            <w:rFonts w:ascii="FrankRuehl" w:hAnsi="FrankRuehl" w:cs="FrankRuehl"/>
            <w:color w:val="0000FF"/>
            <w:u w:val="single"/>
            <w:rtl/>
          </w:rPr>
          <w:t>פקודת הסמים המסוכנים [נוסח חדש], תשל"ג-1973</w:t>
        </w:r>
      </w:hyperlink>
      <w:r w:rsidRPr="00D54964">
        <w:rPr>
          <w:rFonts w:ascii="FrankRuehl" w:hAnsi="FrankRuehl" w:cs="FrankRuehl"/>
          <w:rtl/>
        </w:rPr>
        <w:t xml:space="preserve">: סע'  </w:t>
      </w:r>
      <w:hyperlink r:id="rId8" w:history="1">
        <w:r w:rsidRPr="00D54964">
          <w:rPr>
            <w:rFonts w:ascii="FrankRuehl" w:hAnsi="FrankRuehl" w:cs="FrankRuehl"/>
            <w:color w:val="0000FF"/>
            <w:u w:val="single"/>
            <w:rtl/>
          </w:rPr>
          <w:t>6</w:t>
        </w:r>
      </w:hyperlink>
      <w:r w:rsidRPr="00D54964">
        <w:rPr>
          <w:rFonts w:ascii="FrankRuehl" w:hAnsi="FrankRuehl" w:cs="FrankRuehl"/>
          <w:rtl/>
        </w:rPr>
        <w:t xml:space="preserve">, </w:t>
      </w:r>
      <w:hyperlink r:id="rId9" w:history="1">
        <w:r w:rsidRPr="00D54964">
          <w:rPr>
            <w:rFonts w:ascii="FrankRuehl" w:hAnsi="FrankRuehl" w:cs="FrankRuehl"/>
            <w:color w:val="0000FF"/>
            <w:u w:val="single"/>
            <w:rtl/>
          </w:rPr>
          <w:t>7.א.</w:t>
        </w:r>
      </w:hyperlink>
      <w:r w:rsidRPr="00D54964">
        <w:rPr>
          <w:rFonts w:ascii="FrankRuehl" w:hAnsi="FrankRuehl" w:cs="FrankRuehl"/>
          <w:rtl/>
        </w:rPr>
        <w:t xml:space="preserve">, </w:t>
      </w:r>
      <w:hyperlink r:id="rId10" w:history="1">
        <w:r w:rsidRPr="00D54964">
          <w:rPr>
            <w:rFonts w:ascii="FrankRuehl" w:hAnsi="FrankRuehl" w:cs="FrankRuehl"/>
            <w:color w:val="0000FF"/>
            <w:u w:val="single"/>
            <w:rtl/>
          </w:rPr>
          <w:t>7.ג</w:t>
        </w:r>
      </w:hyperlink>
      <w:r w:rsidRPr="00D54964">
        <w:rPr>
          <w:rFonts w:ascii="FrankRuehl" w:hAnsi="FrankRuehl" w:cs="FrankRuehl"/>
          <w:rtl/>
        </w:rPr>
        <w:t xml:space="preserve">, </w:t>
      </w:r>
      <w:hyperlink r:id="rId11" w:history="1">
        <w:r w:rsidRPr="00D54964">
          <w:rPr>
            <w:rFonts w:ascii="FrankRuehl" w:hAnsi="FrankRuehl" w:cs="FrankRuehl"/>
            <w:color w:val="0000FF"/>
            <w:u w:val="single"/>
            <w:rtl/>
          </w:rPr>
          <w:t>37</w:t>
        </w:r>
      </w:hyperlink>
    </w:p>
    <w:p w14:paraId="1661F83D" w14:textId="77777777" w:rsidR="00D54964" w:rsidRPr="00D54964" w:rsidRDefault="00D54964" w:rsidP="00D54964">
      <w:pPr>
        <w:spacing w:after="120" w:line="240" w:lineRule="exact"/>
        <w:ind w:left="283" w:hanging="283"/>
        <w:jc w:val="both"/>
        <w:rPr>
          <w:rFonts w:ascii="FrankRuehl" w:hAnsi="FrankRuehl" w:cs="FrankRuehl"/>
          <w:rtl/>
        </w:rPr>
      </w:pPr>
      <w:hyperlink r:id="rId12" w:history="1">
        <w:r w:rsidRPr="00D54964">
          <w:rPr>
            <w:rFonts w:ascii="FrankRuehl" w:hAnsi="FrankRuehl" w:cs="FrankRuehl"/>
            <w:color w:val="0000FF"/>
            <w:u w:val="single"/>
            <w:rtl/>
          </w:rPr>
          <w:t>חוק העונשין, תשל"ז-1977</w:t>
        </w:r>
      </w:hyperlink>
      <w:r w:rsidRPr="00D54964">
        <w:rPr>
          <w:rFonts w:ascii="FrankRuehl" w:hAnsi="FrankRuehl" w:cs="FrankRuehl"/>
          <w:rtl/>
        </w:rPr>
        <w:t xml:space="preserve">: סע'  </w:t>
      </w:r>
      <w:hyperlink r:id="rId13" w:history="1">
        <w:r w:rsidRPr="00D54964">
          <w:rPr>
            <w:rFonts w:ascii="FrankRuehl" w:hAnsi="FrankRuehl" w:cs="FrankRuehl"/>
            <w:color w:val="0000FF"/>
            <w:u w:val="single"/>
            <w:rtl/>
          </w:rPr>
          <w:t>40(א)</w:t>
        </w:r>
      </w:hyperlink>
      <w:r w:rsidRPr="00D54964">
        <w:rPr>
          <w:rFonts w:ascii="FrankRuehl" w:hAnsi="FrankRuehl" w:cs="FrankRuehl"/>
          <w:rtl/>
        </w:rPr>
        <w:t xml:space="preserve">, </w:t>
      </w:r>
      <w:hyperlink r:id="rId14" w:history="1">
        <w:r w:rsidRPr="00D54964">
          <w:rPr>
            <w:rFonts w:ascii="FrankRuehl" w:hAnsi="FrankRuehl" w:cs="FrankRuehl"/>
            <w:color w:val="0000FF"/>
            <w:u w:val="single"/>
            <w:rtl/>
          </w:rPr>
          <w:t>40(ב)</w:t>
        </w:r>
      </w:hyperlink>
    </w:p>
    <w:p w14:paraId="477CE7EB" w14:textId="77777777" w:rsidR="00D54964" w:rsidRPr="00D54964" w:rsidRDefault="00D54964" w:rsidP="00D54964">
      <w:pPr>
        <w:spacing w:after="120" w:line="240" w:lineRule="exact"/>
        <w:ind w:left="283" w:hanging="283"/>
        <w:jc w:val="both"/>
        <w:rPr>
          <w:rFonts w:ascii="FrankRuehl" w:hAnsi="FrankRuehl" w:cs="FrankRuehl"/>
          <w:rtl/>
        </w:rPr>
      </w:pPr>
    </w:p>
    <w:p w14:paraId="1DD9FF36" w14:textId="77777777" w:rsidR="00D54964" w:rsidRPr="00D54964" w:rsidRDefault="00D54964" w:rsidP="00A11007">
      <w:pPr>
        <w:spacing w:after="120" w:line="240" w:lineRule="exact"/>
        <w:ind w:left="283" w:hanging="283"/>
        <w:jc w:val="both"/>
        <w:rPr>
          <w:rFonts w:ascii="FrankRuehl" w:hAnsi="FrankRuehl" w:cs="FrankRuehl"/>
          <w:rtl/>
        </w:rPr>
      </w:pPr>
      <w:bookmarkStart w:id="4" w:name="LawTable_End"/>
      <w:bookmarkEnd w:id="4"/>
    </w:p>
    <w:p w14:paraId="4F20701E" w14:textId="77777777" w:rsidR="00D54964" w:rsidRPr="00D54964" w:rsidRDefault="00D54964" w:rsidP="00A11007">
      <w:pPr>
        <w:spacing w:after="120" w:line="240" w:lineRule="exact"/>
        <w:ind w:left="283" w:hanging="283"/>
        <w:jc w:val="both"/>
        <w:rPr>
          <w:rFonts w:ascii="FrankRuehl" w:hAnsi="FrankRuehl" w:cs="FrankRuehl"/>
          <w:rtl/>
        </w:rPr>
      </w:pPr>
    </w:p>
    <w:p w14:paraId="2A79FCE7" w14:textId="77777777" w:rsidR="00A11007" w:rsidRPr="00D54964" w:rsidRDefault="00A11007" w:rsidP="00A11007">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26265" w14:paraId="08108F42" w14:textId="77777777">
        <w:trPr>
          <w:trHeight w:val="355"/>
          <w:jc w:val="center"/>
        </w:trPr>
        <w:tc>
          <w:tcPr>
            <w:tcW w:w="8820" w:type="dxa"/>
            <w:tcBorders>
              <w:top w:val="nil"/>
              <w:left w:val="nil"/>
              <w:bottom w:val="nil"/>
              <w:right w:val="nil"/>
            </w:tcBorders>
            <w:shd w:val="clear" w:color="auto" w:fill="auto"/>
          </w:tcPr>
          <w:p w14:paraId="24E7E0C4" w14:textId="77777777" w:rsidR="00A11007" w:rsidRPr="00A11007" w:rsidRDefault="00A11007" w:rsidP="00A11007">
            <w:pPr>
              <w:jc w:val="center"/>
              <w:rPr>
                <w:rFonts w:ascii="Arial" w:hAnsi="Arial" w:cs="FrankRuehl"/>
                <w:b/>
                <w:bCs/>
                <w:sz w:val="32"/>
                <w:szCs w:val="32"/>
                <w:u w:val="single"/>
                <w:rtl/>
              </w:rPr>
            </w:pPr>
            <w:bookmarkStart w:id="5" w:name="PsakDin" w:colFirst="0" w:colLast="0"/>
            <w:bookmarkEnd w:id="0"/>
            <w:r w:rsidRPr="00A11007">
              <w:rPr>
                <w:rFonts w:ascii="Arial" w:hAnsi="Arial" w:cs="FrankRuehl"/>
                <w:b/>
                <w:bCs/>
                <w:sz w:val="32"/>
                <w:szCs w:val="32"/>
                <w:u w:val="single"/>
                <w:rtl/>
              </w:rPr>
              <w:t>גזר דין</w:t>
            </w:r>
          </w:p>
          <w:p w14:paraId="6EA6978B" w14:textId="77777777" w:rsidR="00D26265" w:rsidRPr="00A11007" w:rsidRDefault="00D26265" w:rsidP="00A11007">
            <w:pPr>
              <w:jc w:val="center"/>
              <w:rPr>
                <w:rFonts w:ascii="Arial" w:hAnsi="Arial" w:cs="FrankRuehl"/>
                <w:bCs/>
                <w:sz w:val="32"/>
                <w:szCs w:val="32"/>
                <w:u w:val="single"/>
                <w:rtl/>
              </w:rPr>
            </w:pPr>
          </w:p>
        </w:tc>
      </w:tr>
      <w:bookmarkEnd w:id="5"/>
    </w:tbl>
    <w:p w14:paraId="7E548FD8" w14:textId="77777777" w:rsidR="00D26265" w:rsidRDefault="00D26265">
      <w:pPr>
        <w:rPr>
          <w:rFonts w:ascii="Arial" w:hAnsi="Arial"/>
          <w:rtl/>
        </w:rPr>
      </w:pPr>
    </w:p>
    <w:p w14:paraId="0D1F4C81" w14:textId="77777777" w:rsidR="00D26265" w:rsidRDefault="00D26265">
      <w:pPr>
        <w:rPr>
          <w:rtl/>
        </w:rPr>
      </w:pPr>
    </w:p>
    <w:p w14:paraId="04C6AE3C" w14:textId="77777777" w:rsidR="00D26265" w:rsidRDefault="00A11007">
      <w:pPr>
        <w:spacing w:line="360" w:lineRule="auto"/>
        <w:ind w:left="720" w:hanging="720"/>
        <w:jc w:val="both"/>
        <w:rPr>
          <w:rtl/>
        </w:rPr>
      </w:pPr>
      <w:r>
        <w:rPr>
          <w:rtl/>
        </w:rPr>
        <w:t>1.</w:t>
      </w:r>
      <w:r>
        <w:rPr>
          <w:rtl/>
        </w:rPr>
        <w:tab/>
      </w:r>
      <w:bookmarkStart w:id="6" w:name="ABSTRACT_START"/>
      <w:bookmarkEnd w:id="6"/>
      <w:r>
        <w:rPr>
          <w:rtl/>
        </w:rPr>
        <w:t xml:space="preserve">על פי הודאתו, במסגרת הסדר טיעון אשר לא כלל הסכמה לעניין העונש, הורשע הנאשם על פי כתב אישום מתוקן, שהוגש במסגרת ההסדר, בביצוע עבירה של </w:t>
      </w:r>
      <w:r>
        <w:rPr>
          <w:b/>
          <w:bCs/>
          <w:rtl/>
        </w:rPr>
        <w:t>החזקת סם מסוכן שלא לצריכה עצמית</w:t>
      </w:r>
      <w:r>
        <w:rPr>
          <w:rtl/>
        </w:rPr>
        <w:t xml:space="preserve"> - עבירה לפי </w:t>
      </w:r>
      <w:hyperlink r:id="rId15" w:history="1">
        <w:r w:rsidR="009A6C0E" w:rsidRPr="009A6C0E">
          <w:rPr>
            <w:color w:val="0000FF"/>
            <w:u w:val="single"/>
            <w:rtl/>
          </w:rPr>
          <w:t>סעיף 7(א) +(ג)</w:t>
        </w:r>
      </w:hyperlink>
      <w:r>
        <w:rPr>
          <w:rtl/>
        </w:rPr>
        <w:t xml:space="preserve"> רישא ל</w:t>
      </w:r>
      <w:hyperlink r:id="rId16" w:history="1">
        <w:r w:rsidRPr="00A11007">
          <w:rPr>
            <w:color w:val="0000FF"/>
            <w:u w:val="single"/>
            <w:rtl/>
          </w:rPr>
          <w:t>פקודת הסמים המסוכנים</w:t>
        </w:r>
      </w:hyperlink>
      <w:r>
        <w:rPr>
          <w:rtl/>
        </w:rPr>
        <w:t xml:space="preserve"> [נוסח חדש], התשל"ג-1973. </w:t>
      </w:r>
    </w:p>
    <w:p w14:paraId="5516DE35" w14:textId="77777777" w:rsidR="00D26265" w:rsidRDefault="00D26265">
      <w:pPr>
        <w:spacing w:line="360" w:lineRule="auto"/>
        <w:ind w:left="360"/>
        <w:jc w:val="both"/>
        <w:rPr>
          <w:rtl/>
        </w:rPr>
      </w:pPr>
      <w:bookmarkStart w:id="7" w:name="ABSTRACT_END"/>
      <w:bookmarkEnd w:id="7"/>
    </w:p>
    <w:p w14:paraId="695769BF" w14:textId="77777777" w:rsidR="00D26265" w:rsidRDefault="00A11007">
      <w:pPr>
        <w:spacing w:line="360" w:lineRule="auto"/>
        <w:ind w:left="360" w:firstLine="360"/>
        <w:jc w:val="both"/>
        <w:rPr>
          <w:u w:val="single"/>
        </w:rPr>
      </w:pPr>
      <w:r>
        <w:rPr>
          <w:u w:val="single"/>
          <w:rtl/>
        </w:rPr>
        <w:t>להלן עובדות כתב האישום המתוקן</w:t>
      </w:r>
      <w:r>
        <w:rPr>
          <w:rtl/>
        </w:rPr>
        <w:t>:</w:t>
      </w:r>
    </w:p>
    <w:p w14:paraId="5980C410" w14:textId="77777777" w:rsidR="00D26265" w:rsidRDefault="00D26265">
      <w:pPr>
        <w:spacing w:line="360" w:lineRule="auto"/>
        <w:ind w:left="360"/>
        <w:jc w:val="both"/>
      </w:pPr>
    </w:p>
    <w:p w14:paraId="3BEE876F" w14:textId="77777777" w:rsidR="00D26265" w:rsidRDefault="00A11007">
      <w:pPr>
        <w:numPr>
          <w:ilvl w:val="0"/>
          <w:numId w:val="1"/>
        </w:numPr>
        <w:spacing w:line="360" w:lineRule="auto"/>
        <w:jc w:val="both"/>
        <w:rPr>
          <w:rtl/>
        </w:rPr>
      </w:pPr>
      <w:r>
        <w:rPr>
          <w:rtl/>
        </w:rPr>
        <w:lastRenderedPageBreak/>
        <w:t>ביום 7.10.14 בסביבות השעה 18:30, ברחוב סמטת הצנחנים 13 בקרית אתא, נראה הנאשם יוצא ממבנה נטוש כשהוא מחזיק בחבילה ומכניס אותה לרכב מסוג "פיאט", מ"ר 1681750, הנמצא בשימושו (להלן: "</w:t>
      </w:r>
      <w:r>
        <w:rPr>
          <w:b/>
          <w:bCs/>
          <w:rtl/>
        </w:rPr>
        <w:t>הרכב</w:t>
      </w:r>
      <w:r>
        <w:rPr>
          <w:rtl/>
        </w:rPr>
        <w:t xml:space="preserve">"). בתוך החבילה היה סם מסוכן מסוג </w:t>
      </w:r>
      <w:r>
        <w:t>MDMA</w:t>
      </w:r>
      <w:r>
        <w:rPr>
          <w:rtl/>
        </w:rPr>
        <w:t xml:space="preserve"> גולמי במשקל כולל של 495.56 גרם נטו, אותו החזיק הנאשם שלא לצריכה עצמית, ללא רשות על פי דין וללא רישיון מאת המנהל (להלן: "</w:t>
      </w:r>
      <w:r>
        <w:rPr>
          <w:b/>
          <w:bCs/>
          <w:rtl/>
        </w:rPr>
        <w:t>הסם</w:t>
      </w:r>
      <w:r>
        <w:rPr>
          <w:rtl/>
        </w:rPr>
        <w:t xml:space="preserve">"). </w:t>
      </w:r>
    </w:p>
    <w:p w14:paraId="48CE7D33" w14:textId="77777777" w:rsidR="00D26265" w:rsidRDefault="00A11007">
      <w:pPr>
        <w:numPr>
          <w:ilvl w:val="0"/>
          <w:numId w:val="1"/>
        </w:numPr>
        <w:spacing w:line="360" w:lineRule="auto"/>
        <w:jc w:val="both"/>
      </w:pPr>
      <w:r>
        <w:rPr>
          <w:rtl/>
        </w:rPr>
        <w:t xml:space="preserve">הסם הוחזק על ידי הנאשם כמתואר לעיל כשהוא בקופסת קרטון קשורה, ובתוכה הסם היה מחולק ל 2 חבילות, כל חבילה עטופה בשקית פלסטיק ובשקית מבד. </w:t>
      </w:r>
    </w:p>
    <w:p w14:paraId="34A5D922" w14:textId="77777777" w:rsidR="00D26265" w:rsidRDefault="00A11007">
      <w:pPr>
        <w:numPr>
          <w:ilvl w:val="0"/>
          <w:numId w:val="1"/>
        </w:numPr>
        <w:spacing w:line="360" w:lineRule="auto"/>
        <w:jc w:val="both"/>
      </w:pPr>
      <w:r>
        <w:rPr>
          <w:rtl/>
        </w:rPr>
        <w:t xml:space="preserve">במעשיו המתוארים לעיל, החזיק הנאשם סם מסוכן מסוג </w:t>
      </w:r>
      <w:r>
        <w:t>MDMA</w:t>
      </w:r>
      <w:r>
        <w:rPr>
          <w:rtl/>
        </w:rPr>
        <w:t xml:space="preserve"> שלא לצריכה עצמית, ללא רשות על פי דין וללא רישיון מאת המנהל. </w:t>
      </w:r>
    </w:p>
    <w:p w14:paraId="5987AB64" w14:textId="77777777" w:rsidR="00D26265" w:rsidRDefault="00D26265">
      <w:pPr>
        <w:spacing w:line="360" w:lineRule="auto"/>
        <w:jc w:val="both"/>
        <w:rPr>
          <w:rtl/>
        </w:rPr>
      </w:pPr>
    </w:p>
    <w:p w14:paraId="44C70474" w14:textId="77777777" w:rsidR="00D26265" w:rsidRDefault="00A11007">
      <w:pPr>
        <w:spacing w:line="360" w:lineRule="auto"/>
        <w:ind w:firstLine="720"/>
        <w:jc w:val="both"/>
        <w:rPr>
          <w:rtl/>
        </w:rPr>
      </w:pPr>
      <w:r>
        <w:rPr>
          <w:rtl/>
        </w:rPr>
        <w:t>בדיון שהתקיים ביום 7/1/15 הוריתי לשירות המבחן להגיש תסקיר בעניינו של הנאשם.</w:t>
      </w:r>
    </w:p>
    <w:p w14:paraId="2202A9EA" w14:textId="77777777" w:rsidR="00D26265" w:rsidRDefault="00D26265">
      <w:pPr>
        <w:spacing w:line="360" w:lineRule="auto"/>
        <w:jc w:val="both"/>
        <w:rPr>
          <w:rtl/>
        </w:rPr>
      </w:pPr>
    </w:p>
    <w:p w14:paraId="5B3D2C54" w14:textId="77777777" w:rsidR="00D26265" w:rsidRDefault="00A11007">
      <w:pPr>
        <w:spacing w:line="360" w:lineRule="auto"/>
        <w:jc w:val="both"/>
        <w:rPr>
          <w:b/>
          <w:bCs/>
          <w:u w:val="single"/>
        </w:rPr>
      </w:pPr>
      <w:r>
        <w:rPr>
          <w:b/>
          <w:bCs/>
          <w:u w:val="single"/>
          <w:rtl/>
        </w:rPr>
        <w:t>תסקיר שירות המבחן</w:t>
      </w:r>
      <w:r>
        <w:rPr>
          <w:b/>
          <w:bCs/>
          <w:rtl/>
        </w:rPr>
        <w:t>:</w:t>
      </w:r>
    </w:p>
    <w:p w14:paraId="54DA86CE" w14:textId="77777777" w:rsidR="00D26265" w:rsidRDefault="00D26265">
      <w:pPr>
        <w:spacing w:line="360" w:lineRule="auto"/>
        <w:jc w:val="both"/>
        <w:rPr>
          <w:rtl/>
        </w:rPr>
      </w:pPr>
    </w:p>
    <w:p w14:paraId="5E726314" w14:textId="77777777" w:rsidR="00D26265" w:rsidRDefault="00A11007">
      <w:pPr>
        <w:spacing w:line="360" w:lineRule="auto"/>
        <w:ind w:left="720" w:hanging="720"/>
        <w:jc w:val="both"/>
        <w:rPr>
          <w:rtl/>
        </w:rPr>
      </w:pPr>
      <w:r>
        <w:rPr>
          <w:rtl/>
        </w:rPr>
        <w:t>2.</w:t>
      </w:r>
      <w:r>
        <w:rPr>
          <w:rtl/>
        </w:rPr>
        <w:tab/>
        <w:t xml:space="preserve">תסקיר שירות המבחן מיום 15/3/15 מפרט את נסיבותיו האישיות של הנאשם, גרוש, בן 50, אב לשני ילדים ומכור לסמים. הנאשם הוא בן בכור. אמו בת 67 ואביו נפטר לפני כ – 17 שנים. לדברי הנאשם, מותו של האב היווה עבורו משבר קשה. </w:t>
      </w:r>
    </w:p>
    <w:p w14:paraId="654FD2BA" w14:textId="77777777" w:rsidR="00D26265" w:rsidRDefault="00D26265">
      <w:pPr>
        <w:spacing w:line="360" w:lineRule="auto"/>
        <w:jc w:val="both"/>
        <w:rPr>
          <w:rtl/>
        </w:rPr>
      </w:pPr>
    </w:p>
    <w:p w14:paraId="425408F4" w14:textId="77777777" w:rsidR="00D26265" w:rsidRDefault="00A11007">
      <w:pPr>
        <w:spacing w:line="360" w:lineRule="auto"/>
        <w:ind w:left="720"/>
        <w:jc w:val="both"/>
        <w:rPr>
          <w:rtl/>
        </w:rPr>
      </w:pPr>
      <w:r>
        <w:rPr>
          <w:rtl/>
        </w:rPr>
        <w:t xml:space="preserve">לנאשם עבר פלילי, הכולל גם עבירות סמים והוא ריצה, בעבר, 7 תקופות מאסר בגין עבירות שונות ובכללן עבירות סמים. </w:t>
      </w:r>
    </w:p>
    <w:p w14:paraId="2CE85B3F" w14:textId="77777777" w:rsidR="00D26265" w:rsidRDefault="00D26265">
      <w:pPr>
        <w:spacing w:line="360" w:lineRule="auto"/>
        <w:jc w:val="both"/>
        <w:rPr>
          <w:rtl/>
        </w:rPr>
      </w:pPr>
    </w:p>
    <w:p w14:paraId="69015B39" w14:textId="77777777" w:rsidR="00D26265" w:rsidRDefault="00A11007">
      <w:pPr>
        <w:spacing w:line="360" w:lineRule="auto"/>
        <w:ind w:left="720"/>
        <w:jc w:val="both"/>
        <w:rPr>
          <w:rtl/>
        </w:rPr>
      </w:pPr>
      <w:r>
        <w:rPr>
          <w:rtl/>
        </w:rPr>
        <w:t xml:space="preserve">לדברי הנאשם, בשנות בגרותו הוא התחבר לקבוצה בשולי החברה, השתמש בסמים קשים והסתבך עם החוק ולאורך השנים עבר מספר ניסיונות גמילה מסמים במוסדות פרטיים אולם התקשה לשמור על ניקיונו מסמים ובכל פעם, לאחר חודשים ספורים, חזר להשתמש בסמים. ממועד שחרורו מהכלא  בחודש מרץ 2007 הוא עבד בעבודות שונטות - בשיפוצים, כירקן במרכז מזון, תחילה בעסק השייך לאחיו, אותו עזב על רקע שכר נמוך ולבסוף, ברשת מזון, אולם זאת - עד כחצי שנה טרם מעצרו הנוכחי.  </w:t>
      </w:r>
    </w:p>
    <w:p w14:paraId="741583A7" w14:textId="77777777" w:rsidR="00D26265" w:rsidRDefault="00D26265">
      <w:pPr>
        <w:spacing w:line="360" w:lineRule="auto"/>
        <w:jc w:val="both"/>
        <w:rPr>
          <w:rtl/>
        </w:rPr>
      </w:pPr>
    </w:p>
    <w:p w14:paraId="786897B9" w14:textId="77777777" w:rsidR="00D26265" w:rsidRDefault="00A11007">
      <w:pPr>
        <w:spacing w:line="360" w:lineRule="auto"/>
        <w:ind w:left="720"/>
        <w:jc w:val="both"/>
        <w:rPr>
          <w:rtl/>
        </w:rPr>
      </w:pPr>
      <w:r>
        <w:rPr>
          <w:rtl/>
        </w:rPr>
        <w:t xml:space="preserve">מאז שחרורו מהכלא, במרץ 2007 ועד למעצרו הנוכחי, טופל הנאשם בתחליף סם במרכז מ.א.מ.ץ - המרכז לטיפול בנפגעי סמים. על פי דיווח המרכז, בדיקותיו הוכיחו ניקיון מסמי רחוב. </w:t>
      </w:r>
    </w:p>
    <w:p w14:paraId="5F91905D" w14:textId="77777777" w:rsidR="00D26265" w:rsidRDefault="00D26265">
      <w:pPr>
        <w:spacing w:line="360" w:lineRule="auto"/>
        <w:jc w:val="both"/>
        <w:rPr>
          <w:rtl/>
        </w:rPr>
      </w:pPr>
    </w:p>
    <w:p w14:paraId="6E5C18DF" w14:textId="77777777" w:rsidR="00D26265" w:rsidRDefault="00A11007">
      <w:pPr>
        <w:spacing w:line="360" w:lineRule="auto"/>
        <w:ind w:left="720"/>
        <w:jc w:val="both"/>
        <w:rPr>
          <w:rtl/>
        </w:rPr>
      </w:pPr>
      <w:r>
        <w:rPr>
          <w:rtl/>
        </w:rPr>
        <w:lastRenderedPageBreak/>
        <w:t xml:space="preserve">במהלך מעצר הבית בו הוא שוהה, המשיך הנאשם בטיפול. לדברי הגורמים המטפלים, בבדיקות שתן שביצע בתחילת המעצר, נמצאו שרידים לשימוש באמפטמינים, אולם, בבדיקות האחרונות לא נמצאו סימנים לשימוש בסמי רחוב. </w:t>
      </w:r>
    </w:p>
    <w:p w14:paraId="5E332217" w14:textId="77777777" w:rsidR="00D26265" w:rsidRDefault="00D26265">
      <w:pPr>
        <w:spacing w:line="360" w:lineRule="auto"/>
        <w:jc w:val="both"/>
        <w:rPr>
          <w:rtl/>
        </w:rPr>
      </w:pPr>
    </w:p>
    <w:p w14:paraId="6AAFA897" w14:textId="77777777" w:rsidR="00D26265" w:rsidRDefault="00A11007">
      <w:pPr>
        <w:spacing w:line="360" w:lineRule="auto"/>
        <w:ind w:left="720"/>
        <w:jc w:val="both"/>
        <w:rPr>
          <w:rtl/>
        </w:rPr>
      </w:pPr>
      <w:r>
        <w:rPr>
          <w:rtl/>
        </w:rPr>
        <w:t xml:space="preserve">קצינת המבחן התרשמה, שהנאשם לוקח אחריות מלאה על ביצוע העבירה נשוא כתב האישום. הוא שיתף את קצינת המבחן בתחושות האכזבה, הבושה והפגיעה בקרוביו, שהוא חש נוכח מעורבותו בפלילים וחזרתו למעצר. הנאשם טען בפני שירות המבחן, שהוא נענה להצעה להעביר את הסמים, בשל היותו חסר מסגרת, חסר תעסוקה ובמצוקה כלכלית. </w:t>
      </w:r>
    </w:p>
    <w:p w14:paraId="6FE399B2" w14:textId="77777777" w:rsidR="00D26265" w:rsidRDefault="00D26265">
      <w:pPr>
        <w:spacing w:line="360" w:lineRule="auto"/>
        <w:jc w:val="both"/>
        <w:rPr>
          <w:rtl/>
        </w:rPr>
      </w:pPr>
    </w:p>
    <w:p w14:paraId="098C30A3" w14:textId="77777777" w:rsidR="00D26265" w:rsidRDefault="00A11007">
      <w:pPr>
        <w:spacing w:line="360" w:lineRule="auto"/>
        <w:ind w:left="720"/>
        <w:jc w:val="both"/>
        <w:rPr>
          <w:rtl/>
        </w:rPr>
      </w:pPr>
      <w:r>
        <w:rPr>
          <w:rtl/>
        </w:rPr>
        <w:t xml:space="preserve">שירות המבחן המליץ להטיל על הנאשם מאסר בעבודות שירות לצד מאסר מותנה וכן צו מבחן לתקופה של שנה, זאת, בעיקר, לאור רצונו של הנאשם להמשך טיפול במרכז מ.א.מ.ץ ולאור העובדה שבמשך תקופה ארוכה הוא הצליח להימנע מהסתבכות עם החוק. </w:t>
      </w:r>
    </w:p>
    <w:p w14:paraId="62329123" w14:textId="77777777" w:rsidR="00D26265" w:rsidRDefault="00D26265">
      <w:pPr>
        <w:spacing w:line="360" w:lineRule="auto"/>
        <w:jc w:val="both"/>
        <w:rPr>
          <w:rtl/>
        </w:rPr>
      </w:pPr>
    </w:p>
    <w:p w14:paraId="48F6E732" w14:textId="77777777" w:rsidR="00D26265" w:rsidRDefault="00A11007">
      <w:pPr>
        <w:spacing w:line="360" w:lineRule="auto"/>
        <w:jc w:val="both"/>
        <w:rPr>
          <w:b/>
          <w:bCs/>
          <w:u w:val="single"/>
          <w:rtl/>
        </w:rPr>
      </w:pPr>
      <w:r>
        <w:rPr>
          <w:b/>
          <w:bCs/>
          <w:u w:val="single"/>
          <w:rtl/>
        </w:rPr>
        <w:t xml:space="preserve">ראיות לעונש </w:t>
      </w:r>
    </w:p>
    <w:p w14:paraId="43105031" w14:textId="77777777" w:rsidR="00D26265" w:rsidRDefault="00D26265">
      <w:pPr>
        <w:spacing w:line="360" w:lineRule="auto"/>
        <w:jc w:val="both"/>
        <w:rPr>
          <w:rtl/>
        </w:rPr>
      </w:pPr>
    </w:p>
    <w:p w14:paraId="63E13846" w14:textId="77777777" w:rsidR="00D26265" w:rsidRDefault="00A11007">
      <w:pPr>
        <w:spacing w:line="360" w:lineRule="auto"/>
        <w:ind w:left="720" w:hanging="720"/>
        <w:jc w:val="both"/>
        <w:rPr>
          <w:rtl/>
        </w:rPr>
      </w:pPr>
      <w:r>
        <w:rPr>
          <w:rtl/>
        </w:rPr>
        <w:t>3.</w:t>
      </w:r>
      <w:r>
        <w:rPr>
          <w:rtl/>
        </w:rPr>
        <w:tab/>
        <w:t xml:space="preserve">מטעם המאשימה הוגש גיליון הרשעות קודמות של הנאשם (סומן </w:t>
      </w:r>
      <w:r>
        <w:rPr>
          <w:b/>
          <w:bCs/>
          <w:rtl/>
        </w:rPr>
        <w:t>ע/1</w:t>
      </w:r>
      <w:r>
        <w:rPr>
          <w:rtl/>
        </w:rPr>
        <w:t xml:space="preserve">) ממנו עולה, כי לנאשם 15 הרשעות קודמות.  הנאשם ריצה בעברו 7 תקופות מאסר. בעברו הרשעות בעבירות של פריצה לרכב בכוונה לגנוב; גניבה מרכב; ניסיון לפריצה לבניין שאינו בניין או בית תפילה; קבלת נכסים שהושגו בפשע; איומים; הפרת הוראה חוקית; עבירה על תקנות הפיקוח על מצרכים ושירותים (פיקוח על כרטיסים) תשכ"ב- 1962; גניבה; השגת גבול פלילית; התחזות כאדם אחר במטרה להונות ושימוש ברכב בלי רשות. </w:t>
      </w:r>
    </w:p>
    <w:p w14:paraId="5238B26A" w14:textId="77777777" w:rsidR="00D26265" w:rsidRDefault="00D26265">
      <w:pPr>
        <w:spacing w:line="360" w:lineRule="auto"/>
        <w:jc w:val="both"/>
        <w:rPr>
          <w:rtl/>
        </w:rPr>
      </w:pPr>
    </w:p>
    <w:p w14:paraId="6421764E" w14:textId="77777777" w:rsidR="00D26265" w:rsidRDefault="00A11007">
      <w:pPr>
        <w:spacing w:line="360" w:lineRule="auto"/>
        <w:ind w:left="720"/>
        <w:jc w:val="both"/>
        <w:rPr>
          <w:rtl/>
        </w:rPr>
      </w:pPr>
      <w:r>
        <w:rPr>
          <w:rtl/>
        </w:rPr>
        <w:t xml:space="preserve">עוד בעברו הפלילי של הנאשם, עבירות של ייצוא, ייבוא, מסחר והספקה של סמים מסוכנים  שביצע בשנים 1989 - 1988 וכן עבירה של החזקה/שימוש בסמים שלא לצריכה עצמית  אותה ביצע הנאשם ביום 20.9.04 והורשע בגינה ביום 11.7.06. </w:t>
      </w:r>
    </w:p>
    <w:p w14:paraId="72C47A74" w14:textId="77777777" w:rsidR="00D26265" w:rsidRDefault="00D26265">
      <w:pPr>
        <w:spacing w:line="360" w:lineRule="auto"/>
        <w:jc w:val="both"/>
        <w:rPr>
          <w:rtl/>
        </w:rPr>
      </w:pPr>
    </w:p>
    <w:p w14:paraId="769AB876" w14:textId="77777777" w:rsidR="00D26265" w:rsidRDefault="00A11007">
      <w:pPr>
        <w:spacing w:line="360" w:lineRule="auto"/>
        <w:jc w:val="both"/>
        <w:rPr>
          <w:rtl/>
        </w:rPr>
      </w:pPr>
      <w:r>
        <w:rPr>
          <w:rtl/>
        </w:rPr>
        <w:t>4.</w:t>
      </w:r>
      <w:r>
        <w:rPr>
          <w:rtl/>
        </w:rPr>
        <w:tab/>
        <w:t xml:space="preserve">מטעם הנאשם לא הוגשו ראיות לעונש. </w:t>
      </w:r>
    </w:p>
    <w:p w14:paraId="28A37EAE" w14:textId="77777777" w:rsidR="00D26265" w:rsidRDefault="00D26265">
      <w:pPr>
        <w:spacing w:line="360" w:lineRule="auto"/>
        <w:jc w:val="both"/>
        <w:rPr>
          <w:rtl/>
        </w:rPr>
      </w:pPr>
    </w:p>
    <w:p w14:paraId="233F9DC6" w14:textId="77777777" w:rsidR="00D26265" w:rsidRDefault="00D26265">
      <w:pPr>
        <w:spacing w:line="360" w:lineRule="auto"/>
        <w:jc w:val="both"/>
        <w:rPr>
          <w:b/>
          <w:bCs/>
          <w:u w:val="single"/>
          <w:rtl/>
        </w:rPr>
      </w:pPr>
    </w:p>
    <w:p w14:paraId="5A94701F" w14:textId="77777777" w:rsidR="00D26265" w:rsidRDefault="00D26265">
      <w:pPr>
        <w:spacing w:line="360" w:lineRule="auto"/>
        <w:jc w:val="both"/>
        <w:rPr>
          <w:b/>
          <w:bCs/>
          <w:u w:val="single"/>
          <w:rtl/>
        </w:rPr>
      </w:pPr>
    </w:p>
    <w:p w14:paraId="0B9E4223" w14:textId="77777777" w:rsidR="00D26265" w:rsidRDefault="00D26265">
      <w:pPr>
        <w:spacing w:line="360" w:lineRule="auto"/>
        <w:jc w:val="both"/>
        <w:rPr>
          <w:b/>
          <w:bCs/>
          <w:u w:val="single"/>
          <w:rtl/>
        </w:rPr>
      </w:pPr>
    </w:p>
    <w:p w14:paraId="515BE945" w14:textId="77777777" w:rsidR="00D26265" w:rsidRDefault="00D26265">
      <w:pPr>
        <w:spacing w:line="360" w:lineRule="auto"/>
        <w:jc w:val="both"/>
        <w:rPr>
          <w:b/>
          <w:bCs/>
          <w:u w:val="single"/>
          <w:rtl/>
        </w:rPr>
      </w:pPr>
    </w:p>
    <w:p w14:paraId="4E10CA84" w14:textId="77777777" w:rsidR="00D26265" w:rsidRDefault="00A11007">
      <w:pPr>
        <w:spacing w:line="360" w:lineRule="auto"/>
        <w:jc w:val="both"/>
        <w:rPr>
          <w:b/>
          <w:bCs/>
          <w:u w:val="single"/>
          <w:rtl/>
        </w:rPr>
      </w:pPr>
      <w:r>
        <w:rPr>
          <w:b/>
          <w:bCs/>
          <w:u w:val="single"/>
          <w:rtl/>
        </w:rPr>
        <w:t>טיעוני המאשימה לעונש</w:t>
      </w:r>
    </w:p>
    <w:p w14:paraId="75360A9C" w14:textId="77777777" w:rsidR="00D26265" w:rsidRDefault="00D26265">
      <w:pPr>
        <w:spacing w:line="360" w:lineRule="auto"/>
        <w:jc w:val="both"/>
        <w:rPr>
          <w:rtl/>
        </w:rPr>
      </w:pPr>
    </w:p>
    <w:p w14:paraId="3541E8A6" w14:textId="77777777" w:rsidR="00D26265" w:rsidRDefault="00A11007">
      <w:pPr>
        <w:spacing w:line="360" w:lineRule="auto"/>
        <w:ind w:left="720" w:hanging="720"/>
        <w:jc w:val="both"/>
        <w:rPr>
          <w:rtl/>
        </w:rPr>
      </w:pPr>
      <w:r>
        <w:rPr>
          <w:rtl/>
        </w:rPr>
        <w:t>5.</w:t>
      </w:r>
      <w:r>
        <w:rPr>
          <w:rtl/>
        </w:rPr>
        <w:tab/>
        <w:t xml:space="preserve">מטעם המאשימה, הוגשו טיעונים בכתב (סומן </w:t>
      </w:r>
      <w:r>
        <w:rPr>
          <w:b/>
          <w:bCs/>
          <w:rtl/>
        </w:rPr>
        <w:t>ע/2</w:t>
      </w:r>
      <w:r>
        <w:rPr>
          <w:rtl/>
        </w:rPr>
        <w:t xml:space="preserve">) ובישיבת יום 23/3/15 הוספו דגשים בעל פה. </w:t>
      </w:r>
    </w:p>
    <w:p w14:paraId="3C870A63" w14:textId="77777777" w:rsidR="00D26265" w:rsidRDefault="00D26265">
      <w:pPr>
        <w:spacing w:line="360" w:lineRule="auto"/>
        <w:jc w:val="both"/>
        <w:rPr>
          <w:rtl/>
        </w:rPr>
      </w:pPr>
    </w:p>
    <w:p w14:paraId="23A648E4" w14:textId="77777777" w:rsidR="00D26265" w:rsidRDefault="00A11007">
      <w:pPr>
        <w:spacing w:line="360" w:lineRule="auto"/>
        <w:ind w:left="720"/>
        <w:jc w:val="both"/>
        <w:rPr>
          <w:rtl/>
        </w:rPr>
      </w:pPr>
      <w:r>
        <w:rPr>
          <w:rtl/>
        </w:rPr>
        <w:t xml:space="preserve">בעֹמדו על חומרת העבירה שביצע הנאשם, על הנזקים הקשים וארוכי הטווח, הנגרמים כתוצאה מביצוע עבירות סמים ועל הפגיעה הקשה של עבירות אלה במעגלים נרחבים, הפנה בא כוח המאשימה לפסיקה הקובעת שקיים צורך בענישה מרתיעה ומחמירה של מי שמבצע עבירות אלה. </w:t>
      </w:r>
    </w:p>
    <w:p w14:paraId="3D470CE6" w14:textId="77777777" w:rsidR="00D26265" w:rsidRDefault="00D26265">
      <w:pPr>
        <w:spacing w:line="360" w:lineRule="auto"/>
        <w:jc w:val="both"/>
        <w:rPr>
          <w:rtl/>
        </w:rPr>
      </w:pPr>
    </w:p>
    <w:p w14:paraId="69C6A4A0" w14:textId="77777777" w:rsidR="00D26265" w:rsidRDefault="00A11007">
      <w:pPr>
        <w:spacing w:line="360" w:lineRule="auto"/>
        <w:ind w:left="720"/>
        <w:jc w:val="both"/>
        <w:rPr>
          <w:rtl/>
        </w:rPr>
      </w:pPr>
      <w:r>
        <w:rPr>
          <w:rtl/>
        </w:rPr>
        <w:t xml:space="preserve">נטען, כי יש להחמיר בענישה בהתייחס לכל אחת מחוליות הפצת הסם, לרבות "דרג הביניים", כלשון ב"כ המאשימה, ובכללם - מי שמחזיק בסם שלא לצריכה עצמית. </w:t>
      </w:r>
    </w:p>
    <w:p w14:paraId="04A67C80" w14:textId="77777777" w:rsidR="00D26265" w:rsidRDefault="00D26265">
      <w:pPr>
        <w:spacing w:line="360" w:lineRule="auto"/>
        <w:jc w:val="both"/>
        <w:rPr>
          <w:rtl/>
        </w:rPr>
      </w:pPr>
    </w:p>
    <w:p w14:paraId="0202DCF9" w14:textId="77777777" w:rsidR="00D26265" w:rsidRDefault="00A11007">
      <w:pPr>
        <w:spacing w:line="360" w:lineRule="auto"/>
        <w:ind w:left="720"/>
        <w:jc w:val="both"/>
        <w:rPr>
          <w:rtl/>
        </w:rPr>
      </w:pPr>
      <w:r>
        <w:rPr>
          <w:rtl/>
        </w:rPr>
        <w:t xml:space="preserve">ב"כ המאשימה ציין את הערכים החברתיים, הנפגעים כתוצאה מביצוע עבירה כגון זו בה הורשע הנאשם ועל מידת הפגיעה בערכים אלה וכן על נסיבות הקשורות בביצוע העבירה, בהדגישו את סוג וכמות הסם המסוכן שהחזיק הנאשם, שלא לצריכה עצמית, תוך פירוט מדיניות הענישה הנהוגה. </w:t>
      </w:r>
    </w:p>
    <w:p w14:paraId="42E3DED9" w14:textId="77777777" w:rsidR="00D26265" w:rsidRDefault="00D26265">
      <w:pPr>
        <w:spacing w:line="360" w:lineRule="auto"/>
        <w:jc w:val="both"/>
        <w:rPr>
          <w:rtl/>
        </w:rPr>
      </w:pPr>
    </w:p>
    <w:p w14:paraId="3AE912FC" w14:textId="77777777" w:rsidR="00D26265" w:rsidRDefault="00A11007">
      <w:pPr>
        <w:spacing w:line="360" w:lineRule="auto"/>
        <w:ind w:firstLine="720"/>
        <w:jc w:val="both"/>
        <w:rPr>
          <w:rtl/>
        </w:rPr>
      </w:pPr>
      <w:r>
        <w:rPr>
          <w:u w:val="single"/>
          <w:rtl/>
        </w:rPr>
        <w:t>המאשימה עתרה למתחם עונש הולם הנע בין  3 ל- 5 שנות מאסר</w:t>
      </w:r>
      <w:r>
        <w:rPr>
          <w:rtl/>
        </w:rPr>
        <w:t>.</w:t>
      </w:r>
    </w:p>
    <w:p w14:paraId="1A8A2A76" w14:textId="77777777" w:rsidR="00D26265" w:rsidRDefault="00D26265">
      <w:pPr>
        <w:spacing w:line="360" w:lineRule="auto"/>
        <w:jc w:val="both"/>
        <w:rPr>
          <w:rtl/>
        </w:rPr>
      </w:pPr>
    </w:p>
    <w:p w14:paraId="418BAD56" w14:textId="77777777" w:rsidR="00D26265" w:rsidRDefault="00A11007">
      <w:pPr>
        <w:spacing w:line="360" w:lineRule="auto"/>
        <w:ind w:left="720" w:hanging="720"/>
        <w:jc w:val="both"/>
        <w:rPr>
          <w:rtl/>
        </w:rPr>
      </w:pPr>
      <w:r>
        <w:rPr>
          <w:rtl/>
        </w:rPr>
        <w:t>6.</w:t>
      </w:r>
      <w:r>
        <w:rPr>
          <w:rtl/>
        </w:rPr>
        <w:tab/>
        <w:t>ה</w:t>
      </w:r>
      <w:r>
        <w:rPr>
          <w:rFonts w:hint="cs"/>
          <w:rtl/>
        </w:rPr>
        <w:t>מ</w:t>
      </w:r>
      <w:r>
        <w:rPr>
          <w:rtl/>
        </w:rPr>
        <w:t xml:space="preserve">אשימה ביקשה, כי עונשו של הנאשם ייגזר </w:t>
      </w:r>
      <w:r>
        <w:rPr>
          <w:u w:val="single"/>
          <w:rtl/>
        </w:rPr>
        <w:t>ברף העליון</w:t>
      </w:r>
      <w:r>
        <w:rPr>
          <w:rtl/>
        </w:rPr>
        <w:t xml:space="preserve"> של המתחם שצוין על ידה, שכן לדידה, יש להביא בחשבון, כשיקולים לחומרה, את הצורך בהרתעה אישית של הנאשם ואת הצורך בהרתעת הרבים.</w:t>
      </w:r>
    </w:p>
    <w:p w14:paraId="26858620" w14:textId="77777777" w:rsidR="00D26265" w:rsidRDefault="00D26265">
      <w:pPr>
        <w:spacing w:line="360" w:lineRule="auto"/>
        <w:jc w:val="both"/>
        <w:rPr>
          <w:rtl/>
        </w:rPr>
      </w:pPr>
    </w:p>
    <w:p w14:paraId="6B7730D8" w14:textId="77777777" w:rsidR="00D26265" w:rsidRDefault="00A11007">
      <w:pPr>
        <w:spacing w:line="360" w:lineRule="auto"/>
        <w:ind w:left="720"/>
        <w:jc w:val="both"/>
        <w:rPr>
          <w:rtl/>
        </w:rPr>
      </w:pPr>
      <w:r>
        <w:rPr>
          <w:rtl/>
        </w:rPr>
        <w:t xml:space="preserve">לטענת המאשימה, המלצת שירות המבחן במקרה זה אינה מתיישבת עם חומרת העבירה ועם מדיניות הענישה המחמירה הנהוגה ביחס לעבירות מסוג זה ואף אינה עולה בקנה אחד עם עברו הפלילי המכביד של הנאשם, התמכרותו לסמים ונטייתו להיגרר לכך, שוב ושוב. </w:t>
      </w:r>
    </w:p>
    <w:p w14:paraId="5699C9A6" w14:textId="77777777" w:rsidR="00D26265" w:rsidRDefault="00D26265">
      <w:pPr>
        <w:spacing w:line="360" w:lineRule="auto"/>
        <w:jc w:val="both"/>
        <w:rPr>
          <w:rtl/>
        </w:rPr>
      </w:pPr>
    </w:p>
    <w:p w14:paraId="64D9D6D2" w14:textId="77777777" w:rsidR="00D26265" w:rsidRDefault="00A11007">
      <w:pPr>
        <w:spacing w:line="360" w:lineRule="auto"/>
        <w:ind w:left="720"/>
        <w:jc w:val="both"/>
        <w:rPr>
          <w:rtl/>
        </w:rPr>
      </w:pPr>
      <w:r>
        <w:rPr>
          <w:rtl/>
        </w:rPr>
        <w:t xml:space="preserve">כמו כן, ביקשה המאשימה כי יושת על הנאשם קנס כבד, אשר ישמש גמול נוסף למעשיו וישמש כגורם הרתעה נוסף - הן לנאשם והן לאלו העוסקים בעבירות סמים. בנוסף, ביקשה לפסול את  הנאשם מלקבל או להחזיק רישיון נהיגה. </w:t>
      </w:r>
    </w:p>
    <w:p w14:paraId="14131740" w14:textId="77777777" w:rsidR="00D26265" w:rsidRDefault="00D26265">
      <w:pPr>
        <w:spacing w:line="360" w:lineRule="auto"/>
        <w:jc w:val="both"/>
        <w:rPr>
          <w:rtl/>
        </w:rPr>
      </w:pPr>
    </w:p>
    <w:p w14:paraId="3B6FA760" w14:textId="77777777" w:rsidR="00D26265" w:rsidRDefault="00A11007">
      <w:pPr>
        <w:spacing w:line="360" w:lineRule="auto"/>
        <w:jc w:val="both"/>
        <w:rPr>
          <w:b/>
          <w:bCs/>
          <w:u w:val="single"/>
          <w:rtl/>
        </w:rPr>
      </w:pPr>
      <w:r>
        <w:rPr>
          <w:b/>
          <w:bCs/>
          <w:u w:val="single"/>
          <w:rtl/>
        </w:rPr>
        <w:t>טענות הנאשם לעונש</w:t>
      </w:r>
    </w:p>
    <w:p w14:paraId="4574DF66" w14:textId="77777777" w:rsidR="00D26265" w:rsidRDefault="00D26265">
      <w:pPr>
        <w:spacing w:line="360" w:lineRule="auto"/>
        <w:jc w:val="both"/>
        <w:rPr>
          <w:b/>
          <w:bCs/>
          <w:u w:val="single"/>
          <w:rtl/>
        </w:rPr>
      </w:pPr>
    </w:p>
    <w:p w14:paraId="2FAB1782" w14:textId="77777777" w:rsidR="00D26265" w:rsidRDefault="00A11007">
      <w:pPr>
        <w:spacing w:line="360" w:lineRule="auto"/>
        <w:ind w:left="720" w:hanging="720"/>
        <w:jc w:val="both"/>
        <w:rPr>
          <w:rtl/>
        </w:rPr>
      </w:pPr>
      <w:r>
        <w:rPr>
          <w:rtl/>
        </w:rPr>
        <w:t>7.</w:t>
      </w:r>
      <w:r>
        <w:rPr>
          <w:rtl/>
        </w:rPr>
        <w:tab/>
        <w:t xml:space="preserve">בא כוח הנאשם ביקש שבית המשפט ייתן דעתו לכך שהסמים נמצאו במבנה נטוש, פתוח, עם גישה חופשית ולכך שהנאשם לא יכול היה לדעת מה מקור הסם וכל שידע הוא, שביקשו ממנו להביא את החבילה. אין ראיות שקושרות את הנאשם לעבירה של סחר בסמים ומשכך, הוא אף לא הואשם בעבירה שכזו. </w:t>
      </w:r>
    </w:p>
    <w:p w14:paraId="51B1ACB1" w14:textId="77777777" w:rsidR="00D26265" w:rsidRDefault="00A11007">
      <w:pPr>
        <w:spacing w:line="360" w:lineRule="auto"/>
        <w:ind w:left="720"/>
        <w:jc w:val="both"/>
        <w:rPr>
          <w:rtl/>
        </w:rPr>
      </w:pPr>
      <w:r>
        <w:rPr>
          <w:rtl/>
        </w:rPr>
        <w:t xml:space="preserve">נטען, כי פסקי הדין שהגיש ב"כ המאשימה אינם רלוונטיים למקרה דנן וכי הם אינם משקפים את מדיניות הענישה הנוהגת במקרים בהם התקיימו נסיבות דומות למקרה דכאן. המתחם לו עתרה המאשימה, כך לשיטת הסנגור, הוא מופרז ומוגזם. </w:t>
      </w:r>
    </w:p>
    <w:p w14:paraId="283AF3AB" w14:textId="77777777" w:rsidR="00D26265" w:rsidRDefault="00D26265">
      <w:pPr>
        <w:spacing w:line="360" w:lineRule="auto"/>
        <w:jc w:val="both"/>
        <w:rPr>
          <w:rtl/>
        </w:rPr>
      </w:pPr>
    </w:p>
    <w:p w14:paraId="78A2BA23" w14:textId="77777777" w:rsidR="00D26265" w:rsidRDefault="00A11007">
      <w:pPr>
        <w:spacing w:line="360" w:lineRule="auto"/>
        <w:ind w:left="720"/>
        <w:jc w:val="both"/>
        <w:rPr>
          <w:rtl/>
        </w:rPr>
      </w:pPr>
      <w:r>
        <w:rPr>
          <w:rtl/>
        </w:rPr>
        <w:t xml:space="preserve">הסנגור הפנה לפסיקה (סומנה </w:t>
      </w:r>
      <w:r>
        <w:rPr>
          <w:b/>
          <w:bCs/>
          <w:rtl/>
        </w:rPr>
        <w:t>ענ/1</w:t>
      </w:r>
      <w:r>
        <w:rPr>
          <w:rtl/>
        </w:rPr>
        <w:t xml:space="preserve">, </w:t>
      </w:r>
      <w:r>
        <w:rPr>
          <w:b/>
          <w:bCs/>
          <w:rtl/>
        </w:rPr>
        <w:t>ענ/2</w:t>
      </w:r>
      <w:r>
        <w:rPr>
          <w:rtl/>
        </w:rPr>
        <w:t xml:space="preserve">)  המצביעה, לשיטתו, על מתחם העונש ההולם  במקרה זה, הנע, לטענתו,  </w:t>
      </w:r>
      <w:r>
        <w:rPr>
          <w:u w:val="single"/>
          <w:rtl/>
        </w:rPr>
        <w:t>בין 6 חודשי מאסר ל – 20 חודשי מאסר בפועל</w:t>
      </w:r>
      <w:r>
        <w:rPr>
          <w:rtl/>
        </w:rPr>
        <w:t xml:space="preserve">. </w:t>
      </w:r>
    </w:p>
    <w:p w14:paraId="15CBDAD0" w14:textId="77777777" w:rsidR="00D26265" w:rsidRDefault="00D26265">
      <w:pPr>
        <w:spacing w:line="360" w:lineRule="auto"/>
        <w:jc w:val="both"/>
        <w:rPr>
          <w:rtl/>
        </w:rPr>
      </w:pPr>
    </w:p>
    <w:p w14:paraId="4896080C" w14:textId="77777777" w:rsidR="00D26265" w:rsidRDefault="00A11007">
      <w:pPr>
        <w:spacing w:line="360" w:lineRule="auto"/>
        <w:ind w:left="720" w:hanging="720"/>
        <w:jc w:val="both"/>
        <w:rPr>
          <w:rtl/>
        </w:rPr>
      </w:pPr>
      <w:r>
        <w:rPr>
          <w:rtl/>
        </w:rPr>
        <w:t>8.</w:t>
      </w:r>
      <w:r>
        <w:rPr>
          <w:rtl/>
        </w:rPr>
        <w:tab/>
        <w:t>לעניין גזירת הדין, עתר הסנגור להטיל על הנאשם עונש מאסר, שירוצה בעבודות שירות וכן צו מבחן לתקופה של שנה, במהלכה ימשיך הנאשם את הטיפול במרכז מ.א.מ.ץ.</w:t>
      </w:r>
    </w:p>
    <w:p w14:paraId="3EBF8DD3" w14:textId="77777777" w:rsidR="00D26265" w:rsidRDefault="00D26265">
      <w:pPr>
        <w:spacing w:line="360" w:lineRule="auto"/>
        <w:jc w:val="both"/>
        <w:rPr>
          <w:rtl/>
        </w:rPr>
      </w:pPr>
    </w:p>
    <w:p w14:paraId="55B0ACD8" w14:textId="77777777" w:rsidR="00D26265" w:rsidRDefault="00A11007">
      <w:pPr>
        <w:spacing w:line="360" w:lineRule="auto"/>
        <w:ind w:left="720"/>
        <w:jc w:val="both"/>
        <w:rPr>
          <w:rtl/>
        </w:rPr>
      </w:pPr>
      <w:r>
        <w:rPr>
          <w:rtl/>
        </w:rPr>
        <w:t xml:space="preserve">הסנגור הדגיש את הודאת הנאשם בעבירה שיוחסה לו, את שיתוף הפעולה מצידו, גם במשטרה וגם בבית המשפט, את החיסכון בזמן השיפוטי וכן את חרטתו של הנאשם. </w:t>
      </w:r>
    </w:p>
    <w:p w14:paraId="75E3C876" w14:textId="77777777" w:rsidR="00D26265" w:rsidRDefault="00D26265">
      <w:pPr>
        <w:spacing w:line="360" w:lineRule="auto"/>
        <w:jc w:val="both"/>
        <w:rPr>
          <w:rtl/>
        </w:rPr>
      </w:pPr>
    </w:p>
    <w:p w14:paraId="3E8E4995" w14:textId="77777777" w:rsidR="00D26265" w:rsidRDefault="00A11007">
      <w:pPr>
        <w:spacing w:line="360" w:lineRule="auto"/>
        <w:ind w:left="720"/>
        <w:jc w:val="both"/>
        <w:rPr>
          <w:rtl/>
        </w:rPr>
      </w:pPr>
      <w:r>
        <w:rPr>
          <w:rtl/>
        </w:rPr>
        <w:t xml:space="preserve">לטענתו, מתסקיר שירות המבחן עולים סיכויי שיקום ממשיים ואף ההמלצה היא המשך הליך השיקום. </w:t>
      </w:r>
    </w:p>
    <w:p w14:paraId="73A9B690" w14:textId="77777777" w:rsidR="00D26265" w:rsidRDefault="00D26265">
      <w:pPr>
        <w:spacing w:line="360" w:lineRule="auto"/>
        <w:jc w:val="both"/>
        <w:rPr>
          <w:rtl/>
        </w:rPr>
      </w:pPr>
    </w:p>
    <w:p w14:paraId="50CD9F8F" w14:textId="77777777" w:rsidR="00D26265" w:rsidRDefault="00A11007">
      <w:pPr>
        <w:spacing w:line="360" w:lineRule="auto"/>
        <w:ind w:left="720"/>
        <w:jc w:val="both"/>
        <w:rPr>
          <w:rtl/>
        </w:rPr>
      </w:pPr>
      <w:r>
        <w:rPr>
          <w:rtl/>
        </w:rPr>
        <w:t xml:space="preserve">הסנגור ביקש שתינתן לנאשם הזדמנות אחרונה להוכיח את ניקיונו מסמי רחוב ולהראות שהוא פרש מעולם הסמים והעבריינות. נטען, כי שבעה מאסרים שריצה הנאשם לא שיקמו אותו ולדעת סנגורו גם השמיני לא ישקם אות, אלא יש להתוות לו דרך אחרת - היא מסלול השיקום. </w:t>
      </w:r>
    </w:p>
    <w:p w14:paraId="7B6F047E" w14:textId="77777777" w:rsidR="00D26265" w:rsidRDefault="00D26265">
      <w:pPr>
        <w:spacing w:line="360" w:lineRule="auto"/>
        <w:jc w:val="both"/>
        <w:rPr>
          <w:rtl/>
        </w:rPr>
      </w:pPr>
    </w:p>
    <w:p w14:paraId="6D0C43EA" w14:textId="77777777" w:rsidR="00D26265" w:rsidRDefault="00A11007">
      <w:pPr>
        <w:spacing w:line="360" w:lineRule="auto"/>
        <w:jc w:val="both"/>
        <w:rPr>
          <w:b/>
          <w:bCs/>
          <w:u w:val="single"/>
          <w:rtl/>
        </w:rPr>
      </w:pPr>
      <w:r>
        <w:rPr>
          <w:b/>
          <w:bCs/>
          <w:u w:val="single"/>
          <w:rtl/>
        </w:rPr>
        <w:t>דבר הנאשם</w:t>
      </w:r>
    </w:p>
    <w:p w14:paraId="0A9668D0" w14:textId="77777777" w:rsidR="00D26265" w:rsidRDefault="00D26265">
      <w:pPr>
        <w:spacing w:line="360" w:lineRule="auto"/>
        <w:jc w:val="both"/>
        <w:rPr>
          <w:rtl/>
        </w:rPr>
      </w:pPr>
    </w:p>
    <w:p w14:paraId="473FB054" w14:textId="77777777" w:rsidR="00D26265" w:rsidRDefault="00A11007">
      <w:pPr>
        <w:spacing w:line="360" w:lineRule="auto"/>
        <w:ind w:left="720" w:hanging="720"/>
        <w:jc w:val="both"/>
        <w:rPr>
          <w:rtl/>
        </w:rPr>
      </w:pPr>
      <w:r>
        <w:rPr>
          <w:rtl/>
        </w:rPr>
        <w:t>9.</w:t>
      </w:r>
      <w:r>
        <w:rPr>
          <w:rtl/>
        </w:rPr>
        <w:tab/>
        <w:t xml:space="preserve">הנאשם אמר שהוא יודע שביצע עבירה חמורה, שמדובר במעידה לאחר 9 שנים, בהם הוא לא ביצע כל פשע. </w:t>
      </w:r>
    </w:p>
    <w:p w14:paraId="715C6C44" w14:textId="77777777" w:rsidR="00D26265" w:rsidRDefault="00D26265">
      <w:pPr>
        <w:spacing w:line="360" w:lineRule="auto"/>
        <w:ind w:left="720"/>
        <w:jc w:val="both"/>
        <w:rPr>
          <w:rtl/>
        </w:rPr>
      </w:pPr>
    </w:p>
    <w:p w14:paraId="01B2602C" w14:textId="77777777" w:rsidR="00D26265" w:rsidRDefault="00A11007">
      <w:pPr>
        <w:spacing w:line="360" w:lineRule="auto"/>
        <w:ind w:left="720"/>
        <w:jc w:val="both"/>
        <w:rPr>
          <w:rtl/>
        </w:rPr>
      </w:pPr>
      <w:r>
        <w:rPr>
          <w:rtl/>
        </w:rPr>
        <w:t xml:space="preserve">גם בדבריו בפניי, כמו גם בפני קצינת המבחן, הסביר הנאשם את מעשיו, בכך שלאחר הליך הגירושים שעבר, הוא מצא עצמו ללא עבודה ולא עבד במשך 6 חודשים. </w:t>
      </w:r>
    </w:p>
    <w:p w14:paraId="33202804" w14:textId="77777777" w:rsidR="00D26265" w:rsidRDefault="00D26265">
      <w:pPr>
        <w:spacing w:line="360" w:lineRule="auto"/>
        <w:jc w:val="both"/>
        <w:rPr>
          <w:rtl/>
        </w:rPr>
      </w:pPr>
    </w:p>
    <w:p w14:paraId="73ABE57D" w14:textId="77777777" w:rsidR="00D26265" w:rsidRDefault="00A11007">
      <w:pPr>
        <w:spacing w:line="360" w:lineRule="auto"/>
        <w:jc w:val="both"/>
        <w:rPr>
          <w:b/>
          <w:bCs/>
          <w:u w:val="single"/>
          <w:rtl/>
        </w:rPr>
      </w:pPr>
      <w:r>
        <w:rPr>
          <w:b/>
          <w:bCs/>
          <w:u w:val="single"/>
          <w:rtl/>
        </w:rPr>
        <w:t>דיון וגזירת הדין</w:t>
      </w:r>
    </w:p>
    <w:p w14:paraId="248FDA8F" w14:textId="77777777" w:rsidR="00D26265" w:rsidRDefault="00D26265">
      <w:pPr>
        <w:spacing w:line="360" w:lineRule="auto"/>
        <w:jc w:val="both"/>
        <w:rPr>
          <w:rtl/>
        </w:rPr>
      </w:pPr>
    </w:p>
    <w:p w14:paraId="3DC05406" w14:textId="77777777" w:rsidR="00D26265" w:rsidRDefault="00A11007">
      <w:pPr>
        <w:spacing w:line="360" w:lineRule="auto"/>
        <w:jc w:val="both"/>
        <w:rPr>
          <w:u w:val="single"/>
          <w:rtl/>
        </w:rPr>
      </w:pPr>
      <w:r>
        <w:rPr>
          <w:u w:val="single"/>
          <w:rtl/>
        </w:rPr>
        <w:t>קביעת מתחם העונש ההולם</w:t>
      </w:r>
    </w:p>
    <w:p w14:paraId="16644D3D" w14:textId="77777777" w:rsidR="00D26265" w:rsidRDefault="00D26265">
      <w:pPr>
        <w:spacing w:line="360" w:lineRule="auto"/>
        <w:jc w:val="both"/>
        <w:rPr>
          <w:u w:val="single"/>
          <w:rtl/>
        </w:rPr>
      </w:pPr>
    </w:p>
    <w:p w14:paraId="20F3D595" w14:textId="77777777" w:rsidR="00D26265" w:rsidRDefault="00A11007">
      <w:pPr>
        <w:spacing w:line="360" w:lineRule="auto"/>
        <w:ind w:left="720" w:hanging="720"/>
        <w:jc w:val="both"/>
        <w:rPr>
          <w:rtl/>
        </w:rPr>
      </w:pPr>
      <w:r>
        <w:rPr>
          <w:rtl/>
        </w:rPr>
        <w:t>10.</w:t>
      </w:r>
      <w:r>
        <w:rPr>
          <w:rtl/>
        </w:rPr>
        <w:tab/>
        <w:t xml:space="preserve">רבות נכתב על עבירות הסמים, שהיו לנגע של ממש אשר פשה במקומותינו ועל הנזק הכבד שהן מסבות למשתמשים עצמם ולחברה כולה. לא בכדי קבע המחוקק, לצד העבירה של החזקת סמים שלא לצריכה עצמית, עונש מרבי של 20 שנות מאסר. </w:t>
      </w:r>
    </w:p>
    <w:p w14:paraId="4555865A" w14:textId="77777777" w:rsidR="00D26265" w:rsidRDefault="00D26265">
      <w:pPr>
        <w:spacing w:line="360" w:lineRule="auto"/>
        <w:jc w:val="both"/>
        <w:rPr>
          <w:rtl/>
        </w:rPr>
      </w:pPr>
    </w:p>
    <w:p w14:paraId="7D1000A2" w14:textId="77777777" w:rsidR="00D26265" w:rsidRDefault="00A11007">
      <w:pPr>
        <w:spacing w:line="360" w:lineRule="auto"/>
        <w:ind w:left="720"/>
        <w:jc w:val="both"/>
        <w:rPr>
          <w:rtl/>
        </w:rPr>
      </w:pPr>
      <w:r>
        <w:rPr>
          <w:rtl/>
        </w:rPr>
        <w:t>מגמת בתי המשפט אחת היא - החמרה בעונשם של מבצעי עבירות סמים חמורות והטלת עונשים חמורים על כל מי שמהווה חוליה בשרשרת ייבוא הסם והפצתו.</w:t>
      </w:r>
    </w:p>
    <w:p w14:paraId="69F5542A" w14:textId="77777777" w:rsidR="00D26265" w:rsidRDefault="00D26265">
      <w:pPr>
        <w:spacing w:line="360" w:lineRule="auto"/>
        <w:jc w:val="both"/>
        <w:rPr>
          <w:rtl/>
        </w:rPr>
      </w:pPr>
    </w:p>
    <w:p w14:paraId="03AABF48" w14:textId="77777777" w:rsidR="00D26265" w:rsidRDefault="00A11007">
      <w:pPr>
        <w:shd w:val="clear" w:color="auto" w:fill="F9F9F9"/>
        <w:spacing w:line="360" w:lineRule="auto"/>
        <w:ind w:left="720"/>
        <w:jc w:val="both"/>
        <w:rPr>
          <w:rFonts w:ascii="Arial" w:hAnsi="Arial"/>
          <w:color w:val="333333"/>
          <w:rtl/>
        </w:rPr>
      </w:pPr>
      <w:r>
        <w:rPr>
          <w:rFonts w:ascii="Arial" w:hAnsi="Arial"/>
          <w:color w:val="333333"/>
          <w:rtl/>
        </w:rPr>
        <w:t>באשר לצורך להחמיר בעונשו של מי שידו בעבירות הסמים, לרבות בעונשו של המחזיק סם מסוכן שלא לצריכה עצמית, אפנה ל</w:t>
      </w:r>
      <w:hyperlink r:id="rId17" w:history="1">
        <w:r w:rsidRPr="00A11007">
          <w:rPr>
            <w:rFonts w:ascii="Arial" w:hAnsi="Arial"/>
            <w:color w:val="0000FF"/>
            <w:u w:val="single"/>
            <w:rtl/>
          </w:rPr>
          <w:t>ע"פ 972/11</w:t>
        </w:r>
      </w:hyperlink>
      <w:r>
        <w:rPr>
          <w:rFonts w:ascii="Arial" w:hAnsi="Arial"/>
          <w:color w:val="333333"/>
          <w:rtl/>
        </w:rPr>
        <w:t xml:space="preserve"> </w:t>
      </w:r>
      <w:r>
        <w:rPr>
          <w:rFonts w:ascii="Arial" w:hAnsi="Arial"/>
          <w:b/>
          <w:bCs/>
          <w:color w:val="333333"/>
          <w:rtl/>
        </w:rPr>
        <w:t>מדינת ישראל נ' יניב יונה</w:t>
      </w:r>
      <w:r>
        <w:rPr>
          <w:rFonts w:ascii="Arial" w:hAnsi="Arial"/>
          <w:color w:val="333333"/>
          <w:rtl/>
        </w:rPr>
        <w:t xml:space="preserve"> (מיום</w:t>
      </w:r>
      <w:r>
        <w:rPr>
          <w:rFonts w:ascii="Arial" w:hAnsi="Arial" w:hint="cs"/>
          <w:color w:val="333333"/>
          <w:rtl/>
        </w:rPr>
        <w:t xml:space="preserve"> 4.7.2012</w:t>
      </w:r>
      <w:r>
        <w:rPr>
          <w:rFonts w:ascii="Arial" w:hAnsi="Arial" w:cs="FrankRuehl"/>
          <w:color w:val="333333"/>
          <w:rtl/>
        </w:rPr>
        <w:t>)</w:t>
      </w:r>
      <w:r>
        <w:rPr>
          <w:rFonts w:ascii="Arial" w:hAnsi="Arial" w:cs="FrankRuehl"/>
          <w:b/>
          <w:bCs/>
          <w:color w:val="333333"/>
          <w:rtl/>
        </w:rPr>
        <w:t xml:space="preserve"> </w:t>
      </w:r>
      <w:r>
        <w:rPr>
          <w:rFonts w:ascii="Arial" w:hAnsi="Arial"/>
          <w:color w:val="333333"/>
          <w:rtl/>
        </w:rPr>
        <w:t>ולדברי כבוד השופט רובינשטיין, שם:</w:t>
      </w:r>
    </w:p>
    <w:p w14:paraId="4878CF79" w14:textId="77777777" w:rsidR="00D26265" w:rsidRDefault="00D26265">
      <w:pPr>
        <w:shd w:val="clear" w:color="auto" w:fill="F9F9F9"/>
        <w:spacing w:line="360" w:lineRule="auto"/>
        <w:ind w:left="720"/>
        <w:jc w:val="both"/>
        <w:rPr>
          <w:rFonts w:ascii="Arial" w:hAnsi="Arial"/>
          <w:color w:val="333333"/>
          <w:rtl/>
        </w:rPr>
      </w:pPr>
    </w:p>
    <w:p w14:paraId="5DBC3623" w14:textId="77777777" w:rsidR="00D26265" w:rsidRDefault="00A11007">
      <w:pPr>
        <w:spacing w:line="360" w:lineRule="auto"/>
        <w:ind w:left="1440" w:right="540"/>
        <w:jc w:val="both"/>
        <w:rPr>
          <w:rFonts w:cs="FrankRuehl"/>
          <w:rtl/>
        </w:rPr>
      </w:pPr>
      <w:r>
        <w:rPr>
          <w:rFonts w:ascii="Arial" w:hAnsi="Arial"/>
          <w:color w:val="333333"/>
          <w:rtl/>
        </w:rPr>
        <w:t>"</w:t>
      </w:r>
      <w:r>
        <w:rPr>
          <w:rFonts w:cs="Miriam"/>
          <w:rtl/>
        </w:rPr>
        <w:t>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w:t>
      </w:r>
      <w:r>
        <w:rPr>
          <w:rtl/>
        </w:rPr>
        <w:t>."</w:t>
      </w:r>
    </w:p>
    <w:p w14:paraId="1875CD1C" w14:textId="77777777" w:rsidR="00D26265" w:rsidRDefault="00D26265">
      <w:pPr>
        <w:spacing w:line="360" w:lineRule="auto"/>
        <w:jc w:val="both"/>
        <w:rPr>
          <w:rtl/>
        </w:rPr>
      </w:pPr>
    </w:p>
    <w:p w14:paraId="7A4A7054" w14:textId="77777777" w:rsidR="00D26265" w:rsidRDefault="00A11007">
      <w:pPr>
        <w:spacing w:line="360" w:lineRule="auto"/>
        <w:ind w:left="720" w:hanging="720"/>
        <w:jc w:val="both"/>
        <w:rPr>
          <w:rtl/>
        </w:rPr>
      </w:pPr>
      <w:r>
        <w:rPr>
          <w:rtl/>
        </w:rPr>
        <w:t>11.</w:t>
      </w:r>
      <w:r>
        <w:rPr>
          <w:rtl/>
        </w:rPr>
        <w:tab/>
        <w:t xml:space="preserve">הערכים החברתיים, הנפגעים מביצוע עבירה של החזקת סמים שלא לצריכה עצמית, הם הגנה על שלום הציבור ועל בריאותו של הציבור מפני הפגיעה הקשה של סמים מסוכנים וכן, מניעת הנזקים העקיפים, הכלכליים והחברתיים, הנגרמים בשל השימוש בסמים. </w:t>
      </w:r>
    </w:p>
    <w:p w14:paraId="14C43975" w14:textId="77777777" w:rsidR="00D26265" w:rsidRDefault="00D26265">
      <w:pPr>
        <w:spacing w:line="360" w:lineRule="auto"/>
        <w:jc w:val="both"/>
        <w:rPr>
          <w:rtl/>
        </w:rPr>
      </w:pPr>
    </w:p>
    <w:p w14:paraId="46DD098E" w14:textId="77777777" w:rsidR="00D26265" w:rsidRDefault="00A11007">
      <w:pPr>
        <w:spacing w:line="360" w:lineRule="auto"/>
        <w:ind w:left="720"/>
        <w:jc w:val="both"/>
        <w:rPr>
          <w:rtl/>
        </w:rPr>
      </w:pPr>
      <w:r>
        <w:rPr>
          <w:rtl/>
        </w:rPr>
        <w:t xml:space="preserve">בבחינת הנסיבות הקשורות בביצוע העבירה אביא בחשבון את חלקו המרכזי והעיקרי של הנאשם בביצוע העבירה, תוך מתן תשומת לב לסוג הסם ולכמותו - מדובר בסם מהסמים הקשים, הגורמים לנזקים כבדים בקרב אלה הצורכים אותו וכן, לנזקים לחברה כולה. </w:t>
      </w:r>
    </w:p>
    <w:p w14:paraId="28C47470" w14:textId="77777777" w:rsidR="00D26265" w:rsidRDefault="00D26265">
      <w:pPr>
        <w:spacing w:line="360" w:lineRule="auto"/>
        <w:jc w:val="both"/>
        <w:rPr>
          <w:rtl/>
        </w:rPr>
      </w:pPr>
    </w:p>
    <w:p w14:paraId="13B3BD17" w14:textId="77777777" w:rsidR="00D26265" w:rsidRDefault="00A11007">
      <w:pPr>
        <w:spacing w:line="360" w:lineRule="auto"/>
        <w:ind w:left="720"/>
        <w:jc w:val="both"/>
        <w:rPr>
          <w:rtl/>
        </w:rPr>
      </w:pPr>
      <w:r>
        <w:rPr>
          <w:rtl/>
        </w:rPr>
        <w:t xml:space="preserve">נסיבות איסוף הסמים, דרך הגעתם למקום בו נמצאו, זהותו של מי שביקש מהנאשם להעביר את חבילת הסמים אינם מוצאים את ביטויים בכתב האישום. כל שנטען בהקשר זה, כמפורט בתסקיר, הוא שהנאשם נענה להצעה להעביר את הסמים בשל היותו חסר מסגרת, חסר תעסוקה ובמצוקה כלכלית. הגם שנסיבות אלה לא הובררו, הרי שכמות הסם שנתפס וסוגו, כמו גם נסיבות התפיסה, מלמדים על כך שהנאשם מהווה חלק מרשת הפצת סמים קשים. </w:t>
      </w:r>
    </w:p>
    <w:p w14:paraId="7169CB02" w14:textId="77777777" w:rsidR="00D26265" w:rsidRDefault="00D26265">
      <w:pPr>
        <w:spacing w:line="360" w:lineRule="auto"/>
        <w:jc w:val="both"/>
        <w:rPr>
          <w:rtl/>
        </w:rPr>
      </w:pPr>
    </w:p>
    <w:p w14:paraId="029DF9A7" w14:textId="77777777" w:rsidR="00D26265" w:rsidRDefault="00A11007">
      <w:pPr>
        <w:spacing w:line="360" w:lineRule="auto"/>
        <w:ind w:left="720" w:hanging="720"/>
        <w:jc w:val="both"/>
        <w:rPr>
          <w:rtl/>
        </w:rPr>
      </w:pPr>
      <w:r>
        <w:rPr>
          <w:rtl/>
        </w:rPr>
        <w:t>12.</w:t>
      </w:r>
      <w:r>
        <w:rPr>
          <w:rtl/>
        </w:rPr>
        <w:tab/>
        <w:t>באי כוחם של הצדדים הפנו לפסיקה אשר יש בה לתמוך, כך לשיטתם, במתחם הענישה לוֹ טען כל אחד מהם, אך לא כולה רלוונטית לנסיבות המקרה שלפניי.</w:t>
      </w:r>
    </w:p>
    <w:p w14:paraId="017F1AC4" w14:textId="77777777" w:rsidR="00D26265" w:rsidRDefault="00D26265">
      <w:pPr>
        <w:spacing w:line="360" w:lineRule="auto"/>
        <w:jc w:val="both"/>
        <w:rPr>
          <w:rtl/>
        </w:rPr>
      </w:pPr>
    </w:p>
    <w:p w14:paraId="0432934C" w14:textId="77777777" w:rsidR="00D26265" w:rsidRDefault="00A11007">
      <w:pPr>
        <w:spacing w:line="360" w:lineRule="auto"/>
        <w:ind w:left="720"/>
        <w:jc w:val="both"/>
        <w:rPr>
          <w:rtl/>
        </w:rPr>
      </w:pPr>
      <w:r>
        <w:rPr>
          <w:u w:val="single"/>
          <w:rtl/>
        </w:rPr>
        <w:t>כך, לדוגמא</w:t>
      </w:r>
      <w:r>
        <w:rPr>
          <w:rtl/>
        </w:rPr>
        <w:t xml:space="preserve">: </w:t>
      </w:r>
    </w:p>
    <w:p w14:paraId="234976AA" w14:textId="77777777" w:rsidR="00D26265" w:rsidRDefault="00D26265">
      <w:pPr>
        <w:spacing w:line="360" w:lineRule="auto"/>
        <w:ind w:left="720"/>
        <w:jc w:val="both"/>
        <w:rPr>
          <w:rtl/>
        </w:rPr>
      </w:pPr>
    </w:p>
    <w:p w14:paraId="545A16FA" w14:textId="77777777" w:rsidR="00D26265" w:rsidRDefault="006050FB">
      <w:pPr>
        <w:spacing w:line="360" w:lineRule="auto"/>
        <w:ind w:left="720"/>
        <w:jc w:val="both"/>
        <w:rPr>
          <w:rtl/>
        </w:rPr>
      </w:pPr>
      <w:hyperlink r:id="rId18" w:history="1">
        <w:r w:rsidRPr="006050FB">
          <w:rPr>
            <w:color w:val="0000FF"/>
            <w:u w:val="single"/>
            <w:rtl/>
          </w:rPr>
          <w:t>ת"פ (נצרת) 1048/05</w:t>
        </w:r>
      </w:hyperlink>
      <w:r w:rsidR="00A11007">
        <w:rPr>
          <w:rtl/>
        </w:rPr>
        <w:t xml:space="preserve"> </w:t>
      </w:r>
      <w:r w:rsidR="00A11007">
        <w:rPr>
          <w:b/>
          <w:bCs/>
          <w:rtl/>
        </w:rPr>
        <w:t>מ"י נ' מימון גואמיס</w:t>
      </w:r>
      <w:r w:rsidR="00A11007">
        <w:rPr>
          <w:rtl/>
        </w:rPr>
        <w:t xml:space="preserve"> (מיום 15.6.05), אליו הפנתה המאשימה, שוֹנה בנסיבותיו מענייננו. שם נגזרו על הנאשם 36 חודשי מאסר בפועל, תוך שהופעלו מאסרים על תנאי, חלקם בחופף, כך שנגזר עליו מאסר בפועל לתקופה בת 45 חודשים. אמנם כמות וסוג הסם זהים, אולם בנוסף על 474 טבליות </w:t>
      </w:r>
      <w:r w:rsidR="00A11007">
        <w:t>MDMA</w:t>
      </w:r>
      <w:r w:rsidR="00A11007">
        <w:rPr>
          <w:rtl/>
        </w:rPr>
        <w:t xml:space="preserve"> ("אקסטזי"), נתפסו גם 2.5 קילו חשיש. תסקיר שירות המבחן לא היה חיובי (לאחר שהתברר שהנאשם שיקר לישרות המבחן ולכן נמנע השירות מהמלצה. בנוסף, עברו של הנאשם שם היה מכביד יותר והיו תלויים נגדו שני מאסרים על תנאי בני הפעלה.</w:t>
      </w:r>
    </w:p>
    <w:p w14:paraId="1F306238" w14:textId="77777777" w:rsidR="00D26265" w:rsidRDefault="00D26265">
      <w:pPr>
        <w:spacing w:line="360" w:lineRule="auto"/>
        <w:jc w:val="both"/>
        <w:rPr>
          <w:rtl/>
        </w:rPr>
      </w:pPr>
    </w:p>
    <w:p w14:paraId="1E34B951" w14:textId="77777777" w:rsidR="00D26265" w:rsidRDefault="00A11007">
      <w:pPr>
        <w:spacing w:line="360" w:lineRule="auto"/>
        <w:ind w:left="720"/>
        <w:jc w:val="both"/>
        <w:rPr>
          <w:rtl/>
        </w:rPr>
      </w:pPr>
      <w:r>
        <w:rPr>
          <w:rtl/>
        </w:rPr>
        <w:t>מנגד - ב</w:t>
      </w:r>
      <w:hyperlink r:id="rId19" w:history="1">
        <w:r w:rsidRPr="00A11007">
          <w:rPr>
            <w:color w:val="0000FF"/>
            <w:u w:val="single"/>
            <w:rtl/>
          </w:rPr>
          <w:t>ת"פ 32561-09-13</w:t>
        </w:r>
      </w:hyperlink>
      <w:r>
        <w:rPr>
          <w:rtl/>
        </w:rPr>
        <w:t xml:space="preserve"> </w:t>
      </w:r>
      <w:r>
        <w:rPr>
          <w:b/>
          <w:bCs/>
          <w:rtl/>
        </w:rPr>
        <w:t>מ"י נ' שמעון מנחמוב</w:t>
      </w:r>
      <w:r>
        <w:rPr>
          <w:rtl/>
        </w:rPr>
        <w:t xml:space="preserve"> (מיום 29.9.2014) אליו הפנה הסנגור, הורשע הנאשם בגידול 297 שתילים של סם מסוג קנבוס, שמשקלם 5.5 ק"ג נטו (שלא לצריכה עצמית) והורשע בעבירה על </w:t>
      </w:r>
      <w:hyperlink r:id="rId20" w:history="1">
        <w:r w:rsidR="009A6C0E" w:rsidRPr="009A6C0E">
          <w:rPr>
            <w:color w:val="0000FF"/>
            <w:u w:val="single"/>
            <w:rtl/>
          </w:rPr>
          <w:t>סעיף 6</w:t>
        </w:r>
      </w:hyperlink>
      <w:r>
        <w:rPr>
          <w:rtl/>
        </w:rPr>
        <w:t xml:space="preserve"> ל</w:t>
      </w:r>
      <w:hyperlink r:id="rId21" w:history="1">
        <w:r w:rsidRPr="00A11007">
          <w:rPr>
            <w:color w:val="0000FF"/>
            <w:u w:val="single"/>
            <w:rtl/>
          </w:rPr>
          <w:t>פקודת הסמים המסוכנים</w:t>
        </w:r>
      </w:hyperlink>
      <w:r>
        <w:rPr>
          <w:rtl/>
        </w:rPr>
        <w:t xml:space="preserve">. נקבע שם מתחם ענישה, הנע בין 6 חודשי מאסר שלא לריצוי בעבודות שירות ל- 20 חודשי מאסר והנאשם נדון ל- 11 חודשי מאסר בפועל ולעונשים נלווים. </w:t>
      </w:r>
    </w:p>
    <w:p w14:paraId="67B60A07" w14:textId="77777777" w:rsidR="00D26265" w:rsidRDefault="00D26265">
      <w:pPr>
        <w:spacing w:line="360" w:lineRule="auto"/>
        <w:jc w:val="both"/>
        <w:rPr>
          <w:rtl/>
        </w:rPr>
      </w:pPr>
    </w:p>
    <w:p w14:paraId="4DAB91D3" w14:textId="77777777" w:rsidR="00D26265" w:rsidRDefault="00A11007">
      <w:pPr>
        <w:spacing w:line="360" w:lineRule="auto"/>
        <w:ind w:left="720"/>
        <w:jc w:val="both"/>
        <w:rPr>
          <w:rtl/>
        </w:rPr>
      </w:pPr>
      <w:r>
        <w:rPr>
          <w:rtl/>
        </w:rPr>
        <w:t xml:space="preserve">לא ניתן להקיש מגזה"ד זה לענייננו, במיוחד בשל ההבדל המשמעותי והמהותי בסוג הסם. בנוסף, ביהמ"ש שם התחשב במצבו הרפואי הקשה של הנאשם, שסבל ממחלות שונות ובכללן, בעיות לב ומחלת סרטן העור ובכך שיש לו אישור לצרוך קנביס רפואי ובהמלצת שירות המבחן להשית עליו מאסר על תנאי בלבד. </w:t>
      </w:r>
    </w:p>
    <w:p w14:paraId="4A0618FA" w14:textId="77777777" w:rsidR="00D26265" w:rsidRDefault="00D26265">
      <w:pPr>
        <w:spacing w:line="360" w:lineRule="auto"/>
        <w:ind w:left="720"/>
        <w:jc w:val="both"/>
        <w:rPr>
          <w:rtl/>
        </w:rPr>
      </w:pPr>
    </w:p>
    <w:p w14:paraId="66F91A0A" w14:textId="77777777" w:rsidR="00D26265" w:rsidRDefault="00A11007">
      <w:pPr>
        <w:spacing w:line="360" w:lineRule="auto"/>
        <w:ind w:left="720"/>
        <w:jc w:val="both"/>
        <w:rPr>
          <w:rtl/>
        </w:rPr>
      </w:pPr>
      <w:r>
        <w:rPr>
          <w:rtl/>
        </w:rPr>
        <w:t xml:space="preserve">על גזר הדין הנ"ל הגיש הנאשם ערעור לבית המשפט המחוזי מרכז </w:t>
      </w:r>
      <w:r>
        <w:rPr>
          <w:rFonts w:hint="cs"/>
          <w:rtl/>
        </w:rPr>
        <w:t>(</w:t>
      </w:r>
      <w:r>
        <w:rPr>
          <w:rtl/>
        </w:rPr>
        <w:t xml:space="preserve">עפ"ג (מרכז) </w:t>
      </w:r>
      <w:r>
        <w:rPr>
          <w:rFonts w:hint="cs"/>
          <w:rtl/>
        </w:rPr>
        <w:t xml:space="preserve">מס' </w:t>
      </w:r>
      <w:r>
        <w:rPr>
          <w:rtl/>
        </w:rPr>
        <w:t xml:space="preserve"> 12504-11-14), ערעורו התקבל, תוך שביהמ"ש של הערעור נותן משקל לכך שהיה לנאשם רישיון לגדל קנביס רפואי ועונשו הופחת ל- 9 חודשי מאסר בפועל, אך מדובר במקרה מיוחד וכאמור - בסך הנחשב "קל".</w:t>
      </w:r>
    </w:p>
    <w:p w14:paraId="7D68EF0F" w14:textId="77777777" w:rsidR="00D26265" w:rsidRDefault="00D26265">
      <w:pPr>
        <w:spacing w:line="360" w:lineRule="auto"/>
        <w:ind w:left="720"/>
        <w:jc w:val="both"/>
        <w:rPr>
          <w:rtl/>
        </w:rPr>
      </w:pPr>
    </w:p>
    <w:p w14:paraId="3DA81533" w14:textId="77777777" w:rsidR="00D26265" w:rsidRDefault="00A11007">
      <w:pPr>
        <w:spacing w:line="360" w:lineRule="auto"/>
        <w:ind w:left="720"/>
        <w:jc w:val="both"/>
        <w:rPr>
          <w:rtl/>
        </w:rPr>
      </w:pPr>
      <w:r>
        <w:rPr>
          <w:rtl/>
        </w:rPr>
        <w:t xml:space="preserve">לעומת זאת, סם מסוג </w:t>
      </w:r>
      <w:r>
        <w:t>MDMA</w:t>
      </w:r>
      <w:r>
        <w:rPr>
          <w:rtl/>
        </w:rPr>
        <w:t xml:space="preserve">, הוא סם "קשה", שהשפעותיו הרסניות ולעיתים בלתי הפיכות ולא בכדי הפנתה המדינה, בטיעוניה הכתובים, אל גזר הדין שניתן ע"י כבוד השופט ביתן </w:t>
      </w:r>
      <w:r>
        <w:rPr>
          <w:rFonts w:hint="cs"/>
          <w:rtl/>
        </w:rPr>
        <w:t>אל</w:t>
      </w:r>
      <w:r>
        <w:rPr>
          <w:rtl/>
        </w:rPr>
        <w:t xml:space="preserve">יהו </w:t>
      </w:r>
      <w:hyperlink r:id="rId22" w:history="1">
        <w:r w:rsidR="00D54964" w:rsidRPr="00D54964">
          <w:rPr>
            <w:color w:val="0000FF"/>
            <w:u w:val="single"/>
            <w:rtl/>
          </w:rPr>
          <w:t>בת"פ (מחוזי באר-שבע) 8113/08</w:t>
        </w:r>
      </w:hyperlink>
      <w:r>
        <w:rPr>
          <w:rtl/>
        </w:rPr>
        <w:t xml:space="preserve"> - </w:t>
      </w:r>
      <w:r>
        <w:rPr>
          <w:b/>
          <w:bCs/>
          <w:rtl/>
        </w:rPr>
        <w:t>מדינת ישראל נ' בודרם רפי</w:t>
      </w:r>
      <w:r>
        <w:rPr>
          <w:rtl/>
        </w:rPr>
        <w:t>, (</w:t>
      </w:r>
      <w:r>
        <w:rPr>
          <w:rFonts w:hint="cs"/>
          <w:rtl/>
        </w:rPr>
        <w:t>30.11.2008</w:t>
      </w:r>
      <w:r>
        <w:rPr>
          <w:rtl/>
        </w:rPr>
        <w:t>), אשר ציטט את ההשפעות ההרסניות של סם זה מאתר "הרשות הלאומית למלחמה בסמים ואלכוהול"</w:t>
      </w:r>
      <w:r>
        <w:rPr>
          <w:rFonts w:hint="cs"/>
          <w:rtl/>
        </w:rPr>
        <w:t>, כדלקמן:</w:t>
      </w:r>
    </w:p>
    <w:p w14:paraId="74421E04" w14:textId="77777777" w:rsidR="00D26265" w:rsidRDefault="00D26265">
      <w:pPr>
        <w:spacing w:line="360" w:lineRule="auto"/>
        <w:ind w:left="720"/>
        <w:jc w:val="both"/>
        <w:rPr>
          <w:rtl/>
        </w:rPr>
      </w:pPr>
    </w:p>
    <w:p w14:paraId="27866D26" w14:textId="77777777" w:rsidR="00D26265" w:rsidRDefault="00A11007">
      <w:pPr>
        <w:spacing w:line="360" w:lineRule="auto"/>
        <w:ind w:left="1440" w:right="426"/>
        <w:jc w:val="both"/>
        <w:rPr>
          <w:b/>
          <w:bCs/>
          <w:rtl/>
        </w:rPr>
      </w:pPr>
      <w:r>
        <w:rPr>
          <w:rtl/>
        </w:rPr>
        <w:t>"</w:t>
      </w:r>
      <w:r>
        <w:rPr>
          <w:b/>
          <w:bCs/>
          <w:rtl/>
        </w:rPr>
        <w:t xml:space="preserve">האקסטזי יכול לגרום הפרעות נפשיות לא מאוזנות, הכוללות התקפי חרדה, פניקה, דיכאון וחשיבה פרנואידית. השפעת הסם גורמת חוסר שקט, הזיות שמיעה וראייה, תחושת רדיפה, התנתקות מהמציאות ופגיעה בכושר השיפוט. לעתים מביא הסם בעקבותיו עלייה קיצונית בערנות, אופוריה ופרצי אנרגיה גופנית ונפשית. השימוש בחומר מעורר תחושת קרבה פתאומית גדולה בין אנשים. עם חלוף 24 שעות עד חודשים אחדים ממועד השימוש, המשתמש חש קהות חושים, דיכאון, חרדה, כעס, רגזנות, עוינות ועייפות. שימוש רצוף מותיר במשתמש תופעות של דיכאון והפרעות בזיכרון. </w:t>
      </w:r>
    </w:p>
    <w:p w14:paraId="6B1621A5" w14:textId="77777777" w:rsidR="00D26265" w:rsidRDefault="00A11007">
      <w:pPr>
        <w:spacing w:line="360" w:lineRule="auto"/>
        <w:ind w:left="1440" w:right="426"/>
        <w:jc w:val="both"/>
        <w:rPr>
          <w:b/>
          <w:bCs/>
          <w:rtl/>
        </w:rPr>
      </w:pPr>
      <w:r>
        <w:rPr>
          <w:b/>
          <w:bCs/>
          <w:rtl/>
        </w:rPr>
        <w:t>התכונות המעוררות של הסם גורמות ללחץ דם גבוה ודופק מהיר, הפרעות בקצב הלב והתכווצויות. בעת השימוש נמצא הלב לעתים במצבי לחץ היכולים לגרום התקף לב. כמו כן נצפו מקרים של שטפי דם במוח. שימוש באקסטזי תוך כדי פעילות גופנית מאומצת, כזו הנעשית במסיבות ריקודים, עלול לגרום עלייה מסוכנת בטמפרטורת הגוף (עד למעלה מ- 43 מעלות צלזיוס). זוהי אחת מהשפעותיו המזיקות של האקסטזי על הגוף, והיא קשורה בהרס מנגנון בקרת הטמפרטורה במוח, שהשימוש באקסטזי מוביל אליו. עליית טמפרטורת הגוף וההתייבשות הנלווית אליה יכולות לגרום סיבוכים שונים במערכת זרימת הדם, השפעה על הלב וכדומה. הביטוי לכך יכול להיות בתחושות כמו עוויתות שרירים ודופק לב מואץ עד אבדן הכרה ומוות. ישנם דיווחים מארצות שונות על מקרי מוות במסיבות של צרכני אקסטזי, וסביר להניח שנפגעים שמצאו במסיבות כאלו את מותם הם אלו שהרשו לעצמם להתנסות בחומר מבלי שידעו שבזמן מאמץ פיזי האקסטזי גורם להשפעות גופניות תובעניות מידי לגוף. השפעות נוספות: השימוש באקסטזי גורם התרחבות האישונים, ראייה כפולה, הפרשת ריר או יובש בפה, ירידה בתיאבון, נוקשות בלסתות, בחילה, אי יציבות בקרסוליים.</w:t>
      </w:r>
    </w:p>
    <w:p w14:paraId="4B15A4C9" w14:textId="77777777" w:rsidR="00D26265" w:rsidRDefault="00A11007">
      <w:pPr>
        <w:spacing w:line="360" w:lineRule="auto"/>
        <w:ind w:left="1440" w:right="567"/>
        <w:jc w:val="both"/>
        <w:rPr>
          <w:rtl/>
        </w:rPr>
      </w:pPr>
      <w:r>
        <w:rPr>
          <w:b/>
          <w:bCs/>
          <w:rtl/>
        </w:rPr>
        <w:t>השימוש באקסטזי גורם למוח נזק, וזה יכול להיות בלתי הפיך. בניסוי בקופים מצאו לאחרונה ששבע שנים לאחר מתן החומר עדיין נותר בעינו הנזק המוחי. לכן יש סבירות גבוהה שגם אצל בני אדם שצורכים אקסטזי בקביעות יהיה הנזק המוחי בלתי-הפיך. השימוש באקסטזי פוגע בנוירונים במוח שמשחררים חומר כימי חשוב לפעולת המוח - סרוטונין, לנוירונים אלו יש תפקיד חשוב וישיר בוויסות התנהגויות שונות, כמו תוקפנות, מצבי רוח, פעילות מינית, שינה, רגישות לכאב. לאחרונה הראו מדענים שאצל משתמשים קבועים באקסטזי (</w:t>
      </w:r>
      <w:r>
        <w:rPr>
          <w:b/>
          <w:bCs/>
        </w:rPr>
        <w:t>MDMA</w:t>
      </w:r>
      <w:r>
        <w:rPr>
          <w:b/>
          <w:bCs/>
          <w:rtl/>
        </w:rPr>
        <w:t>) נמצא נזק מוחי הקשור גם לבעיות זיכרון. שימוש באקסטזי יכול לגרום גם לפגיעה בכבד, במערכת הכליות ובשרירים</w:t>
      </w:r>
      <w:r>
        <w:rPr>
          <w:rtl/>
        </w:rPr>
        <w:t xml:space="preserve">". </w:t>
      </w:r>
    </w:p>
    <w:p w14:paraId="185F97F3" w14:textId="77777777" w:rsidR="00D26265" w:rsidRDefault="00D26265">
      <w:pPr>
        <w:spacing w:line="360" w:lineRule="auto"/>
        <w:ind w:left="720" w:right="567"/>
        <w:jc w:val="both"/>
        <w:rPr>
          <w:rtl/>
        </w:rPr>
      </w:pPr>
    </w:p>
    <w:p w14:paraId="26551275" w14:textId="77777777" w:rsidR="00D26265" w:rsidRDefault="00A11007">
      <w:pPr>
        <w:spacing w:line="360" w:lineRule="auto"/>
        <w:ind w:left="720"/>
        <w:jc w:val="both"/>
        <w:rPr>
          <w:rtl/>
        </w:rPr>
      </w:pPr>
      <w:r>
        <w:rPr>
          <w:rtl/>
        </w:rPr>
        <w:t>כבוד השופט ביתן אף ציין, כי באתר אגודת "אל סם", מוגדר האקסטזי כַּסם הלא חוקי המאיים ביותר על הנוער כיום.</w:t>
      </w:r>
    </w:p>
    <w:p w14:paraId="28B1C96E" w14:textId="77777777" w:rsidR="00D26265" w:rsidRDefault="00A11007">
      <w:pPr>
        <w:spacing w:line="360" w:lineRule="auto"/>
        <w:ind w:left="720"/>
        <w:jc w:val="both"/>
        <w:rPr>
          <w:rtl/>
        </w:rPr>
      </w:pPr>
      <w:r>
        <w:rPr>
          <w:rtl/>
        </w:rPr>
        <w:t xml:space="preserve"> </w:t>
      </w:r>
    </w:p>
    <w:p w14:paraId="478939E8" w14:textId="77777777" w:rsidR="00D26265" w:rsidRDefault="00A11007">
      <w:pPr>
        <w:spacing w:line="360" w:lineRule="auto"/>
        <w:ind w:left="720"/>
        <w:jc w:val="both"/>
        <w:rPr>
          <w:rtl/>
        </w:rPr>
      </w:pPr>
      <w:r>
        <w:rPr>
          <w:rtl/>
        </w:rPr>
        <w:t xml:space="preserve">הנה כי כן, ומבלי שישתמע כי בעבירות סם מסוג חשיש/קנביס אין חומרה, אין כל מקום להשוואה בין החומרה בה יש לראות עבירת סמים כאשר הסם הוא מסוג </w:t>
      </w:r>
      <w:r>
        <w:t>MDMA</w:t>
      </w:r>
      <w:r>
        <w:rPr>
          <w:rtl/>
        </w:rPr>
        <w:t xml:space="preserve"> לעומת סם מסוג קנביס.</w:t>
      </w:r>
    </w:p>
    <w:p w14:paraId="767F54EA" w14:textId="77777777" w:rsidR="00D26265" w:rsidRDefault="00D26265">
      <w:pPr>
        <w:spacing w:line="360" w:lineRule="auto"/>
        <w:ind w:left="720"/>
        <w:jc w:val="both"/>
        <w:rPr>
          <w:rtl/>
        </w:rPr>
      </w:pPr>
    </w:p>
    <w:p w14:paraId="0DE99AD5" w14:textId="77777777" w:rsidR="00D26265" w:rsidRDefault="00A11007">
      <w:pPr>
        <w:spacing w:line="360" w:lineRule="auto"/>
        <w:ind w:left="720" w:hanging="720"/>
        <w:jc w:val="both"/>
        <w:rPr>
          <w:u w:val="single"/>
          <w:rtl/>
        </w:rPr>
      </w:pPr>
      <w:r>
        <w:rPr>
          <w:rtl/>
        </w:rPr>
        <w:t>13.</w:t>
      </w:r>
      <w:r>
        <w:rPr>
          <w:rtl/>
        </w:rPr>
        <w:tab/>
        <w:t xml:space="preserve">בנסיבות העניין סבורה אני שהמתחם לו טענה האשימה, הולם הוא את העבירה על נסיבותיה ולפיכך אני קובעת, כי </w:t>
      </w:r>
      <w:r>
        <w:rPr>
          <w:u w:val="single"/>
          <w:rtl/>
        </w:rPr>
        <w:t>מתחם העונש ההולם במקרה דנן נע בין 3 ל- 5 שנות מאסר בפועל</w:t>
      </w:r>
      <w:r>
        <w:rPr>
          <w:rtl/>
        </w:rPr>
        <w:t>.</w:t>
      </w:r>
    </w:p>
    <w:p w14:paraId="55E5A0BD" w14:textId="77777777" w:rsidR="00D26265" w:rsidRDefault="00D26265">
      <w:pPr>
        <w:spacing w:line="360" w:lineRule="auto"/>
        <w:jc w:val="both"/>
        <w:rPr>
          <w:u w:val="single"/>
          <w:rtl/>
        </w:rPr>
      </w:pPr>
    </w:p>
    <w:p w14:paraId="655457D0" w14:textId="77777777" w:rsidR="00D26265" w:rsidRDefault="00A11007">
      <w:pPr>
        <w:spacing w:line="360" w:lineRule="auto"/>
        <w:jc w:val="both"/>
        <w:rPr>
          <w:u w:val="single"/>
          <w:rtl/>
        </w:rPr>
      </w:pPr>
      <w:r>
        <w:rPr>
          <w:u w:val="single"/>
          <w:rtl/>
        </w:rPr>
        <w:t>גזירת הדין בתוך המתחם</w:t>
      </w:r>
    </w:p>
    <w:p w14:paraId="6FB9A8A4" w14:textId="77777777" w:rsidR="00D26265" w:rsidRDefault="00D26265">
      <w:pPr>
        <w:spacing w:line="360" w:lineRule="auto"/>
        <w:jc w:val="both"/>
        <w:rPr>
          <w:rtl/>
        </w:rPr>
      </w:pPr>
    </w:p>
    <w:p w14:paraId="408792DD" w14:textId="77777777" w:rsidR="00D26265" w:rsidRDefault="00A11007">
      <w:pPr>
        <w:spacing w:line="360" w:lineRule="auto"/>
        <w:ind w:left="720" w:hanging="720"/>
        <w:jc w:val="both"/>
        <w:rPr>
          <w:rtl/>
        </w:rPr>
      </w:pPr>
      <w:r>
        <w:rPr>
          <w:rFonts w:hint="cs"/>
          <w:rtl/>
        </w:rPr>
        <w:t>14.</w:t>
      </w:r>
      <w:r>
        <w:rPr>
          <w:rtl/>
        </w:rPr>
        <w:tab/>
        <w:t>הנאשם, יליד</w:t>
      </w:r>
      <w:r>
        <w:rPr>
          <w:rFonts w:hint="cs"/>
          <w:rtl/>
        </w:rPr>
        <w:t xml:space="preserve"> 21.4.65</w:t>
      </w:r>
      <w:r>
        <w:rPr>
          <w:rtl/>
        </w:rPr>
        <w:t>, היה עצור בגין העבירה שביצע בתיק זה מיום</w:t>
      </w:r>
      <w:r>
        <w:rPr>
          <w:rFonts w:hint="cs"/>
          <w:rtl/>
        </w:rPr>
        <w:t xml:space="preserve"> 7.10.14</w:t>
      </w:r>
      <w:r>
        <w:rPr>
          <w:rtl/>
        </w:rPr>
        <w:t xml:space="preserve"> ושוחרר בתנאים של "מעצר בית" ביום</w:t>
      </w:r>
      <w:r>
        <w:rPr>
          <w:rFonts w:hint="cs"/>
          <w:rtl/>
        </w:rPr>
        <w:t xml:space="preserve"> 31.12.14</w:t>
      </w:r>
      <w:r>
        <w:rPr>
          <w:rtl/>
        </w:rPr>
        <w:t>.</w:t>
      </w:r>
    </w:p>
    <w:p w14:paraId="2C1A08B8" w14:textId="77777777" w:rsidR="00D26265" w:rsidRDefault="00D26265">
      <w:pPr>
        <w:spacing w:line="360" w:lineRule="auto"/>
        <w:jc w:val="both"/>
        <w:rPr>
          <w:rtl/>
        </w:rPr>
      </w:pPr>
    </w:p>
    <w:p w14:paraId="7DCD4BEA" w14:textId="77777777" w:rsidR="00D26265" w:rsidRDefault="00A11007">
      <w:pPr>
        <w:spacing w:line="360" w:lineRule="auto"/>
        <w:ind w:left="720"/>
        <w:jc w:val="both"/>
        <w:rPr>
          <w:rtl/>
        </w:rPr>
      </w:pPr>
      <w:r>
        <w:rPr>
          <w:rtl/>
        </w:rPr>
        <w:t>לזכות הנאשם אביא בחשבון את הודאתו בעובדות כתב האישום המתוקן, אשר חסכה זמן שיפוטי יקר ואת החרטה והצער שהביע על מעשיו, הן בפני שירות המבחן והן בפניי. כן אביא בחשבון את התרשמות שירות המבחן מהנאשם, כפי שפורט בתסקיר שהוגש.</w:t>
      </w:r>
    </w:p>
    <w:p w14:paraId="47E63E61" w14:textId="77777777" w:rsidR="00D26265" w:rsidRDefault="00D26265">
      <w:pPr>
        <w:spacing w:line="360" w:lineRule="auto"/>
        <w:jc w:val="both"/>
        <w:rPr>
          <w:rtl/>
        </w:rPr>
      </w:pPr>
    </w:p>
    <w:p w14:paraId="66F3D824" w14:textId="77777777" w:rsidR="00D26265" w:rsidRDefault="00A11007">
      <w:pPr>
        <w:spacing w:line="360" w:lineRule="auto"/>
        <w:ind w:left="720"/>
        <w:jc w:val="both"/>
        <w:rPr>
          <w:rtl/>
        </w:rPr>
      </w:pPr>
      <w:r>
        <w:rPr>
          <w:rtl/>
        </w:rPr>
        <w:t>בנוסף, הגם שלנאשם עבר פלילי מכביד, כפי שפירטתי לעיל, לא נעלם ממני שהעבירה האחרונה בגינה הורשע הנאשם, בוצעה לפני למעלה מעשר שנים - בשנת 2004 (בגינה הורשע בשנת 2006).</w:t>
      </w:r>
    </w:p>
    <w:p w14:paraId="33B7D32B" w14:textId="77777777" w:rsidR="00D26265" w:rsidRDefault="00D26265">
      <w:pPr>
        <w:spacing w:line="360" w:lineRule="auto"/>
        <w:jc w:val="both"/>
        <w:rPr>
          <w:rtl/>
        </w:rPr>
      </w:pPr>
    </w:p>
    <w:p w14:paraId="2E2CD64A" w14:textId="77777777" w:rsidR="00D26265" w:rsidRDefault="00A11007">
      <w:pPr>
        <w:spacing w:line="360" w:lineRule="auto"/>
        <w:ind w:left="720" w:hanging="720"/>
        <w:jc w:val="both"/>
        <w:rPr>
          <w:rtl/>
        </w:rPr>
      </w:pPr>
      <w:r>
        <w:rPr>
          <w:rtl/>
        </w:rPr>
        <w:t>15.</w:t>
      </w:r>
      <w:r>
        <w:rPr>
          <w:rtl/>
        </w:rPr>
        <w:tab/>
        <w:t xml:space="preserve">חריגה ממתחם העונש ההולם אפשרית, על פי </w:t>
      </w:r>
      <w:hyperlink r:id="rId23" w:history="1">
        <w:r w:rsidR="009A6C0E" w:rsidRPr="009A6C0E">
          <w:rPr>
            <w:color w:val="0000FF"/>
            <w:u w:val="single"/>
            <w:rtl/>
          </w:rPr>
          <w:t>סעיף 40(א)</w:t>
        </w:r>
      </w:hyperlink>
      <w:r>
        <w:rPr>
          <w:rtl/>
        </w:rPr>
        <w:t xml:space="preserve"> ל</w:t>
      </w:r>
      <w:hyperlink r:id="rId24" w:history="1">
        <w:r w:rsidRPr="00A11007">
          <w:rPr>
            <w:color w:val="0000FF"/>
            <w:u w:val="single"/>
            <w:rtl/>
          </w:rPr>
          <w:t>חוק העונשין</w:t>
        </w:r>
      </w:hyperlink>
      <w:r>
        <w:rPr>
          <w:rtl/>
        </w:rPr>
        <w:t xml:space="preserve">, התשל"ז-1977, רק כאשר ביהמ"ש מתרשם שקיים יש </w:t>
      </w:r>
      <w:r>
        <w:rPr>
          <w:u w:val="single"/>
          <w:rtl/>
        </w:rPr>
        <w:t xml:space="preserve">סיכוי </w:t>
      </w:r>
      <w:r>
        <w:rPr>
          <w:b/>
          <w:bCs/>
          <w:u w:val="single"/>
          <w:rtl/>
        </w:rPr>
        <w:t>של ממש</w:t>
      </w:r>
      <w:r>
        <w:rPr>
          <w:rtl/>
        </w:rPr>
        <w:t xml:space="preserve"> שהנאשם ישתקם. </w:t>
      </w:r>
      <w:hyperlink r:id="rId25" w:history="1">
        <w:r w:rsidR="009A6C0E" w:rsidRPr="009A6C0E">
          <w:rPr>
            <w:color w:val="0000FF"/>
            <w:u w:val="single"/>
            <w:rtl/>
          </w:rPr>
          <w:t>סעיף 40(ב)</w:t>
        </w:r>
      </w:hyperlink>
      <w:r>
        <w:rPr>
          <w:rtl/>
        </w:rPr>
        <w:t xml:space="preserve"> מורה אותנו, כי יש אף לאזן בין חומרת העבירה ובין חריגה ממתחם העונש ההולם בשל סיכויי שיקום.  </w:t>
      </w:r>
    </w:p>
    <w:p w14:paraId="09259B2B" w14:textId="77777777" w:rsidR="00D26265" w:rsidRDefault="00D26265">
      <w:pPr>
        <w:spacing w:line="360" w:lineRule="auto"/>
        <w:ind w:firstLine="720"/>
        <w:jc w:val="both"/>
        <w:rPr>
          <w:rtl/>
        </w:rPr>
      </w:pPr>
    </w:p>
    <w:p w14:paraId="02BE82A3" w14:textId="77777777" w:rsidR="00D26265" w:rsidRDefault="00A11007">
      <w:pPr>
        <w:spacing w:line="360" w:lineRule="auto"/>
        <w:ind w:left="720"/>
        <w:jc w:val="both"/>
        <w:rPr>
          <w:rtl/>
        </w:rPr>
      </w:pPr>
      <w:r>
        <w:rPr>
          <w:rtl/>
        </w:rPr>
        <w:t>על אף המלצת שירות המבחן לאפשר לנאשם להמשיך את הטיפול במרכז מ.א.מ.ץ, לא מצאתי כי במקרה זה, יש מקום לחרוג ממתחם העונש ההולם, בשל סיכויי שיקום. אינני סבורה כי מכלול העובדות אשר בפניי מצביע על שיקולי שיקום ממשיים.  הנאשם השתמש בסמים תקופה ארוכה ועבר מספר הליכי שיקום, אולם התקשה לשמור על ניקיון מסמים ובכל פעם חזר לסורו. גם במקרה זה נמצאו אצל הנאשם, בתחילת ההליך, שרידים של סמי רחוב.</w:t>
      </w:r>
    </w:p>
    <w:p w14:paraId="61A65BAA" w14:textId="77777777" w:rsidR="00D26265" w:rsidRDefault="00D26265">
      <w:pPr>
        <w:spacing w:line="360" w:lineRule="auto"/>
        <w:ind w:left="720"/>
        <w:jc w:val="both"/>
        <w:rPr>
          <w:rtl/>
        </w:rPr>
      </w:pPr>
    </w:p>
    <w:p w14:paraId="4617684B" w14:textId="77777777" w:rsidR="00D26265" w:rsidRDefault="00A11007">
      <w:pPr>
        <w:spacing w:line="360" w:lineRule="auto"/>
        <w:ind w:left="720"/>
        <w:jc w:val="both"/>
        <w:rPr>
          <w:rtl/>
        </w:rPr>
      </w:pPr>
      <w:r>
        <w:rPr>
          <w:rtl/>
        </w:rPr>
        <w:t>הנאשם מתרץ את חזרתו לסמים בכך שבמשך 6 חודשים היה מחוסר עבודה וגם הערכת שירות המבחן היא, שיציאתו מהמסגרת התעסוקתית הובילה אותו לחבירה לקבוצת שוליים, בהמשכה ביצע את העבירה דנן. אם זה כל שנדרש על מנת שהנאשם יחבור שוב לקבוצת שוליים ויהווה חלק מרשת הפצה של סמים קשים, לא ניתן לומר שקיימים סיכויי שיקום של ממש, המצדיקים חריגה ממתחם העונש ההולם ובוודאי לא ניתן לשלול אפשרות להישנות העבירה, המסכנת חמורות את הציבור.</w:t>
      </w:r>
    </w:p>
    <w:p w14:paraId="0B08E66F" w14:textId="77777777" w:rsidR="00D26265" w:rsidRDefault="00D26265">
      <w:pPr>
        <w:spacing w:line="360" w:lineRule="auto"/>
        <w:jc w:val="both"/>
        <w:rPr>
          <w:rtl/>
        </w:rPr>
      </w:pPr>
    </w:p>
    <w:p w14:paraId="6F7CD3FD" w14:textId="77777777" w:rsidR="00D26265" w:rsidRDefault="00A11007">
      <w:pPr>
        <w:spacing w:line="360" w:lineRule="auto"/>
        <w:ind w:left="720" w:hanging="720"/>
        <w:jc w:val="both"/>
        <w:rPr>
          <w:rtl/>
        </w:rPr>
      </w:pPr>
      <w:r>
        <w:rPr>
          <w:rtl/>
        </w:rPr>
        <w:t>16.</w:t>
      </w:r>
      <w:r>
        <w:rPr>
          <w:rtl/>
        </w:rPr>
        <w:tab/>
        <w:t>עם זאת, ועל אף שסבורה אני שסיכויי השיקום אינם מצדיקים חריגה ממתחם העונש ההולם, סבורה אני כי יש בהם כדי להצדיק הימנעות משליחת הנאשם (על אף עברו המכביד וכל האמור לעיל), לתקופת מאסר ארוכה וגזירת הדין ברף התחתון של מתחם העונש ההולם, שקבעתי לעיל.</w:t>
      </w:r>
    </w:p>
    <w:p w14:paraId="22DD7C6F" w14:textId="77777777" w:rsidR="00D26265" w:rsidRDefault="00D26265">
      <w:pPr>
        <w:spacing w:line="360" w:lineRule="auto"/>
        <w:jc w:val="both"/>
        <w:rPr>
          <w:rtl/>
        </w:rPr>
      </w:pPr>
    </w:p>
    <w:p w14:paraId="25FB7AFA" w14:textId="77777777" w:rsidR="00D26265" w:rsidRDefault="00A11007">
      <w:pPr>
        <w:spacing w:line="360" w:lineRule="auto"/>
        <w:ind w:left="720"/>
        <w:jc w:val="both"/>
        <w:rPr>
          <w:rtl/>
        </w:rPr>
      </w:pPr>
      <w:r>
        <w:rPr>
          <w:rtl/>
        </w:rPr>
        <w:t>אין לי אלא לקוות, שבתקופת המאסר שירצה הנאשם, ישתלב הוא בהליך שיקומי בין כתלי הכלא, יתמיד בו ויגלה יציבות וכי עם שחרורו מהמאסר, ימשיך בהליך שיקום, יעלה על מסלול חיים נורמטיבי ולא ישוב לבצע עבירות.</w:t>
      </w:r>
    </w:p>
    <w:p w14:paraId="3BA99BB1" w14:textId="77777777" w:rsidR="00D26265" w:rsidRDefault="00D26265">
      <w:pPr>
        <w:spacing w:line="360" w:lineRule="auto"/>
        <w:jc w:val="both"/>
        <w:rPr>
          <w:rtl/>
        </w:rPr>
      </w:pPr>
    </w:p>
    <w:p w14:paraId="74C6AB17" w14:textId="77777777" w:rsidR="00D26265" w:rsidRDefault="00A11007">
      <w:pPr>
        <w:spacing w:line="360" w:lineRule="auto"/>
        <w:jc w:val="both"/>
        <w:rPr>
          <w:rtl/>
        </w:rPr>
      </w:pPr>
      <w:r>
        <w:rPr>
          <w:rtl/>
        </w:rPr>
        <w:t>17.</w:t>
      </w:r>
      <w:r>
        <w:rPr>
          <w:rtl/>
        </w:rPr>
        <w:tab/>
        <w:t>אשר על כן, אני גוזרת על הנאשם את העונשים הבאים:</w:t>
      </w:r>
    </w:p>
    <w:p w14:paraId="049E90BD" w14:textId="77777777" w:rsidR="00D26265" w:rsidRDefault="00D26265">
      <w:pPr>
        <w:spacing w:line="360" w:lineRule="auto"/>
        <w:jc w:val="both"/>
        <w:rPr>
          <w:rtl/>
        </w:rPr>
      </w:pPr>
    </w:p>
    <w:p w14:paraId="52234E0B" w14:textId="77777777" w:rsidR="00D26265" w:rsidRDefault="00A11007">
      <w:pPr>
        <w:spacing w:line="360" w:lineRule="auto"/>
        <w:ind w:left="1440" w:hanging="720"/>
        <w:jc w:val="both"/>
        <w:rPr>
          <w:rtl/>
        </w:rPr>
      </w:pPr>
      <w:r>
        <w:rPr>
          <w:rtl/>
        </w:rPr>
        <w:t>א.</w:t>
      </w:r>
      <w:r>
        <w:rPr>
          <w:rtl/>
        </w:rPr>
        <w:tab/>
        <w:t>מאסר בפועל למשך 36 חודשים, בניכוי ימי מעצרו – מיום</w:t>
      </w:r>
      <w:r>
        <w:rPr>
          <w:rFonts w:hint="cs"/>
          <w:rtl/>
        </w:rPr>
        <w:t xml:space="preserve"> 7.10.14</w:t>
      </w:r>
      <w:r>
        <w:rPr>
          <w:rtl/>
        </w:rPr>
        <w:t xml:space="preserve"> ועד ליום</w:t>
      </w:r>
      <w:r>
        <w:rPr>
          <w:rFonts w:hint="cs"/>
          <w:rtl/>
        </w:rPr>
        <w:t xml:space="preserve"> 31.12.14</w:t>
      </w:r>
      <w:r>
        <w:rPr>
          <w:rtl/>
        </w:rPr>
        <w:t>.</w:t>
      </w:r>
    </w:p>
    <w:p w14:paraId="2F75DC5B" w14:textId="77777777" w:rsidR="00D26265" w:rsidRDefault="00D26265">
      <w:pPr>
        <w:spacing w:line="360" w:lineRule="auto"/>
        <w:jc w:val="both"/>
        <w:rPr>
          <w:rtl/>
        </w:rPr>
      </w:pPr>
    </w:p>
    <w:p w14:paraId="57935929" w14:textId="77777777" w:rsidR="00D26265" w:rsidRDefault="00A11007">
      <w:pPr>
        <w:spacing w:line="360" w:lineRule="auto"/>
        <w:ind w:left="1440" w:hanging="720"/>
        <w:jc w:val="both"/>
      </w:pPr>
      <w:r>
        <w:rPr>
          <w:rtl/>
        </w:rPr>
        <w:t>ב.</w:t>
      </w:r>
      <w:r>
        <w:rPr>
          <w:rtl/>
        </w:rPr>
        <w:tab/>
        <w:t xml:space="preserve">מאסר על תנאי למשך 18 חודשים שלא יעבור, במשך 3 שנים מיום שחרור מהכלא, </w:t>
      </w:r>
      <w:r>
        <w:rPr>
          <w:rFonts w:hint="cs"/>
          <w:rtl/>
        </w:rPr>
        <w:t xml:space="preserve">כל </w:t>
      </w:r>
      <w:r>
        <w:rPr>
          <w:rtl/>
        </w:rPr>
        <w:t>עבירת סמים מסוג פשע.</w:t>
      </w:r>
    </w:p>
    <w:p w14:paraId="4AD06C62" w14:textId="77777777" w:rsidR="00D26265" w:rsidRDefault="00A11007">
      <w:pPr>
        <w:spacing w:line="360" w:lineRule="auto"/>
        <w:jc w:val="both"/>
        <w:rPr>
          <w:rtl/>
        </w:rPr>
      </w:pPr>
      <w:r>
        <w:rPr>
          <w:rtl/>
        </w:rPr>
        <w:t xml:space="preserve"> </w:t>
      </w:r>
    </w:p>
    <w:p w14:paraId="38DADA6C" w14:textId="77777777" w:rsidR="00D26265" w:rsidRDefault="00A11007">
      <w:pPr>
        <w:spacing w:line="360" w:lineRule="auto"/>
        <w:ind w:left="1440" w:hanging="720"/>
        <w:jc w:val="both"/>
        <w:rPr>
          <w:rtl/>
        </w:rPr>
      </w:pPr>
      <w:r>
        <w:rPr>
          <w:rtl/>
        </w:rPr>
        <w:t>ג.</w:t>
      </w:r>
      <w:r>
        <w:rPr>
          <w:rtl/>
        </w:rPr>
        <w:tab/>
        <w:t xml:space="preserve">קנס בסך 10,000 ₪, או חודש מאסר תמורתו. </w:t>
      </w:r>
    </w:p>
    <w:p w14:paraId="3EFA2D83" w14:textId="77777777" w:rsidR="00D26265" w:rsidRDefault="00D26265">
      <w:pPr>
        <w:spacing w:line="360" w:lineRule="auto"/>
        <w:ind w:left="1440"/>
        <w:jc w:val="both"/>
        <w:rPr>
          <w:rtl/>
        </w:rPr>
      </w:pPr>
    </w:p>
    <w:p w14:paraId="1EB0D0FC" w14:textId="77777777" w:rsidR="00D26265" w:rsidRDefault="00A11007">
      <w:pPr>
        <w:spacing w:line="360" w:lineRule="auto"/>
        <w:ind w:left="1440"/>
        <w:jc w:val="both"/>
      </w:pPr>
      <w:r>
        <w:rPr>
          <w:rtl/>
        </w:rPr>
        <w:t>הקנס ישולם ב- 10 תשלומים חודשיים שווים ורצופים בסך 1,000 ₪ כל אחד, החל מיום 1.6.15 ועד לתשלום המלא בפועל.</w:t>
      </w:r>
    </w:p>
    <w:p w14:paraId="004E1796" w14:textId="77777777" w:rsidR="00D26265" w:rsidRDefault="00A11007">
      <w:pPr>
        <w:spacing w:line="360" w:lineRule="auto"/>
        <w:jc w:val="both"/>
        <w:rPr>
          <w:rtl/>
        </w:rPr>
      </w:pPr>
      <w:r>
        <w:rPr>
          <w:rtl/>
        </w:rPr>
        <w:t xml:space="preserve"> </w:t>
      </w:r>
    </w:p>
    <w:p w14:paraId="4EEB8645" w14:textId="77777777" w:rsidR="00D26265" w:rsidRDefault="00A11007">
      <w:pPr>
        <w:spacing w:line="360" w:lineRule="auto"/>
        <w:ind w:left="1440" w:hanging="720"/>
        <w:jc w:val="both"/>
        <w:rPr>
          <w:rtl/>
        </w:rPr>
      </w:pPr>
      <w:r>
        <w:rPr>
          <w:rtl/>
        </w:rPr>
        <w:t>ד.</w:t>
      </w:r>
      <w:r>
        <w:rPr>
          <w:rtl/>
        </w:rPr>
        <w:tab/>
        <w:t xml:space="preserve">בהתאם </w:t>
      </w:r>
      <w:hyperlink r:id="rId26" w:history="1">
        <w:r w:rsidR="009A6C0E" w:rsidRPr="009A6C0E">
          <w:rPr>
            <w:color w:val="0000FF"/>
            <w:u w:val="single"/>
            <w:rtl/>
          </w:rPr>
          <w:t>לסעיף 37</w:t>
        </w:r>
      </w:hyperlink>
      <w:r>
        <w:rPr>
          <w:rtl/>
        </w:rPr>
        <w:t xml:space="preserve"> ל</w:t>
      </w:r>
      <w:hyperlink r:id="rId27" w:history="1">
        <w:r w:rsidRPr="00A11007">
          <w:rPr>
            <w:color w:val="0000FF"/>
            <w:u w:val="single"/>
            <w:rtl/>
          </w:rPr>
          <w:t>פקודת הסמים המסוכנים</w:t>
        </w:r>
      </w:hyperlink>
      <w:r>
        <w:rPr>
          <w:rtl/>
        </w:rPr>
        <w:t xml:space="preserve"> [נוסח חדש], התשל"ג-1973, אני פוסלת את הנאשם מלקבל או מלהחזיק רישיון נהיגה או למשך שנתיים מיום שחרורו מהמאסר שנגזר עליו בתיק זה.</w:t>
      </w:r>
    </w:p>
    <w:p w14:paraId="3C8AE86C" w14:textId="77777777" w:rsidR="00D26265" w:rsidRDefault="00D26265">
      <w:pPr>
        <w:spacing w:line="360" w:lineRule="auto"/>
        <w:jc w:val="both"/>
        <w:rPr>
          <w:b/>
          <w:bCs/>
          <w:u w:val="single"/>
          <w:rtl/>
        </w:rPr>
      </w:pPr>
    </w:p>
    <w:p w14:paraId="380359EA" w14:textId="77777777" w:rsidR="00D26265" w:rsidRDefault="00A11007">
      <w:pPr>
        <w:spacing w:line="360" w:lineRule="auto"/>
        <w:jc w:val="both"/>
        <w:rPr>
          <w:b/>
          <w:bCs/>
          <w:u w:val="single"/>
          <w:rtl/>
        </w:rPr>
      </w:pPr>
      <w:r>
        <w:rPr>
          <w:b/>
          <w:bCs/>
          <w:u w:val="single"/>
          <w:rtl/>
        </w:rPr>
        <w:t>זכות ערעור לבית המשפט העליון בתוך 45 ימים מהיום</w:t>
      </w:r>
    </w:p>
    <w:p w14:paraId="739D4850" w14:textId="77777777" w:rsidR="00D26265" w:rsidRDefault="00D26265">
      <w:pPr>
        <w:rPr>
          <w:rtl/>
        </w:rPr>
      </w:pPr>
    </w:p>
    <w:p w14:paraId="73EC0AE3" w14:textId="77777777" w:rsidR="00D26265" w:rsidRPr="00A11007" w:rsidRDefault="00A11007">
      <w:pPr>
        <w:spacing w:line="360" w:lineRule="auto"/>
        <w:jc w:val="both"/>
        <w:rPr>
          <w:rFonts w:ascii="Arial" w:hAnsi="Arial"/>
          <w:color w:val="FFFFFF"/>
          <w:sz w:val="2"/>
          <w:szCs w:val="2"/>
          <w:rtl/>
        </w:rPr>
      </w:pPr>
      <w:r w:rsidRPr="00A11007">
        <w:rPr>
          <w:rFonts w:ascii="Arial" w:hAnsi="Arial"/>
          <w:color w:val="FFFFFF"/>
          <w:sz w:val="2"/>
          <w:szCs w:val="2"/>
          <w:rtl/>
        </w:rPr>
        <w:t>5129371</w:t>
      </w:r>
    </w:p>
    <w:p w14:paraId="416AA0F9" w14:textId="77777777" w:rsidR="00D26265" w:rsidRDefault="00A11007">
      <w:pPr>
        <w:rPr>
          <w:rFonts w:cs="FrankRuehl"/>
          <w:sz w:val="28"/>
          <w:szCs w:val="28"/>
          <w:rtl/>
        </w:rPr>
      </w:pPr>
      <w:r w:rsidRPr="00A11007">
        <w:rPr>
          <w:rFonts w:ascii="Arial" w:hAnsi="Arial"/>
          <w:color w:val="FFFFFF"/>
          <w:sz w:val="2"/>
          <w:szCs w:val="2"/>
          <w:rtl/>
        </w:rPr>
        <w:t>54678313</w:t>
      </w:r>
      <w:r>
        <w:rPr>
          <w:rFonts w:ascii="Arial" w:hAnsi="Arial"/>
          <w:rtl/>
        </w:rPr>
        <w:t xml:space="preserve">ניתן היום,  כ"ו ניסן תשע"ה, 15 אפריל 2015, בהעדר הצדדים. </w:t>
      </w:r>
    </w:p>
    <w:p w14:paraId="32AE49B3" w14:textId="77777777" w:rsidR="00D26265" w:rsidRDefault="00A1100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34E1850" w14:textId="77777777" w:rsidR="00D26265" w:rsidRDefault="00D26265">
      <w:pPr>
        <w:jc w:val="center"/>
        <w:rPr>
          <w:rFonts w:ascii="Arial" w:hAnsi="Arial" w:cs="FrankRuehl"/>
          <w:sz w:val="28"/>
          <w:szCs w:val="28"/>
          <w:rtl/>
        </w:rPr>
      </w:pPr>
    </w:p>
    <w:p w14:paraId="4607AF6C" w14:textId="77777777" w:rsidR="00D26265" w:rsidRDefault="00D26265">
      <w:pPr>
        <w:rPr>
          <w:rFonts w:cs="FrankRuehl"/>
          <w:sz w:val="28"/>
          <w:szCs w:val="28"/>
          <w:rtl/>
        </w:rPr>
      </w:pPr>
    </w:p>
    <w:p w14:paraId="2FE18D77" w14:textId="77777777" w:rsidR="00D26265" w:rsidRDefault="00D26265">
      <w:pPr>
        <w:pStyle w:val="a3"/>
        <w:jc w:val="center"/>
        <w:rPr>
          <w:rtl/>
        </w:rPr>
      </w:pPr>
    </w:p>
    <w:p w14:paraId="7AFCCFCA" w14:textId="77777777" w:rsidR="00A11007" w:rsidRPr="00A11007" w:rsidRDefault="00A11007" w:rsidP="00A11007">
      <w:pPr>
        <w:keepNext/>
        <w:rPr>
          <w:rFonts w:ascii="David" w:hAnsi="David"/>
          <w:color w:val="000000"/>
          <w:sz w:val="22"/>
          <w:szCs w:val="22"/>
          <w:rtl/>
        </w:rPr>
      </w:pPr>
    </w:p>
    <w:p w14:paraId="4FBC761D" w14:textId="77777777" w:rsidR="00A11007" w:rsidRPr="00A11007" w:rsidRDefault="00A11007" w:rsidP="00A11007">
      <w:pPr>
        <w:keepNext/>
        <w:rPr>
          <w:rFonts w:ascii="David" w:hAnsi="David"/>
          <w:color w:val="000000"/>
          <w:sz w:val="22"/>
          <w:szCs w:val="22"/>
          <w:rtl/>
        </w:rPr>
      </w:pPr>
      <w:r w:rsidRPr="00A11007">
        <w:rPr>
          <w:rFonts w:ascii="David" w:hAnsi="David"/>
          <w:color w:val="000000"/>
          <w:sz w:val="22"/>
          <w:szCs w:val="22"/>
          <w:rtl/>
        </w:rPr>
        <w:t>תמר שרון נתנאל 54678313</w:t>
      </w:r>
    </w:p>
    <w:p w14:paraId="0C0C0896" w14:textId="77777777" w:rsidR="00A11007" w:rsidRDefault="00A11007" w:rsidP="00A11007">
      <w:r w:rsidRPr="00A11007">
        <w:rPr>
          <w:color w:val="000000"/>
          <w:rtl/>
        </w:rPr>
        <w:t>נוסח מסמך זה כפוף לשינויי ניסוח ועריכה</w:t>
      </w:r>
    </w:p>
    <w:p w14:paraId="44B211FF" w14:textId="77777777" w:rsidR="00A11007" w:rsidRDefault="00A11007" w:rsidP="00A11007">
      <w:pPr>
        <w:rPr>
          <w:rtl/>
        </w:rPr>
      </w:pPr>
    </w:p>
    <w:p w14:paraId="7E69439E" w14:textId="77777777" w:rsidR="00A11007" w:rsidRDefault="00A11007" w:rsidP="00A11007">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2753F864" w14:textId="77777777" w:rsidR="00D26265" w:rsidRPr="00A11007" w:rsidRDefault="006050FB" w:rsidP="00A11007">
      <w:pPr>
        <w:jc w:val="center"/>
        <w:rPr>
          <w:color w:val="0000FF"/>
          <w:u w:val="single"/>
        </w:rPr>
      </w:pPr>
      <w:r>
        <w:rPr>
          <w:rFonts w:hint="cs"/>
          <w:color w:val="0000FF"/>
          <w:u w:val="single"/>
          <w:rtl/>
        </w:rPr>
        <w:t xml:space="preserve">  </w:t>
      </w:r>
    </w:p>
    <w:sectPr w:rsidR="00D26265" w:rsidRPr="00A11007" w:rsidSect="00A11007">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D6ABFF" w14:textId="77777777" w:rsidR="002D6C1F" w:rsidRDefault="002D6C1F">
      <w:r>
        <w:separator/>
      </w:r>
    </w:p>
  </w:endnote>
  <w:endnote w:type="continuationSeparator" w:id="0">
    <w:p w14:paraId="50C81FBF" w14:textId="77777777" w:rsidR="002D6C1F" w:rsidRDefault="002D6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750BC" w14:textId="77777777" w:rsidR="007237C6" w:rsidRDefault="007237C6" w:rsidP="00A1100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E51140A" w14:textId="77777777" w:rsidR="007237C6" w:rsidRPr="00A11007" w:rsidRDefault="007237C6" w:rsidP="00A11007">
    <w:pPr>
      <w:pStyle w:val="a4"/>
      <w:pBdr>
        <w:top w:val="single" w:sz="4" w:space="1" w:color="auto"/>
        <w:between w:val="single" w:sz="4" w:space="0" w:color="auto"/>
      </w:pBdr>
      <w:spacing w:after="60"/>
      <w:jc w:val="center"/>
      <w:rPr>
        <w:rFonts w:ascii="FrankRuehl" w:hAnsi="FrankRuehl" w:cs="FrankRuehl"/>
        <w:color w:val="000000"/>
      </w:rPr>
    </w:pPr>
    <w:r w:rsidRPr="00A1100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0306A" w14:textId="77777777" w:rsidR="007237C6" w:rsidRDefault="007237C6" w:rsidP="00A1100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74A97">
      <w:rPr>
        <w:rFonts w:ascii="FrankRuehl" w:hAnsi="FrankRuehl" w:cs="FrankRuehl"/>
        <w:noProof/>
        <w:rtl/>
      </w:rPr>
      <w:t>2</w:t>
    </w:r>
    <w:r>
      <w:rPr>
        <w:rFonts w:ascii="FrankRuehl" w:hAnsi="FrankRuehl" w:cs="FrankRuehl"/>
        <w:rtl/>
      </w:rPr>
      <w:fldChar w:fldCharType="end"/>
    </w:r>
  </w:p>
  <w:p w14:paraId="6D8E3C9B" w14:textId="77777777" w:rsidR="007237C6" w:rsidRPr="00A11007" w:rsidRDefault="007237C6" w:rsidP="00A11007">
    <w:pPr>
      <w:pStyle w:val="a4"/>
      <w:pBdr>
        <w:top w:val="single" w:sz="4" w:space="1" w:color="auto"/>
        <w:between w:val="single" w:sz="4" w:space="0" w:color="auto"/>
      </w:pBdr>
      <w:spacing w:after="60"/>
      <w:jc w:val="center"/>
      <w:rPr>
        <w:rFonts w:ascii="FrankRuehl" w:hAnsi="FrankRuehl" w:cs="FrankRuehl"/>
        <w:color w:val="000000"/>
      </w:rPr>
    </w:pPr>
    <w:r w:rsidRPr="00A11007">
      <w:rPr>
        <w:rFonts w:ascii="FrankRuehl" w:hAnsi="FrankRuehl" w:cs="FrankRuehl"/>
        <w:color w:val="000000"/>
      </w:rPr>
      <w:pict w14:anchorId="11A77D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426F9B" w14:textId="77777777" w:rsidR="002D6C1F" w:rsidRDefault="002D6C1F">
      <w:r>
        <w:separator/>
      </w:r>
    </w:p>
  </w:footnote>
  <w:footnote w:type="continuationSeparator" w:id="0">
    <w:p w14:paraId="219CE55B" w14:textId="77777777" w:rsidR="002D6C1F" w:rsidRDefault="002D6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743EF" w14:textId="77777777" w:rsidR="007237C6" w:rsidRPr="00A11007" w:rsidRDefault="007237C6" w:rsidP="00A1100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26524-10-14</w:t>
    </w:r>
    <w:r>
      <w:rPr>
        <w:rFonts w:ascii="David" w:hAnsi="David"/>
        <w:color w:val="000000"/>
        <w:sz w:val="22"/>
        <w:szCs w:val="22"/>
        <w:rtl/>
      </w:rPr>
      <w:tab/>
      <w:t xml:space="preserve"> מדינת ישראל נ' פנחס ביטון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5EBDA" w14:textId="77777777" w:rsidR="007237C6" w:rsidRPr="00A11007" w:rsidRDefault="007237C6" w:rsidP="00A1100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26524-10-14</w:t>
    </w:r>
    <w:r>
      <w:rPr>
        <w:rFonts w:ascii="David" w:hAnsi="David"/>
        <w:color w:val="000000"/>
        <w:sz w:val="22"/>
        <w:szCs w:val="22"/>
        <w:rtl/>
      </w:rPr>
      <w:tab/>
      <w:t xml:space="preserve"> מדינת ישראל נ' פנחס ביטון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94C69"/>
    <w:multiLevelType w:val="hybridMultilevel"/>
    <w:tmpl w:val="80CA5FE2"/>
    <w:lvl w:ilvl="0" w:tplc="C9CE637C">
      <w:start w:val="1"/>
      <w:numFmt w:val="hebrew1"/>
      <w:lvlText w:val="%1."/>
      <w:lvlJc w:val="left"/>
      <w:pPr>
        <w:tabs>
          <w:tab w:val="num" w:pos="1440"/>
        </w:tabs>
        <w:ind w:left="1440" w:hanging="720"/>
      </w:pPr>
      <w:rPr>
        <w:rFonts w:cs="David"/>
        <w:szCs w:val="24"/>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16cid:durableId="1004357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26265"/>
    <w:rsid w:val="0000174A"/>
    <w:rsid w:val="0005182D"/>
    <w:rsid w:val="00052E87"/>
    <w:rsid w:val="002D6C1F"/>
    <w:rsid w:val="004C19F4"/>
    <w:rsid w:val="006050FB"/>
    <w:rsid w:val="007237C6"/>
    <w:rsid w:val="00965D64"/>
    <w:rsid w:val="009A6C0E"/>
    <w:rsid w:val="00A11007"/>
    <w:rsid w:val="00C14C47"/>
    <w:rsid w:val="00D26265"/>
    <w:rsid w:val="00D54964"/>
    <w:rsid w:val="00E74A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205664C"/>
  <w15:chartTrackingRefBased/>
  <w15:docId w15:val="{2443D742-157E-49E6-B7DC-B19C71AFD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26265"/>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26265"/>
    <w:pPr>
      <w:tabs>
        <w:tab w:val="center" w:pos="4153"/>
        <w:tab w:val="right" w:pos="8306"/>
      </w:tabs>
    </w:pPr>
  </w:style>
  <w:style w:type="paragraph" w:styleId="a4">
    <w:name w:val="footer"/>
    <w:basedOn w:val="a"/>
    <w:rsid w:val="00D26265"/>
    <w:pPr>
      <w:tabs>
        <w:tab w:val="center" w:pos="4153"/>
        <w:tab w:val="right" w:pos="8306"/>
      </w:tabs>
    </w:pPr>
  </w:style>
  <w:style w:type="character" w:styleId="a5">
    <w:name w:val="page number"/>
    <w:basedOn w:val="a0"/>
    <w:rsid w:val="00D26265"/>
  </w:style>
  <w:style w:type="character" w:styleId="Hyperlink">
    <w:name w:val="Hyperlink"/>
    <w:rsid w:val="00A110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a" TargetMode="External"/><Relationship Id="rId18" Type="http://schemas.openxmlformats.org/officeDocument/2006/relationships/hyperlink" Target="http://www.nevo.co.il/case/412246" TargetMode="External"/><Relationship Id="rId26" Type="http://schemas.openxmlformats.org/officeDocument/2006/relationships/hyperlink" Target="http://www.nevo.co.il/law/4216/37" TargetMode="External"/><Relationship Id="rId3" Type="http://schemas.openxmlformats.org/officeDocument/2006/relationships/settings" Target="settings.xml"/><Relationship Id="rId21" Type="http://schemas.openxmlformats.org/officeDocument/2006/relationships/hyperlink" Target="http://www.nevo.co.il/law/4216"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5738608" TargetMode="External"/><Relationship Id="rId25" Type="http://schemas.openxmlformats.org/officeDocument/2006/relationships/hyperlink" Target="http://www.nevo.co.il/law/70301/40.b"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4216/6"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37" TargetMode="External"/><Relationship Id="rId24" Type="http://schemas.openxmlformats.org/officeDocument/2006/relationships/hyperlink" Target="http://www.nevo.co.il/law/70301"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law/70301/40.a"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10449081"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b" TargetMode="External"/><Relationship Id="rId22" Type="http://schemas.openxmlformats.org/officeDocument/2006/relationships/hyperlink" Target="http://www.nevo.co.il/case/2243617" TargetMode="External"/><Relationship Id="rId27" Type="http://schemas.openxmlformats.org/officeDocument/2006/relationships/hyperlink" Target="http://www.nevo.co.il/law/4216" TargetMode="External"/><Relationship Id="rId30" Type="http://schemas.openxmlformats.org/officeDocument/2006/relationships/header" Target="header2.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2791</Words>
  <Characters>13955</Characters>
  <Application>Microsoft Office Word</Application>
  <DocSecurity>0</DocSecurity>
  <Lines>116</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16713</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8257637</vt:i4>
      </vt:variant>
      <vt:variant>
        <vt:i4>60</vt:i4>
      </vt:variant>
      <vt:variant>
        <vt:i4>0</vt:i4>
      </vt:variant>
      <vt:variant>
        <vt:i4>5</vt:i4>
      </vt:variant>
      <vt:variant>
        <vt:lpwstr>http://www.nevo.co.il/law/4216</vt:lpwstr>
      </vt:variant>
      <vt:variant>
        <vt:lpwstr/>
      </vt:variant>
      <vt:variant>
        <vt:i4>5046346</vt:i4>
      </vt:variant>
      <vt:variant>
        <vt:i4>57</vt:i4>
      </vt:variant>
      <vt:variant>
        <vt:i4>0</vt:i4>
      </vt:variant>
      <vt:variant>
        <vt:i4>5</vt:i4>
      </vt:variant>
      <vt:variant>
        <vt:lpwstr>http://www.nevo.co.il/law/4216/37</vt:lpwstr>
      </vt:variant>
      <vt:variant>
        <vt:lpwstr/>
      </vt:variant>
      <vt:variant>
        <vt:i4>458831</vt:i4>
      </vt:variant>
      <vt:variant>
        <vt:i4>54</vt:i4>
      </vt:variant>
      <vt:variant>
        <vt:i4>0</vt:i4>
      </vt:variant>
      <vt:variant>
        <vt:i4>5</vt:i4>
      </vt:variant>
      <vt:variant>
        <vt:lpwstr>http://www.nevo.co.il/law/70301/40.b</vt:lpwstr>
      </vt:variant>
      <vt:variant>
        <vt:lpwstr/>
      </vt:variant>
      <vt:variant>
        <vt:i4>7995492</vt:i4>
      </vt:variant>
      <vt:variant>
        <vt:i4>51</vt:i4>
      </vt:variant>
      <vt:variant>
        <vt:i4>0</vt:i4>
      </vt:variant>
      <vt:variant>
        <vt:i4>5</vt:i4>
      </vt:variant>
      <vt:variant>
        <vt:lpwstr>http://www.nevo.co.il/law/70301</vt:lpwstr>
      </vt:variant>
      <vt:variant>
        <vt:lpwstr/>
      </vt:variant>
      <vt:variant>
        <vt:i4>262223</vt:i4>
      </vt:variant>
      <vt:variant>
        <vt:i4>48</vt:i4>
      </vt:variant>
      <vt:variant>
        <vt:i4>0</vt:i4>
      </vt:variant>
      <vt:variant>
        <vt:i4>5</vt:i4>
      </vt:variant>
      <vt:variant>
        <vt:lpwstr>http://www.nevo.co.il/law/70301/40.a</vt:lpwstr>
      </vt:variant>
      <vt:variant>
        <vt:lpwstr/>
      </vt:variant>
      <vt:variant>
        <vt:i4>3604596</vt:i4>
      </vt:variant>
      <vt:variant>
        <vt:i4>45</vt:i4>
      </vt:variant>
      <vt:variant>
        <vt:i4>0</vt:i4>
      </vt:variant>
      <vt:variant>
        <vt:i4>5</vt:i4>
      </vt:variant>
      <vt:variant>
        <vt:lpwstr>http://www.nevo.co.il/case/2243617</vt:lpwstr>
      </vt:variant>
      <vt:variant>
        <vt:lpwstr/>
      </vt:variant>
      <vt:variant>
        <vt:i4>8257637</vt:i4>
      </vt:variant>
      <vt:variant>
        <vt:i4>42</vt:i4>
      </vt:variant>
      <vt:variant>
        <vt:i4>0</vt:i4>
      </vt:variant>
      <vt:variant>
        <vt:i4>5</vt:i4>
      </vt:variant>
      <vt:variant>
        <vt:lpwstr>http://www.nevo.co.il/law/4216</vt:lpwstr>
      </vt:variant>
      <vt:variant>
        <vt:lpwstr/>
      </vt:variant>
      <vt:variant>
        <vt:i4>4718666</vt:i4>
      </vt:variant>
      <vt:variant>
        <vt:i4>39</vt:i4>
      </vt:variant>
      <vt:variant>
        <vt:i4>0</vt:i4>
      </vt:variant>
      <vt:variant>
        <vt:i4>5</vt:i4>
      </vt:variant>
      <vt:variant>
        <vt:lpwstr>http://www.nevo.co.il/law/4216/6</vt:lpwstr>
      </vt:variant>
      <vt:variant>
        <vt:lpwstr/>
      </vt:variant>
      <vt:variant>
        <vt:i4>3407984</vt:i4>
      </vt:variant>
      <vt:variant>
        <vt:i4>36</vt:i4>
      </vt:variant>
      <vt:variant>
        <vt:i4>0</vt:i4>
      </vt:variant>
      <vt:variant>
        <vt:i4>5</vt:i4>
      </vt:variant>
      <vt:variant>
        <vt:lpwstr>http://www.nevo.co.il/case/10449081</vt:lpwstr>
      </vt:variant>
      <vt:variant>
        <vt:lpwstr/>
      </vt:variant>
      <vt:variant>
        <vt:i4>131143</vt:i4>
      </vt:variant>
      <vt:variant>
        <vt:i4>33</vt:i4>
      </vt:variant>
      <vt:variant>
        <vt:i4>0</vt:i4>
      </vt:variant>
      <vt:variant>
        <vt:i4>5</vt:i4>
      </vt:variant>
      <vt:variant>
        <vt:lpwstr>http://www.nevo.co.il/case/412246</vt:lpwstr>
      </vt:variant>
      <vt:variant>
        <vt:lpwstr/>
      </vt:variant>
      <vt:variant>
        <vt:i4>3670139</vt:i4>
      </vt:variant>
      <vt:variant>
        <vt:i4>30</vt:i4>
      </vt:variant>
      <vt:variant>
        <vt:i4>0</vt:i4>
      </vt:variant>
      <vt:variant>
        <vt:i4>5</vt:i4>
      </vt:variant>
      <vt:variant>
        <vt:lpwstr>http://www.nevo.co.il/case/5738608</vt:lpwstr>
      </vt:variant>
      <vt:variant>
        <vt:lpwstr/>
      </vt:variant>
      <vt:variant>
        <vt:i4>8257637</vt:i4>
      </vt:variant>
      <vt:variant>
        <vt:i4>27</vt:i4>
      </vt:variant>
      <vt:variant>
        <vt:i4>0</vt:i4>
      </vt:variant>
      <vt:variant>
        <vt:i4>5</vt:i4>
      </vt:variant>
      <vt:variant>
        <vt:lpwstr>http://www.nevo.co.il/law/4216</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458831</vt:i4>
      </vt:variant>
      <vt:variant>
        <vt:i4>21</vt:i4>
      </vt:variant>
      <vt:variant>
        <vt:i4>0</vt:i4>
      </vt:variant>
      <vt:variant>
        <vt:i4>5</vt:i4>
      </vt:variant>
      <vt:variant>
        <vt:lpwstr>http://www.nevo.co.il/law/70301/40.b</vt:lpwstr>
      </vt:variant>
      <vt:variant>
        <vt:lpwstr/>
      </vt:variant>
      <vt:variant>
        <vt:i4>262223</vt:i4>
      </vt:variant>
      <vt:variant>
        <vt:i4>18</vt:i4>
      </vt:variant>
      <vt:variant>
        <vt:i4>0</vt:i4>
      </vt:variant>
      <vt:variant>
        <vt:i4>5</vt:i4>
      </vt:variant>
      <vt:variant>
        <vt:lpwstr>http://www.nevo.co.il/law/70301/40.a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5046346</vt:i4>
      </vt:variant>
      <vt:variant>
        <vt:i4>12</vt:i4>
      </vt:variant>
      <vt:variant>
        <vt:i4>0</vt:i4>
      </vt:variant>
      <vt:variant>
        <vt:i4>5</vt:i4>
      </vt:variant>
      <vt:variant>
        <vt:lpwstr>http://www.nevo.co.il/law/4216/37</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2025-04-22T20:34:00Z</dcterms:created>
  <dcterms:modified xsi:type="dcterms:W3CDTF">2025-04-22T20:34:00Z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26524</vt:lpwstr>
  </property>
  <property fmtid="{D5CDD505-2E9C-101B-9397-08002B2CF9AE}" pid="6" name="NEWPARTB">
    <vt:lpwstr>10</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פנחס ביטון</vt:lpwstr>
  </property>
  <property fmtid="{D5CDD505-2E9C-101B-9397-08002B2CF9AE}" pid="10" name="LAWYER">
    <vt:lpwstr>קדם נימצן;מסרי</vt:lpwstr>
  </property>
  <property fmtid="{D5CDD505-2E9C-101B-9397-08002B2CF9AE}" pid="11" name="JUDGE">
    <vt:lpwstr>תמר שרון נתנאל</vt:lpwstr>
  </property>
  <property fmtid="{D5CDD505-2E9C-101B-9397-08002B2CF9AE}" pid="12" name="CITY">
    <vt:lpwstr>חי'</vt:lpwstr>
  </property>
  <property fmtid="{D5CDD505-2E9C-101B-9397-08002B2CF9AE}" pid="13" name="DATE">
    <vt:lpwstr>20150415</vt:lpwstr>
  </property>
  <property fmtid="{D5CDD505-2E9C-101B-9397-08002B2CF9AE}" pid="14" name="TYPE_N_DATE">
    <vt:lpwstr>39020150415</vt:lpwstr>
  </property>
  <property fmtid="{D5CDD505-2E9C-101B-9397-08002B2CF9AE}" pid="15" name="WORDNUMPAGES">
    <vt:lpwstr>11</vt:lpwstr>
  </property>
  <property fmtid="{D5CDD505-2E9C-101B-9397-08002B2CF9AE}" pid="16" name="TYPE_ABS_DATE">
    <vt:lpwstr>390020150415</vt:lpwstr>
  </property>
  <property fmtid="{D5CDD505-2E9C-101B-9397-08002B2CF9AE}" pid="17" name="ISABSTRACT">
    <vt:lpwstr>Y</vt:lpwstr>
  </property>
  <property fmtid="{D5CDD505-2E9C-101B-9397-08002B2CF9AE}" pid="18" name="CASESLISTTMP1">
    <vt:lpwstr>5738608;10449081;2243617</vt:lpwstr>
  </property>
  <property fmtid="{D5CDD505-2E9C-101B-9397-08002B2CF9AE}" pid="19" name="LAWLISTTMP1">
    <vt:lpwstr>4216/007.a;007.c;006;037</vt:lpwstr>
  </property>
  <property fmtid="{D5CDD505-2E9C-101B-9397-08002B2CF9AE}" pid="20" name="LAWLISTTMP2">
    <vt:lpwstr>70301/040.a;040.b</vt:lpwstr>
  </property>
</Properties>
</file>