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92E70" w:rsidRPr="009A65B2" w14:paraId="4B0C16E1" w14:textId="77777777">
        <w:trPr>
          <w:trHeight w:hRule="exact" w:val="418"/>
          <w:jc w:val="center"/>
        </w:trPr>
        <w:tc>
          <w:tcPr>
            <w:tcW w:w="8721" w:type="dxa"/>
            <w:gridSpan w:val="2"/>
          </w:tcPr>
          <w:p w14:paraId="170C39A4" w14:textId="77777777" w:rsidR="00B92E70" w:rsidRPr="009A65B2" w:rsidRDefault="00B92E70" w:rsidP="009A65B2">
            <w:pPr>
              <w:pStyle w:val="a3"/>
              <w:jc w:val="center"/>
              <w:rPr>
                <w:rFonts w:ascii="Tahoma" w:hAnsi="Tahoma" w:cs="Tahoma"/>
                <w:color w:val="000080"/>
                <w:rtl/>
              </w:rPr>
            </w:pPr>
            <w:bookmarkStart w:id="0" w:name="FirstLawyer"/>
            <w:bookmarkStart w:id="1" w:name="LastJudge"/>
            <w:r w:rsidRPr="009A65B2">
              <w:rPr>
                <w:rFonts w:ascii="Tahoma" w:hAnsi="Tahoma" w:cs="Tahoma"/>
                <w:b/>
                <w:bCs/>
                <w:color w:val="000080"/>
                <w:rtl/>
              </w:rPr>
              <w:t>בית המשפט המחוזי בחיפה</w:t>
            </w:r>
          </w:p>
        </w:tc>
      </w:tr>
      <w:tr w:rsidR="00B92E70" w:rsidRPr="009A65B2" w14:paraId="5533E63A" w14:textId="77777777">
        <w:trPr>
          <w:trHeight w:val="337"/>
          <w:jc w:val="center"/>
        </w:trPr>
        <w:tc>
          <w:tcPr>
            <w:tcW w:w="5060" w:type="dxa"/>
          </w:tcPr>
          <w:p w14:paraId="29D68876" w14:textId="77777777" w:rsidR="00B92E70" w:rsidRPr="009A65B2" w:rsidRDefault="00B92E70" w:rsidP="009A65B2">
            <w:pPr>
              <w:rPr>
                <w:rFonts w:cs="FrankRuehl"/>
                <w:sz w:val="28"/>
                <w:szCs w:val="28"/>
                <w:rtl/>
              </w:rPr>
            </w:pPr>
            <w:r w:rsidRPr="009A65B2">
              <w:rPr>
                <w:rFonts w:cs="FrankRuehl"/>
                <w:sz w:val="28"/>
                <w:szCs w:val="28"/>
                <w:rtl/>
              </w:rPr>
              <w:t>ת"פ</w:t>
            </w:r>
            <w:r w:rsidRPr="009A65B2">
              <w:rPr>
                <w:rFonts w:cs="FrankRuehl" w:hint="cs"/>
                <w:sz w:val="28"/>
                <w:szCs w:val="28"/>
                <w:rtl/>
              </w:rPr>
              <w:t xml:space="preserve"> </w:t>
            </w:r>
            <w:r w:rsidRPr="009A65B2">
              <w:rPr>
                <w:rFonts w:cs="FrankRuehl"/>
                <w:sz w:val="28"/>
                <w:szCs w:val="28"/>
                <w:rtl/>
              </w:rPr>
              <w:t>60842-12-14</w:t>
            </w:r>
            <w:r w:rsidRPr="009A65B2">
              <w:rPr>
                <w:rFonts w:cs="FrankRuehl" w:hint="cs"/>
                <w:sz w:val="28"/>
                <w:szCs w:val="28"/>
                <w:rtl/>
              </w:rPr>
              <w:t xml:space="preserve"> </w:t>
            </w:r>
            <w:r w:rsidRPr="009A65B2">
              <w:rPr>
                <w:rFonts w:cs="FrankRuehl"/>
                <w:sz w:val="28"/>
                <w:szCs w:val="28"/>
                <w:rtl/>
              </w:rPr>
              <w:t>מדינת ישראל נ' כליבאת(עציר)</w:t>
            </w:r>
          </w:p>
          <w:p w14:paraId="263DDEBA" w14:textId="77777777" w:rsidR="00B92E70" w:rsidRPr="009A65B2" w:rsidRDefault="00B92E70" w:rsidP="009A65B2">
            <w:pPr>
              <w:pStyle w:val="a3"/>
              <w:rPr>
                <w:rFonts w:cs="FrankRuehl"/>
                <w:sz w:val="28"/>
                <w:szCs w:val="28"/>
                <w:rtl/>
              </w:rPr>
            </w:pPr>
          </w:p>
        </w:tc>
        <w:tc>
          <w:tcPr>
            <w:tcW w:w="3661" w:type="dxa"/>
          </w:tcPr>
          <w:p w14:paraId="2E964077" w14:textId="77777777" w:rsidR="00B92E70" w:rsidRPr="009A65B2" w:rsidRDefault="00B92E70" w:rsidP="009A65B2">
            <w:pPr>
              <w:pStyle w:val="a3"/>
              <w:jc w:val="right"/>
              <w:rPr>
                <w:rFonts w:cs="FrankRuehl"/>
                <w:sz w:val="28"/>
                <w:szCs w:val="28"/>
                <w:rtl/>
              </w:rPr>
            </w:pPr>
          </w:p>
        </w:tc>
      </w:tr>
    </w:tbl>
    <w:p w14:paraId="43142679" w14:textId="77777777" w:rsidR="00B92E70" w:rsidRPr="009A65B2" w:rsidRDefault="00B92E70" w:rsidP="00B92E70">
      <w:pPr>
        <w:pStyle w:val="a3"/>
        <w:rPr>
          <w:rtl/>
        </w:rPr>
      </w:pPr>
      <w:r w:rsidRPr="009A65B2">
        <w:rPr>
          <w:rFonts w:hint="cs"/>
          <w:rtl/>
        </w:rPr>
        <w:t xml:space="preserve"> </w:t>
      </w:r>
    </w:p>
    <w:p w14:paraId="7714BCE8" w14:textId="77777777" w:rsidR="00B92E70" w:rsidRPr="009A65B2" w:rsidRDefault="00B92E70" w:rsidP="00B92E70">
      <w:pPr>
        <w:rPr>
          <w:sz w:val="26"/>
          <w:szCs w:val="26"/>
          <w:rtl/>
        </w:rPr>
      </w:pPr>
    </w:p>
    <w:tbl>
      <w:tblPr>
        <w:bidiVisual/>
        <w:tblW w:w="8802" w:type="dxa"/>
        <w:tblInd w:w="-28" w:type="dxa"/>
        <w:tblLook w:val="01E0" w:firstRow="1" w:lastRow="1" w:firstColumn="1" w:lastColumn="1" w:noHBand="0" w:noVBand="0"/>
      </w:tblPr>
      <w:tblGrid>
        <w:gridCol w:w="2880"/>
        <w:gridCol w:w="5839"/>
        <w:gridCol w:w="83"/>
      </w:tblGrid>
      <w:tr w:rsidR="00B92E70" w:rsidRPr="009A65B2" w14:paraId="22077501" w14:textId="77777777">
        <w:trPr>
          <w:gridAfter w:val="1"/>
          <w:wAfter w:w="55" w:type="dxa"/>
        </w:trPr>
        <w:tc>
          <w:tcPr>
            <w:tcW w:w="8719" w:type="dxa"/>
            <w:gridSpan w:val="2"/>
            <w:shd w:val="clear" w:color="auto" w:fill="auto"/>
          </w:tcPr>
          <w:p w14:paraId="719FFF06" w14:textId="77777777" w:rsidR="00B92E70" w:rsidRPr="009A65B2" w:rsidRDefault="00B92E70" w:rsidP="009A65B2">
            <w:pPr>
              <w:pStyle w:val="ListParagraph"/>
              <w:spacing w:line="360" w:lineRule="auto"/>
              <w:rPr>
                <w:b/>
                <w:bCs/>
                <w:sz w:val="26"/>
                <w:szCs w:val="26"/>
              </w:rPr>
            </w:pPr>
            <w:r w:rsidRPr="009A65B2">
              <w:rPr>
                <w:rFonts w:hint="cs"/>
                <w:b/>
                <w:bCs/>
                <w:sz w:val="26"/>
                <w:szCs w:val="26"/>
                <w:rtl/>
              </w:rPr>
              <w:t>בפני כב' השופט דניאל פיש</w:t>
            </w:r>
            <w:r w:rsidRPr="009A65B2">
              <w:rPr>
                <w:rStyle w:val="TimesNewRomanTimesNewRoman"/>
                <w:rFonts w:hint="cs"/>
                <w:rtl/>
              </w:rPr>
              <w:t xml:space="preserve"> </w:t>
            </w:r>
          </w:p>
        </w:tc>
      </w:tr>
      <w:tr w:rsidR="00B92E70" w:rsidRPr="009A65B2" w14:paraId="43CFDD8C" w14:textId="77777777">
        <w:tc>
          <w:tcPr>
            <w:tcW w:w="2880" w:type="dxa"/>
            <w:shd w:val="clear" w:color="auto" w:fill="auto"/>
          </w:tcPr>
          <w:p w14:paraId="13206987" w14:textId="77777777" w:rsidR="00B92E70" w:rsidRPr="009A65B2" w:rsidRDefault="00B92E70" w:rsidP="009A65B2">
            <w:pPr>
              <w:pStyle w:val="ListParagraph"/>
              <w:rPr>
                <w:b/>
                <w:bCs/>
                <w:sz w:val="26"/>
                <w:szCs w:val="26"/>
              </w:rPr>
            </w:pPr>
            <w:bookmarkStart w:id="2" w:name="FirstAppellant"/>
            <w:r w:rsidRPr="009A65B2">
              <w:rPr>
                <w:rFonts w:hint="cs"/>
                <w:b/>
                <w:bCs/>
                <w:sz w:val="26"/>
                <w:szCs w:val="26"/>
                <w:rtl/>
              </w:rPr>
              <w:t>המאשימה</w:t>
            </w:r>
          </w:p>
        </w:tc>
        <w:tc>
          <w:tcPr>
            <w:tcW w:w="5922" w:type="dxa"/>
            <w:gridSpan w:val="2"/>
            <w:shd w:val="clear" w:color="auto" w:fill="auto"/>
          </w:tcPr>
          <w:p w14:paraId="5D7D226E" w14:textId="77777777" w:rsidR="00B92E70" w:rsidRPr="009A65B2" w:rsidRDefault="00B92E70" w:rsidP="009A65B2">
            <w:pPr>
              <w:pStyle w:val="ListParagraph"/>
              <w:rPr>
                <w:b/>
                <w:bCs/>
                <w:sz w:val="26"/>
                <w:szCs w:val="26"/>
                <w:rtl/>
              </w:rPr>
            </w:pPr>
            <w:r w:rsidRPr="009A65B2">
              <w:rPr>
                <w:rFonts w:hint="cs"/>
                <w:b/>
                <w:bCs/>
                <w:sz w:val="26"/>
                <w:szCs w:val="26"/>
                <w:rtl/>
              </w:rPr>
              <w:t>מדינת ישראל</w:t>
            </w:r>
          </w:p>
          <w:p w14:paraId="249EAD41" w14:textId="77777777" w:rsidR="00B92E70" w:rsidRPr="009A65B2" w:rsidRDefault="00B92E70" w:rsidP="009A65B2">
            <w:pPr>
              <w:pStyle w:val="ListParagraph"/>
              <w:rPr>
                <w:b/>
                <w:bCs/>
                <w:sz w:val="26"/>
                <w:szCs w:val="26"/>
                <w:rtl/>
              </w:rPr>
            </w:pPr>
            <w:r w:rsidRPr="009A65B2">
              <w:rPr>
                <w:rFonts w:hint="cs"/>
                <w:b/>
                <w:bCs/>
                <w:sz w:val="26"/>
                <w:szCs w:val="26"/>
                <w:rtl/>
              </w:rPr>
              <w:t>באמצעות עו"ד אורלי נעמן</w:t>
            </w:r>
          </w:p>
          <w:p w14:paraId="7669618A" w14:textId="77777777" w:rsidR="00B92E70" w:rsidRPr="009A65B2" w:rsidRDefault="00B92E70" w:rsidP="009A65B2">
            <w:pPr>
              <w:pStyle w:val="ListParagraph"/>
              <w:rPr>
                <w:b/>
                <w:bCs/>
                <w:sz w:val="26"/>
                <w:szCs w:val="26"/>
              </w:rPr>
            </w:pPr>
            <w:r w:rsidRPr="009A65B2">
              <w:rPr>
                <w:rFonts w:hint="cs"/>
                <w:b/>
                <w:bCs/>
                <w:sz w:val="26"/>
                <w:szCs w:val="26"/>
                <w:rtl/>
              </w:rPr>
              <w:t xml:space="preserve">מפרקליטות מחוז חיפה – פלילי </w:t>
            </w:r>
          </w:p>
        </w:tc>
      </w:tr>
      <w:bookmarkEnd w:id="2"/>
      <w:tr w:rsidR="00B92E70" w:rsidRPr="009A65B2" w14:paraId="2866C8DD" w14:textId="77777777">
        <w:tc>
          <w:tcPr>
            <w:tcW w:w="8802" w:type="dxa"/>
            <w:gridSpan w:val="3"/>
            <w:shd w:val="clear" w:color="auto" w:fill="auto"/>
          </w:tcPr>
          <w:p w14:paraId="18732BCA" w14:textId="77777777" w:rsidR="00B92E70" w:rsidRPr="009A65B2" w:rsidRDefault="00B92E70" w:rsidP="009A65B2">
            <w:pPr>
              <w:pStyle w:val="ListParagraph"/>
              <w:numPr>
                <w:ilvl w:val="0"/>
                <w:numId w:val="1"/>
              </w:numPr>
              <w:jc w:val="center"/>
              <w:rPr>
                <w:rFonts w:ascii="Arial" w:hAnsi="Arial"/>
                <w:b/>
                <w:bCs/>
                <w:sz w:val="26"/>
                <w:szCs w:val="26"/>
                <w:rtl/>
              </w:rPr>
            </w:pPr>
            <w:r w:rsidRPr="009A65B2">
              <w:rPr>
                <w:rFonts w:ascii="Arial" w:hAnsi="Arial" w:hint="cs"/>
                <w:b/>
                <w:bCs/>
                <w:sz w:val="26"/>
                <w:szCs w:val="26"/>
                <w:rtl/>
              </w:rPr>
              <w:t>נגד</w:t>
            </w:r>
          </w:p>
          <w:p w14:paraId="15639564" w14:textId="77777777" w:rsidR="00B92E70" w:rsidRPr="009A65B2" w:rsidRDefault="00B92E70" w:rsidP="009A65B2">
            <w:pPr>
              <w:jc w:val="center"/>
              <w:rPr>
                <w:rFonts w:ascii="Arial" w:hAnsi="Arial"/>
                <w:b/>
                <w:bCs/>
                <w:sz w:val="26"/>
                <w:szCs w:val="26"/>
              </w:rPr>
            </w:pPr>
          </w:p>
        </w:tc>
      </w:tr>
      <w:tr w:rsidR="00B92E70" w:rsidRPr="009A65B2" w14:paraId="57810A21" w14:textId="77777777">
        <w:tc>
          <w:tcPr>
            <w:tcW w:w="2880" w:type="dxa"/>
            <w:shd w:val="clear" w:color="auto" w:fill="auto"/>
          </w:tcPr>
          <w:p w14:paraId="0A348E38" w14:textId="77777777" w:rsidR="00B92E70" w:rsidRPr="009A65B2" w:rsidRDefault="00B92E70" w:rsidP="009A65B2">
            <w:pPr>
              <w:pStyle w:val="ListParagraph"/>
              <w:rPr>
                <w:b/>
                <w:bCs/>
                <w:sz w:val="26"/>
                <w:szCs w:val="26"/>
              </w:rPr>
            </w:pPr>
            <w:r w:rsidRPr="009A65B2">
              <w:rPr>
                <w:rFonts w:hint="cs"/>
                <w:b/>
                <w:bCs/>
                <w:sz w:val="26"/>
                <w:szCs w:val="26"/>
                <w:rtl/>
              </w:rPr>
              <w:t>הנאשם</w:t>
            </w:r>
          </w:p>
        </w:tc>
        <w:tc>
          <w:tcPr>
            <w:tcW w:w="5922" w:type="dxa"/>
            <w:gridSpan w:val="2"/>
            <w:shd w:val="clear" w:color="auto" w:fill="auto"/>
          </w:tcPr>
          <w:p w14:paraId="1D40BC35" w14:textId="77777777" w:rsidR="00B92E70" w:rsidRPr="009A65B2" w:rsidRDefault="00B92E70" w:rsidP="009A65B2">
            <w:pPr>
              <w:pStyle w:val="ListParagraph"/>
              <w:rPr>
                <w:b/>
                <w:bCs/>
                <w:sz w:val="26"/>
                <w:szCs w:val="26"/>
              </w:rPr>
            </w:pPr>
            <w:r w:rsidRPr="009A65B2">
              <w:rPr>
                <w:rFonts w:hint="cs"/>
                <w:b/>
                <w:bCs/>
                <w:sz w:val="26"/>
                <w:szCs w:val="26"/>
                <w:rtl/>
              </w:rPr>
              <w:t xml:space="preserve">תאמר כליבאת ת.ז. </w:t>
            </w:r>
            <w:r w:rsidR="009A65B2">
              <w:rPr>
                <w:b/>
                <w:bCs/>
                <w:sz w:val="26"/>
                <w:szCs w:val="26"/>
              </w:rPr>
              <w:t>xxxxxxxxx</w:t>
            </w:r>
            <w:r w:rsidRPr="009A65B2">
              <w:rPr>
                <w:rFonts w:hint="cs"/>
                <w:b/>
                <w:bCs/>
                <w:sz w:val="26"/>
                <w:szCs w:val="26"/>
                <w:rtl/>
              </w:rPr>
              <w:br/>
              <w:t>ע"י ב"כ עו"ד משה שרמן , עו"ד מוחמד מסרי</w:t>
            </w:r>
          </w:p>
        </w:tc>
      </w:tr>
    </w:tbl>
    <w:p w14:paraId="0C6E7BC4" w14:textId="77777777" w:rsidR="00FA63B2" w:rsidRPr="00FA63B2" w:rsidRDefault="00FA63B2" w:rsidP="00FA63B2">
      <w:pPr>
        <w:spacing w:after="120" w:line="240" w:lineRule="exact"/>
        <w:ind w:left="283" w:hanging="283"/>
        <w:jc w:val="both"/>
        <w:rPr>
          <w:rFonts w:ascii="FrankRuehl" w:hAnsi="FrankRuehl" w:cs="FrankRuehl"/>
          <w:rtl/>
        </w:rPr>
      </w:pPr>
      <w:bookmarkStart w:id="3" w:name="LawTable"/>
      <w:bookmarkEnd w:id="3"/>
    </w:p>
    <w:p w14:paraId="058ED7A3" w14:textId="77777777" w:rsidR="00FA63B2" w:rsidRPr="00FA63B2" w:rsidRDefault="00FA63B2" w:rsidP="00FA63B2">
      <w:pPr>
        <w:spacing w:after="120" w:line="240" w:lineRule="exact"/>
        <w:ind w:left="283" w:hanging="283"/>
        <w:jc w:val="both"/>
        <w:rPr>
          <w:rFonts w:ascii="FrankRuehl" w:hAnsi="FrankRuehl" w:cs="FrankRuehl"/>
          <w:rtl/>
        </w:rPr>
      </w:pPr>
      <w:r w:rsidRPr="00FA63B2">
        <w:rPr>
          <w:rFonts w:ascii="FrankRuehl" w:hAnsi="FrankRuehl" w:cs="FrankRuehl"/>
          <w:rtl/>
        </w:rPr>
        <w:t xml:space="preserve">חקיקה שאוזכרה: </w:t>
      </w:r>
    </w:p>
    <w:p w14:paraId="53F33BFD" w14:textId="77777777" w:rsidR="00FA63B2" w:rsidRPr="00FA63B2" w:rsidRDefault="00FA63B2" w:rsidP="00FA63B2">
      <w:pPr>
        <w:spacing w:after="120" w:line="240" w:lineRule="exact"/>
        <w:ind w:left="283" w:hanging="283"/>
        <w:jc w:val="both"/>
        <w:rPr>
          <w:rFonts w:ascii="FrankRuehl" w:hAnsi="FrankRuehl" w:cs="FrankRuehl"/>
          <w:rtl/>
        </w:rPr>
      </w:pPr>
      <w:hyperlink r:id="rId7" w:history="1">
        <w:r w:rsidRPr="00FA63B2">
          <w:rPr>
            <w:rFonts w:ascii="FrankRuehl" w:hAnsi="FrankRuehl" w:cs="FrankRuehl"/>
            <w:color w:val="0000FF"/>
            <w:u w:val="single"/>
            <w:rtl/>
          </w:rPr>
          <w:t>חוק העונשין, תשל"ז-1977</w:t>
        </w:r>
      </w:hyperlink>
      <w:r w:rsidRPr="00FA63B2">
        <w:rPr>
          <w:rFonts w:ascii="FrankRuehl" w:hAnsi="FrankRuehl" w:cs="FrankRuehl"/>
          <w:rtl/>
        </w:rPr>
        <w:t xml:space="preserve">: סע'  </w:t>
      </w:r>
      <w:hyperlink r:id="rId8" w:history="1">
        <w:r w:rsidRPr="00FA63B2">
          <w:rPr>
            <w:rFonts w:ascii="FrankRuehl" w:hAnsi="FrankRuehl" w:cs="FrankRuehl"/>
            <w:color w:val="0000FF"/>
            <w:u w:val="single"/>
            <w:rtl/>
          </w:rPr>
          <w:t>287(א)</w:t>
        </w:r>
      </w:hyperlink>
      <w:r w:rsidRPr="00FA63B2">
        <w:rPr>
          <w:rFonts w:ascii="FrankRuehl" w:hAnsi="FrankRuehl" w:cs="FrankRuehl"/>
          <w:rtl/>
        </w:rPr>
        <w:t xml:space="preserve">, </w:t>
      </w:r>
      <w:hyperlink r:id="rId9" w:history="1">
        <w:r w:rsidRPr="00FA63B2">
          <w:rPr>
            <w:rFonts w:ascii="FrankRuehl" w:hAnsi="FrankRuehl" w:cs="FrankRuehl"/>
            <w:color w:val="0000FF"/>
            <w:u w:val="single"/>
            <w:rtl/>
          </w:rPr>
          <w:t>499(א)(1)</w:t>
        </w:r>
      </w:hyperlink>
    </w:p>
    <w:p w14:paraId="35514675" w14:textId="77777777" w:rsidR="00FA63B2" w:rsidRPr="00FA63B2" w:rsidRDefault="00FA63B2" w:rsidP="00FA63B2">
      <w:pPr>
        <w:spacing w:after="120" w:line="240" w:lineRule="exact"/>
        <w:ind w:left="283" w:hanging="283"/>
        <w:jc w:val="both"/>
        <w:rPr>
          <w:rFonts w:ascii="FrankRuehl" w:hAnsi="FrankRuehl" w:cs="FrankRuehl"/>
          <w:rtl/>
        </w:rPr>
      </w:pPr>
      <w:hyperlink r:id="rId10" w:history="1">
        <w:r w:rsidRPr="00FA63B2">
          <w:rPr>
            <w:rFonts w:ascii="FrankRuehl" w:hAnsi="FrankRuehl" w:cs="FrankRuehl"/>
            <w:color w:val="0000FF"/>
            <w:u w:val="single"/>
            <w:rtl/>
          </w:rPr>
          <w:t>פקודת הסמים המסוכנים [נוסח חדש], תשל"ג-1973</w:t>
        </w:r>
      </w:hyperlink>
      <w:r w:rsidRPr="00FA63B2">
        <w:rPr>
          <w:rFonts w:ascii="FrankRuehl" w:hAnsi="FrankRuehl" w:cs="FrankRuehl"/>
          <w:rtl/>
        </w:rPr>
        <w:t xml:space="preserve">: סע'  </w:t>
      </w:r>
      <w:hyperlink r:id="rId11" w:history="1">
        <w:r w:rsidRPr="00FA63B2">
          <w:rPr>
            <w:rFonts w:ascii="FrankRuehl" w:hAnsi="FrankRuehl" w:cs="FrankRuehl"/>
            <w:color w:val="0000FF"/>
            <w:u w:val="single"/>
            <w:rtl/>
          </w:rPr>
          <w:t>7(א)</w:t>
        </w:r>
      </w:hyperlink>
      <w:r w:rsidRPr="00FA63B2">
        <w:rPr>
          <w:rFonts w:ascii="FrankRuehl" w:hAnsi="FrankRuehl" w:cs="FrankRuehl"/>
          <w:rtl/>
        </w:rPr>
        <w:t xml:space="preserve">, </w:t>
      </w:r>
      <w:hyperlink r:id="rId12" w:history="1">
        <w:r w:rsidRPr="00FA63B2">
          <w:rPr>
            <w:rFonts w:ascii="FrankRuehl" w:hAnsi="FrankRuehl" w:cs="FrankRuehl"/>
            <w:color w:val="0000FF"/>
            <w:u w:val="single"/>
            <w:rtl/>
          </w:rPr>
          <w:t>7(ג)</w:t>
        </w:r>
      </w:hyperlink>
      <w:r w:rsidRPr="00FA63B2">
        <w:rPr>
          <w:rFonts w:ascii="FrankRuehl" w:hAnsi="FrankRuehl" w:cs="FrankRuehl"/>
          <w:rtl/>
        </w:rPr>
        <w:t xml:space="preserve">, </w:t>
      </w:r>
      <w:hyperlink r:id="rId13" w:history="1">
        <w:r w:rsidRPr="00FA63B2">
          <w:rPr>
            <w:rFonts w:ascii="FrankRuehl" w:hAnsi="FrankRuehl" w:cs="FrankRuehl"/>
            <w:color w:val="0000FF"/>
            <w:u w:val="single"/>
            <w:rtl/>
          </w:rPr>
          <w:t>13</w:t>
        </w:r>
      </w:hyperlink>
      <w:r w:rsidRPr="00FA63B2">
        <w:rPr>
          <w:rFonts w:ascii="FrankRuehl" w:hAnsi="FrankRuehl" w:cs="FrankRuehl"/>
          <w:rtl/>
        </w:rPr>
        <w:t xml:space="preserve">, </w:t>
      </w:r>
      <w:hyperlink r:id="rId14" w:history="1">
        <w:r w:rsidRPr="00FA63B2">
          <w:rPr>
            <w:rFonts w:ascii="FrankRuehl" w:hAnsi="FrankRuehl" w:cs="FrankRuehl"/>
            <w:color w:val="0000FF"/>
            <w:u w:val="single"/>
            <w:rtl/>
          </w:rPr>
          <w:t>19א</w:t>
        </w:r>
      </w:hyperlink>
    </w:p>
    <w:p w14:paraId="0A08BF6A" w14:textId="77777777" w:rsidR="00FA63B2" w:rsidRPr="00FA63B2" w:rsidRDefault="00FA63B2" w:rsidP="00FA63B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2E70" w:rsidRPr="005B5FC2" w14:paraId="5A473F7E" w14:textId="77777777">
        <w:trPr>
          <w:trHeight w:val="355"/>
          <w:jc w:val="center"/>
        </w:trPr>
        <w:tc>
          <w:tcPr>
            <w:tcW w:w="8820" w:type="dxa"/>
            <w:tcBorders>
              <w:top w:val="nil"/>
              <w:left w:val="nil"/>
              <w:bottom w:val="nil"/>
              <w:right w:val="nil"/>
            </w:tcBorders>
            <w:shd w:val="clear" w:color="auto" w:fill="auto"/>
          </w:tcPr>
          <w:p w14:paraId="0CA3EEDF" w14:textId="77777777" w:rsidR="009A65B2" w:rsidRPr="009A65B2" w:rsidRDefault="009A65B2" w:rsidP="009A65B2">
            <w:pPr>
              <w:pStyle w:val="ListParagraph"/>
              <w:jc w:val="center"/>
              <w:rPr>
                <w:rFonts w:ascii="Arial" w:hAnsi="Arial" w:cs="FrankRuehl"/>
                <w:b/>
                <w:bCs/>
                <w:sz w:val="26"/>
                <w:szCs w:val="26"/>
                <w:u w:val="single"/>
                <w:rtl/>
              </w:rPr>
            </w:pPr>
            <w:bookmarkStart w:id="4" w:name="LawTable_End"/>
            <w:bookmarkStart w:id="5" w:name="PsakDin" w:colFirst="0" w:colLast="0"/>
            <w:bookmarkEnd w:id="0"/>
            <w:bookmarkEnd w:id="1"/>
            <w:bookmarkEnd w:id="4"/>
            <w:r w:rsidRPr="009A65B2">
              <w:rPr>
                <w:rFonts w:ascii="Arial" w:hAnsi="Arial" w:cs="FrankRuehl"/>
                <w:b/>
                <w:bCs/>
                <w:sz w:val="26"/>
                <w:szCs w:val="26"/>
                <w:u w:val="single"/>
                <w:rtl/>
              </w:rPr>
              <w:t>גזר דין</w:t>
            </w:r>
          </w:p>
          <w:p w14:paraId="080F9EAE" w14:textId="77777777" w:rsidR="00B92E70" w:rsidRPr="009A65B2" w:rsidRDefault="00B92E70" w:rsidP="009A65B2">
            <w:pPr>
              <w:pStyle w:val="ListParagraph"/>
              <w:jc w:val="center"/>
              <w:rPr>
                <w:rFonts w:ascii="Arial" w:hAnsi="Arial" w:cs="FrankRuehl"/>
                <w:bCs/>
                <w:sz w:val="26"/>
                <w:szCs w:val="26"/>
                <w:u w:val="single"/>
                <w:rtl/>
              </w:rPr>
            </w:pPr>
          </w:p>
        </w:tc>
      </w:tr>
      <w:bookmarkEnd w:id="5"/>
    </w:tbl>
    <w:p w14:paraId="7A5BAD25" w14:textId="77777777" w:rsidR="00B92E70" w:rsidRPr="005B5FC2" w:rsidRDefault="00B92E70" w:rsidP="00B92E70">
      <w:pPr>
        <w:rPr>
          <w:rFonts w:ascii="Arial" w:hAnsi="Arial"/>
          <w:sz w:val="26"/>
          <w:szCs w:val="26"/>
          <w:rtl/>
        </w:rPr>
      </w:pPr>
    </w:p>
    <w:p w14:paraId="2A0E659F" w14:textId="77777777" w:rsidR="00B92E70" w:rsidRPr="005B5FC2" w:rsidRDefault="00B92E70" w:rsidP="00B92E70">
      <w:pPr>
        <w:pStyle w:val="ListParagraph"/>
        <w:numPr>
          <w:ilvl w:val="0"/>
          <w:numId w:val="3"/>
        </w:numPr>
        <w:spacing w:line="360" w:lineRule="auto"/>
        <w:jc w:val="both"/>
        <w:rPr>
          <w:sz w:val="26"/>
          <w:szCs w:val="26"/>
        </w:rPr>
      </w:pPr>
      <w:bookmarkStart w:id="6" w:name="ABSTRACT_START"/>
      <w:bookmarkEnd w:id="6"/>
      <w:r w:rsidRPr="005B5FC2">
        <w:rPr>
          <w:sz w:val="26"/>
          <w:szCs w:val="26"/>
          <w:rtl/>
        </w:rPr>
        <w:t>במסגרת הסדר טיעון חלקי הודה הנאשם בשני כתבי אישום: ב</w:t>
      </w:r>
      <w:hyperlink r:id="rId15" w:history="1">
        <w:r w:rsidR="009A65B2" w:rsidRPr="009A65B2">
          <w:rPr>
            <w:rStyle w:val="Hyperlink"/>
            <w:sz w:val="26"/>
            <w:szCs w:val="26"/>
            <w:rtl/>
          </w:rPr>
          <w:t>ת"פ 60842-12-14</w:t>
        </w:r>
      </w:hyperlink>
      <w:r w:rsidRPr="005B5FC2">
        <w:rPr>
          <w:sz w:val="26"/>
          <w:szCs w:val="26"/>
          <w:rtl/>
        </w:rPr>
        <w:t xml:space="preserve"> - בביצוע עבירות של הפרת הוראה חוקית לפיה </w:t>
      </w:r>
      <w:hyperlink r:id="rId16" w:history="1">
        <w:r w:rsidR="00FA63B2" w:rsidRPr="00FA63B2">
          <w:rPr>
            <w:color w:val="0000FF"/>
            <w:sz w:val="26"/>
            <w:szCs w:val="26"/>
            <w:u w:val="single"/>
            <w:rtl/>
          </w:rPr>
          <w:t>סעיף 287(א)</w:t>
        </w:r>
      </w:hyperlink>
      <w:r w:rsidRPr="005B5FC2">
        <w:rPr>
          <w:sz w:val="26"/>
          <w:szCs w:val="26"/>
          <w:rtl/>
        </w:rPr>
        <w:t xml:space="preserve"> , ריבוי עבירות; החזקה ושימוש בסמים מסוכנים שלא לצריכה עצמית לפי </w:t>
      </w:r>
      <w:hyperlink r:id="rId17" w:history="1">
        <w:r w:rsidR="00FA63B2" w:rsidRPr="00FA63B2">
          <w:rPr>
            <w:color w:val="0000FF"/>
            <w:sz w:val="26"/>
            <w:szCs w:val="26"/>
            <w:u w:val="single"/>
            <w:rtl/>
          </w:rPr>
          <w:t>סעיפים 7(א)</w:t>
        </w:r>
      </w:hyperlink>
      <w:r w:rsidRPr="005B5FC2">
        <w:rPr>
          <w:sz w:val="26"/>
          <w:szCs w:val="26"/>
          <w:rtl/>
        </w:rPr>
        <w:t xml:space="preserve"> ו- </w:t>
      </w:r>
      <w:hyperlink r:id="rId18" w:history="1">
        <w:r w:rsidR="00FA63B2" w:rsidRPr="00FA63B2">
          <w:rPr>
            <w:color w:val="0000FF"/>
            <w:sz w:val="26"/>
            <w:szCs w:val="26"/>
            <w:u w:val="single"/>
            <w:rtl/>
          </w:rPr>
          <w:t>7(ג)</w:t>
        </w:r>
      </w:hyperlink>
      <w:r w:rsidRPr="005B5FC2">
        <w:rPr>
          <w:sz w:val="26"/>
          <w:szCs w:val="26"/>
          <w:rtl/>
        </w:rPr>
        <w:t xml:space="preserve"> רישא ל</w:t>
      </w:r>
      <w:hyperlink r:id="rId19" w:history="1">
        <w:r w:rsidR="009A65B2" w:rsidRPr="009A65B2">
          <w:rPr>
            <w:rStyle w:val="Hyperlink"/>
            <w:sz w:val="26"/>
            <w:szCs w:val="26"/>
            <w:rtl/>
          </w:rPr>
          <w:t>פקודת הסמים המסוכנים</w:t>
        </w:r>
      </w:hyperlink>
      <w:r w:rsidRPr="005B5FC2">
        <w:rPr>
          <w:sz w:val="26"/>
          <w:szCs w:val="26"/>
          <w:rtl/>
        </w:rPr>
        <w:t xml:space="preserve">; עסקה אחרת בסם מסוכן לפי </w:t>
      </w:r>
      <w:hyperlink r:id="rId20" w:history="1">
        <w:r w:rsidR="00FA63B2" w:rsidRPr="00FA63B2">
          <w:rPr>
            <w:color w:val="0000FF"/>
            <w:sz w:val="26"/>
            <w:szCs w:val="26"/>
            <w:u w:val="single"/>
            <w:rtl/>
          </w:rPr>
          <w:t>סעיפים 13</w:t>
        </w:r>
      </w:hyperlink>
      <w:r w:rsidRPr="005B5FC2">
        <w:rPr>
          <w:sz w:val="26"/>
          <w:szCs w:val="26"/>
          <w:rtl/>
        </w:rPr>
        <w:t xml:space="preserve"> +</w:t>
      </w:r>
      <w:hyperlink r:id="rId21" w:history="1">
        <w:r w:rsidR="00FA63B2" w:rsidRPr="00FA63B2">
          <w:rPr>
            <w:color w:val="0000FF"/>
            <w:sz w:val="26"/>
            <w:szCs w:val="26"/>
            <w:u w:val="single"/>
            <w:rtl/>
          </w:rPr>
          <w:t>19א</w:t>
        </w:r>
      </w:hyperlink>
      <w:r w:rsidRPr="005B5FC2">
        <w:rPr>
          <w:sz w:val="26"/>
          <w:szCs w:val="26"/>
          <w:rtl/>
        </w:rPr>
        <w:t xml:space="preserve"> לפקודת הסמים המסוכנים. </w:t>
      </w:r>
    </w:p>
    <w:p w14:paraId="055D3DF0" w14:textId="77777777" w:rsidR="00B92E70" w:rsidRPr="005B5FC2" w:rsidRDefault="00B92E70" w:rsidP="00B92E70">
      <w:pPr>
        <w:pStyle w:val="ListParagraph"/>
        <w:spacing w:line="360" w:lineRule="auto"/>
        <w:jc w:val="both"/>
        <w:rPr>
          <w:sz w:val="26"/>
          <w:szCs w:val="26"/>
          <w:rtl/>
        </w:rPr>
      </w:pPr>
      <w:bookmarkStart w:id="7" w:name="ABSTRACT_END"/>
      <w:bookmarkEnd w:id="7"/>
    </w:p>
    <w:p w14:paraId="651DC400" w14:textId="77777777" w:rsidR="00B92E70" w:rsidRPr="005B5FC2" w:rsidRDefault="00B92E70" w:rsidP="00B92E70">
      <w:pPr>
        <w:pStyle w:val="ListParagraph"/>
        <w:numPr>
          <w:ilvl w:val="0"/>
          <w:numId w:val="3"/>
        </w:numPr>
        <w:spacing w:line="360" w:lineRule="auto"/>
        <w:jc w:val="both"/>
        <w:rPr>
          <w:sz w:val="26"/>
          <w:szCs w:val="26"/>
        </w:rPr>
      </w:pPr>
      <w:r w:rsidRPr="005B5FC2">
        <w:rPr>
          <w:sz w:val="26"/>
          <w:szCs w:val="26"/>
          <w:rtl/>
        </w:rPr>
        <w:t>כתב האישום השני הינו מ</w:t>
      </w:r>
      <w:hyperlink r:id="rId22" w:history="1">
        <w:r w:rsidR="009A65B2" w:rsidRPr="009A65B2">
          <w:rPr>
            <w:rStyle w:val="Hyperlink"/>
            <w:sz w:val="26"/>
            <w:szCs w:val="26"/>
            <w:rtl/>
          </w:rPr>
          <w:t>ת"פ 1057-05-15</w:t>
        </w:r>
      </w:hyperlink>
      <w:r w:rsidRPr="005B5FC2">
        <w:rPr>
          <w:sz w:val="26"/>
          <w:szCs w:val="26"/>
          <w:rtl/>
        </w:rPr>
        <w:t xml:space="preserve">, </w:t>
      </w:r>
      <w:r w:rsidRPr="005B5FC2">
        <w:rPr>
          <w:rFonts w:hint="cs"/>
          <w:sz w:val="26"/>
          <w:szCs w:val="26"/>
          <w:rtl/>
        </w:rPr>
        <w:t>בו</w:t>
      </w:r>
      <w:r w:rsidRPr="005B5FC2">
        <w:rPr>
          <w:sz w:val="26"/>
          <w:szCs w:val="26"/>
          <w:rtl/>
        </w:rPr>
        <w:t xml:space="preserve"> הודה הנאשם בעבירה של קשירת קשר לביצוע פשע לפי </w:t>
      </w:r>
      <w:hyperlink r:id="rId23" w:history="1">
        <w:r w:rsidR="00FA63B2" w:rsidRPr="00FA63B2">
          <w:rPr>
            <w:color w:val="0000FF"/>
            <w:sz w:val="26"/>
            <w:szCs w:val="26"/>
            <w:u w:val="single"/>
            <w:rtl/>
          </w:rPr>
          <w:t>סעיף 499(א)(1)</w:t>
        </w:r>
      </w:hyperlink>
      <w:r w:rsidRPr="005B5FC2">
        <w:rPr>
          <w:sz w:val="26"/>
          <w:szCs w:val="26"/>
          <w:rtl/>
        </w:rPr>
        <w:t xml:space="preserve"> (סחר בסם מסוכן) ל</w:t>
      </w:r>
      <w:hyperlink r:id="rId24" w:history="1">
        <w:r w:rsidR="009A65B2" w:rsidRPr="009A65B2">
          <w:rPr>
            <w:rStyle w:val="Hyperlink"/>
            <w:sz w:val="26"/>
            <w:szCs w:val="26"/>
            <w:rtl/>
          </w:rPr>
          <w:t>חוק העונשין</w:t>
        </w:r>
      </w:hyperlink>
      <w:r w:rsidRPr="005B5FC2">
        <w:rPr>
          <w:sz w:val="26"/>
          <w:szCs w:val="26"/>
          <w:rtl/>
        </w:rPr>
        <w:t xml:space="preserve">; וסחר בסם מסוכן לפי </w:t>
      </w:r>
      <w:hyperlink r:id="rId25" w:history="1">
        <w:r w:rsidR="00FA63B2" w:rsidRPr="00FA63B2">
          <w:rPr>
            <w:color w:val="0000FF"/>
            <w:sz w:val="26"/>
            <w:szCs w:val="26"/>
            <w:u w:val="single"/>
            <w:rtl/>
          </w:rPr>
          <w:t>סעיפים 13</w:t>
        </w:r>
      </w:hyperlink>
      <w:r w:rsidRPr="005B5FC2">
        <w:rPr>
          <w:sz w:val="26"/>
          <w:szCs w:val="26"/>
          <w:rtl/>
        </w:rPr>
        <w:t xml:space="preserve"> +</w:t>
      </w:r>
      <w:hyperlink r:id="rId26" w:history="1">
        <w:r w:rsidR="00FA63B2" w:rsidRPr="00FA63B2">
          <w:rPr>
            <w:color w:val="0000FF"/>
            <w:sz w:val="26"/>
            <w:szCs w:val="26"/>
            <w:u w:val="single"/>
            <w:rtl/>
          </w:rPr>
          <w:t>19א</w:t>
        </w:r>
      </w:hyperlink>
      <w:r w:rsidRPr="005B5FC2">
        <w:rPr>
          <w:sz w:val="26"/>
          <w:szCs w:val="26"/>
          <w:rtl/>
        </w:rPr>
        <w:t xml:space="preserve"> ל</w:t>
      </w:r>
      <w:hyperlink r:id="rId27" w:history="1">
        <w:r w:rsidR="009A65B2" w:rsidRPr="009A65B2">
          <w:rPr>
            <w:rStyle w:val="Hyperlink"/>
            <w:sz w:val="26"/>
            <w:szCs w:val="26"/>
            <w:rtl/>
          </w:rPr>
          <w:t>פקודת הסמים המסוכנים</w:t>
        </w:r>
      </w:hyperlink>
      <w:r w:rsidRPr="005B5FC2">
        <w:rPr>
          <w:sz w:val="26"/>
          <w:szCs w:val="26"/>
          <w:rtl/>
        </w:rPr>
        <w:t xml:space="preserve"> והחזקת סם מסוכן שלא כדין ושלא לצריכה עצמית לפי סעיף </w:t>
      </w:r>
      <w:hyperlink r:id="rId28" w:history="1">
        <w:r w:rsidR="00FA63B2" w:rsidRPr="00FA63B2">
          <w:rPr>
            <w:color w:val="0000FF"/>
            <w:sz w:val="26"/>
            <w:szCs w:val="26"/>
            <w:u w:val="single"/>
            <w:rtl/>
          </w:rPr>
          <w:t>7(א) + (ג)</w:t>
        </w:r>
      </w:hyperlink>
      <w:r w:rsidRPr="005B5FC2">
        <w:rPr>
          <w:sz w:val="26"/>
          <w:szCs w:val="26"/>
          <w:rtl/>
        </w:rPr>
        <w:t xml:space="preserve"> רישא לפקודת הסמים המסוכנים ובאישום השלישי בעבירה של סיוע לסחר בסם מסוכן. </w:t>
      </w:r>
    </w:p>
    <w:p w14:paraId="41F52D75" w14:textId="77777777" w:rsidR="00B92E70" w:rsidRPr="005B5FC2" w:rsidRDefault="00B92E70" w:rsidP="00B92E70">
      <w:pPr>
        <w:pStyle w:val="ListParagraph"/>
        <w:spacing w:line="360" w:lineRule="auto"/>
        <w:jc w:val="both"/>
        <w:rPr>
          <w:sz w:val="26"/>
          <w:szCs w:val="26"/>
          <w:rtl/>
        </w:rPr>
      </w:pPr>
    </w:p>
    <w:p w14:paraId="75DDCC33" w14:textId="77777777" w:rsidR="00B92E70" w:rsidRPr="005B5FC2" w:rsidRDefault="00B92E70" w:rsidP="00B92E70">
      <w:pPr>
        <w:pStyle w:val="ListParagraph"/>
        <w:numPr>
          <w:ilvl w:val="0"/>
          <w:numId w:val="3"/>
        </w:numPr>
        <w:spacing w:line="360" w:lineRule="auto"/>
        <w:jc w:val="both"/>
        <w:rPr>
          <w:sz w:val="26"/>
          <w:szCs w:val="26"/>
        </w:rPr>
      </w:pPr>
      <w:r w:rsidRPr="005B5FC2">
        <w:rPr>
          <w:sz w:val="26"/>
          <w:szCs w:val="26"/>
          <w:rtl/>
        </w:rPr>
        <w:t xml:space="preserve">על פי כתב האישום הראשון היה הנאשם משוחרר בתנאים מגבילים על פי הוראת בית משפט, בתנאי מעצר בית מלא בנהריה כאשר נאסר עליו לעשות שימוש באמצעי תקשורת מסוג אינטרנט או כל רשת תקשורת אחרת וכן נאסר עליו שימוש בכל סוג של טלפון. הותר לו לצאת בליווי מפקח לעבודה. פורט שהעבירות שיוחסו לנאשם </w:t>
      </w:r>
      <w:r w:rsidRPr="005B5FC2">
        <w:rPr>
          <w:sz w:val="26"/>
          <w:szCs w:val="26"/>
          <w:rtl/>
        </w:rPr>
        <w:lastRenderedPageBreak/>
        <w:t>בוצעו לאורך תקופת זמן ארוכה פעמים רבות תוך כדי הפרת תנאי השחרור, בשל שימוש בטלפון ובשל אי שהייה במקום העבודה. עובר ליום 29.8.14 החזיק הנאשם בסם מסוכן מסוג קוקאין במשקל 120.19 גרם נטו. הנאשם סיכם לבצע עסקה עם אחרים</w:t>
      </w:r>
      <w:r>
        <w:rPr>
          <w:rFonts w:hint="cs"/>
          <w:sz w:val="26"/>
          <w:szCs w:val="26"/>
          <w:rtl/>
        </w:rPr>
        <w:t>,</w:t>
      </w:r>
      <w:r w:rsidRPr="005B5FC2">
        <w:rPr>
          <w:sz w:val="26"/>
          <w:szCs w:val="26"/>
          <w:rtl/>
        </w:rPr>
        <w:t xml:space="preserve"> מסר להם את הסם והם נסעו ברכב על מנת לבצע את העסקה. הרכב נעצר במחסום משטרתי והסם נמצא בו במהלך חיפוש. </w:t>
      </w:r>
    </w:p>
    <w:p w14:paraId="58EFB38B" w14:textId="77777777" w:rsidR="00B92E70" w:rsidRPr="005B5FC2" w:rsidRDefault="00B92E70" w:rsidP="00B92E70">
      <w:pPr>
        <w:pStyle w:val="ListParagraph"/>
        <w:spacing w:line="360" w:lineRule="auto"/>
        <w:jc w:val="both"/>
        <w:rPr>
          <w:sz w:val="26"/>
          <w:szCs w:val="26"/>
          <w:rtl/>
        </w:rPr>
      </w:pPr>
    </w:p>
    <w:p w14:paraId="7EC7AE70"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כתב האישום השני ייחס לנאשם מכירת סם מסוכן מסוג קוקאין בכמות של 50 גרם תמורת 22,500 ₪ לאדם אחר. באישום נוסף נמכרה כמות נוספת  של סם מסוכן מסוג קוקאין בכמות של 50 גרם תמורת 23,750 ₪ לסוכן סמוי. </w:t>
      </w:r>
    </w:p>
    <w:p w14:paraId="4D7C01D0" w14:textId="77777777" w:rsidR="00B92E70" w:rsidRPr="005B5FC2" w:rsidRDefault="00B92E70" w:rsidP="00B92E70">
      <w:pPr>
        <w:spacing w:line="360" w:lineRule="auto"/>
        <w:jc w:val="both"/>
        <w:rPr>
          <w:sz w:val="26"/>
          <w:szCs w:val="26"/>
          <w:rtl/>
        </w:rPr>
      </w:pPr>
    </w:p>
    <w:p w14:paraId="295E5D9C" w14:textId="77777777" w:rsidR="00B92E70" w:rsidRPr="005B5FC2" w:rsidRDefault="00B92E70" w:rsidP="00B92E70">
      <w:pPr>
        <w:pStyle w:val="ListParagraph"/>
        <w:spacing w:line="360" w:lineRule="auto"/>
        <w:ind w:left="360"/>
        <w:jc w:val="both"/>
        <w:rPr>
          <w:sz w:val="26"/>
          <w:szCs w:val="26"/>
          <w:rtl/>
        </w:rPr>
      </w:pPr>
      <w:r w:rsidRPr="005B5FC2">
        <w:rPr>
          <w:b/>
          <w:bCs/>
          <w:sz w:val="26"/>
          <w:szCs w:val="26"/>
          <w:u w:val="single"/>
          <w:rtl/>
        </w:rPr>
        <w:t>טיעוני המדינה לעונש</w:t>
      </w:r>
    </w:p>
    <w:p w14:paraId="2439E35E" w14:textId="77777777" w:rsidR="00B92E70" w:rsidRPr="005B5FC2" w:rsidRDefault="00B92E70" w:rsidP="00B92E70">
      <w:pPr>
        <w:spacing w:line="360" w:lineRule="auto"/>
        <w:jc w:val="both"/>
        <w:rPr>
          <w:sz w:val="26"/>
          <w:szCs w:val="26"/>
          <w:rtl/>
        </w:rPr>
      </w:pPr>
    </w:p>
    <w:p w14:paraId="5BD461BE"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תואר שהנאשם בן 29.5 שנים ובמעצר מיום 15.12.14. תואר שלחובת הנאשם שתי הרשעות פליליות בעברו כאשר אחת מהן כללה 41 תיקי פל"א ובהן עבירות בעסקה אחרת בסם ונגזרו עליו 42 חודשי מאסר בפועל. פורט שבין הצדדים נערך הסדר טיעון לפיו המאשימה תעתור לעונש מאסר בפועל של 7 שנות מאסר והסניגור ל- 5 שנות מאסר בפועל. בנוסף ביקשה המדינה להטיל על הנאשם עונש של מאסר על תנאי</w:t>
      </w:r>
      <w:r>
        <w:rPr>
          <w:rFonts w:hint="cs"/>
          <w:sz w:val="26"/>
          <w:szCs w:val="26"/>
          <w:rtl/>
        </w:rPr>
        <w:t>,</w:t>
      </w:r>
      <w:r w:rsidRPr="005B5FC2">
        <w:rPr>
          <w:sz w:val="26"/>
          <w:szCs w:val="26"/>
          <w:rtl/>
        </w:rPr>
        <w:t xml:space="preserve"> שיוכרז כסוחר סמים ויחולטו כספים המצויים בחשבון הבנק שלו. המדינה ביקשה להדגיש את חומרת עבירות  הסמים והנזקים הקשים שהן גורמות לחברה ויחידיה ואיזכרה פסיקה בתמיכה לעמדתה. </w:t>
      </w:r>
    </w:p>
    <w:p w14:paraId="7DB692A2" w14:textId="77777777" w:rsidR="00B92E70" w:rsidRPr="005B5FC2" w:rsidRDefault="00B92E70" w:rsidP="00B92E70">
      <w:pPr>
        <w:spacing w:line="360" w:lineRule="auto"/>
        <w:jc w:val="both"/>
        <w:rPr>
          <w:sz w:val="26"/>
          <w:szCs w:val="26"/>
          <w:rtl/>
        </w:rPr>
      </w:pPr>
    </w:p>
    <w:p w14:paraId="60243E2C"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באשר לשיקולי הענישה נטען שנפגעו ערכים חברתיים חשובים מביצוע העבירות. נטען שהנאשם ביצע את העבירות של סחר בכמות של 47 גרם וסיוע לסחר בכמות של 49 גרם כאשר בפקודת הסמים קיימת חזקה שכמות מעל 0.3 גרם קוקאין היא כמות שאינה לצריכה עצמית. פורט גם שהוא ביצע עסקה אחרת בכמות של 120 גרם קוקאין תוך כדי הפרת הוראה חוקית. נטען שמדובר בכמות גדולה של סמים שניתן לחלקה למספר רב של מנות, דבר המצדיק ענישה מחמירה. נטען שחלקו של הנאשם בביצוע העבירות היה דומיננטי כאשר באישום אחד הוא זה שמסר את הסמים לסוכן תמורת כסף ובאישום נוסף סייע לאחר בביצוע עסקת סם והוא החזיק כמות רבה של סם לצורך ביצוע עסקאות הסמים. נטען שאין מדובר בעבירה ספונטנית אלא כזו שקד</w:t>
      </w:r>
      <w:r>
        <w:rPr>
          <w:rFonts w:hint="cs"/>
          <w:sz w:val="26"/>
          <w:szCs w:val="26"/>
          <w:rtl/>
        </w:rPr>
        <w:t>מו</w:t>
      </w:r>
      <w:r w:rsidRPr="005B5FC2">
        <w:rPr>
          <w:sz w:val="26"/>
          <w:szCs w:val="26"/>
          <w:rtl/>
        </w:rPr>
        <w:t xml:space="preserve"> לה הכנות ותכנון משמעותיים . נטען שעולה שהנאשם עוסק באופן אינטנסיבי בסמים ויש לו נגישות גבוהה אליהם ולגורמים עבריינים העוסקים </w:t>
      </w:r>
      <w:r w:rsidRPr="005B5FC2">
        <w:rPr>
          <w:sz w:val="26"/>
          <w:szCs w:val="26"/>
          <w:rtl/>
        </w:rPr>
        <w:lastRenderedPageBreak/>
        <w:t xml:space="preserve">בתחום כעולה מן המרשם הפלילי שלו. נטען שנסיבה נוספת לחומרה הינו סוג הסם כאשר קוקאין מוגדר כאחד הסמים הקשים ביותר. צויין עוד שבמסגרת הפעילות של הסוכן המשטרתי הופללו נאשמים רבים בגין עסקאות סמים רבות. הוזכר הקושי בחשיפת עבירות סמים והפסיקה המצדדת בהחמרה בענישה. </w:t>
      </w:r>
    </w:p>
    <w:p w14:paraId="6971F86C" w14:textId="77777777" w:rsidR="00B92E70" w:rsidRPr="005B5FC2" w:rsidRDefault="00B92E70" w:rsidP="00B92E70">
      <w:pPr>
        <w:spacing w:line="360" w:lineRule="auto"/>
        <w:jc w:val="both"/>
        <w:rPr>
          <w:sz w:val="26"/>
          <w:szCs w:val="26"/>
          <w:rtl/>
        </w:rPr>
      </w:pPr>
    </w:p>
    <w:p w14:paraId="54542A4A"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המאשימה איזכרה פסיקה כדלקמן: </w:t>
      </w:r>
      <w:r w:rsidRPr="005B5FC2">
        <w:rPr>
          <w:rFonts w:hint="cs"/>
          <w:sz w:val="26"/>
          <w:szCs w:val="26"/>
          <w:rtl/>
        </w:rPr>
        <w:t>ב</w:t>
      </w:r>
      <w:hyperlink r:id="rId29" w:history="1">
        <w:r w:rsidR="009A65B2" w:rsidRPr="009A65B2">
          <w:rPr>
            <w:rStyle w:val="Hyperlink"/>
            <w:sz w:val="26"/>
            <w:szCs w:val="26"/>
            <w:rtl/>
          </w:rPr>
          <w:t>ת"פ 40514-12-11</w:t>
        </w:r>
      </w:hyperlink>
      <w:r w:rsidRPr="005B5FC2">
        <w:rPr>
          <w:sz w:val="26"/>
          <w:szCs w:val="26"/>
          <w:rtl/>
        </w:rPr>
        <w:t xml:space="preserve"> </w:t>
      </w:r>
      <w:r w:rsidRPr="005B5FC2">
        <w:rPr>
          <w:b/>
          <w:bCs/>
          <w:sz w:val="26"/>
          <w:szCs w:val="26"/>
          <w:rtl/>
        </w:rPr>
        <w:t>מדינת ישראל נ' אחמד עבד לטיף</w:t>
      </w:r>
      <w:r w:rsidRPr="005B5FC2">
        <w:rPr>
          <w:sz w:val="26"/>
          <w:szCs w:val="26"/>
          <w:rtl/>
        </w:rPr>
        <w:t xml:space="preserve"> הורשע הנאשם בעבירות של תיווך וסחר בהרואין בכמויות של 50 גרם ונדון ל- 4 שנות מאסר בפועל. </w:t>
      </w:r>
    </w:p>
    <w:p w14:paraId="3BE737AB" w14:textId="77777777" w:rsidR="00B92E70" w:rsidRPr="005B5FC2" w:rsidRDefault="00B92E70" w:rsidP="00B92E70">
      <w:pPr>
        <w:pStyle w:val="ListParagraph"/>
        <w:spacing w:line="360" w:lineRule="auto"/>
        <w:jc w:val="both"/>
        <w:rPr>
          <w:sz w:val="26"/>
          <w:szCs w:val="26"/>
          <w:rtl/>
        </w:rPr>
      </w:pPr>
      <w:r w:rsidRPr="005B5FC2">
        <w:rPr>
          <w:sz w:val="26"/>
          <w:szCs w:val="26"/>
          <w:rtl/>
        </w:rPr>
        <w:t>ב</w:t>
      </w:r>
      <w:hyperlink r:id="rId30" w:history="1">
        <w:r w:rsidR="009A65B2" w:rsidRPr="009A65B2">
          <w:rPr>
            <w:rStyle w:val="Hyperlink"/>
            <w:sz w:val="26"/>
            <w:szCs w:val="26"/>
            <w:rtl/>
          </w:rPr>
          <w:t>ת"פ 36553-12-11</w:t>
        </w:r>
      </w:hyperlink>
      <w:r w:rsidRPr="005B5FC2">
        <w:rPr>
          <w:sz w:val="26"/>
          <w:szCs w:val="26"/>
          <w:rtl/>
        </w:rPr>
        <w:t xml:space="preserve"> </w:t>
      </w:r>
      <w:r w:rsidRPr="005B5FC2">
        <w:rPr>
          <w:b/>
          <w:bCs/>
          <w:sz w:val="26"/>
          <w:szCs w:val="26"/>
          <w:rtl/>
        </w:rPr>
        <w:t>מדינת ישראל נ' זהייה ביכי</w:t>
      </w:r>
      <w:r w:rsidRPr="005B5FC2">
        <w:rPr>
          <w:sz w:val="26"/>
          <w:szCs w:val="26"/>
          <w:rtl/>
        </w:rPr>
        <w:t xml:space="preserve">, אחד הנאשמים הורשע בסחר ב- 30 גרם קוקאין ונדון למאסר בפועל של 30 חודשים. </w:t>
      </w:r>
    </w:p>
    <w:p w14:paraId="304F6C58" w14:textId="77777777" w:rsidR="00B92E70" w:rsidRPr="005B5FC2" w:rsidRDefault="00B92E70" w:rsidP="00B92E70">
      <w:pPr>
        <w:pStyle w:val="ListParagraph"/>
        <w:spacing w:line="360" w:lineRule="auto"/>
        <w:jc w:val="both"/>
        <w:rPr>
          <w:sz w:val="26"/>
          <w:szCs w:val="26"/>
          <w:rtl/>
        </w:rPr>
      </w:pPr>
      <w:r w:rsidRPr="005B5FC2">
        <w:rPr>
          <w:sz w:val="26"/>
          <w:szCs w:val="26"/>
          <w:rtl/>
        </w:rPr>
        <w:t>ב</w:t>
      </w:r>
      <w:hyperlink r:id="rId31" w:history="1">
        <w:r w:rsidR="009A65B2" w:rsidRPr="009A65B2">
          <w:rPr>
            <w:rStyle w:val="Hyperlink"/>
            <w:sz w:val="26"/>
            <w:szCs w:val="26"/>
            <w:rtl/>
          </w:rPr>
          <w:t>ע"פ 1313/14</w:t>
        </w:r>
      </w:hyperlink>
      <w:r w:rsidRPr="005B5FC2">
        <w:rPr>
          <w:sz w:val="26"/>
          <w:szCs w:val="26"/>
          <w:rtl/>
        </w:rPr>
        <w:t xml:space="preserve"> </w:t>
      </w:r>
      <w:r w:rsidRPr="005B5FC2">
        <w:rPr>
          <w:b/>
          <w:bCs/>
          <w:sz w:val="26"/>
          <w:szCs w:val="26"/>
          <w:rtl/>
        </w:rPr>
        <w:t>ג'מאל בהטיני נ' מדינת ישראל</w:t>
      </w:r>
      <w:r w:rsidRPr="005B5FC2">
        <w:rPr>
          <w:sz w:val="26"/>
          <w:szCs w:val="26"/>
          <w:rtl/>
        </w:rPr>
        <w:t xml:space="preserve"> הורשע הנאשם בעבירה של החזקת סם מסוג קוקאין במשקל 50 גרם. הערכאה הדיונית גזרה עליו 42 חודשי מאסר בפועל. הערעור לבית המשפט העליון נדחה. </w:t>
      </w:r>
    </w:p>
    <w:p w14:paraId="71FC41E9" w14:textId="77777777" w:rsidR="00B92E70" w:rsidRPr="005B5FC2" w:rsidRDefault="00B92E70" w:rsidP="00B92E70">
      <w:pPr>
        <w:pStyle w:val="ListParagraph"/>
        <w:spacing w:line="360" w:lineRule="auto"/>
        <w:jc w:val="both"/>
        <w:rPr>
          <w:sz w:val="26"/>
          <w:szCs w:val="26"/>
          <w:rtl/>
        </w:rPr>
      </w:pPr>
      <w:r w:rsidRPr="005B5FC2">
        <w:rPr>
          <w:sz w:val="26"/>
          <w:szCs w:val="26"/>
          <w:rtl/>
        </w:rPr>
        <w:t>ב</w:t>
      </w:r>
      <w:hyperlink r:id="rId32" w:history="1">
        <w:r w:rsidR="009A65B2" w:rsidRPr="009A65B2">
          <w:rPr>
            <w:rStyle w:val="Hyperlink"/>
            <w:sz w:val="26"/>
            <w:szCs w:val="26"/>
            <w:rtl/>
          </w:rPr>
          <w:t>ע"פ 8820/14</w:t>
        </w:r>
      </w:hyperlink>
      <w:r w:rsidRPr="005B5FC2">
        <w:rPr>
          <w:sz w:val="26"/>
          <w:szCs w:val="26"/>
          <w:rtl/>
        </w:rPr>
        <w:t xml:space="preserve"> </w:t>
      </w:r>
      <w:r w:rsidRPr="005B5FC2">
        <w:rPr>
          <w:b/>
          <w:bCs/>
          <w:sz w:val="26"/>
          <w:szCs w:val="26"/>
          <w:rtl/>
        </w:rPr>
        <w:t>זוהר שחר נ' מדינת ישראל</w:t>
      </w:r>
      <w:r w:rsidRPr="005B5FC2">
        <w:rPr>
          <w:sz w:val="26"/>
          <w:szCs w:val="26"/>
          <w:rtl/>
        </w:rPr>
        <w:t xml:space="preserve"> הורשע הנאשם בהחזקת סם מסוג קוקאין במשקל 112 גרם כאשר במסגרת הסדר בו עתרה המאשימה ל- 36 חודשים נקבע מתחם שבין 3 – 5 שנות מאסר והוטלו 36 חודשי מאסר בפועל. הערעור נדחה. </w:t>
      </w:r>
    </w:p>
    <w:p w14:paraId="75796E98" w14:textId="77777777" w:rsidR="00B92E70" w:rsidRPr="005B5FC2" w:rsidRDefault="00B92E70" w:rsidP="00B92E70">
      <w:pPr>
        <w:pStyle w:val="ListParagraph"/>
        <w:spacing w:line="360" w:lineRule="auto"/>
        <w:jc w:val="both"/>
        <w:rPr>
          <w:sz w:val="26"/>
          <w:szCs w:val="26"/>
          <w:rtl/>
        </w:rPr>
      </w:pPr>
    </w:p>
    <w:p w14:paraId="4E94AD3C"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אוזכרו גזרי דין שהתקבלו במסגרת פרשיית הסוכן הנוכחית בהם נגזרו עונשים שבין 12 חודשי מאסר עד 30 חודשי מאסר בפועל. </w:t>
      </w:r>
    </w:p>
    <w:p w14:paraId="38C6C5EB" w14:textId="77777777" w:rsidR="00B92E70" w:rsidRPr="005B5FC2" w:rsidRDefault="00B92E70" w:rsidP="00B92E70">
      <w:pPr>
        <w:pStyle w:val="ListParagraph"/>
        <w:spacing w:line="360" w:lineRule="auto"/>
        <w:jc w:val="both"/>
        <w:rPr>
          <w:sz w:val="26"/>
          <w:szCs w:val="26"/>
          <w:rtl/>
        </w:rPr>
      </w:pPr>
    </w:p>
    <w:p w14:paraId="3CA38A29" w14:textId="77777777" w:rsidR="00B92E70" w:rsidRPr="005B5FC2" w:rsidRDefault="00B92E70" w:rsidP="00B92E70">
      <w:pPr>
        <w:pStyle w:val="ListParagraph"/>
        <w:numPr>
          <w:ilvl w:val="0"/>
          <w:numId w:val="3"/>
        </w:numPr>
        <w:spacing w:line="360" w:lineRule="auto"/>
        <w:jc w:val="both"/>
        <w:rPr>
          <w:sz w:val="26"/>
          <w:szCs w:val="26"/>
        </w:rPr>
      </w:pPr>
      <w:r w:rsidRPr="005B5FC2">
        <w:rPr>
          <w:sz w:val="26"/>
          <w:szCs w:val="26"/>
          <w:rtl/>
        </w:rPr>
        <w:t xml:space="preserve">הוזכר עוד שבגזר הדין של הנאשם השני בכתב האישום הראשון נגזר על השותף עונש של 24 חודשי מאסר בפועל. </w:t>
      </w:r>
    </w:p>
    <w:p w14:paraId="68F80CCD" w14:textId="77777777" w:rsidR="00B92E70" w:rsidRPr="005B5FC2" w:rsidRDefault="00B92E70" w:rsidP="00B92E70">
      <w:pPr>
        <w:pStyle w:val="ListParagraph"/>
        <w:spacing w:line="360" w:lineRule="auto"/>
        <w:jc w:val="both"/>
        <w:rPr>
          <w:sz w:val="26"/>
          <w:szCs w:val="26"/>
          <w:rtl/>
        </w:rPr>
      </w:pPr>
    </w:p>
    <w:p w14:paraId="0F10005F"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המדינה איזכרה גם </w:t>
      </w:r>
      <w:hyperlink r:id="rId33" w:history="1">
        <w:r w:rsidR="009A65B2" w:rsidRPr="009A65B2">
          <w:rPr>
            <w:rStyle w:val="Hyperlink"/>
            <w:sz w:val="26"/>
            <w:szCs w:val="26"/>
            <w:rtl/>
          </w:rPr>
          <w:t>ת"פ 975-05-15</w:t>
        </w:r>
      </w:hyperlink>
      <w:r w:rsidRPr="005B5FC2">
        <w:rPr>
          <w:sz w:val="26"/>
          <w:szCs w:val="26"/>
          <w:rtl/>
        </w:rPr>
        <w:t xml:space="preserve"> </w:t>
      </w:r>
      <w:r w:rsidRPr="005B5FC2">
        <w:rPr>
          <w:b/>
          <w:bCs/>
          <w:sz w:val="26"/>
          <w:szCs w:val="26"/>
          <w:rtl/>
        </w:rPr>
        <w:t>מדינת ישראל נ' אבו צעלוק</w:t>
      </w:r>
      <w:r w:rsidRPr="005B5FC2">
        <w:rPr>
          <w:sz w:val="26"/>
          <w:szCs w:val="26"/>
          <w:rtl/>
        </w:rPr>
        <w:t xml:space="preserve"> שם במסגרת הסדר טיעון פתוח בגין עסקת סמים בהיקף של 50  גרם קוקאין נקבע מתחם ענישה הולם בין 3 עד 5 שנות מאסר והוטל עונש של 48 חודשי מאסר בפועל על נאשם אחד ו-21 חודשי מאסר על נאשם אחר. </w:t>
      </w:r>
    </w:p>
    <w:p w14:paraId="73EB0590" w14:textId="77777777" w:rsidR="00B92E70" w:rsidRPr="005B5FC2" w:rsidRDefault="00B92E70" w:rsidP="00B92E70">
      <w:pPr>
        <w:spacing w:line="360" w:lineRule="auto"/>
        <w:jc w:val="both"/>
        <w:rPr>
          <w:sz w:val="26"/>
          <w:szCs w:val="26"/>
          <w:rtl/>
        </w:rPr>
      </w:pPr>
    </w:p>
    <w:p w14:paraId="1A416957" w14:textId="77777777" w:rsidR="00B92E70" w:rsidRPr="005B5FC2" w:rsidRDefault="00B92E70" w:rsidP="00B92E70">
      <w:pPr>
        <w:pStyle w:val="ListParagraph"/>
        <w:spacing w:line="360" w:lineRule="auto"/>
        <w:ind w:left="360"/>
        <w:jc w:val="both"/>
        <w:rPr>
          <w:sz w:val="26"/>
          <w:szCs w:val="26"/>
          <w:rtl/>
        </w:rPr>
      </w:pPr>
      <w:r w:rsidRPr="005B5FC2">
        <w:rPr>
          <w:b/>
          <w:bCs/>
          <w:sz w:val="26"/>
          <w:szCs w:val="26"/>
          <w:u w:val="single"/>
          <w:rtl/>
        </w:rPr>
        <w:t>טיעוני הסניגור</w:t>
      </w:r>
      <w:r w:rsidRPr="005B5FC2">
        <w:rPr>
          <w:sz w:val="26"/>
          <w:szCs w:val="26"/>
          <w:rtl/>
        </w:rPr>
        <w:t xml:space="preserve"> </w:t>
      </w:r>
    </w:p>
    <w:p w14:paraId="5A72E42E" w14:textId="77777777" w:rsidR="00B92E70" w:rsidRPr="005B5FC2" w:rsidRDefault="00B92E70" w:rsidP="00B92E70">
      <w:pPr>
        <w:spacing w:line="360" w:lineRule="auto"/>
        <w:jc w:val="both"/>
        <w:rPr>
          <w:sz w:val="26"/>
          <w:szCs w:val="26"/>
          <w:rtl/>
        </w:rPr>
      </w:pPr>
    </w:p>
    <w:p w14:paraId="04A88DAF" w14:textId="77777777" w:rsidR="00B92E70" w:rsidRPr="005B5FC2" w:rsidRDefault="00B92E70" w:rsidP="00B92E70">
      <w:pPr>
        <w:pStyle w:val="ListParagraph"/>
        <w:numPr>
          <w:ilvl w:val="0"/>
          <w:numId w:val="3"/>
        </w:numPr>
        <w:spacing w:line="360" w:lineRule="auto"/>
        <w:jc w:val="both"/>
        <w:rPr>
          <w:sz w:val="26"/>
          <w:szCs w:val="26"/>
        </w:rPr>
      </w:pPr>
      <w:r w:rsidRPr="005B5FC2">
        <w:rPr>
          <w:sz w:val="26"/>
          <w:szCs w:val="26"/>
          <w:rtl/>
        </w:rPr>
        <w:t xml:space="preserve">הסניגור טען שהיו קשיים ראייתיים משמעותיים בהוכחת האישומים והמתחם שהוסכם בין הצדדים משקף קושי זה. הסניגור טען שהראיות בעניין אבו צעלוק היו ברורות יותר וכללו הקלטות. הסניגור לא הקל ראש בעבירות הסמים והסכים שמדובר בעבירות חמורות אך טען ששיקולי הענישה ידועים וחזר והבהיר שהמדינה בכל זאת הסכימה לתחום את העונש המוצע במקרה דנן. הסניגור טען שיש להטיל עונש ברף הנמוך כיוון שנחסך זמן ניכר למערכת המשפט וכי באותה תקופה אביו של הנאשם נפטר. בנוסף, נטען שהנאשם קיבל אחריות על מעשיו המשתקפת בהחלטתו להודות. </w:t>
      </w:r>
    </w:p>
    <w:p w14:paraId="5150254D" w14:textId="77777777" w:rsidR="00B92E70" w:rsidRPr="005B5FC2" w:rsidRDefault="00B92E70" w:rsidP="00B92E70">
      <w:pPr>
        <w:pStyle w:val="ListParagraph"/>
        <w:spacing w:line="360" w:lineRule="auto"/>
        <w:jc w:val="both"/>
        <w:rPr>
          <w:sz w:val="26"/>
          <w:szCs w:val="26"/>
          <w:rtl/>
        </w:rPr>
      </w:pPr>
    </w:p>
    <w:p w14:paraId="0AB3D3B1"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ביחס לכתב האישום השני נטען שנחסך זמן רב וכי גם בקשר אליו חלו קשיים ראיתיים מצד המדינה. </w:t>
      </w:r>
    </w:p>
    <w:p w14:paraId="2FCCE32D" w14:textId="77777777" w:rsidR="00B92E70" w:rsidRPr="005B5FC2" w:rsidRDefault="00B92E70" w:rsidP="00B92E70">
      <w:pPr>
        <w:spacing w:line="360" w:lineRule="auto"/>
        <w:jc w:val="both"/>
        <w:rPr>
          <w:sz w:val="26"/>
          <w:szCs w:val="26"/>
          <w:rtl/>
        </w:rPr>
      </w:pPr>
    </w:p>
    <w:p w14:paraId="6233FFD3"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עו"ד מסרי שהצטרף לטיעון</w:t>
      </w:r>
      <w:r>
        <w:rPr>
          <w:rFonts w:hint="cs"/>
          <w:sz w:val="26"/>
          <w:szCs w:val="26"/>
          <w:rtl/>
        </w:rPr>
        <w:t xml:space="preserve"> </w:t>
      </w:r>
      <w:r w:rsidRPr="005B5FC2">
        <w:rPr>
          <w:sz w:val="26"/>
          <w:szCs w:val="26"/>
          <w:rtl/>
        </w:rPr>
        <w:t>הוסיף שבני משפחתו של הנאשם נרדפים על ידי משטרת ישראל. הוזכר שאחיו של הנאשם נכה</w:t>
      </w:r>
      <w:r>
        <w:rPr>
          <w:rFonts w:hint="cs"/>
          <w:sz w:val="26"/>
          <w:szCs w:val="26"/>
          <w:rtl/>
        </w:rPr>
        <w:t xml:space="preserve"> ש</w:t>
      </w:r>
      <w:r w:rsidRPr="005B5FC2">
        <w:rPr>
          <w:sz w:val="26"/>
          <w:szCs w:val="26"/>
          <w:rtl/>
        </w:rPr>
        <w:t xml:space="preserve">הנאשם מטפל בו וכי הוא הדמות המרכזית בבית המשפחה. הסניגור הסכים שהסכום של 11,000 ₪ הנמצא בחשבון הבנק יחולט. </w:t>
      </w:r>
    </w:p>
    <w:p w14:paraId="7FEA309E" w14:textId="77777777" w:rsidR="00B92E70" w:rsidRPr="005B5FC2" w:rsidRDefault="00B92E70" w:rsidP="00B92E70">
      <w:pPr>
        <w:spacing w:line="360" w:lineRule="auto"/>
        <w:jc w:val="both"/>
        <w:rPr>
          <w:sz w:val="26"/>
          <w:szCs w:val="26"/>
          <w:rtl/>
        </w:rPr>
      </w:pPr>
    </w:p>
    <w:p w14:paraId="56581DF9"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הנאשם עצמו אמר שברצונו לעשות תיקון בחייו ולהשתנות וביקש אפשרות להצטרף לתכנית "שינוי". </w:t>
      </w:r>
    </w:p>
    <w:p w14:paraId="0D82CDF9" w14:textId="77777777" w:rsidR="00B92E70" w:rsidRPr="005B5FC2" w:rsidRDefault="00B92E70" w:rsidP="00B92E70">
      <w:pPr>
        <w:spacing w:line="360" w:lineRule="auto"/>
        <w:jc w:val="both"/>
        <w:rPr>
          <w:sz w:val="26"/>
          <w:szCs w:val="26"/>
          <w:rtl/>
        </w:rPr>
      </w:pPr>
    </w:p>
    <w:p w14:paraId="6E248E3D" w14:textId="77777777" w:rsidR="00B92E70" w:rsidRPr="005B5FC2" w:rsidRDefault="00B92E70" w:rsidP="00B92E70">
      <w:pPr>
        <w:pStyle w:val="ListParagraph"/>
        <w:spacing w:line="360" w:lineRule="auto"/>
        <w:ind w:left="360"/>
        <w:jc w:val="both"/>
        <w:rPr>
          <w:sz w:val="26"/>
          <w:szCs w:val="26"/>
          <w:rtl/>
        </w:rPr>
      </w:pPr>
      <w:r w:rsidRPr="005B5FC2">
        <w:rPr>
          <w:b/>
          <w:bCs/>
          <w:sz w:val="26"/>
          <w:szCs w:val="26"/>
          <w:u w:val="single"/>
          <w:rtl/>
        </w:rPr>
        <w:t xml:space="preserve">דיון והכרעה </w:t>
      </w:r>
    </w:p>
    <w:p w14:paraId="0B71B0A0" w14:textId="77777777" w:rsidR="00B92E70" w:rsidRPr="005B5FC2" w:rsidRDefault="00B92E70" w:rsidP="00B92E70">
      <w:pPr>
        <w:spacing w:line="360" w:lineRule="auto"/>
        <w:jc w:val="both"/>
        <w:rPr>
          <w:sz w:val="26"/>
          <w:szCs w:val="26"/>
          <w:rtl/>
        </w:rPr>
      </w:pPr>
    </w:p>
    <w:p w14:paraId="2391A459"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הערכים החברתיים שנפגעו הם: הגנה על שלום הציבור ובריאותו. כאשר מדובר בעסקאות סמים ברור שהפגיעה היא קשה (</w:t>
      </w:r>
      <w:hyperlink r:id="rId34" w:history="1">
        <w:r w:rsidR="009A65B2" w:rsidRPr="009A65B2">
          <w:rPr>
            <w:rStyle w:val="Hyperlink"/>
            <w:sz w:val="26"/>
            <w:szCs w:val="26"/>
            <w:rtl/>
          </w:rPr>
          <w:t>ע"פ 7070/03</w:t>
        </w:r>
      </w:hyperlink>
      <w:r w:rsidRPr="005B5FC2">
        <w:rPr>
          <w:sz w:val="26"/>
          <w:szCs w:val="26"/>
          <w:rtl/>
        </w:rPr>
        <w:t xml:space="preserve"> </w:t>
      </w:r>
      <w:r w:rsidRPr="005B5FC2">
        <w:rPr>
          <w:b/>
          <w:bCs/>
          <w:sz w:val="26"/>
          <w:szCs w:val="26"/>
          <w:rtl/>
        </w:rPr>
        <w:t>אליאן זניד נ' מדינת ישראל</w:t>
      </w:r>
      <w:r w:rsidRPr="005B5FC2">
        <w:rPr>
          <w:sz w:val="26"/>
          <w:szCs w:val="26"/>
          <w:rtl/>
        </w:rPr>
        <w:t xml:space="preserve">; </w:t>
      </w:r>
      <w:hyperlink r:id="rId35" w:history="1">
        <w:r w:rsidR="009A65B2" w:rsidRPr="009A65B2">
          <w:rPr>
            <w:rStyle w:val="Hyperlink"/>
            <w:sz w:val="26"/>
            <w:szCs w:val="26"/>
            <w:rtl/>
          </w:rPr>
          <w:t>ע"פ 6029/03</w:t>
        </w:r>
      </w:hyperlink>
      <w:r w:rsidRPr="005B5FC2">
        <w:rPr>
          <w:sz w:val="26"/>
          <w:szCs w:val="26"/>
          <w:rtl/>
        </w:rPr>
        <w:t xml:space="preserve"> </w:t>
      </w:r>
      <w:r w:rsidRPr="005B5FC2">
        <w:rPr>
          <w:b/>
          <w:bCs/>
          <w:sz w:val="26"/>
          <w:szCs w:val="26"/>
          <w:rtl/>
        </w:rPr>
        <w:t>מדינת ישראל נ' גולן שמאי</w:t>
      </w:r>
      <w:r w:rsidRPr="005B5FC2">
        <w:rPr>
          <w:sz w:val="26"/>
          <w:szCs w:val="26"/>
          <w:rtl/>
        </w:rPr>
        <w:t xml:space="preserve">). המדיניות העונשית ביחס לעסקאות סמים מחמירה כפי שעלה מהפסיקה שאוזכרה על ידי המדינה. </w:t>
      </w:r>
    </w:p>
    <w:p w14:paraId="255AA2FB" w14:textId="77777777" w:rsidR="00B92E70" w:rsidRPr="005B5FC2" w:rsidRDefault="00B92E70" w:rsidP="00B92E70">
      <w:pPr>
        <w:spacing w:line="360" w:lineRule="auto"/>
        <w:jc w:val="both"/>
        <w:rPr>
          <w:sz w:val="26"/>
          <w:szCs w:val="26"/>
          <w:rtl/>
        </w:rPr>
      </w:pPr>
    </w:p>
    <w:p w14:paraId="212B36F3"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במקרה דנן, בשני המקרים קדם תכנון משמעותי לביצוע העבירות. במקרה הראשון חלקו היחסי של הנאשם היה דומיננטי וגם במקרה השני היה משמעותי. אין צריך להכביר מלים על הנזק שהיה צפוי אילו העסקאות היו מתבצעות. במקרה דנן המתחם ההולם יכול לנוע בין 4 – 9 שנות מאסר בפועל בכתב האישום הראשון ובין 2 שנים עד 4 שנות מאסר בכתב האישום השני. המתחם אותו תחמו הצדדים הינו סביר בנסיבות העניין. </w:t>
      </w:r>
    </w:p>
    <w:p w14:paraId="11E7D1DC" w14:textId="77777777" w:rsidR="00B92E70" w:rsidRPr="005B5FC2" w:rsidRDefault="00B92E70" w:rsidP="00B92E70">
      <w:pPr>
        <w:spacing w:line="360" w:lineRule="auto"/>
        <w:jc w:val="both"/>
        <w:rPr>
          <w:sz w:val="26"/>
          <w:szCs w:val="26"/>
          <w:rtl/>
        </w:rPr>
      </w:pPr>
    </w:p>
    <w:p w14:paraId="056AA6A3" w14:textId="77777777" w:rsidR="00B92E70" w:rsidRPr="00FE0734" w:rsidRDefault="00B92E70" w:rsidP="00B92E70">
      <w:pPr>
        <w:pStyle w:val="ListParagraph"/>
        <w:numPr>
          <w:ilvl w:val="0"/>
          <w:numId w:val="3"/>
        </w:numPr>
        <w:spacing w:line="360" w:lineRule="auto"/>
        <w:ind w:left="360"/>
        <w:jc w:val="both"/>
        <w:rPr>
          <w:sz w:val="26"/>
          <w:szCs w:val="26"/>
          <w:rtl/>
        </w:rPr>
      </w:pPr>
      <w:r w:rsidRPr="00FE0734">
        <w:rPr>
          <w:sz w:val="26"/>
          <w:szCs w:val="26"/>
          <w:rtl/>
        </w:rPr>
        <w:t xml:space="preserve">לקולא, יש לציין את הודאתו של הנאשם בביצוע העבירות והזמן הרב שנחסך כתוצאה מההודאה בשני כתבי אישום שונים. כמו כן, פורטו נסיבותיו האישיות של הנאשם על אף שיאמר שנתונים אלו אינם יכולים לעמוד מול הצורך בענישה מרתיעה. </w:t>
      </w:r>
    </w:p>
    <w:p w14:paraId="67877A27" w14:textId="77777777" w:rsidR="00B92E70" w:rsidRDefault="00B92E70" w:rsidP="00B92E70">
      <w:pPr>
        <w:spacing w:line="360" w:lineRule="auto"/>
        <w:ind w:left="360"/>
        <w:jc w:val="both"/>
        <w:rPr>
          <w:sz w:val="26"/>
          <w:szCs w:val="26"/>
          <w:rtl/>
        </w:rPr>
      </w:pPr>
    </w:p>
    <w:p w14:paraId="53661A2F" w14:textId="77777777" w:rsidR="00B92E70" w:rsidRPr="00FE0734" w:rsidRDefault="00B92E70" w:rsidP="00B92E70">
      <w:pPr>
        <w:pStyle w:val="ListParagraph"/>
        <w:numPr>
          <w:ilvl w:val="0"/>
          <w:numId w:val="3"/>
        </w:numPr>
        <w:spacing w:line="360" w:lineRule="auto"/>
        <w:jc w:val="both"/>
        <w:rPr>
          <w:sz w:val="26"/>
          <w:szCs w:val="26"/>
        </w:rPr>
      </w:pPr>
      <w:r w:rsidRPr="00FE0734">
        <w:rPr>
          <w:sz w:val="26"/>
          <w:szCs w:val="26"/>
          <w:rtl/>
        </w:rPr>
        <w:t xml:space="preserve">יתר על כן, לא ניתן להתעלם מטענות הסניגור באשר לקשיים ראיתיים </w:t>
      </w:r>
      <w:r w:rsidRPr="00FE0734">
        <w:rPr>
          <w:rFonts w:hint="cs"/>
          <w:sz w:val="26"/>
          <w:szCs w:val="26"/>
          <w:rtl/>
        </w:rPr>
        <w:t xml:space="preserve">שעמדו בפני המדינה </w:t>
      </w:r>
      <w:r w:rsidRPr="00FE0734">
        <w:rPr>
          <w:sz w:val="26"/>
          <w:szCs w:val="26"/>
          <w:rtl/>
        </w:rPr>
        <w:t>כאשר כתב האישום הראשון נפתח עוד בסוף 2014 ולא התנהל מאותו מועד כתוצאה מדחיות מוסכמות בין הצדדים</w:t>
      </w:r>
      <w:r w:rsidRPr="00FE0734">
        <w:rPr>
          <w:rFonts w:hint="cs"/>
          <w:sz w:val="26"/>
          <w:szCs w:val="26"/>
          <w:rtl/>
        </w:rPr>
        <w:t xml:space="preserve">. בית משפט זה לא נחשף לראיות שבידי המדינה כיוון שלא התנהלו הוכחות כלל בעקבות הדחיות שהתבקשו. ואכן, קשה להעלות על הדעת סיבה אחרת שהיתה מצדיקה את הסכמת המדינה לדחיות כה רבות, שהגיעו לכדי שנה וחצי, כאשר מדובר באדם הנמצא במעצר. בפראפרזה מהנאמר בסרט "הטוב, הרע והמכוער" </w:t>
      </w:r>
      <w:r w:rsidRPr="00FE0734">
        <w:rPr>
          <w:sz w:val="26"/>
          <w:szCs w:val="26"/>
          <w:rtl/>
        </w:rPr>
        <w:t>–</w:t>
      </w:r>
      <w:r w:rsidRPr="00FE0734">
        <w:rPr>
          <w:rFonts w:hint="cs"/>
          <w:sz w:val="26"/>
          <w:szCs w:val="26"/>
          <w:rtl/>
        </w:rPr>
        <w:t xml:space="preserve"> 'אם ברצונך לירות... תירה, אל תדבר". </w:t>
      </w:r>
    </w:p>
    <w:p w14:paraId="0F076C1F" w14:textId="77777777" w:rsidR="00B92E70" w:rsidRPr="002323A3" w:rsidRDefault="00B92E70" w:rsidP="00B92E70">
      <w:pPr>
        <w:pStyle w:val="ListParagraph"/>
        <w:spacing w:line="360" w:lineRule="auto"/>
        <w:jc w:val="both"/>
        <w:rPr>
          <w:sz w:val="26"/>
          <w:szCs w:val="26"/>
          <w:rtl/>
        </w:rPr>
      </w:pPr>
    </w:p>
    <w:p w14:paraId="2ACB9C15" w14:textId="77777777" w:rsidR="00B92E70" w:rsidRPr="005B5FC2" w:rsidRDefault="00B92E70" w:rsidP="00B92E70">
      <w:pPr>
        <w:pStyle w:val="ListParagraph"/>
        <w:numPr>
          <w:ilvl w:val="0"/>
          <w:numId w:val="3"/>
        </w:numPr>
        <w:spacing w:line="360" w:lineRule="auto"/>
        <w:jc w:val="both"/>
        <w:rPr>
          <w:sz w:val="26"/>
          <w:szCs w:val="26"/>
          <w:rtl/>
        </w:rPr>
      </w:pPr>
      <w:r w:rsidRPr="005B5FC2">
        <w:rPr>
          <w:sz w:val="26"/>
          <w:szCs w:val="26"/>
          <w:rtl/>
        </w:rPr>
        <w:t xml:space="preserve">מכל האמור הגעתי למסקנה שיש להטיל על הנאשם עונשים כדלקמן: </w:t>
      </w:r>
    </w:p>
    <w:p w14:paraId="602F9BA8" w14:textId="77777777" w:rsidR="00B92E70" w:rsidRPr="005B5FC2" w:rsidRDefault="00B92E70" w:rsidP="00B92E70">
      <w:pPr>
        <w:pStyle w:val="ListParagraph"/>
        <w:numPr>
          <w:ilvl w:val="0"/>
          <w:numId w:val="2"/>
        </w:numPr>
        <w:spacing w:line="360" w:lineRule="auto"/>
        <w:jc w:val="both"/>
        <w:rPr>
          <w:sz w:val="26"/>
          <w:szCs w:val="26"/>
          <w:rtl/>
        </w:rPr>
      </w:pPr>
      <w:r>
        <w:rPr>
          <w:sz w:val="26"/>
          <w:szCs w:val="26"/>
          <w:rtl/>
        </w:rPr>
        <w:t xml:space="preserve">5 שנים ו- 10 חודשי מאסר בפועל </w:t>
      </w:r>
      <w:r>
        <w:rPr>
          <w:rFonts w:hint="cs"/>
          <w:sz w:val="26"/>
          <w:szCs w:val="26"/>
          <w:rtl/>
        </w:rPr>
        <w:t xml:space="preserve">בניכוי ימי מעצרו מיום </w:t>
      </w:r>
      <w:r w:rsidRPr="00537665">
        <w:rPr>
          <w:rFonts w:hint="cs"/>
          <w:sz w:val="26"/>
          <w:szCs w:val="26"/>
          <w:u w:val="single"/>
          <w:rtl/>
        </w:rPr>
        <w:t xml:space="preserve">15.12.14. </w:t>
      </w:r>
    </w:p>
    <w:p w14:paraId="1D73678E" w14:textId="77777777" w:rsidR="00B92E70" w:rsidRPr="005B5FC2" w:rsidRDefault="00B92E70" w:rsidP="00B92E70">
      <w:pPr>
        <w:pStyle w:val="ListParagraph"/>
        <w:numPr>
          <w:ilvl w:val="0"/>
          <w:numId w:val="2"/>
        </w:numPr>
        <w:spacing w:line="360" w:lineRule="auto"/>
        <w:jc w:val="both"/>
        <w:rPr>
          <w:sz w:val="26"/>
          <w:szCs w:val="26"/>
          <w:rtl/>
        </w:rPr>
      </w:pPr>
      <w:r w:rsidRPr="005B5FC2">
        <w:rPr>
          <w:sz w:val="26"/>
          <w:szCs w:val="26"/>
          <w:rtl/>
        </w:rPr>
        <w:t xml:space="preserve">מאסר על תנאי לתקופה של 18 חודשים במשך 3 שנים מיום שחרורו פן יעבור עבירות סמים שלא לצריכה עצמית. </w:t>
      </w:r>
    </w:p>
    <w:p w14:paraId="6F587F29" w14:textId="77777777" w:rsidR="00B92E70" w:rsidRPr="005B5FC2" w:rsidRDefault="00B92E70" w:rsidP="00B92E70">
      <w:pPr>
        <w:pStyle w:val="ListParagraph"/>
        <w:numPr>
          <w:ilvl w:val="0"/>
          <w:numId w:val="2"/>
        </w:numPr>
        <w:spacing w:line="360" w:lineRule="auto"/>
        <w:jc w:val="both"/>
        <w:rPr>
          <w:sz w:val="26"/>
          <w:szCs w:val="26"/>
          <w:rtl/>
        </w:rPr>
      </w:pPr>
      <w:r w:rsidRPr="005B5FC2">
        <w:rPr>
          <w:sz w:val="26"/>
          <w:szCs w:val="26"/>
          <w:rtl/>
        </w:rPr>
        <w:t>הנאשם יוכרז כ"סוחר סמים".</w:t>
      </w:r>
    </w:p>
    <w:p w14:paraId="31133A29" w14:textId="77777777" w:rsidR="00B92E70" w:rsidRPr="005B5FC2" w:rsidRDefault="00B92E70" w:rsidP="00B92E70">
      <w:pPr>
        <w:pStyle w:val="ListParagraph"/>
        <w:numPr>
          <w:ilvl w:val="0"/>
          <w:numId w:val="2"/>
        </w:numPr>
        <w:spacing w:line="360" w:lineRule="auto"/>
        <w:jc w:val="both"/>
        <w:rPr>
          <w:sz w:val="26"/>
          <w:szCs w:val="26"/>
          <w:rtl/>
        </w:rPr>
      </w:pPr>
      <w:r w:rsidRPr="005B5FC2">
        <w:rPr>
          <w:sz w:val="26"/>
          <w:szCs w:val="26"/>
          <w:rtl/>
        </w:rPr>
        <w:t xml:space="preserve">הסכום בסך 11,000 ₪ מחשבון הבנק של הנאשם יחולט. </w:t>
      </w:r>
    </w:p>
    <w:p w14:paraId="49AB10E2" w14:textId="77777777" w:rsidR="00B92E70" w:rsidRPr="005B5FC2" w:rsidRDefault="00B92E70" w:rsidP="00B92E70">
      <w:pPr>
        <w:pStyle w:val="ListParagraph"/>
        <w:numPr>
          <w:ilvl w:val="0"/>
          <w:numId w:val="2"/>
        </w:numPr>
        <w:spacing w:line="360" w:lineRule="auto"/>
        <w:jc w:val="both"/>
        <w:rPr>
          <w:sz w:val="26"/>
          <w:szCs w:val="26"/>
          <w:rtl/>
        </w:rPr>
      </w:pPr>
      <w:r w:rsidRPr="005B5FC2">
        <w:rPr>
          <w:sz w:val="26"/>
          <w:szCs w:val="26"/>
          <w:rtl/>
        </w:rPr>
        <w:t xml:space="preserve">הנני מפנה לרשויות שב"ס </w:t>
      </w:r>
      <w:r>
        <w:rPr>
          <w:rFonts w:hint="cs"/>
          <w:sz w:val="26"/>
          <w:szCs w:val="26"/>
          <w:rtl/>
        </w:rPr>
        <w:t xml:space="preserve">את </w:t>
      </w:r>
      <w:r w:rsidRPr="005B5FC2">
        <w:rPr>
          <w:sz w:val="26"/>
          <w:szCs w:val="26"/>
          <w:rtl/>
        </w:rPr>
        <w:t>בקשת הנאשם להקלט במסגרת תכנית שיקומית ל</w:t>
      </w:r>
      <w:r>
        <w:rPr>
          <w:rFonts w:hint="cs"/>
          <w:sz w:val="26"/>
          <w:szCs w:val="26"/>
          <w:rtl/>
        </w:rPr>
        <w:t>"</w:t>
      </w:r>
      <w:r w:rsidRPr="005B5FC2">
        <w:rPr>
          <w:sz w:val="26"/>
          <w:szCs w:val="26"/>
          <w:rtl/>
        </w:rPr>
        <w:t>שינוי</w:t>
      </w:r>
      <w:r>
        <w:rPr>
          <w:rFonts w:hint="cs"/>
          <w:sz w:val="26"/>
          <w:szCs w:val="26"/>
          <w:rtl/>
        </w:rPr>
        <w:t>"</w:t>
      </w:r>
      <w:r w:rsidRPr="005B5FC2">
        <w:rPr>
          <w:sz w:val="26"/>
          <w:szCs w:val="26"/>
          <w:rtl/>
        </w:rPr>
        <w:t xml:space="preserve">. </w:t>
      </w:r>
    </w:p>
    <w:p w14:paraId="42B38DB6" w14:textId="77777777" w:rsidR="00B92E70" w:rsidRPr="005B5FC2" w:rsidRDefault="00B92E70" w:rsidP="00B92E70">
      <w:pPr>
        <w:spacing w:line="360" w:lineRule="auto"/>
        <w:jc w:val="both"/>
        <w:rPr>
          <w:sz w:val="18"/>
          <w:szCs w:val="18"/>
          <w:rtl/>
        </w:rPr>
      </w:pPr>
    </w:p>
    <w:p w14:paraId="7D505043" w14:textId="77777777" w:rsidR="00B92E70" w:rsidRPr="005B5FC2" w:rsidRDefault="00B92E70" w:rsidP="00B92E70">
      <w:pPr>
        <w:spacing w:line="360" w:lineRule="auto"/>
        <w:jc w:val="both"/>
        <w:rPr>
          <w:b/>
          <w:bCs/>
          <w:sz w:val="26"/>
          <w:szCs w:val="26"/>
          <w:u w:val="single"/>
          <w:rtl/>
        </w:rPr>
      </w:pPr>
      <w:r w:rsidRPr="005B5FC2">
        <w:rPr>
          <w:rFonts w:hint="cs"/>
          <w:b/>
          <w:bCs/>
          <w:sz w:val="26"/>
          <w:szCs w:val="26"/>
          <w:u w:val="single"/>
          <w:rtl/>
        </w:rPr>
        <w:t xml:space="preserve">זכות ערעור תוך 45 ימים. </w:t>
      </w:r>
    </w:p>
    <w:p w14:paraId="0D240FAE" w14:textId="77777777" w:rsidR="00B92E70" w:rsidRPr="005B5FC2" w:rsidRDefault="00B92E70" w:rsidP="00B92E70">
      <w:pPr>
        <w:rPr>
          <w:rFonts w:ascii="Arial" w:hAnsi="Arial"/>
          <w:sz w:val="18"/>
          <w:szCs w:val="18"/>
          <w:rtl/>
        </w:rPr>
      </w:pPr>
    </w:p>
    <w:p w14:paraId="3B7A4B12" w14:textId="77777777" w:rsidR="00B92E70" w:rsidRDefault="009A65B2" w:rsidP="00B92E70">
      <w:pPr>
        <w:jc w:val="center"/>
      </w:pPr>
      <w:r w:rsidRPr="009A65B2">
        <w:rPr>
          <w:rFonts w:ascii="Arial" w:hAnsi="Arial"/>
          <w:color w:val="FFFFFF"/>
          <w:sz w:val="2"/>
          <w:szCs w:val="2"/>
          <w:rtl/>
        </w:rPr>
        <w:t>5129371</w:t>
      </w:r>
      <w:r>
        <w:rPr>
          <w:rFonts w:ascii="Arial" w:hAnsi="Arial"/>
          <w:sz w:val="26"/>
          <w:szCs w:val="26"/>
          <w:rtl/>
        </w:rPr>
        <w:t xml:space="preserve">ניתן היום,  כ"ב אייר תשע"ו, 30 מאי 2016,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92E70" w14:paraId="45DA8B14" w14:textId="77777777">
        <w:trPr>
          <w:trHeight w:val="316"/>
          <w:jc w:val="right"/>
        </w:trPr>
        <w:tc>
          <w:tcPr>
            <w:tcW w:w="3936" w:type="dxa"/>
            <w:tcBorders>
              <w:top w:val="nil"/>
              <w:left w:val="nil"/>
              <w:bottom w:val="single" w:sz="4" w:space="0" w:color="auto"/>
              <w:right w:val="nil"/>
            </w:tcBorders>
            <w:shd w:val="clear" w:color="auto" w:fill="auto"/>
          </w:tcPr>
          <w:p w14:paraId="5D9EC89B" w14:textId="77777777" w:rsidR="00B92E70" w:rsidRPr="009A65B2" w:rsidRDefault="009A65B2" w:rsidP="009A65B2">
            <w:pPr>
              <w:jc w:val="center"/>
              <w:rPr>
                <w:color w:val="FFFFFF"/>
                <w:sz w:val="2"/>
                <w:szCs w:val="2"/>
                <w:rtl/>
              </w:rPr>
            </w:pPr>
            <w:r w:rsidRPr="009A65B2">
              <w:rPr>
                <w:color w:val="FFFFFF"/>
                <w:sz w:val="2"/>
                <w:szCs w:val="2"/>
                <w:rtl/>
              </w:rPr>
              <w:t>54678313</w:t>
            </w:r>
          </w:p>
          <w:p w14:paraId="2F82BEB2" w14:textId="77777777" w:rsidR="00B92E70" w:rsidRDefault="00B92E70" w:rsidP="009A65B2">
            <w:pPr>
              <w:jc w:val="center"/>
            </w:pPr>
          </w:p>
        </w:tc>
      </w:tr>
      <w:tr w:rsidR="00B92E70" w14:paraId="322D3F3D" w14:textId="77777777">
        <w:trPr>
          <w:trHeight w:val="361"/>
          <w:jc w:val="right"/>
        </w:trPr>
        <w:tc>
          <w:tcPr>
            <w:tcW w:w="3936" w:type="dxa"/>
            <w:tcBorders>
              <w:top w:val="single" w:sz="4" w:space="0" w:color="auto"/>
              <w:left w:val="nil"/>
              <w:bottom w:val="nil"/>
              <w:right w:val="nil"/>
            </w:tcBorders>
            <w:shd w:val="clear" w:color="auto" w:fill="auto"/>
          </w:tcPr>
          <w:p w14:paraId="6C1664FD" w14:textId="77777777" w:rsidR="00B92E70" w:rsidRPr="00D859D2" w:rsidRDefault="00B92E70" w:rsidP="009A65B2">
            <w:pPr>
              <w:jc w:val="center"/>
              <w:rPr>
                <w:b/>
                <w:bCs/>
                <w:rtl/>
              </w:rPr>
            </w:pPr>
            <w:r w:rsidRPr="00D859D2">
              <w:rPr>
                <w:rFonts w:hint="cs"/>
                <w:b/>
                <w:bCs/>
                <w:rtl/>
              </w:rPr>
              <w:t xml:space="preserve">דניאל </w:t>
            </w:r>
            <w:r w:rsidRPr="00D859D2">
              <w:rPr>
                <w:rFonts w:cs="Times New Roman" w:hint="cs"/>
                <w:b/>
                <w:bCs/>
                <w:rtl/>
              </w:rPr>
              <w:t>פיש</w:t>
            </w:r>
            <w:r w:rsidRPr="00D859D2">
              <w:rPr>
                <w:rFonts w:hint="cs"/>
                <w:b/>
                <w:bCs/>
                <w:rtl/>
              </w:rPr>
              <w:t xml:space="preserve"> , </w:t>
            </w:r>
            <w:r w:rsidRPr="00D859D2">
              <w:rPr>
                <w:rFonts w:cs="Times New Roman" w:hint="cs"/>
                <w:b/>
                <w:bCs/>
                <w:rtl/>
              </w:rPr>
              <w:t>שופט</w:t>
            </w:r>
            <w:r w:rsidRPr="00D859D2">
              <w:rPr>
                <w:rFonts w:hint="cs"/>
                <w:b/>
                <w:bCs/>
                <w:rtl/>
              </w:rPr>
              <w:t xml:space="preserve"> </w:t>
            </w:r>
          </w:p>
        </w:tc>
      </w:tr>
    </w:tbl>
    <w:p w14:paraId="0CDFCE6C" w14:textId="77777777" w:rsidR="00B92E70" w:rsidRPr="00FA63B2" w:rsidRDefault="00FA63B2" w:rsidP="00B92E70">
      <w:pPr>
        <w:spacing w:line="360" w:lineRule="auto"/>
        <w:jc w:val="both"/>
        <w:rPr>
          <w:rFonts w:ascii="Arial" w:hAnsi="Arial"/>
          <w:color w:val="FFFFFF"/>
          <w:sz w:val="2"/>
          <w:szCs w:val="2"/>
          <w:rtl/>
        </w:rPr>
      </w:pPr>
      <w:r w:rsidRPr="00FA63B2">
        <w:rPr>
          <w:rFonts w:ascii="Arial" w:hAnsi="Arial"/>
          <w:color w:val="FFFFFF"/>
          <w:sz w:val="2"/>
          <w:szCs w:val="2"/>
          <w:rtl/>
        </w:rPr>
        <w:t>5129371</w:t>
      </w:r>
    </w:p>
    <w:p w14:paraId="00FEAEC0" w14:textId="77777777" w:rsidR="009A65B2" w:rsidRPr="00FA63B2" w:rsidRDefault="00FA63B2" w:rsidP="009A65B2">
      <w:pPr>
        <w:keepNext/>
        <w:rPr>
          <w:rFonts w:ascii="David" w:hAnsi="David"/>
          <w:color w:val="FFFFFF"/>
          <w:sz w:val="2"/>
          <w:szCs w:val="2"/>
          <w:rtl/>
        </w:rPr>
      </w:pPr>
      <w:r w:rsidRPr="00FA63B2">
        <w:rPr>
          <w:rFonts w:ascii="David" w:hAnsi="David"/>
          <w:color w:val="FFFFFF"/>
          <w:sz w:val="2"/>
          <w:szCs w:val="2"/>
          <w:rtl/>
        </w:rPr>
        <w:t>54678313</w:t>
      </w:r>
    </w:p>
    <w:p w14:paraId="4582A0FD" w14:textId="77777777" w:rsidR="009A65B2" w:rsidRDefault="009A65B2" w:rsidP="009A65B2">
      <w:r w:rsidRPr="009A65B2">
        <w:rPr>
          <w:color w:val="000000"/>
          <w:rtl/>
        </w:rPr>
        <w:t>נוסח מסמך זה כפוף לשינויי ניסוח ועריכה</w:t>
      </w:r>
    </w:p>
    <w:p w14:paraId="3F66EE51" w14:textId="77777777" w:rsidR="009A65B2" w:rsidRDefault="009A65B2" w:rsidP="009A65B2">
      <w:pPr>
        <w:rPr>
          <w:rtl/>
        </w:rPr>
      </w:pPr>
    </w:p>
    <w:p w14:paraId="6AD167A6" w14:textId="77777777" w:rsidR="009A65B2" w:rsidRDefault="009A65B2" w:rsidP="009A65B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E823D6B" w14:textId="77777777" w:rsidR="00FA63B2" w:rsidRPr="00FA63B2" w:rsidRDefault="00FA63B2" w:rsidP="00FA63B2">
      <w:pPr>
        <w:keepNext/>
        <w:rPr>
          <w:rFonts w:ascii="David" w:hAnsi="David"/>
          <w:color w:val="000000"/>
          <w:sz w:val="22"/>
          <w:szCs w:val="22"/>
          <w:rtl/>
        </w:rPr>
      </w:pPr>
    </w:p>
    <w:p w14:paraId="657B2449" w14:textId="77777777" w:rsidR="00FA63B2" w:rsidRDefault="00FA63B2" w:rsidP="00FA63B2">
      <w:pPr>
        <w:keepNext/>
        <w:rPr>
          <w:rFonts w:ascii="David" w:hAnsi="David" w:hint="cs"/>
          <w:color w:val="000000"/>
          <w:sz w:val="22"/>
          <w:szCs w:val="22"/>
          <w:rtl/>
        </w:rPr>
      </w:pPr>
      <w:r w:rsidRPr="00FA63B2">
        <w:rPr>
          <w:rFonts w:ascii="David" w:hAnsi="David"/>
          <w:color w:val="000000"/>
          <w:sz w:val="22"/>
          <w:szCs w:val="22"/>
          <w:rtl/>
        </w:rPr>
        <w:t>דניאל פיש 54678313-/</w:t>
      </w:r>
    </w:p>
    <w:p w14:paraId="402BEC72" w14:textId="77777777" w:rsidR="00405750" w:rsidRPr="00FA63B2" w:rsidRDefault="00405750" w:rsidP="00FA63B2">
      <w:pPr>
        <w:keepNext/>
        <w:rPr>
          <w:rFonts w:ascii="David" w:hAnsi="David"/>
          <w:color w:val="000000"/>
          <w:sz w:val="22"/>
          <w:szCs w:val="22"/>
          <w:rtl/>
        </w:rPr>
      </w:pPr>
    </w:p>
    <w:sectPr w:rsidR="00405750" w:rsidRPr="00FA63B2" w:rsidSect="00FA63B2">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BEC78" w14:textId="77777777" w:rsidR="001C14FC" w:rsidRDefault="001C14FC">
      <w:r>
        <w:separator/>
      </w:r>
    </w:p>
  </w:endnote>
  <w:endnote w:type="continuationSeparator" w:id="0">
    <w:p w14:paraId="6BDA412E" w14:textId="77777777" w:rsidR="001C14FC" w:rsidRDefault="001C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55EF6" w14:textId="77777777" w:rsidR="008346F3" w:rsidRDefault="008346F3" w:rsidP="00FA63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88F868" w14:textId="77777777" w:rsidR="008346F3" w:rsidRPr="00FA63B2" w:rsidRDefault="008346F3" w:rsidP="00FA63B2">
    <w:pPr>
      <w:pStyle w:val="a4"/>
      <w:pBdr>
        <w:top w:val="single" w:sz="4" w:space="1" w:color="auto"/>
        <w:between w:val="single" w:sz="4" w:space="0" w:color="auto"/>
      </w:pBdr>
      <w:spacing w:after="60"/>
      <w:jc w:val="center"/>
      <w:rPr>
        <w:rFonts w:ascii="FrankRuehl" w:hAnsi="FrankRuehl" w:cs="FrankRuehl"/>
        <w:color w:val="000000"/>
      </w:rPr>
    </w:pPr>
    <w:r w:rsidRPr="00FA63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D82CC" w14:textId="77777777" w:rsidR="008346F3" w:rsidRDefault="008346F3" w:rsidP="00FA63B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1FC5">
      <w:rPr>
        <w:rFonts w:ascii="FrankRuehl" w:hAnsi="FrankRuehl" w:cs="FrankRuehl"/>
        <w:noProof/>
        <w:rtl/>
      </w:rPr>
      <w:t>1</w:t>
    </w:r>
    <w:r>
      <w:rPr>
        <w:rFonts w:ascii="FrankRuehl" w:hAnsi="FrankRuehl" w:cs="FrankRuehl"/>
        <w:rtl/>
      </w:rPr>
      <w:fldChar w:fldCharType="end"/>
    </w:r>
  </w:p>
  <w:p w14:paraId="0E8FAF3E" w14:textId="77777777" w:rsidR="008346F3" w:rsidRPr="00FA63B2" w:rsidRDefault="008346F3" w:rsidP="00FA63B2">
    <w:pPr>
      <w:pStyle w:val="a4"/>
      <w:pBdr>
        <w:top w:val="single" w:sz="4" w:space="1" w:color="auto"/>
        <w:between w:val="single" w:sz="4" w:space="0" w:color="auto"/>
      </w:pBdr>
      <w:spacing w:after="60"/>
      <w:jc w:val="center"/>
      <w:rPr>
        <w:rFonts w:ascii="FrankRuehl" w:hAnsi="FrankRuehl" w:cs="FrankRuehl"/>
        <w:color w:val="000000"/>
      </w:rPr>
    </w:pPr>
    <w:r w:rsidRPr="00FA63B2">
      <w:rPr>
        <w:rFonts w:ascii="FrankRuehl" w:hAnsi="FrankRuehl" w:cs="FrankRuehl"/>
        <w:color w:val="000000"/>
      </w:rPr>
      <w:pict w14:anchorId="0B279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9D28D" w14:textId="77777777" w:rsidR="001C14FC" w:rsidRDefault="001C14FC">
      <w:r>
        <w:separator/>
      </w:r>
    </w:p>
  </w:footnote>
  <w:footnote w:type="continuationSeparator" w:id="0">
    <w:p w14:paraId="223CE50D" w14:textId="77777777" w:rsidR="001C14FC" w:rsidRDefault="001C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DCBA" w14:textId="77777777" w:rsidR="008346F3" w:rsidRPr="00FA63B2" w:rsidRDefault="008346F3" w:rsidP="00FA63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60842-12-14</w:t>
    </w:r>
    <w:r>
      <w:rPr>
        <w:rFonts w:ascii="David" w:hAnsi="David"/>
        <w:color w:val="000000"/>
        <w:sz w:val="22"/>
        <w:szCs w:val="22"/>
        <w:rtl/>
      </w:rPr>
      <w:tab/>
      <w:t xml:space="preserve"> מדינת ישראל נ' תאמר כליבאת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BD1A5" w14:textId="77777777" w:rsidR="008346F3" w:rsidRPr="00FA63B2" w:rsidRDefault="008346F3" w:rsidP="00FA63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60842-12-14</w:t>
    </w:r>
    <w:r>
      <w:rPr>
        <w:rFonts w:ascii="David" w:hAnsi="David"/>
        <w:color w:val="000000"/>
        <w:sz w:val="22"/>
        <w:szCs w:val="22"/>
        <w:rtl/>
      </w:rPr>
      <w:tab/>
      <w:t xml:space="preserve"> מדינת ישראל נ' תאמר כליבאת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E1903"/>
    <w:multiLevelType w:val="hybridMultilevel"/>
    <w:tmpl w:val="A1A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76D9E"/>
    <w:multiLevelType w:val="hybridMultilevel"/>
    <w:tmpl w:val="1EEE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45635"/>
    <w:multiLevelType w:val="hybridMultilevel"/>
    <w:tmpl w:val="FA72713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8873551">
    <w:abstractNumId w:val="1"/>
  </w:num>
  <w:num w:numId="2" w16cid:durableId="1760979176">
    <w:abstractNumId w:val="2"/>
  </w:num>
  <w:num w:numId="3" w16cid:durableId="152582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2E70"/>
    <w:rsid w:val="000E3852"/>
    <w:rsid w:val="001253F6"/>
    <w:rsid w:val="00174FB2"/>
    <w:rsid w:val="001C14FC"/>
    <w:rsid w:val="003A26E0"/>
    <w:rsid w:val="003E1FC5"/>
    <w:rsid w:val="00405750"/>
    <w:rsid w:val="00484387"/>
    <w:rsid w:val="008346F3"/>
    <w:rsid w:val="00896CA1"/>
    <w:rsid w:val="009A65B2"/>
    <w:rsid w:val="00B1215F"/>
    <w:rsid w:val="00B92E70"/>
    <w:rsid w:val="00C94903"/>
    <w:rsid w:val="00FA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8A4ABC"/>
  <w15:chartTrackingRefBased/>
  <w15:docId w15:val="{07D8CBC8-CAE8-4549-A360-5A3EB4D9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2E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92E70"/>
    <w:pPr>
      <w:tabs>
        <w:tab w:val="center" w:pos="4153"/>
        <w:tab w:val="right" w:pos="8306"/>
      </w:tabs>
    </w:pPr>
  </w:style>
  <w:style w:type="paragraph" w:styleId="a4">
    <w:name w:val="footer"/>
    <w:basedOn w:val="a"/>
    <w:rsid w:val="00B92E70"/>
    <w:pPr>
      <w:tabs>
        <w:tab w:val="center" w:pos="4153"/>
        <w:tab w:val="right" w:pos="8306"/>
      </w:tabs>
    </w:pPr>
  </w:style>
  <w:style w:type="character" w:styleId="a5">
    <w:name w:val="page number"/>
    <w:basedOn w:val="a0"/>
    <w:rsid w:val="00B92E70"/>
  </w:style>
  <w:style w:type="character" w:customStyle="1" w:styleId="TimesNewRomanTimesNewRoman">
    <w:name w:val="סגנון (לטיני) Times New Roman (עברית ושפות אחרות) Times New Roman..."/>
    <w:rsid w:val="00B92E70"/>
    <w:rPr>
      <w:rFonts w:ascii="Times New Roman" w:hAnsi="Times New Roman" w:cs="David" w:hint="default"/>
      <w:b/>
      <w:bCs/>
      <w:sz w:val="26"/>
      <w:szCs w:val="26"/>
    </w:rPr>
  </w:style>
  <w:style w:type="paragraph" w:customStyle="1" w:styleId="ListParagraph">
    <w:name w:val="List Paragraph"/>
    <w:basedOn w:val="a"/>
    <w:rsid w:val="00B92E70"/>
    <w:pPr>
      <w:ind w:left="720"/>
      <w:contextualSpacing/>
    </w:pPr>
  </w:style>
  <w:style w:type="character" w:styleId="Hyperlink">
    <w:name w:val="Hyperlink"/>
    <w:rsid w:val="009A6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19a" TargetMode="External"/><Relationship Id="rId39" Type="http://schemas.openxmlformats.org/officeDocument/2006/relationships/footer" Target="footer1.xml"/><Relationship Id="rId21" Type="http://schemas.openxmlformats.org/officeDocument/2006/relationships/hyperlink" Target="http://www.nevo.co.il/law/4216/19a" TargetMode="External"/><Relationship Id="rId34" Type="http://schemas.openxmlformats.org/officeDocument/2006/relationships/hyperlink" Target="http://www.nevo.co.il/case/6094597"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87.a" TargetMode="External"/><Relationship Id="rId20" Type="http://schemas.openxmlformats.org/officeDocument/2006/relationships/hyperlink" Target="http://www.nevo.co.il/law/4216/13" TargetMode="External"/><Relationship Id="rId29" Type="http://schemas.openxmlformats.org/officeDocument/2006/relationships/hyperlink" Target="http://www.nevo.co.il/case/451382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875321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8768430"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4216/7.a.;7.c"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2063973" TargetMode="Externa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24047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4566873" TargetMode="External"/><Relationship Id="rId35" Type="http://schemas.openxmlformats.org/officeDocument/2006/relationships/hyperlink" Target="http://www.nevo.co.il/case/5786821" TargetMode="External"/><Relationship Id="rId8" Type="http://schemas.openxmlformats.org/officeDocument/2006/relationships/hyperlink" Target="http://www.nevo.co.il/law/70301/287.a"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0240382"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1491</Words>
  <Characters>7457</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8931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3407991</vt:i4>
      </vt:variant>
      <vt:variant>
        <vt:i4>84</vt:i4>
      </vt:variant>
      <vt:variant>
        <vt:i4>0</vt:i4>
      </vt:variant>
      <vt:variant>
        <vt:i4>5</vt:i4>
      </vt:variant>
      <vt:variant>
        <vt:lpwstr>http://www.nevo.co.il/case/5786821</vt:lpwstr>
      </vt:variant>
      <vt:variant>
        <vt:lpwstr/>
      </vt:variant>
      <vt:variant>
        <vt:i4>3997817</vt:i4>
      </vt:variant>
      <vt:variant>
        <vt:i4>81</vt:i4>
      </vt:variant>
      <vt:variant>
        <vt:i4>0</vt:i4>
      </vt:variant>
      <vt:variant>
        <vt:i4>5</vt:i4>
      </vt:variant>
      <vt:variant>
        <vt:lpwstr>http://www.nevo.co.il/case/6094597</vt:lpwstr>
      </vt:variant>
      <vt:variant>
        <vt:lpwstr/>
      </vt:variant>
      <vt:variant>
        <vt:i4>3670131</vt:i4>
      </vt:variant>
      <vt:variant>
        <vt:i4>78</vt:i4>
      </vt:variant>
      <vt:variant>
        <vt:i4>0</vt:i4>
      </vt:variant>
      <vt:variant>
        <vt:i4>5</vt:i4>
      </vt:variant>
      <vt:variant>
        <vt:lpwstr>http://www.nevo.co.il/case/20240382</vt:lpwstr>
      </vt:variant>
      <vt:variant>
        <vt:lpwstr/>
      </vt:variant>
      <vt:variant>
        <vt:i4>3407995</vt:i4>
      </vt:variant>
      <vt:variant>
        <vt:i4>75</vt:i4>
      </vt:variant>
      <vt:variant>
        <vt:i4>0</vt:i4>
      </vt:variant>
      <vt:variant>
        <vt:i4>5</vt:i4>
      </vt:variant>
      <vt:variant>
        <vt:lpwstr>http://www.nevo.co.il/case/18753213</vt:lpwstr>
      </vt:variant>
      <vt:variant>
        <vt:lpwstr/>
      </vt:variant>
      <vt:variant>
        <vt:i4>3473529</vt:i4>
      </vt:variant>
      <vt:variant>
        <vt:i4>72</vt:i4>
      </vt:variant>
      <vt:variant>
        <vt:i4>0</vt:i4>
      </vt:variant>
      <vt:variant>
        <vt:i4>5</vt:i4>
      </vt:variant>
      <vt:variant>
        <vt:lpwstr>http://www.nevo.co.il/case/12063973</vt:lpwstr>
      </vt:variant>
      <vt:variant>
        <vt:lpwstr/>
      </vt:variant>
      <vt:variant>
        <vt:i4>3735664</vt:i4>
      </vt:variant>
      <vt:variant>
        <vt:i4>69</vt:i4>
      </vt:variant>
      <vt:variant>
        <vt:i4>0</vt:i4>
      </vt:variant>
      <vt:variant>
        <vt:i4>5</vt:i4>
      </vt:variant>
      <vt:variant>
        <vt:lpwstr>http://www.nevo.co.il/case/4566873</vt:lpwstr>
      </vt:variant>
      <vt:variant>
        <vt:lpwstr/>
      </vt:variant>
      <vt:variant>
        <vt:i4>3932272</vt:i4>
      </vt:variant>
      <vt:variant>
        <vt:i4>66</vt:i4>
      </vt:variant>
      <vt:variant>
        <vt:i4>0</vt:i4>
      </vt:variant>
      <vt:variant>
        <vt:i4>5</vt:i4>
      </vt:variant>
      <vt:variant>
        <vt:lpwstr>http://www.nevo.co.il/case/4513821</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3604596</vt:i4>
      </vt:variant>
      <vt:variant>
        <vt:i4>45</vt:i4>
      </vt:variant>
      <vt:variant>
        <vt:i4>0</vt:i4>
      </vt:variant>
      <vt:variant>
        <vt:i4>5</vt:i4>
      </vt:variant>
      <vt:variant>
        <vt:lpwstr>http://www.nevo.co.il/case/20240471</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3997822</vt:i4>
      </vt:variant>
      <vt:variant>
        <vt:i4>24</vt:i4>
      </vt:variant>
      <vt:variant>
        <vt:i4>0</vt:i4>
      </vt:variant>
      <vt:variant>
        <vt:i4>5</vt:i4>
      </vt:variant>
      <vt:variant>
        <vt:lpwstr>http://www.nevo.co.il/case/18768430</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4390992</vt:i4>
      </vt:variant>
      <vt:variant>
        <vt:i4>3</vt:i4>
      </vt:variant>
      <vt:variant>
        <vt:i4>0</vt:i4>
      </vt:variant>
      <vt:variant>
        <vt:i4>5</vt:i4>
      </vt:variant>
      <vt:variant>
        <vt:lpwstr>http://www.nevo.co.il/law/70301/287.a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60842</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תאמר כליבאת</vt:lpwstr>
  </property>
  <property fmtid="{D5CDD505-2E9C-101B-9397-08002B2CF9AE}" pid="10" name="LAWYER">
    <vt:lpwstr>משה שרמן;מוחמד מסרי;אורלי נעמן;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20160530</vt:lpwstr>
  </property>
  <property fmtid="{D5CDD505-2E9C-101B-9397-08002B2CF9AE}" pid="14" name="TYPE_N_DATE">
    <vt:lpwstr>39020160530</vt:lpwstr>
  </property>
  <property fmtid="{D5CDD505-2E9C-101B-9397-08002B2CF9AE}" pid="15" name="CASESLISTTMP1">
    <vt:lpwstr>18768430;20240471;4513821;4566873;12063973;18753213;20240382;6094597;5786821</vt:lpwstr>
  </property>
  <property fmtid="{D5CDD505-2E9C-101B-9397-08002B2CF9AE}" pid="16" name="WORDNUMPAGES">
    <vt:lpwstr>5</vt:lpwstr>
  </property>
  <property fmtid="{D5CDD505-2E9C-101B-9397-08002B2CF9AE}" pid="17" name="TYPE_ABS_DATE">
    <vt:lpwstr>390020160530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70301/287.a;499.a.1</vt:lpwstr>
  </property>
  <property fmtid="{D5CDD505-2E9C-101B-9397-08002B2CF9AE}" pid="37" name="LAWLISTTMP2">
    <vt:lpwstr>4216/007.a:2;007.c:2;013:2;019a:2</vt:lpwstr>
  </property>
</Properties>
</file>