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F04C1" w:rsidRPr="00492872" w14:paraId="0A7F3D75" w14:textId="77777777" w:rsidTr="008E1777">
        <w:trPr>
          <w:trHeight w:hRule="exact" w:val="418"/>
          <w:jc w:val="center"/>
        </w:trPr>
        <w:tc>
          <w:tcPr>
            <w:tcW w:w="8721" w:type="dxa"/>
            <w:gridSpan w:val="2"/>
          </w:tcPr>
          <w:p w14:paraId="1E5A5518" w14:textId="77777777" w:rsidR="007F04C1" w:rsidRPr="00492872" w:rsidRDefault="00492872">
            <w:pPr>
              <w:pStyle w:val="a3"/>
              <w:jc w:val="center"/>
              <w:rPr>
                <w:rFonts w:ascii="Tahoma" w:hAnsi="Tahoma" w:cs="Tahoma"/>
                <w:color w:val="000080"/>
                <w:rtl/>
              </w:rPr>
            </w:pPr>
            <w:bookmarkStart w:id="0" w:name="LastJudge"/>
            <w:r w:rsidRPr="00492872">
              <w:rPr>
                <w:rFonts w:ascii="Tahoma" w:hAnsi="Tahoma" w:cs="Tahoma"/>
                <w:b/>
                <w:bCs/>
                <w:color w:val="000080"/>
                <w:rtl/>
              </w:rPr>
              <w:t>בית המשפט המחוזי בחיפה</w:t>
            </w:r>
          </w:p>
        </w:tc>
      </w:tr>
      <w:tr w:rsidR="007F04C1" w:rsidRPr="00492872" w14:paraId="6AEDE197" w14:textId="77777777" w:rsidTr="008E1777">
        <w:trPr>
          <w:trHeight w:val="337"/>
          <w:jc w:val="center"/>
        </w:trPr>
        <w:tc>
          <w:tcPr>
            <w:tcW w:w="5054" w:type="dxa"/>
          </w:tcPr>
          <w:p w14:paraId="4E656CC6" w14:textId="77777777" w:rsidR="007F04C1" w:rsidRPr="00492872" w:rsidRDefault="00492872" w:rsidP="008E1777">
            <w:pPr>
              <w:rPr>
                <w:rFonts w:cs="FrankRuehl" w:hint="cs"/>
                <w:sz w:val="28"/>
                <w:szCs w:val="28"/>
                <w:rtl/>
              </w:rPr>
            </w:pPr>
            <w:r w:rsidRPr="00492872">
              <w:rPr>
                <w:rFonts w:cs="FrankRuehl"/>
                <w:sz w:val="28"/>
                <w:szCs w:val="28"/>
                <w:rtl/>
              </w:rPr>
              <w:t>ת"פ</w:t>
            </w:r>
            <w:r w:rsidRPr="00492872">
              <w:rPr>
                <w:rFonts w:cs="FrankRuehl" w:hint="cs"/>
                <w:sz w:val="28"/>
                <w:szCs w:val="28"/>
                <w:rtl/>
              </w:rPr>
              <w:t xml:space="preserve"> </w:t>
            </w:r>
            <w:r w:rsidRPr="00492872">
              <w:rPr>
                <w:rFonts w:cs="FrankRuehl"/>
                <w:sz w:val="28"/>
                <w:szCs w:val="28"/>
                <w:rtl/>
              </w:rPr>
              <w:t>6336-02-15</w:t>
            </w:r>
            <w:r w:rsidRPr="00492872">
              <w:rPr>
                <w:rFonts w:cs="FrankRuehl" w:hint="cs"/>
                <w:sz w:val="28"/>
                <w:szCs w:val="28"/>
                <w:rtl/>
              </w:rPr>
              <w:t xml:space="preserve"> </w:t>
            </w:r>
            <w:r w:rsidR="008E1777">
              <w:rPr>
                <w:rFonts w:cs="FrankRuehl"/>
                <w:sz w:val="28"/>
                <w:szCs w:val="28"/>
                <w:rtl/>
              </w:rPr>
              <w:t>מדינת ישראל נ' בשוטין</w:t>
            </w:r>
          </w:p>
          <w:p w14:paraId="240AB568" w14:textId="77777777" w:rsidR="007F04C1" w:rsidRPr="00492872" w:rsidRDefault="007F04C1">
            <w:pPr>
              <w:pStyle w:val="a3"/>
              <w:rPr>
                <w:rFonts w:cs="FrankRuehl"/>
                <w:sz w:val="28"/>
                <w:szCs w:val="28"/>
                <w:rtl/>
              </w:rPr>
            </w:pPr>
          </w:p>
        </w:tc>
        <w:tc>
          <w:tcPr>
            <w:tcW w:w="3667" w:type="dxa"/>
          </w:tcPr>
          <w:p w14:paraId="49DE2994" w14:textId="77777777" w:rsidR="007F04C1" w:rsidRPr="00492872" w:rsidRDefault="00492872">
            <w:pPr>
              <w:pStyle w:val="a3"/>
              <w:jc w:val="right"/>
              <w:rPr>
                <w:rFonts w:cs="FrankRuehl"/>
                <w:sz w:val="28"/>
                <w:szCs w:val="28"/>
                <w:rtl/>
              </w:rPr>
            </w:pPr>
            <w:r w:rsidRPr="00492872">
              <w:rPr>
                <w:rFonts w:cs="FrankRuehl" w:hint="cs"/>
                <w:sz w:val="28"/>
                <w:szCs w:val="28"/>
                <w:rtl/>
              </w:rPr>
              <w:t>14 ביולי 2015</w:t>
            </w:r>
          </w:p>
        </w:tc>
      </w:tr>
    </w:tbl>
    <w:p w14:paraId="42F43AFE" w14:textId="77777777" w:rsidR="007F04C1" w:rsidRPr="00492872" w:rsidRDefault="00492872">
      <w:pPr>
        <w:pStyle w:val="a3"/>
        <w:rPr>
          <w:rtl/>
        </w:rPr>
      </w:pPr>
      <w:r w:rsidRPr="00492872">
        <w:rPr>
          <w:rFonts w:hint="cs"/>
          <w:rtl/>
        </w:rPr>
        <w:t xml:space="preserve"> </w:t>
      </w:r>
    </w:p>
    <w:p w14:paraId="2E87F3B9" w14:textId="77777777" w:rsidR="007F04C1" w:rsidRPr="00492872" w:rsidRDefault="007F04C1">
      <w:pPr>
        <w:rPr>
          <w:rtl/>
        </w:rPr>
      </w:pPr>
    </w:p>
    <w:tbl>
      <w:tblPr>
        <w:bidiVisual/>
        <w:tblW w:w="8802" w:type="dxa"/>
        <w:tblInd w:w="-28" w:type="dxa"/>
        <w:tblLook w:val="01E0" w:firstRow="1" w:lastRow="1" w:firstColumn="1" w:lastColumn="1" w:noHBand="0" w:noVBand="0"/>
      </w:tblPr>
      <w:tblGrid>
        <w:gridCol w:w="2880"/>
        <w:gridCol w:w="5839"/>
        <w:gridCol w:w="83"/>
      </w:tblGrid>
      <w:tr w:rsidR="007F04C1" w:rsidRPr="00492872" w14:paraId="2F8F94E4" w14:textId="77777777">
        <w:trPr>
          <w:gridAfter w:val="1"/>
          <w:wAfter w:w="55" w:type="dxa"/>
        </w:trPr>
        <w:tc>
          <w:tcPr>
            <w:tcW w:w="8719" w:type="dxa"/>
            <w:gridSpan w:val="2"/>
            <w:shd w:val="clear" w:color="auto" w:fill="auto"/>
          </w:tcPr>
          <w:p w14:paraId="309DC4B1" w14:textId="77777777" w:rsidR="007F04C1" w:rsidRPr="00492872" w:rsidRDefault="00492872">
            <w:pPr>
              <w:spacing w:line="360" w:lineRule="auto"/>
              <w:rPr>
                <w:b/>
                <w:bCs/>
                <w:sz w:val="26"/>
                <w:szCs w:val="26"/>
              </w:rPr>
            </w:pPr>
            <w:r w:rsidRPr="00492872">
              <w:rPr>
                <w:rFonts w:hint="cs"/>
                <w:b/>
                <w:bCs/>
                <w:sz w:val="26"/>
                <w:szCs w:val="26"/>
                <w:rtl/>
              </w:rPr>
              <w:t>בפני כב' ה</w:t>
            </w:r>
            <w:r w:rsidRPr="00492872">
              <w:rPr>
                <w:rFonts w:hint="cs"/>
                <w:rtl/>
              </w:rPr>
              <w:t>שופטת רונית בש</w:t>
            </w:r>
            <w:r w:rsidRPr="00492872">
              <w:rPr>
                <w:rStyle w:val="TimesNewRomanTimesNewRoman"/>
                <w:rFonts w:hint="cs"/>
                <w:rtl/>
              </w:rPr>
              <w:t xml:space="preserve"> </w:t>
            </w:r>
          </w:p>
        </w:tc>
      </w:tr>
      <w:tr w:rsidR="007F04C1" w:rsidRPr="00492872" w14:paraId="5A5E6254" w14:textId="77777777">
        <w:tc>
          <w:tcPr>
            <w:tcW w:w="2880" w:type="dxa"/>
            <w:shd w:val="clear" w:color="auto" w:fill="auto"/>
          </w:tcPr>
          <w:p w14:paraId="324FB975" w14:textId="77777777" w:rsidR="007F04C1" w:rsidRPr="00492872" w:rsidRDefault="00492872">
            <w:pPr>
              <w:ind w:left="26"/>
              <w:rPr>
                <w:b/>
                <w:bCs/>
                <w:sz w:val="26"/>
                <w:szCs w:val="26"/>
              </w:rPr>
            </w:pPr>
            <w:bookmarkStart w:id="1" w:name="FirstAppellant"/>
            <w:r w:rsidRPr="00492872">
              <w:rPr>
                <w:rFonts w:hint="cs"/>
                <w:b/>
                <w:bCs/>
                <w:sz w:val="26"/>
                <w:szCs w:val="26"/>
                <w:rtl/>
              </w:rPr>
              <w:t>ה</w:t>
            </w:r>
            <w:r w:rsidRPr="00492872">
              <w:rPr>
                <w:rFonts w:hint="cs"/>
                <w:rtl/>
              </w:rPr>
              <w:t>מאשימה</w:t>
            </w:r>
          </w:p>
        </w:tc>
        <w:tc>
          <w:tcPr>
            <w:tcW w:w="5922" w:type="dxa"/>
            <w:gridSpan w:val="2"/>
            <w:shd w:val="clear" w:color="auto" w:fill="auto"/>
          </w:tcPr>
          <w:p w14:paraId="378A940C" w14:textId="77777777" w:rsidR="007F04C1" w:rsidRPr="00492872" w:rsidRDefault="00492872">
            <w:pPr>
              <w:rPr>
                <w:b/>
                <w:bCs/>
                <w:sz w:val="26"/>
                <w:szCs w:val="26"/>
              </w:rPr>
            </w:pPr>
            <w:r w:rsidRPr="00492872">
              <w:rPr>
                <w:rFonts w:hint="cs"/>
                <w:rtl/>
              </w:rPr>
              <w:t>מדינת ישראל</w:t>
            </w:r>
          </w:p>
        </w:tc>
      </w:tr>
      <w:bookmarkEnd w:id="1"/>
      <w:tr w:rsidR="007F04C1" w:rsidRPr="00492872" w14:paraId="6EB9414E" w14:textId="77777777">
        <w:tc>
          <w:tcPr>
            <w:tcW w:w="8802" w:type="dxa"/>
            <w:gridSpan w:val="3"/>
            <w:shd w:val="clear" w:color="auto" w:fill="auto"/>
          </w:tcPr>
          <w:p w14:paraId="71EF25C7" w14:textId="77777777" w:rsidR="007F04C1" w:rsidRPr="00492872" w:rsidRDefault="00492872">
            <w:pPr>
              <w:jc w:val="center"/>
              <w:rPr>
                <w:rFonts w:ascii="Arial" w:hAnsi="Arial"/>
                <w:b/>
                <w:bCs/>
                <w:sz w:val="26"/>
                <w:szCs w:val="26"/>
                <w:rtl/>
              </w:rPr>
            </w:pPr>
            <w:r w:rsidRPr="00492872">
              <w:rPr>
                <w:rFonts w:ascii="Arial" w:hAnsi="Arial" w:hint="cs"/>
                <w:b/>
                <w:bCs/>
                <w:sz w:val="26"/>
                <w:szCs w:val="26"/>
                <w:rtl/>
              </w:rPr>
              <w:t>נגד</w:t>
            </w:r>
          </w:p>
          <w:p w14:paraId="7E892765" w14:textId="77777777" w:rsidR="007F04C1" w:rsidRPr="00492872" w:rsidRDefault="007F04C1">
            <w:pPr>
              <w:jc w:val="center"/>
              <w:rPr>
                <w:rFonts w:ascii="Arial" w:hAnsi="Arial"/>
                <w:b/>
                <w:bCs/>
                <w:sz w:val="26"/>
                <w:szCs w:val="26"/>
              </w:rPr>
            </w:pPr>
          </w:p>
        </w:tc>
      </w:tr>
      <w:tr w:rsidR="007F04C1" w:rsidRPr="00492872" w14:paraId="789A50C4" w14:textId="77777777">
        <w:tc>
          <w:tcPr>
            <w:tcW w:w="2880" w:type="dxa"/>
            <w:shd w:val="clear" w:color="auto" w:fill="auto"/>
          </w:tcPr>
          <w:p w14:paraId="540B31AA" w14:textId="77777777" w:rsidR="007F04C1" w:rsidRPr="00492872" w:rsidRDefault="00492872">
            <w:pPr>
              <w:ind w:left="26"/>
              <w:rPr>
                <w:b/>
                <w:bCs/>
                <w:sz w:val="26"/>
                <w:szCs w:val="26"/>
              </w:rPr>
            </w:pPr>
            <w:r w:rsidRPr="00492872">
              <w:rPr>
                <w:rFonts w:hint="cs"/>
                <w:b/>
                <w:bCs/>
                <w:sz w:val="26"/>
                <w:szCs w:val="26"/>
                <w:rtl/>
              </w:rPr>
              <w:t>ה</w:t>
            </w:r>
            <w:r w:rsidRPr="00492872">
              <w:rPr>
                <w:rFonts w:hint="cs"/>
                <w:rtl/>
              </w:rPr>
              <w:t>נאשמת</w:t>
            </w:r>
          </w:p>
        </w:tc>
        <w:tc>
          <w:tcPr>
            <w:tcW w:w="5922" w:type="dxa"/>
            <w:gridSpan w:val="2"/>
            <w:shd w:val="clear" w:color="auto" w:fill="auto"/>
          </w:tcPr>
          <w:p w14:paraId="4C7D28FD" w14:textId="77777777" w:rsidR="007F04C1" w:rsidRPr="00492872" w:rsidRDefault="00492872">
            <w:pPr>
              <w:rPr>
                <w:b/>
                <w:bCs/>
                <w:sz w:val="26"/>
                <w:szCs w:val="26"/>
              </w:rPr>
            </w:pPr>
            <w:r w:rsidRPr="00492872">
              <w:rPr>
                <w:rFonts w:hint="cs"/>
                <w:rtl/>
              </w:rPr>
              <w:t xml:space="preserve">נטלי בשוטין </w:t>
            </w:r>
          </w:p>
        </w:tc>
      </w:tr>
    </w:tbl>
    <w:p w14:paraId="53196DC2" w14:textId="77777777" w:rsidR="00BF4A76" w:rsidRDefault="00BF4A76">
      <w:pPr>
        <w:rPr>
          <w:rtl/>
        </w:rPr>
      </w:pPr>
      <w:bookmarkStart w:id="2" w:name="LawTable"/>
      <w:bookmarkEnd w:id="2"/>
    </w:p>
    <w:p w14:paraId="11947D60" w14:textId="77777777" w:rsidR="00BF4A76" w:rsidRPr="00BF4A76" w:rsidRDefault="00BF4A76" w:rsidP="00BF4A76">
      <w:pPr>
        <w:spacing w:after="120" w:line="240" w:lineRule="exact"/>
        <w:ind w:left="283" w:hanging="283"/>
        <w:jc w:val="both"/>
        <w:rPr>
          <w:rFonts w:ascii="FrankRuehl" w:hAnsi="FrankRuehl" w:cs="FrankRuehl"/>
          <w:rtl/>
        </w:rPr>
      </w:pPr>
    </w:p>
    <w:p w14:paraId="089A93CF" w14:textId="77777777" w:rsidR="00BF4A76" w:rsidRPr="00BF4A76" w:rsidRDefault="00BF4A76" w:rsidP="00BF4A76">
      <w:pPr>
        <w:spacing w:after="120" w:line="240" w:lineRule="exact"/>
        <w:ind w:left="283" w:hanging="283"/>
        <w:jc w:val="both"/>
        <w:rPr>
          <w:rFonts w:ascii="FrankRuehl" w:hAnsi="FrankRuehl" w:cs="FrankRuehl"/>
          <w:rtl/>
        </w:rPr>
      </w:pPr>
      <w:r w:rsidRPr="00BF4A76">
        <w:rPr>
          <w:rFonts w:ascii="FrankRuehl" w:hAnsi="FrankRuehl" w:cs="FrankRuehl"/>
          <w:rtl/>
        </w:rPr>
        <w:t xml:space="preserve">חקיקה שאוזכרה: </w:t>
      </w:r>
    </w:p>
    <w:p w14:paraId="2D252E10" w14:textId="77777777" w:rsidR="00BF4A76" w:rsidRPr="00BF4A76" w:rsidRDefault="00BF4A76" w:rsidP="00BF4A76">
      <w:pPr>
        <w:spacing w:after="120" w:line="240" w:lineRule="exact"/>
        <w:ind w:left="283" w:hanging="283"/>
        <w:jc w:val="both"/>
        <w:rPr>
          <w:rFonts w:ascii="FrankRuehl" w:hAnsi="FrankRuehl" w:cs="FrankRuehl"/>
          <w:color w:val="0000FF"/>
          <w:u w:val="single"/>
          <w:rtl/>
        </w:rPr>
      </w:pPr>
      <w:hyperlink r:id="rId7" w:history="1">
        <w:r w:rsidRPr="00BF4A76">
          <w:rPr>
            <w:rStyle w:val="Hyperlink"/>
            <w:rFonts w:ascii="FrankRuehl" w:hAnsi="FrankRuehl" w:cs="FrankRuehl"/>
            <w:rtl/>
          </w:rPr>
          <w:t>פקודת הסמים המסוכנים [נוסח חדש], תשל"ג-1973</w:t>
        </w:r>
      </w:hyperlink>
      <w:r w:rsidRPr="00BF4A76">
        <w:rPr>
          <w:rFonts w:ascii="FrankRuehl" w:hAnsi="FrankRuehl" w:cs="FrankRuehl"/>
          <w:color w:val="0000FF"/>
          <w:u w:val="single"/>
          <w:rtl/>
        </w:rPr>
        <w:t xml:space="preserve">: סע'  </w:t>
      </w:r>
      <w:hyperlink r:id="rId8" w:history="1">
        <w:r w:rsidRPr="00BF4A76">
          <w:rPr>
            <w:rStyle w:val="Hyperlink"/>
            <w:rFonts w:ascii="FrankRuehl" w:hAnsi="FrankRuehl" w:cs="FrankRuehl"/>
          </w:rPr>
          <w:t>7(</w:t>
        </w:r>
        <w:r w:rsidRPr="00BF4A76">
          <w:rPr>
            <w:rStyle w:val="Hyperlink"/>
            <w:rFonts w:ascii="FrankRuehl" w:hAnsi="FrankRuehl" w:cs="FrankRuehl"/>
            <w:rtl/>
          </w:rPr>
          <w:t>א</w:t>
        </w:r>
        <w:r w:rsidRPr="00BF4A76">
          <w:rPr>
            <w:rStyle w:val="Hyperlink"/>
            <w:rFonts w:ascii="FrankRuehl" w:hAnsi="FrankRuehl" w:cs="FrankRuehl"/>
          </w:rPr>
          <w:t>)</w:t>
        </w:r>
      </w:hyperlink>
      <w:r w:rsidRPr="00BF4A76">
        <w:rPr>
          <w:rFonts w:ascii="FrankRuehl" w:hAnsi="FrankRuehl" w:cs="FrankRuehl"/>
          <w:color w:val="0000FF"/>
          <w:u w:val="single"/>
          <w:rtl/>
        </w:rPr>
        <w:t xml:space="preserve">, </w:t>
      </w:r>
      <w:hyperlink r:id="rId9" w:history="1">
        <w:r w:rsidRPr="00BF4A76">
          <w:rPr>
            <w:rStyle w:val="Hyperlink"/>
            <w:rFonts w:ascii="FrankRuehl" w:hAnsi="FrankRuehl" w:cs="FrankRuehl"/>
          </w:rPr>
          <w:t>(</w:t>
        </w:r>
        <w:r w:rsidRPr="00BF4A76">
          <w:rPr>
            <w:rStyle w:val="Hyperlink"/>
            <w:rFonts w:ascii="FrankRuehl" w:hAnsi="FrankRuehl" w:cs="FrankRuehl"/>
            <w:rtl/>
          </w:rPr>
          <w:t>ג</w:t>
        </w:r>
        <w:r w:rsidRPr="00BF4A76">
          <w:rPr>
            <w:rStyle w:val="Hyperlink"/>
            <w:rFonts w:ascii="FrankRuehl" w:hAnsi="FrankRuehl" w:cs="FrankRuehl"/>
          </w:rPr>
          <w:t>)</w:t>
        </w:r>
      </w:hyperlink>
    </w:p>
    <w:p w14:paraId="0664E8B1" w14:textId="77777777" w:rsidR="00BF4A76" w:rsidRPr="00BF4A76" w:rsidRDefault="00BF4A76" w:rsidP="00BF4A76">
      <w:pPr>
        <w:spacing w:after="120" w:line="240" w:lineRule="exact"/>
        <w:ind w:left="283" w:hanging="283"/>
        <w:jc w:val="both"/>
        <w:rPr>
          <w:rFonts w:ascii="FrankRuehl" w:hAnsi="FrankRuehl" w:cs="FrankRuehl"/>
          <w:color w:val="0000FF"/>
          <w:u w:val="single"/>
          <w:rtl/>
        </w:rPr>
      </w:pPr>
      <w:hyperlink r:id="rId10" w:history="1">
        <w:r w:rsidRPr="00BF4A76">
          <w:rPr>
            <w:rStyle w:val="Hyperlink"/>
            <w:rFonts w:ascii="FrankRuehl" w:hAnsi="FrankRuehl" w:cs="FrankRuehl"/>
            <w:rtl/>
          </w:rPr>
          <w:t>חוק העונשין, תשל"ז-1977</w:t>
        </w:r>
      </w:hyperlink>
      <w:r w:rsidRPr="00BF4A76">
        <w:rPr>
          <w:rFonts w:ascii="FrankRuehl" w:hAnsi="FrankRuehl" w:cs="FrankRuehl"/>
          <w:color w:val="0000FF"/>
          <w:u w:val="single"/>
          <w:rtl/>
        </w:rPr>
        <w:t xml:space="preserve">: סע'  </w:t>
      </w:r>
      <w:hyperlink r:id="rId11" w:history="1">
        <w:r w:rsidRPr="00BF4A76">
          <w:rPr>
            <w:rStyle w:val="Hyperlink"/>
            <w:rFonts w:ascii="FrankRuehl" w:hAnsi="FrankRuehl" w:cs="FrankRuehl"/>
          </w:rPr>
          <w:t xml:space="preserve">40 </w:t>
        </w:r>
        <w:r w:rsidRPr="00BF4A76">
          <w:rPr>
            <w:rStyle w:val="Hyperlink"/>
            <w:rFonts w:ascii="FrankRuehl" w:hAnsi="FrankRuehl" w:cs="FrankRuehl"/>
            <w:rtl/>
          </w:rPr>
          <w:t>ב</w:t>
        </w:r>
      </w:hyperlink>
      <w:r w:rsidRPr="00BF4A76">
        <w:rPr>
          <w:rFonts w:ascii="FrankRuehl" w:hAnsi="FrankRuehl" w:cs="FrankRuehl"/>
          <w:color w:val="0000FF"/>
          <w:u w:val="single"/>
          <w:rtl/>
        </w:rPr>
        <w:t xml:space="preserve">, </w:t>
      </w:r>
      <w:hyperlink r:id="rId12" w:history="1">
        <w:r w:rsidRPr="00BF4A76">
          <w:rPr>
            <w:rStyle w:val="Hyperlink"/>
            <w:rFonts w:ascii="FrankRuehl" w:hAnsi="FrankRuehl" w:cs="FrankRuehl"/>
          </w:rPr>
          <w:t xml:space="preserve">40 </w:t>
        </w:r>
        <w:r w:rsidRPr="00BF4A76">
          <w:rPr>
            <w:rStyle w:val="Hyperlink"/>
            <w:rFonts w:ascii="FrankRuehl" w:hAnsi="FrankRuehl" w:cs="FrankRuehl"/>
            <w:rtl/>
          </w:rPr>
          <w:t>ג</w:t>
        </w:r>
        <w:r w:rsidRPr="00BF4A76">
          <w:rPr>
            <w:rStyle w:val="Hyperlink"/>
            <w:rFonts w:ascii="FrankRuehl" w:hAnsi="FrankRuehl" w:cs="FrankRuehl"/>
          </w:rPr>
          <w:t>'</w:t>
        </w:r>
      </w:hyperlink>
      <w:r w:rsidRPr="00BF4A76">
        <w:rPr>
          <w:rFonts w:ascii="FrankRuehl" w:hAnsi="FrankRuehl" w:cs="FrankRuehl"/>
          <w:color w:val="0000FF"/>
          <w:u w:val="single"/>
          <w:rtl/>
        </w:rPr>
        <w:t xml:space="preserve">, </w:t>
      </w:r>
      <w:hyperlink r:id="rId13" w:history="1">
        <w:r w:rsidRPr="00BF4A76">
          <w:rPr>
            <w:rStyle w:val="Hyperlink"/>
            <w:rFonts w:ascii="FrankRuehl" w:hAnsi="FrankRuehl" w:cs="FrankRuehl"/>
          </w:rPr>
          <w:t>40</w:t>
        </w:r>
        <w:r w:rsidRPr="00BF4A76">
          <w:rPr>
            <w:rStyle w:val="Hyperlink"/>
            <w:rFonts w:ascii="FrankRuehl" w:hAnsi="FrankRuehl" w:cs="FrankRuehl"/>
            <w:rtl/>
          </w:rPr>
          <w:t>ד</w:t>
        </w:r>
      </w:hyperlink>
      <w:r w:rsidRPr="00BF4A76">
        <w:rPr>
          <w:rFonts w:ascii="FrankRuehl" w:hAnsi="FrankRuehl" w:cs="FrankRuehl"/>
          <w:color w:val="0000FF"/>
          <w:u w:val="single"/>
          <w:rtl/>
        </w:rPr>
        <w:t xml:space="preserve">, </w:t>
      </w:r>
      <w:hyperlink r:id="rId14" w:history="1">
        <w:r w:rsidRPr="00BF4A76">
          <w:rPr>
            <w:rStyle w:val="Hyperlink"/>
            <w:rFonts w:ascii="FrankRuehl" w:hAnsi="FrankRuehl" w:cs="FrankRuehl"/>
          </w:rPr>
          <w:t xml:space="preserve">40 </w:t>
        </w:r>
        <w:r w:rsidRPr="00BF4A76">
          <w:rPr>
            <w:rStyle w:val="Hyperlink"/>
            <w:rFonts w:ascii="FrankRuehl" w:hAnsi="FrankRuehl" w:cs="FrankRuehl"/>
            <w:rtl/>
          </w:rPr>
          <w:t>ט</w:t>
        </w:r>
        <w:r w:rsidRPr="00BF4A76">
          <w:rPr>
            <w:rStyle w:val="Hyperlink"/>
            <w:rFonts w:ascii="FrankRuehl" w:hAnsi="FrankRuehl" w:cs="FrankRuehl"/>
          </w:rPr>
          <w:t>'</w:t>
        </w:r>
      </w:hyperlink>
    </w:p>
    <w:p w14:paraId="683F8FB6" w14:textId="77777777" w:rsidR="00BF4A76" w:rsidRPr="00BF4A76" w:rsidRDefault="00BF4A76" w:rsidP="00BF4A76">
      <w:pPr>
        <w:spacing w:after="120" w:line="240" w:lineRule="exact"/>
        <w:ind w:left="283" w:hanging="283"/>
        <w:jc w:val="both"/>
        <w:rPr>
          <w:rFonts w:ascii="FrankRuehl" w:hAnsi="FrankRuehl" w:cs="FrankRuehl"/>
          <w:rtl/>
        </w:rPr>
      </w:pPr>
    </w:p>
    <w:p w14:paraId="697928E8" w14:textId="77777777" w:rsidR="00BF4A76" w:rsidRPr="00BF4A76" w:rsidRDefault="00BF4A76">
      <w:pPr>
        <w:rPr>
          <w:rtl/>
        </w:rPr>
      </w:pPr>
      <w:bookmarkStart w:id="3" w:name="LawTable_End"/>
      <w:bookmarkEnd w:id="3"/>
    </w:p>
    <w:p w14:paraId="68234CC8" w14:textId="77777777" w:rsidR="00BF4A76" w:rsidRPr="00BF4A76" w:rsidRDefault="00BF4A76">
      <w:pPr>
        <w:rPr>
          <w:rtl/>
        </w:rPr>
      </w:pPr>
    </w:p>
    <w:p w14:paraId="2D458234" w14:textId="77777777" w:rsidR="007F04C1" w:rsidRPr="00BF4A76" w:rsidRDefault="007F04C1">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04C1" w14:paraId="60EF0168" w14:textId="77777777">
        <w:trPr>
          <w:trHeight w:val="355"/>
          <w:jc w:val="center"/>
        </w:trPr>
        <w:tc>
          <w:tcPr>
            <w:tcW w:w="8820" w:type="dxa"/>
            <w:tcBorders>
              <w:top w:val="nil"/>
              <w:left w:val="nil"/>
              <w:bottom w:val="nil"/>
              <w:right w:val="nil"/>
            </w:tcBorders>
            <w:shd w:val="clear" w:color="auto" w:fill="auto"/>
          </w:tcPr>
          <w:p w14:paraId="5EA0CDCB" w14:textId="77777777" w:rsidR="00492872" w:rsidRPr="00492872" w:rsidRDefault="00492872" w:rsidP="00492872">
            <w:pPr>
              <w:jc w:val="center"/>
              <w:rPr>
                <w:rFonts w:ascii="Arial" w:hAnsi="Arial" w:cs="FrankRuehl"/>
                <w:b/>
                <w:bCs/>
                <w:sz w:val="32"/>
                <w:szCs w:val="32"/>
                <w:u w:val="single"/>
                <w:rtl/>
              </w:rPr>
            </w:pPr>
            <w:bookmarkStart w:id="4" w:name="PsakDin" w:colFirst="0" w:colLast="0"/>
            <w:bookmarkEnd w:id="0"/>
            <w:r w:rsidRPr="00492872">
              <w:rPr>
                <w:rFonts w:ascii="Arial" w:hAnsi="Arial" w:cs="FrankRuehl"/>
                <w:b/>
                <w:bCs/>
                <w:sz w:val="32"/>
                <w:szCs w:val="32"/>
                <w:u w:val="single"/>
                <w:rtl/>
              </w:rPr>
              <w:t>גזר דין</w:t>
            </w:r>
          </w:p>
          <w:p w14:paraId="5A03DAD5" w14:textId="77777777" w:rsidR="007F04C1" w:rsidRPr="00492872" w:rsidRDefault="007F04C1" w:rsidP="00492872">
            <w:pPr>
              <w:jc w:val="center"/>
              <w:rPr>
                <w:rFonts w:ascii="Arial" w:hAnsi="Arial" w:cs="FrankRuehl"/>
                <w:bCs/>
                <w:sz w:val="32"/>
                <w:szCs w:val="32"/>
                <w:u w:val="single"/>
                <w:rtl/>
              </w:rPr>
            </w:pPr>
          </w:p>
        </w:tc>
      </w:tr>
    </w:tbl>
    <w:bookmarkEnd w:id="4"/>
    <w:p w14:paraId="4C15DF6D" w14:textId="77777777" w:rsidR="007F04C1" w:rsidRDefault="00492872">
      <w:pPr>
        <w:spacing w:line="360" w:lineRule="auto"/>
        <w:ind w:left="720" w:hanging="720"/>
        <w:jc w:val="both"/>
        <w:rPr>
          <w:rFonts w:cs="Times New Roman"/>
          <w:b/>
          <w:bCs/>
          <w:sz w:val="28"/>
          <w:szCs w:val="28"/>
          <w:u w:val="single"/>
        </w:rPr>
      </w:pPr>
      <w:r>
        <w:rPr>
          <w:rFonts w:hint="cs"/>
          <w:b/>
          <w:bCs/>
          <w:sz w:val="28"/>
          <w:szCs w:val="28"/>
          <w:u w:val="single"/>
          <w:rtl/>
        </w:rPr>
        <w:t>מבוא</w:t>
      </w:r>
    </w:p>
    <w:p w14:paraId="7E2940F8" w14:textId="77777777" w:rsidR="007F04C1" w:rsidRDefault="00492872">
      <w:pPr>
        <w:spacing w:line="360" w:lineRule="auto"/>
        <w:ind w:left="720" w:hanging="720"/>
        <w:jc w:val="both"/>
        <w:rPr>
          <w:rtl/>
        </w:rPr>
      </w:pPr>
      <w:r>
        <w:rPr>
          <w:rFonts w:hint="cs"/>
          <w:rtl/>
        </w:rPr>
        <w:t>1</w:t>
      </w:r>
      <w:bookmarkStart w:id="5" w:name="ABSTRACT_START"/>
      <w:bookmarkEnd w:id="5"/>
      <w:r>
        <w:rPr>
          <w:rFonts w:hint="cs"/>
          <w:rtl/>
        </w:rPr>
        <w:t xml:space="preserve">.         הנאשמת הורשעה, על פי  הודאתה  בתיק זה בעובדות כתב האישום, והורשעה בביצוע עבירה של החזקת סמים שלא לצריכה עצמית בלבד, עבירה לפי </w:t>
      </w:r>
      <w:hyperlink r:id="rId15" w:history="1">
        <w:r w:rsidR="008E1777" w:rsidRPr="008E1777">
          <w:rPr>
            <w:rStyle w:val="Hyperlink"/>
            <w:rFonts w:hint="eastAsia"/>
            <w:rtl/>
          </w:rPr>
          <w:t>סעיף</w:t>
        </w:r>
        <w:r w:rsidR="008E1777" w:rsidRPr="008E1777">
          <w:rPr>
            <w:rStyle w:val="Hyperlink"/>
            <w:rtl/>
          </w:rPr>
          <w:t xml:space="preserve"> 7(א)</w:t>
        </w:r>
      </w:hyperlink>
      <w:r>
        <w:rPr>
          <w:rFonts w:hint="cs"/>
          <w:rtl/>
        </w:rPr>
        <w:t xml:space="preserve"> ו- </w:t>
      </w:r>
      <w:hyperlink r:id="rId16" w:history="1">
        <w:r w:rsidR="008E1777" w:rsidRPr="008E1777">
          <w:rPr>
            <w:rStyle w:val="Hyperlink"/>
            <w:rtl/>
          </w:rPr>
          <w:t>(ג)</w:t>
        </w:r>
      </w:hyperlink>
      <w:r>
        <w:rPr>
          <w:rFonts w:hint="cs"/>
          <w:rtl/>
        </w:rPr>
        <w:t xml:space="preserve"> רישא ל</w:t>
      </w:r>
      <w:hyperlink r:id="rId17" w:history="1">
        <w:r w:rsidRPr="00492872">
          <w:rPr>
            <w:color w:val="0000FF"/>
            <w:u w:val="single"/>
            <w:rtl/>
          </w:rPr>
          <w:t>פקודת הסמים המסוכנים</w:t>
        </w:r>
      </w:hyperlink>
      <w:r>
        <w:rPr>
          <w:rFonts w:hint="cs"/>
          <w:rtl/>
        </w:rPr>
        <w:t xml:space="preserve"> [נוסח חדש], התשל"ג – 1973</w:t>
      </w:r>
      <w:bookmarkStart w:id="6" w:name="ABSTRACT_END"/>
      <w:bookmarkEnd w:id="6"/>
      <w:r>
        <w:rPr>
          <w:rFonts w:hint="cs"/>
          <w:rtl/>
        </w:rPr>
        <w:t>.</w:t>
      </w:r>
    </w:p>
    <w:p w14:paraId="0FAE6B46" w14:textId="77777777" w:rsidR="007F04C1" w:rsidRDefault="007F04C1">
      <w:pPr>
        <w:spacing w:line="360" w:lineRule="auto"/>
        <w:jc w:val="both"/>
      </w:pPr>
    </w:p>
    <w:p w14:paraId="3156159A" w14:textId="77777777" w:rsidR="007F04C1" w:rsidRDefault="00492872">
      <w:pPr>
        <w:spacing w:line="360" w:lineRule="auto"/>
        <w:ind w:left="720" w:hanging="720"/>
        <w:jc w:val="both"/>
        <w:rPr>
          <w:rtl/>
        </w:rPr>
      </w:pPr>
      <w:r>
        <w:rPr>
          <w:rFonts w:hint="cs"/>
          <w:rtl/>
        </w:rPr>
        <w:t>2.         לאחר מתן הכרעת הדין ביום 1.4.15, נדחה המשך הדיון  בפניי לצורך הגשת תסקיר שירות המבחן בעניינה של הנאשמת. כעת, לאחר שהוגש התסקיר הנ"ל והצדדים העלו את טיעוניהם לעונש בפניי,  כל שנותר הינו - לגזור את דינה של הנאשמת.</w:t>
      </w:r>
    </w:p>
    <w:p w14:paraId="4E877F20" w14:textId="77777777" w:rsidR="007F04C1" w:rsidRDefault="007F04C1">
      <w:pPr>
        <w:spacing w:line="360" w:lineRule="auto"/>
        <w:jc w:val="both"/>
        <w:rPr>
          <w:rtl/>
        </w:rPr>
      </w:pPr>
    </w:p>
    <w:p w14:paraId="3F24C1B9" w14:textId="77777777" w:rsidR="007F04C1" w:rsidRDefault="00492872">
      <w:pPr>
        <w:spacing w:line="360" w:lineRule="auto"/>
        <w:ind w:left="720" w:hanging="720"/>
        <w:jc w:val="both"/>
        <w:rPr>
          <w:b/>
          <w:bCs/>
          <w:sz w:val="28"/>
          <w:szCs w:val="28"/>
          <w:u w:val="single"/>
          <w:rtl/>
        </w:rPr>
      </w:pPr>
      <w:r>
        <w:rPr>
          <w:rFonts w:hint="cs"/>
          <w:b/>
          <w:bCs/>
          <w:sz w:val="28"/>
          <w:szCs w:val="28"/>
          <w:u w:val="single"/>
          <w:rtl/>
        </w:rPr>
        <w:t xml:space="preserve">כתב האישום </w:t>
      </w:r>
    </w:p>
    <w:p w14:paraId="00289A8C" w14:textId="77777777" w:rsidR="007F04C1" w:rsidRDefault="00492872">
      <w:pPr>
        <w:spacing w:line="360" w:lineRule="auto"/>
        <w:ind w:left="720" w:hanging="720"/>
        <w:rPr>
          <w:rtl/>
        </w:rPr>
      </w:pPr>
      <w:r>
        <w:rPr>
          <w:rFonts w:hint="cs"/>
          <w:rtl/>
        </w:rPr>
        <w:t>3.         בכתב האישום נטען, כדלקמן:</w:t>
      </w:r>
    </w:p>
    <w:p w14:paraId="30BD9326" w14:textId="77777777" w:rsidR="007F04C1" w:rsidRDefault="00492872">
      <w:pPr>
        <w:spacing w:line="360" w:lineRule="auto"/>
        <w:ind w:left="720" w:hanging="720"/>
        <w:rPr>
          <w:b/>
          <w:bCs/>
          <w:u w:val="single"/>
          <w:rtl/>
        </w:rPr>
      </w:pPr>
      <w:r>
        <w:rPr>
          <w:rFonts w:hint="cs"/>
          <w:rtl/>
        </w:rPr>
        <w:t xml:space="preserve">       </w:t>
      </w:r>
    </w:p>
    <w:p w14:paraId="73C2EBAD" w14:textId="77777777" w:rsidR="007F04C1" w:rsidRDefault="00492872">
      <w:pPr>
        <w:spacing w:line="360" w:lineRule="auto"/>
        <w:ind w:left="720"/>
        <w:jc w:val="both"/>
        <w:rPr>
          <w:rtl/>
        </w:rPr>
      </w:pPr>
      <w:r>
        <w:rPr>
          <w:rFonts w:hint="cs"/>
          <w:rtl/>
        </w:rPr>
        <w:t xml:space="preserve">הנאשמת מתגוררת בדירת מגורים ברח' חברון 3 בחיפה (להלן: "הדירה"). ביום 25.1.15 החזיקה הנאשמת בדירה, בתוך תיק מתחת למיטה בחדר השינה, בסם מסוכן מסוג הרואין במשקל </w:t>
      </w:r>
      <w:smartTag w:uri="urn:schemas-microsoft-com:office:smarttags" w:element="metricconverter">
        <w:smartTagPr>
          <w:attr w:name="ProductID" w:val="56.23 גרם"/>
        </w:smartTagPr>
        <w:r>
          <w:rPr>
            <w:rFonts w:hint="cs"/>
            <w:rtl/>
          </w:rPr>
          <w:t>56.23 גרם</w:t>
        </w:r>
      </w:smartTag>
      <w:r>
        <w:rPr>
          <w:rFonts w:hint="cs"/>
          <w:rtl/>
        </w:rPr>
        <w:t xml:space="preserve"> נטו, שהיה ארוז ב -12 אריזות מפלסטיק, בתוך גרב שחור ;בסם מסוכן מסוג הרואין במשקל </w:t>
      </w:r>
      <w:smartTag w:uri="urn:schemas-microsoft-com:office:smarttags" w:element="metricconverter">
        <w:smartTagPr>
          <w:attr w:name="ProductID" w:val="139 גרם"/>
        </w:smartTagPr>
        <w:r>
          <w:rPr>
            <w:rFonts w:hint="cs"/>
            <w:rtl/>
          </w:rPr>
          <w:t>139 גרם</w:t>
        </w:r>
      </w:smartTag>
      <w:r>
        <w:rPr>
          <w:rFonts w:hint="cs"/>
          <w:rtl/>
        </w:rPr>
        <w:t xml:space="preserve"> נטו,  שהיה ארוז בשקית ניילון בתוך גרב שחור ובסם מסוכן </w:t>
      </w:r>
      <w:r>
        <w:rPr>
          <w:rFonts w:hint="cs"/>
          <w:rtl/>
        </w:rPr>
        <w:lastRenderedPageBreak/>
        <w:t xml:space="preserve">מסוג </w:t>
      </w:r>
      <w:r>
        <w:t>MDMA</w:t>
      </w:r>
      <w:r>
        <w:rPr>
          <w:rFonts w:hint="cs"/>
          <w:rtl/>
        </w:rPr>
        <w:t>, 152 טבליות ארוזות באריזה מפלסטיק בתוך גרב לבן, כל זאת שלא לשימוש עצמי, ללא היתר על פי דין.</w:t>
      </w:r>
    </w:p>
    <w:p w14:paraId="17D83008" w14:textId="77777777" w:rsidR="007F04C1" w:rsidRDefault="007F04C1">
      <w:pPr>
        <w:spacing w:line="360" w:lineRule="auto"/>
        <w:ind w:left="720"/>
        <w:jc w:val="both"/>
        <w:rPr>
          <w:rtl/>
        </w:rPr>
      </w:pPr>
    </w:p>
    <w:p w14:paraId="5BB750D6" w14:textId="77777777" w:rsidR="007F04C1" w:rsidRDefault="00492872">
      <w:pPr>
        <w:spacing w:line="360" w:lineRule="auto"/>
        <w:ind w:left="720" w:hanging="720"/>
        <w:jc w:val="both"/>
        <w:rPr>
          <w:sz w:val="28"/>
          <w:szCs w:val="28"/>
          <w:rtl/>
        </w:rPr>
      </w:pPr>
      <w:r>
        <w:rPr>
          <w:rFonts w:hint="cs"/>
          <w:b/>
          <w:bCs/>
          <w:sz w:val="28"/>
          <w:szCs w:val="28"/>
          <w:u w:val="single"/>
          <w:rtl/>
        </w:rPr>
        <w:t>תסקיר שירות המבחן בעניינה של הנאשמת</w:t>
      </w:r>
    </w:p>
    <w:p w14:paraId="22A508D8" w14:textId="77777777" w:rsidR="007F04C1" w:rsidRDefault="00492872">
      <w:pPr>
        <w:spacing w:line="360" w:lineRule="auto"/>
        <w:ind w:left="720" w:hanging="720"/>
        <w:jc w:val="both"/>
        <w:rPr>
          <w:rFonts w:ascii="Arial" w:hAnsi="Arial" w:cs="Arial"/>
          <w:rtl/>
        </w:rPr>
      </w:pPr>
      <w:r>
        <w:rPr>
          <w:rFonts w:hint="cs"/>
          <w:rtl/>
        </w:rPr>
        <w:t>4.</w:t>
      </w:r>
      <w:r>
        <w:rPr>
          <w:rtl/>
        </w:rPr>
        <w:tab/>
      </w:r>
      <w:r>
        <w:rPr>
          <w:rFonts w:hint="cs"/>
          <w:rtl/>
        </w:rPr>
        <w:t xml:space="preserve">מתסקיר שירות המבחן, שהוגש בעניינה של הנאשמת ביום 14.6.15, עולה כי הנאשמת רווקה, בת 22 ממוצא בדואי. מדברי הנאשמת בפני שירות המבחן עולה, כי טרם מעצרה התגוררה בגפה בדירה שכורה בחיפה ועבדה כחודשיים במעון לילדים יתומים וכמטפלת בקשישים. באשר לרקע המשפחתי של הנאשמת עולה מתסקיר שירות המבחן, כי עם לידתה הועברה הנאשמת, באמצעות גורמי הרווחה, למשפחה יהודית מאמצת, כשברקע לכך סכסוך במשפחת מוצאה וסיכון הנשקף לה בגינו. הנאשמת שיתפה את שירות המבחן, כי בהיותה בת 12 נהרגו הוריה המאמצים בתאונת דרכים, וכי מאז הועברה באמצעות גורמי הרווחה למסגרות שונות של פנימייה, בהן שהתה עד גיל 16. עוד עולה מדברי הנאשמת, כי בגיל 16 פגשה לראשונה את בני משפחת מוצאה ובמסגרת חידוש הקשר עמם עברה אירועים פוגעניים קשים, בעקבותיהם חלה נסיגה משמעותית במצבה הנפשי והיא אושפזה. </w:t>
      </w:r>
    </w:p>
    <w:p w14:paraId="30511DE9" w14:textId="77777777" w:rsidR="007F04C1" w:rsidRDefault="007F04C1">
      <w:pPr>
        <w:spacing w:line="360" w:lineRule="auto"/>
        <w:ind w:left="360"/>
        <w:rPr>
          <w:rFonts w:eastAsia="Calibri"/>
          <w:rtl/>
        </w:rPr>
      </w:pPr>
    </w:p>
    <w:p w14:paraId="32F54C83" w14:textId="77777777" w:rsidR="007F04C1" w:rsidRDefault="00492872">
      <w:pPr>
        <w:spacing w:line="360" w:lineRule="auto"/>
        <w:ind w:left="722" w:hanging="722"/>
        <w:jc w:val="both"/>
        <w:rPr>
          <w:rtl/>
        </w:rPr>
      </w:pPr>
      <w:r>
        <w:rPr>
          <w:rFonts w:hint="cs"/>
          <w:rtl/>
        </w:rPr>
        <w:t>5.</w:t>
      </w:r>
      <w:r>
        <w:rPr>
          <w:rtl/>
        </w:rPr>
        <w:tab/>
      </w:r>
      <w:r>
        <w:rPr>
          <w:rFonts w:hint="cs"/>
          <w:rtl/>
        </w:rPr>
        <w:t>שירות המבחן ציין, כי מעיון בחוות דעת פסיכיאטרית שנערכה ביום 1.2.15 בעניינה של הנאשמת במסגרת הליך המעצר, עולה כי הנאשמת סובלת מתסמונת פוסט- טראומטית והפרעת אישיות גבולית וכן , כי הומלץ לספק לה מענה תמיכתי בהשגחת שב"ס. הנאשמת הוסיפה וסיפרה לשירות המבחן, כי בשנים האחרונות היא מנהלת קשר זוגי עם גבר בדואי, נשוי ואב לילדים, לו היא עתידה להינשא, כאשתו השנייה.</w:t>
      </w:r>
    </w:p>
    <w:p w14:paraId="07850167" w14:textId="77777777" w:rsidR="007F04C1" w:rsidRDefault="007F04C1">
      <w:pPr>
        <w:tabs>
          <w:tab w:val="left" w:pos="425"/>
        </w:tabs>
        <w:spacing w:line="360" w:lineRule="auto"/>
        <w:ind w:left="425" w:hanging="425"/>
        <w:jc w:val="both"/>
        <w:rPr>
          <w:rtl/>
        </w:rPr>
      </w:pPr>
    </w:p>
    <w:p w14:paraId="14938EA8" w14:textId="77777777" w:rsidR="007F04C1" w:rsidRDefault="00492872">
      <w:pPr>
        <w:tabs>
          <w:tab w:val="left" w:pos="708"/>
        </w:tabs>
        <w:spacing w:line="360" w:lineRule="auto"/>
        <w:ind w:left="708" w:hanging="708"/>
        <w:jc w:val="both"/>
        <w:rPr>
          <w:rtl/>
        </w:rPr>
      </w:pPr>
      <w:r>
        <w:rPr>
          <w:rFonts w:hint="cs"/>
          <w:rtl/>
        </w:rPr>
        <w:t>6.</w:t>
      </w:r>
      <w:r>
        <w:rPr>
          <w:rFonts w:hint="cs"/>
          <w:rtl/>
        </w:rPr>
        <w:tab/>
        <w:t>שירות המבחן ציין בתסקירו, כי עברה הפלילי של הנאשמת נקי ללא רבב וכי מדובר במעורבות ראשונה ויחידה שלה בפלילים. במפגש שערך שירות המבחן עם הנאשמת בבית המעצר, תיארה הנאשמת קושי לשהות בתנאים פיזיים וכן קושי במפגש עם נשים עוברות חוק מבוגרות ממנה. הנאשמת לקחה בפני שירות המבחן  אחריות לביצוע העבירה וציינה, כי יצרה קשר רגשי משמעותי עם המשפחה שהתגוררה בשכנות אליה, במסגרתו נטתה להתנהגות מרצה כלפיהם ונהנתה מתחושת שייכות.</w:t>
      </w:r>
    </w:p>
    <w:p w14:paraId="7BD48C62" w14:textId="77777777" w:rsidR="007F04C1" w:rsidRDefault="007F04C1">
      <w:pPr>
        <w:tabs>
          <w:tab w:val="left" w:pos="425"/>
        </w:tabs>
        <w:spacing w:line="360" w:lineRule="auto"/>
        <w:ind w:left="425" w:hanging="425"/>
        <w:jc w:val="both"/>
        <w:rPr>
          <w:rtl/>
        </w:rPr>
      </w:pPr>
    </w:p>
    <w:p w14:paraId="241A8523" w14:textId="77777777" w:rsidR="007F04C1" w:rsidRDefault="00492872">
      <w:pPr>
        <w:tabs>
          <w:tab w:val="left" w:pos="425"/>
        </w:tabs>
        <w:spacing w:line="360" w:lineRule="auto"/>
        <w:ind w:left="708" w:hanging="708"/>
        <w:jc w:val="both"/>
        <w:rPr>
          <w:rtl/>
        </w:rPr>
      </w:pPr>
      <w:r>
        <w:rPr>
          <w:rFonts w:hint="cs"/>
          <w:rtl/>
        </w:rPr>
        <w:t>7.</w:t>
      </w:r>
      <w:r>
        <w:rPr>
          <w:rFonts w:hint="cs"/>
          <w:rtl/>
        </w:rPr>
        <w:tab/>
      </w:r>
      <w:r>
        <w:rPr>
          <w:rtl/>
        </w:rPr>
        <w:tab/>
      </w:r>
      <w:r>
        <w:rPr>
          <w:rFonts w:hint="cs"/>
          <w:rtl/>
        </w:rPr>
        <w:t>שירות המבחן ציין, כי הנאשמת  בחנה את התנהלותה ובחירותיה באופן ביקורתי  והתייחסה להתנהגותה ולהחזקת הסם בדירתה, באופן מעמיק ובחומרה מתאימה. הנאשמת שללה שימוש עצמי בסם או קשר לעולם הסמים. שירות המבחן התרשם, כי הנאשמת אינה מאופיינת בקווי אישיות שוליים או בדפוסים עבריינים.</w:t>
      </w:r>
    </w:p>
    <w:p w14:paraId="28725B2B" w14:textId="77777777" w:rsidR="007F04C1" w:rsidRDefault="007F04C1">
      <w:pPr>
        <w:tabs>
          <w:tab w:val="left" w:pos="425"/>
        </w:tabs>
        <w:spacing w:line="360" w:lineRule="auto"/>
        <w:ind w:left="425" w:hanging="425"/>
        <w:jc w:val="both"/>
        <w:rPr>
          <w:rtl/>
        </w:rPr>
      </w:pPr>
    </w:p>
    <w:p w14:paraId="46205717" w14:textId="77777777" w:rsidR="007F04C1" w:rsidRDefault="00492872">
      <w:pPr>
        <w:tabs>
          <w:tab w:val="left" w:pos="425"/>
        </w:tabs>
        <w:spacing w:line="360" w:lineRule="auto"/>
        <w:ind w:left="708" w:hanging="708"/>
        <w:jc w:val="both"/>
        <w:rPr>
          <w:rFonts w:cs="Times New Roman"/>
        </w:rPr>
      </w:pPr>
      <w:r>
        <w:rPr>
          <w:rFonts w:hint="cs"/>
          <w:rtl/>
        </w:rPr>
        <w:t>8.</w:t>
      </w:r>
      <w:r>
        <w:rPr>
          <w:rFonts w:hint="cs"/>
          <w:rtl/>
        </w:rPr>
        <w:tab/>
      </w:r>
      <w:r>
        <w:rPr>
          <w:rtl/>
        </w:rPr>
        <w:tab/>
      </w:r>
      <w:r>
        <w:rPr>
          <w:rFonts w:hint="cs"/>
          <w:rtl/>
        </w:rPr>
        <w:t xml:space="preserve">באשר לסיכון להישנות עבירות ולסיכויי השיקום, שירות המבחן העריך כי, מדובר בנאשמת נעדרת מערכות תמיכה משמעותיות, אשר נחשפה בחייה למצבים מורכבים וטראומטיים, </w:t>
      </w:r>
      <w:r>
        <w:rPr>
          <w:rFonts w:hint="cs"/>
          <w:rtl/>
        </w:rPr>
        <w:lastRenderedPageBreak/>
        <w:t xml:space="preserve">שכללו פגיעות ואובדן, וכי היא מתמודדת עם חוויות בדידות, תלישות וניכור. עם זאת, שירות המבחן התרשם  מצעירה נבונה, בעלת כוחות, המודעת לצורך שלה בטיפול, ואשר חרף נסיבות חייה, הצליחה, לרוב, להימנע ממעורבות עם החוק ומבטאת שאיפות נורמטיביות ביחס לעתידה, זאת בצד עברה הנקי של הנאשמת והשפעת המעצר עליה והשתלבותה במסגרתו בטיפול. </w:t>
      </w:r>
    </w:p>
    <w:p w14:paraId="61B9D85B" w14:textId="77777777" w:rsidR="007F04C1" w:rsidRDefault="007F04C1">
      <w:pPr>
        <w:spacing w:line="360" w:lineRule="auto"/>
        <w:rPr>
          <w:rFonts w:eastAsia="Calibri"/>
          <w:rtl/>
        </w:rPr>
      </w:pPr>
    </w:p>
    <w:p w14:paraId="31AE1472" w14:textId="77777777" w:rsidR="007F04C1" w:rsidRDefault="00492872">
      <w:pPr>
        <w:spacing w:line="360" w:lineRule="auto"/>
        <w:ind w:left="720" w:hanging="720"/>
        <w:jc w:val="both"/>
        <w:rPr>
          <w:rFonts w:cs="Times New Roman"/>
        </w:rPr>
      </w:pPr>
      <w:r>
        <w:rPr>
          <w:rFonts w:hint="cs"/>
          <w:rtl/>
        </w:rPr>
        <w:t>9.</w:t>
      </w:r>
      <w:r>
        <w:rPr>
          <w:rtl/>
        </w:rPr>
        <w:tab/>
      </w:r>
      <w:r>
        <w:rPr>
          <w:rFonts w:hint="cs"/>
          <w:rtl/>
        </w:rPr>
        <w:t>לסיכום, שירות המבחן העריך כי, לצורך הפחתת הסיכון להישנות עבירות והמשך שיקומה של הנאשמת, יש חשיבות בהמשך ליוויה ע"י גורם סמכותי כדוגמת שירות המבחן, גם מחוץ לכותלי הכלא. לפיכך, ומבלי להתעלם מחומרת העבירה, שירות המבחן המליץ להטיל על הנאשמת עונש מאסר לתקופה קצרה שיסתכם בתקופת מעצרה הנוכחית, באופן שניתן יהיה להטיל עליה צו מבחן למשך שנה.</w:t>
      </w:r>
    </w:p>
    <w:p w14:paraId="7E5316C7" w14:textId="77777777" w:rsidR="007F04C1" w:rsidRDefault="007F04C1">
      <w:pPr>
        <w:spacing w:line="360" w:lineRule="auto"/>
        <w:jc w:val="both"/>
        <w:rPr>
          <w:rFonts w:eastAsia="Calibri"/>
          <w:rtl/>
        </w:rPr>
      </w:pPr>
    </w:p>
    <w:p w14:paraId="549DC76E" w14:textId="77777777" w:rsidR="007F04C1" w:rsidRDefault="00492872">
      <w:pPr>
        <w:spacing w:line="360" w:lineRule="auto"/>
        <w:rPr>
          <w:rFonts w:cs="Times New Roman"/>
          <w:b/>
          <w:bCs/>
          <w:sz w:val="28"/>
          <w:szCs w:val="28"/>
          <w:rtl/>
        </w:rPr>
      </w:pPr>
      <w:r>
        <w:rPr>
          <w:rFonts w:hint="cs"/>
          <w:b/>
          <w:bCs/>
          <w:sz w:val="28"/>
          <w:szCs w:val="28"/>
          <w:u w:val="single"/>
          <w:rtl/>
        </w:rPr>
        <w:t>טיעוני המאשימה לעונש</w:t>
      </w:r>
    </w:p>
    <w:p w14:paraId="43F8999B" w14:textId="77777777" w:rsidR="007F04C1" w:rsidRDefault="00492872">
      <w:pPr>
        <w:shd w:val="clear" w:color="auto" w:fill="FFFFFF"/>
        <w:spacing w:line="360" w:lineRule="auto"/>
        <w:ind w:left="720" w:hanging="720"/>
        <w:jc w:val="both"/>
        <w:rPr>
          <w:rFonts w:cs="Times New Roman"/>
          <w:rtl/>
        </w:rPr>
      </w:pPr>
      <w:r>
        <w:rPr>
          <w:rFonts w:hint="cs"/>
          <w:rtl/>
        </w:rPr>
        <w:t>10.</w:t>
      </w:r>
      <w:r>
        <w:rPr>
          <w:rtl/>
        </w:rPr>
        <w:tab/>
      </w:r>
      <w:r>
        <w:rPr>
          <w:rFonts w:hint="cs"/>
          <w:rtl/>
        </w:rPr>
        <w:t>בפתח הישיבה בפניי מיום 23.6.15 הגישה ב"כ המאשימה את טיעוניה לעונש בכתב(ת/1) והוסיפה וטענה בעל-פה.</w:t>
      </w:r>
    </w:p>
    <w:p w14:paraId="3329B690" w14:textId="77777777" w:rsidR="007F04C1" w:rsidRDefault="007F04C1">
      <w:pPr>
        <w:shd w:val="clear" w:color="auto" w:fill="FFFFFF"/>
        <w:spacing w:line="360" w:lineRule="auto"/>
        <w:jc w:val="both"/>
        <w:rPr>
          <w:rFonts w:eastAsia="Calibri"/>
          <w:rtl/>
        </w:rPr>
      </w:pPr>
    </w:p>
    <w:p w14:paraId="624D7153" w14:textId="77777777" w:rsidR="007F04C1" w:rsidRDefault="00492872">
      <w:pPr>
        <w:shd w:val="clear" w:color="auto" w:fill="FFFFFF"/>
        <w:spacing w:line="360" w:lineRule="auto"/>
        <w:ind w:left="720" w:hanging="720"/>
        <w:jc w:val="both"/>
        <w:rPr>
          <w:rtl/>
        </w:rPr>
      </w:pPr>
      <w:r>
        <w:rPr>
          <w:rFonts w:hint="cs"/>
          <w:rtl/>
        </w:rPr>
        <w:t>11.</w:t>
      </w:r>
      <w:r>
        <w:rPr>
          <w:rtl/>
        </w:rPr>
        <w:tab/>
      </w:r>
      <w:r>
        <w:rPr>
          <w:rFonts w:hint="cs"/>
          <w:rtl/>
        </w:rPr>
        <w:t>ב"כ המאשימה עתרה למתחם עונש הולם הנע בין 6-4 שנות מאסר בפועל מאחורי סורג ובריח, זאת בצד עונש של מאסר על תנאי וקנס. ב"כ המאשימה ביקשה  לקבוע את עונשה של הנאשמת ברף הנמוך של המתחם לו עתרה, זאת בהינתן נסיבותיה האישיות של הנאשמת, כפי שעולה מתסקיר שירות המבחן, גילה הצעיר של הנאשמת ועברה הפלילי הנקי ללא רבב, כמו גם נסיבות ביצוע העבירה.</w:t>
      </w:r>
    </w:p>
    <w:p w14:paraId="50017423" w14:textId="77777777" w:rsidR="007F04C1" w:rsidRDefault="007F04C1">
      <w:pPr>
        <w:shd w:val="clear" w:color="auto" w:fill="FFFFFF"/>
        <w:spacing w:line="360" w:lineRule="auto"/>
        <w:ind w:left="720" w:hanging="720"/>
        <w:jc w:val="both"/>
        <w:rPr>
          <w:rtl/>
        </w:rPr>
      </w:pPr>
    </w:p>
    <w:p w14:paraId="62D14DA3" w14:textId="77777777" w:rsidR="007F04C1" w:rsidRDefault="00492872">
      <w:pPr>
        <w:shd w:val="clear" w:color="auto" w:fill="FFFFFF"/>
        <w:spacing w:line="360" w:lineRule="auto"/>
        <w:ind w:left="720" w:hanging="720"/>
        <w:jc w:val="both"/>
        <w:rPr>
          <w:rtl/>
        </w:rPr>
      </w:pPr>
      <w:r>
        <w:rPr>
          <w:rFonts w:hint="cs"/>
          <w:rtl/>
        </w:rPr>
        <w:t xml:space="preserve"> 12.</w:t>
      </w:r>
      <w:r>
        <w:rPr>
          <w:rFonts w:hint="cs"/>
          <w:rtl/>
        </w:rPr>
        <w:tab/>
        <w:t>ב"כ המאשימה התייחסה בטיעוניה בכתב לעונש (ת/1) לתיקון מס'  113 ל</w:t>
      </w:r>
      <w:hyperlink r:id="rId18" w:history="1">
        <w:r w:rsidRPr="00492872">
          <w:rPr>
            <w:color w:val="0000FF"/>
            <w:u w:val="single"/>
            <w:rtl/>
          </w:rPr>
          <w:t>חוק העונשין</w:t>
        </w:r>
      </w:hyperlink>
      <w:r>
        <w:rPr>
          <w:rFonts w:hint="cs"/>
          <w:rtl/>
        </w:rPr>
        <w:t xml:space="preserve">, הדן בהבניית שיקול הדעת השיפוטי בענישה, וציינה כי בהתאם לתיקון הנ"ל, העיקרון המנחה הינו עיקרון הגמול וההלימה, לפיו יש לפעול לפי היחס בין חומרת מעשה העבירה ונסיבותיו ומידת אשמו של הנאשם ובין סוג ומידת העונש המוטל על הנאשם. את העונש ההולם יש לקבוע תוך התחשבות בערך החברתי שנפגע מביצוע העבירה ובמידת הפגיעה בו. ב"כ המאשימה הוסיפה וטענה, כי הערך החברתי שנפגע כתוצאה ממעשי הנאשמת הינו הגנה על בריאותו, שלומו, שלמות גופו של הציבור ובכלל זה קטינים שלידיהם ולשימושם היו עלולים הסמים להגיע. להמחשת מדיניות הענישה הנהוגה בגין עבירות סמים מסוג דומה, הגישה ב"כ המאשימה אסופת פסיקה (ת/2 ). </w:t>
      </w:r>
    </w:p>
    <w:p w14:paraId="129C47C6" w14:textId="77777777" w:rsidR="007F04C1" w:rsidRDefault="007F04C1">
      <w:pPr>
        <w:shd w:val="clear" w:color="auto" w:fill="FFFFFF"/>
        <w:spacing w:line="360" w:lineRule="auto"/>
        <w:ind w:left="720" w:hanging="720"/>
        <w:jc w:val="both"/>
        <w:rPr>
          <w:rtl/>
        </w:rPr>
      </w:pPr>
    </w:p>
    <w:p w14:paraId="107A3D71" w14:textId="77777777" w:rsidR="007F04C1" w:rsidRDefault="00492872">
      <w:pPr>
        <w:shd w:val="clear" w:color="auto" w:fill="FFFFFF"/>
        <w:spacing w:line="360" w:lineRule="auto"/>
        <w:ind w:left="720" w:hanging="720"/>
        <w:jc w:val="both"/>
        <w:rPr>
          <w:rtl/>
        </w:rPr>
      </w:pPr>
      <w:r>
        <w:rPr>
          <w:rFonts w:hint="cs"/>
          <w:rtl/>
        </w:rPr>
        <w:t>13.</w:t>
      </w:r>
      <w:r>
        <w:rPr>
          <w:rFonts w:hint="cs"/>
          <w:rtl/>
        </w:rPr>
        <w:tab/>
        <w:t xml:space="preserve">המאשימה מבקשת לייחס לנאשמת, לחומרה, את התכנון שקדם לביצוע העבירה ע"י הנאשמת. בנקודה זו ציינה המאשימה, כי סם ההרואין במשקל </w:t>
      </w:r>
      <w:smartTag w:uri="urn:schemas-microsoft-com:office:smarttags" w:element="metricconverter">
        <w:smartTagPr>
          <w:attr w:name="ProductID" w:val="56.23 גר'"/>
        </w:smartTagPr>
        <w:r>
          <w:rPr>
            <w:rFonts w:hint="cs"/>
            <w:rtl/>
          </w:rPr>
          <w:t>56.23 גר'</w:t>
        </w:r>
      </w:smartTag>
      <w:r>
        <w:rPr>
          <w:rFonts w:hint="cs"/>
          <w:rtl/>
        </w:rPr>
        <w:t xml:space="preserve"> היה ארוז ב- 12 אריזות מפלסטיק ומוחבא בתוך גרב שחור בתוך תיק, כי סם ההרואין היה ארוז בשקית ניילון ומוחבא בתוך גרב שחור בתוך תיק, וכי טבליות ה-</w:t>
      </w:r>
      <w:r>
        <w:t xml:space="preserve">MDMA </w:t>
      </w:r>
      <w:r>
        <w:rPr>
          <w:rFonts w:hint="cs"/>
          <w:rtl/>
        </w:rPr>
        <w:t xml:space="preserve"> היו ארוזות באריזה מפלסטיק ומוחבאות בתוך גרב לבן בתוך תיק. לטענת המאשימה, אופן חלוקת הסמים מעיד על התכנון והשימוש העתידי בסמים. המאשימה הוסיפה וטענה בת/1, כי נוכח כמות הסם הגדולה, היה צפוי להיגרם נזק משמעותי לציבור, אילו הסמים היו מגיעים לידיו.</w:t>
      </w:r>
    </w:p>
    <w:p w14:paraId="3C93C89B" w14:textId="77777777" w:rsidR="007F04C1" w:rsidRDefault="007F04C1">
      <w:pPr>
        <w:shd w:val="clear" w:color="auto" w:fill="FFFFFF"/>
        <w:spacing w:line="360" w:lineRule="auto"/>
        <w:ind w:left="720" w:hanging="720"/>
        <w:jc w:val="both"/>
        <w:rPr>
          <w:rFonts w:cs="Times New Roman"/>
          <w:rtl/>
        </w:rPr>
      </w:pPr>
    </w:p>
    <w:p w14:paraId="0C83B0C3" w14:textId="77777777" w:rsidR="007F04C1" w:rsidRDefault="00492872">
      <w:pPr>
        <w:shd w:val="clear" w:color="auto" w:fill="FFFFFF"/>
        <w:spacing w:line="360" w:lineRule="auto"/>
        <w:ind w:left="720" w:hanging="720"/>
        <w:jc w:val="both"/>
        <w:rPr>
          <w:rtl/>
        </w:rPr>
      </w:pPr>
      <w:r>
        <w:rPr>
          <w:rFonts w:hint="cs"/>
          <w:rtl/>
        </w:rPr>
        <w:t>14.</w:t>
      </w:r>
      <w:r>
        <w:rPr>
          <w:rtl/>
        </w:rPr>
        <w:tab/>
      </w:r>
      <w:r>
        <w:rPr>
          <w:rFonts w:hint="cs"/>
          <w:rtl/>
        </w:rPr>
        <w:t xml:space="preserve">באשר לקביעת העונש ההולם בתוך המתחם לו עתרה המאשימה (6-4 שנים), ביקשה המאשימה להשית על הנאשמת עונש ברף הנמוך של המתחם לו טענה, זאת בהינתן הטעמים לקולא </w:t>
      </w:r>
      <w:r>
        <w:rPr>
          <w:rtl/>
        </w:rPr>
        <w:t>–</w:t>
      </w:r>
      <w:r>
        <w:rPr>
          <w:rFonts w:hint="cs"/>
          <w:rtl/>
        </w:rPr>
        <w:t xml:space="preserve"> עברה הנקי של הנאשמת, הודאתה בהזדמנות הראשונה, נסיבות החיים הקשות של הנאשמת ומצבה הנפשי, כמו גם המוטיבציה והשקעת המאמצים על ידי הנאשמת כדי לחזור למוטב. עם זאת, ב"כ המאשימה הטעימה, כי קיים צורך בהרתעת הנאשמת מפני ביצוע עבירה נוספת וכן קיים צורך בהרתעת הרבים מפני ביצוע עבירות דומות. ב"כ המאשימה ביקשה שלא לקבל את המלצת שירות המבחן  ולהסתפק בתקופת מעצרה של הנאשמת, שכן בכך יהא, לטענתה, משום קביעת ענישה בלתי פרופורציונאלית ביחס לחומרת העבירה.</w:t>
      </w:r>
    </w:p>
    <w:p w14:paraId="3320E323" w14:textId="77777777" w:rsidR="007F04C1" w:rsidRDefault="007F04C1">
      <w:pPr>
        <w:shd w:val="clear" w:color="auto" w:fill="FFFFFF"/>
        <w:spacing w:line="360" w:lineRule="auto"/>
        <w:jc w:val="both"/>
        <w:rPr>
          <w:rFonts w:eastAsia="Calibri"/>
          <w:rtl/>
        </w:rPr>
      </w:pPr>
    </w:p>
    <w:p w14:paraId="0FB67555" w14:textId="77777777" w:rsidR="007F04C1" w:rsidRDefault="00492872">
      <w:pPr>
        <w:shd w:val="clear" w:color="auto" w:fill="FFFFFF"/>
        <w:spacing w:line="360" w:lineRule="auto"/>
        <w:ind w:left="720" w:hanging="720"/>
        <w:jc w:val="both"/>
        <w:rPr>
          <w:rFonts w:cs="Times New Roman"/>
          <w:rtl/>
        </w:rPr>
      </w:pPr>
      <w:r>
        <w:rPr>
          <w:rFonts w:eastAsia="Calibri" w:hint="cs"/>
          <w:rtl/>
        </w:rPr>
        <w:t>15.</w:t>
      </w:r>
      <w:r>
        <w:rPr>
          <w:rtl/>
        </w:rPr>
        <w:tab/>
      </w:r>
      <w:r>
        <w:rPr>
          <w:rFonts w:hint="cs"/>
          <w:rtl/>
        </w:rPr>
        <w:t>ב"כ המאשימה ביקשה, בנוסף לעונש המאסר בפועל, להטיל על הנאשמת עונש של מאסר על תנאי מרתיע וקנס כספי כבד.</w:t>
      </w:r>
    </w:p>
    <w:p w14:paraId="65BFF985" w14:textId="77777777" w:rsidR="007F04C1" w:rsidRDefault="007F04C1">
      <w:pPr>
        <w:shd w:val="clear" w:color="auto" w:fill="FFFFFF"/>
        <w:spacing w:line="360" w:lineRule="auto"/>
        <w:jc w:val="both"/>
        <w:rPr>
          <w:rFonts w:eastAsia="Calibri"/>
          <w:rtl/>
        </w:rPr>
      </w:pPr>
    </w:p>
    <w:p w14:paraId="10D453A3" w14:textId="77777777" w:rsidR="007F04C1" w:rsidRDefault="00492872">
      <w:pPr>
        <w:shd w:val="clear" w:color="auto" w:fill="FFFFFF"/>
        <w:spacing w:line="360" w:lineRule="auto"/>
        <w:jc w:val="both"/>
        <w:rPr>
          <w:rtl/>
        </w:rPr>
      </w:pPr>
      <w:r>
        <w:rPr>
          <w:rFonts w:hint="cs"/>
          <w:b/>
          <w:bCs/>
          <w:sz w:val="28"/>
          <w:szCs w:val="28"/>
          <w:u w:val="single"/>
          <w:rtl/>
        </w:rPr>
        <w:t xml:space="preserve">טיעוני ההגנה לעונש </w:t>
      </w:r>
    </w:p>
    <w:p w14:paraId="3C995268" w14:textId="77777777" w:rsidR="007F04C1" w:rsidRDefault="00492872">
      <w:pPr>
        <w:shd w:val="clear" w:color="auto" w:fill="FFFFFF"/>
        <w:spacing w:line="360" w:lineRule="auto"/>
        <w:ind w:left="720" w:hanging="720"/>
        <w:jc w:val="both"/>
        <w:rPr>
          <w:rtl/>
        </w:rPr>
      </w:pPr>
      <w:r>
        <w:rPr>
          <w:rFonts w:hint="cs"/>
          <w:rtl/>
        </w:rPr>
        <w:t>16.</w:t>
      </w:r>
      <w:r>
        <w:rPr>
          <w:rtl/>
        </w:rPr>
        <w:tab/>
      </w:r>
      <w:r>
        <w:rPr>
          <w:rFonts w:hint="cs"/>
          <w:rtl/>
        </w:rPr>
        <w:t>ב"כ הנאשמת, בטיעוניו לעונש בדיון בפניי, טען, כי מתחם העונש ההולם בגין העבירה בה הורשעה הנאשמת, בנסיבותיה, נע בין מספר חודשי עבודות שירות לבין מאסר בפועל. ב"כ הנאשמת הטעים, כי העבירה של החזקת סם נעברת בכל פעם בנסיבות שונות בין תיק אחד למשנהו. ב"כ הנאשמת ביקש,  כי בעת גזירת עונשה של הנאשמת, יחרוג בית המשפט ממסגרת מתחם העונש ההולם שיקבע לעבירה.</w:t>
      </w:r>
    </w:p>
    <w:p w14:paraId="60FB307A" w14:textId="77777777" w:rsidR="007F04C1" w:rsidRDefault="007F04C1">
      <w:pPr>
        <w:spacing w:line="360" w:lineRule="auto"/>
        <w:ind w:left="720" w:hanging="720"/>
        <w:jc w:val="both"/>
        <w:rPr>
          <w:rFonts w:cs="Times New Roman"/>
          <w:rtl/>
        </w:rPr>
      </w:pPr>
    </w:p>
    <w:p w14:paraId="1F7FAA37" w14:textId="77777777" w:rsidR="007F04C1" w:rsidRDefault="00492872">
      <w:pPr>
        <w:spacing w:line="360" w:lineRule="auto"/>
        <w:ind w:left="720" w:hanging="720"/>
        <w:jc w:val="both"/>
        <w:rPr>
          <w:rtl/>
        </w:rPr>
      </w:pPr>
      <w:r>
        <w:rPr>
          <w:rFonts w:hint="cs"/>
          <w:rtl/>
        </w:rPr>
        <w:t>17.</w:t>
      </w:r>
      <w:r>
        <w:rPr>
          <w:rtl/>
        </w:rPr>
        <w:tab/>
      </w:r>
      <w:r>
        <w:rPr>
          <w:rFonts w:hint="cs"/>
          <w:rtl/>
        </w:rPr>
        <w:t>ב"כ הנאשמת הפנה לתסקיר שירות המבחן, כמו גם לחוות הדעת הפסיכיאטרית שהוגשה בעניינה של הנאשמת בהליך המעצר שננקט נגדה (נ/1), מהם מצטיירת תמונת נסיבות חייה הקשות של הנאשמת, כמו גם עברה הפלילי הנקי ללא רבב. ב"כ הנאשמת הטעים, כי שירות המבחן התרשם בתסקיר, כי אין לנאשמת דפוסי התנהגות עבריינים וכי גורלה הקשה הוא שהוביל אותה למצבה הנוכחי.</w:t>
      </w:r>
    </w:p>
    <w:p w14:paraId="7FB1B70D" w14:textId="77777777" w:rsidR="007F04C1" w:rsidRDefault="007F04C1">
      <w:pPr>
        <w:spacing w:line="360" w:lineRule="auto"/>
        <w:ind w:left="720" w:hanging="720"/>
        <w:jc w:val="both"/>
        <w:rPr>
          <w:rtl/>
        </w:rPr>
      </w:pPr>
    </w:p>
    <w:p w14:paraId="5FC85AF7" w14:textId="77777777" w:rsidR="007F04C1" w:rsidRDefault="00492872">
      <w:pPr>
        <w:spacing w:line="360" w:lineRule="auto"/>
        <w:ind w:left="720" w:hanging="720"/>
        <w:jc w:val="both"/>
        <w:rPr>
          <w:rtl/>
        </w:rPr>
      </w:pPr>
      <w:r>
        <w:rPr>
          <w:rFonts w:hint="cs"/>
          <w:rtl/>
        </w:rPr>
        <w:t>18.</w:t>
      </w:r>
      <w:r>
        <w:rPr>
          <w:rFonts w:hint="cs"/>
          <w:rtl/>
        </w:rPr>
        <w:tab/>
        <w:t>באשר לאינטרס הציבור, טען ב"כ הנאשמת, כי  אין זהו המקרה בו אינטרס הציבור ייצא נשכר מהשמת הנאשמת מאחורי סורג ובריח והטעים, כי הטלת עונש של מאסר בפועל על הנאשמת לא יביא להרתעת הציבור מלבצע עבירות של החזקת סם. ב"כ הנאשם הדגיש את חשיבותו של שירות המבחן כגוף מקצועי ואת חשיבות המלצתו בעניינה של הנאשמת, זאת לאחר שניפגש עימה בבית המעצר והתרשם מקווי אישיותה ומנסיבותיה יוצאות הדופן. ב"כ הנאשמת ציין, כי לאחר ששירות המבחן הצליח לדלות מהנאשמת פרטים אודותיה, בא שירות המבחן בהמלצה להשית על הנאשמת עונש של מאסר בפועל שלא יחרוג מתקופת המעצר אותה היא מרצה כעת.</w:t>
      </w:r>
    </w:p>
    <w:p w14:paraId="2456AFA4" w14:textId="77777777" w:rsidR="007F04C1" w:rsidRDefault="007F04C1">
      <w:pPr>
        <w:spacing w:line="360" w:lineRule="auto"/>
        <w:ind w:left="720" w:hanging="720"/>
        <w:jc w:val="both"/>
        <w:rPr>
          <w:rtl/>
        </w:rPr>
      </w:pPr>
    </w:p>
    <w:p w14:paraId="2C9CEE5C" w14:textId="77777777" w:rsidR="007F04C1" w:rsidRDefault="00492872">
      <w:pPr>
        <w:spacing w:line="360" w:lineRule="auto"/>
        <w:ind w:left="720" w:hanging="720"/>
        <w:jc w:val="both"/>
        <w:rPr>
          <w:rtl/>
        </w:rPr>
      </w:pPr>
      <w:r>
        <w:rPr>
          <w:rFonts w:hint="cs"/>
          <w:rtl/>
        </w:rPr>
        <w:t>19.</w:t>
      </w:r>
      <w:r>
        <w:rPr>
          <w:rFonts w:hint="cs"/>
          <w:rtl/>
        </w:rPr>
        <w:tab/>
        <w:t xml:space="preserve">ב"כ הנאשם התייחס בטיעוניו לפסיקה שהוגשה מטעם המאשימה (ת/2) וטען, כי אין ללמוד גזירה שווה, כלל ועיקר, מהפסיקה הנ"ל למקרה שבפנינו. ב"כ הנאשמת הוסיף וטען, כי לנאשמת יש כיום שביב של תקווה, זאת לאחר שהתארסה והיא עומדת בפני תחילתם של חיים חדשים, ובכך תוכל הנאשמת להפסיק "להתגלגל" מקום למקום ולמצוא את מקומה. ב"כ הנאשמת, ציין במטרה להמחיש את חומרת נסיבות חייה של הנאשמת, כי משפחת מוצאה של הנאשמת מאיימת לפגוע בה ולפיכך ניתנה לה זהות זמנית שונה, זאת כדי להקשות על איתורה על ידי בני משפחתה. </w:t>
      </w:r>
    </w:p>
    <w:p w14:paraId="1B7119B7" w14:textId="77777777" w:rsidR="007F04C1" w:rsidRDefault="007F04C1">
      <w:pPr>
        <w:spacing w:line="360" w:lineRule="auto"/>
        <w:jc w:val="both"/>
        <w:rPr>
          <w:rFonts w:eastAsia="Calibri"/>
          <w:rtl/>
        </w:rPr>
      </w:pPr>
    </w:p>
    <w:p w14:paraId="5CF4303C" w14:textId="77777777" w:rsidR="007F04C1" w:rsidRDefault="00492872">
      <w:pPr>
        <w:spacing w:line="360" w:lineRule="auto"/>
        <w:ind w:left="720" w:hanging="720"/>
        <w:jc w:val="both"/>
        <w:rPr>
          <w:rtl/>
        </w:rPr>
      </w:pPr>
      <w:r>
        <w:rPr>
          <w:rFonts w:hint="cs"/>
          <w:rtl/>
        </w:rPr>
        <w:t>20.</w:t>
      </w:r>
      <w:r>
        <w:rPr>
          <w:rtl/>
        </w:rPr>
        <w:tab/>
      </w:r>
      <w:r>
        <w:rPr>
          <w:rFonts w:hint="cs"/>
          <w:rtl/>
        </w:rPr>
        <w:t xml:space="preserve"> עוד הטעים ב"כ הנאשמת, כי המעצר בו נתונה כעת הנאשמת נחווה עבורה כקשה וכי כל יום שחולף במעצר הינו נצח עבורה.</w:t>
      </w:r>
      <w:r>
        <w:rPr>
          <w:rFonts w:hint="cs"/>
        </w:rPr>
        <w:t xml:space="preserve"> </w:t>
      </w:r>
      <w:r>
        <w:rPr>
          <w:rFonts w:hint="cs"/>
          <w:rtl/>
        </w:rPr>
        <w:t xml:space="preserve">לסיכום, עתר ב"כ הנאשמת, כי בית המשפט יאמץ את המלצת שירות המבחן ויסתפק בהשתת עונש של מאסר בפועל על הנאשמת, שאורכו כתקופת המעצר בה נתונה הנאשמת עד כה, זאת בצד צו מבחן שיוטל על הנאשמת ויאפשר פיקוח של שירות המבחן על הנאשמת ודאגה לצרכיה הטיפוליים. </w:t>
      </w:r>
    </w:p>
    <w:p w14:paraId="1EEB54D3" w14:textId="77777777" w:rsidR="007F04C1" w:rsidRDefault="007F04C1">
      <w:pPr>
        <w:spacing w:line="360" w:lineRule="auto"/>
        <w:ind w:left="720" w:hanging="720"/>
        <w:jc w:val="both"/>
        <w:rPr>
          <w:rtl/>
        </w:rPr>
      </w:pPr>
    </w:p>
    <w:p w14:paraId="4521F320" w14:textId="77777777" w:rsidR="007F04C1" w:rsidRDefault="00492872">
      <w:pPr>
        <w:spacing w:line="360" w:lineRule="auto"/>
        <w:ind w:left="720" w:hanging="720"/>
        <w:jc w:val="both"/>
        <w:rPr>
          <w:rtl/>
        </w:rPr>
      </w:pPr>
      <w:r>
        <w:rPr>
          <w:rFonts w:hint="cs"/>
          <w:rtl/>
        </w:rPr>
        <w:t>21.</w:t>
      </w:r>
      <w:r>
        <w:rPr>
          <w:rFonts w:hint="cs"/>
          <w:rtl/>
        </w:rPr>
        <w:tab/>
        <w:t xml:space="preserve">הנאשמת, בדבריה בפני בית המשפט, ביקשה סליחה והביעה צער, בציינה  כי למדה מהמקרה וכי "שילמה ביוקר" בגינו. </w:t>
      </w:r>
    </w:p>
    <w:p w14:paraId="4278EF9C" w14:textId="77777777" w:rsidR="007F04C1" w:rsidRDefault="007F04C1">
      <w:pPr>
        <w:spacing w:line="360" w:lineRule="auto"/>
        <w:ind w:left="720" w:hanging="720"/>
        <w:jc w:val="both"/>
        <w:rPr>
          <w:rtl/>
        </w:rPr>
      </w:pPr>
    </w:p>
    <w:p w14:paraId="348D1D79" w14:textId="77777777" w:rsidR="007F04C1" w:rsidRDefault="00492872">
      <w:pPr>
        <w:spacing w:line="360" w:lineRule="auto"/>
        <w:ind w:left="720" w:hanging="720"/>
        <w:jc w:val="both"/>
        <w:rPr>
          <w:b/>
          <w:bCs/>
          <w:sz w:val="28"/>
          <w:szCs w:val="28"/>
          <w:u w:val="single"/>
          <w:rtl/>
        </w:rPr>
      </w:pPr>
      <w:r>
        <w:rPr>
          <w:rFonts w:hint="cs"/>
          <w:b/>
          <w:bCs/>
          <w:sz w:val="28"/>
          <w:szCs w:val="28"/>
          <w:u w:val="single"/>
          <w:rtl/>
        </w:rPr>
        <w:t>דיון והכרעה</w:t>
      </w:r>
    </w:p>
    <w:p w14:paraId="24B070B8" w14:textId="77777777" w:rsidR="007F04C1" w:rsidRDefault="00492872">
      <w:pPr>
        <w:spacing w:line="360" w:lineRule="auto"/>
        <w:ind w:left="720" w:hanging="720"/>
        <w:jc w:val="both"/>
        <w:rPr>
          <w:rtl/>
        </w:rPr>
      </w:pPr>
      <w:r>
        <w:rPr>
          <w:rFonts w:hint="cs"/>
          <w:rtl/>
        </w:rPr>
        <w:t>22.</w:t>
      </w:r>
      <w:r>
        <w:rPr>
          <w:rFonts w:hint="cs"/>
          <w:rtl/>
        </w:rPr>
        <w:tab/>
      </w:r>
      <w:r>
        <w:rPr>
          <w:rtl/>
        </w:rPr>
        <w:t xml:space="preserve">תיקון מס' 113 </w:t>
      </w:r>
      <w:r>
        <w:rPr>
          <w:rFonts w:hint="cs"/>
          <w:rtl/>
        </w:rPr>
        <w:t>ל</w:t>
      </w:r>
      <w:hyperlink r:id="rId19" w:history="1">
        <w:r w:rsidRPr="00492872">
          <w:rPr>
            <w:color w:val="0000FF"/>
            <w:u w:val="single"/>
            <w:rtl/>
          </w:rPr>
          <w:t>חוק העונשין</w:t>
        </w:r>
      </w:hyperlink>
      <w:r>
        <w:rPr>
          <w:rFonts w:hint="cs"/>
          <w:rtl/>
        </w:rPr>
        <w:t xml:space="preserve">, התשל"ז </w:t>
      </w:r>
      <w:r>
        <w:rPr>
          <w:rtl/>
        </w:rPr>
        <w:t>–</w:t>
      </w:r>
      <w:r>
        <w:rPr>
          <w:rFonts w:hint="cs"/>
          <w:rtl/>
        </w:rPr>
        <w:t xml:space="preserve"> 1977 (להלן: "חוק העונשין") </w:t>
      </w:r>
      <w:r>
        <w:rPr>
          <w:rtl/>
        </w:rPr>
        <w:t xml:space="preserve">מתווה את העיקרון המנחה כיום את ביהמ"ש בבואו לגזור דינו של נאשם, שהינו, לפי </w:t>
      </w:r>
      <w:hyperlink r:id="rId20" w:history="1">
        <w:r w:rsidR="008E1777" w:rsidRPr="008E1777">
          <w:rPr>
            <w:rStyle w:val="Hyperlink"/>
            <w:rtl/>
          </w:rPr>
          <w:t>סעיף 40 ב</w:t>
        </w:r>
      </w:hyperlink>
      <w:r>
        <w:rPr>
          <w:rtl/>
        </w:rPr>
        <w:t xml:space="preserve"> לחוק העונשין, עיקרון ההלימה, לפיו צריך להתקיים יחס הולם בין חומרת מעשי העבירה בנסיבותיו ומידת אשמו של הנאשם לבין סוג ומידת העונש המוטל עליו. יחס זה מבטא, למעשה, את עיקרון הגמול (ראה </w:t>
      </w:r>
      <w:hyperlink r:id="rId21" w:history="1">
        <w:r w:rsidRPr="00492872">
          <w:rPr>
            <w:color w:val="0000FF"/>
            <w:u w:val="single"/>
            <w:rtl/>
          </w:rPr>
          <w:t>ע.פ. 1523/10</w:t>
        </w:r>
      </w:hyperlink>
      <w:r>
        <w:rPr>
          <w:rtl/>
        </w:rPr>
        <w:t xml:space="preserve"> </w:t>
      </w:r>
      <w:r>
        <w:rPr>
          <w:b/>
          <w:bCs/>
          <w:rtl/>
        </w:rPr>
        <w:t xml:space="preserve">פלוני נ' מדינת ישראל, </w:t>
      </w:r>
      <w:r>
        <w:rPr>
          <w:rtl/>
        </w:rPr>
        <w:t xml:space="preserve">18/4/12, לא פורסם). </w:t>
      </w:r>
      <w:hyperlink r:id="rId22" w:history="1">
        <w:r w:rsidR="008E1777" w:rsidRPr="008E1777">
          <w:rPr>
            <w:rStyle w:val="Hyperlink"/>
            <w:rtl/>
          </w:rPr>
          <w:t>סעיף 40 ג'</w:t>
        </w:r>
      </w:hyperlink>
      <w:r>
        <w:rPr>
          <w:rtl/>
        </w:rPr>
        <w:t xml:space="preserve"> ל</w:t>
      </w:r>
      <w:hyperlink r:id="rId23" w:history="1">
        <w:r w:rsidRPr="00492872">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4" w:history="1">
        <w:r w:rsidR="008E1777" w:rsidRPr="008E1777">
          <w:rPr>
            <w:rStyle w:val="Hyperlink"/>
            <w:rtl/>
          </w:rPr>
          <w:t>בסעיף 40 ט'</w:t>
        </w:r>
      </w:hyperlink>
      <w:r>
        <w:rPr>
          <w:rtl/>
        </w:rPr>
        <w:t xml:space="preserve"> ל</w:t>
      </w:r>
      <w:hyperlink r:id="rId25" w:history="1">
        <w:r w:rsidRPr="00492872">
          <w:rPr>
            <w:color w:val="0000FF"/>
            <w:u w:val="single"/>
            <w:rtl/>
          </w:rPr>
          <w:t>חוק העונשין</w:t>
        </w:r>
      </w:hyperlink>
      <w:r>
        <w:rPr>
          <w:rtl/>
        </w:rPr>
        <w:t>.</w:t>
      </w:r>
    </w:p>
    <w:p w14:paraId="1FE0FA71" w14:textId="77777777" w:rsidR="007F04C1" w:rsidRDefault="007F04C1">
      <w:pPr>
        <w:spacing w:line="360" w:lineRule="auto"/>
        <w:jc w:val="both"/>
        <w:rPr>
          <w:rtl/>
        </w:rPr>
      </w:pPr>
    </w:p>
    <w:p w14:paraId="14F4925A" w14:textId="77777777" w:rsidR="007F04C1" w:rsidRDefault="00492872">
      <w:pPr>
        <w:spacing w:line="360" w:lineRule="auto"/>
        <w:jc w:val="both"/>
        <w:rPr>
          <w:rtl/>
        </w:rPr>
      </w:pPr>
      <w:r>
        <w:rPr>
          <w:rFonts w:hint="cs"/>
          <w:rtl/>
        </w:rPr>
        <w:t>23.</w:t>
      </w:r>
      <w:r>
        <w:rPr>
          <w:rFonts w:hint="cs"/>
          <w:rtl/>
        </w:rPr>
        <w:tab/>
      </w:r>
      <w:r>
        <w:rPr>
          <w:b/>
          <w:bCs/>
          <w:rtl/>
        </w:rPr>
        <w:t>ומהתם להכא:</w:t>
      </w:r>
    </w:p>
    <w:p w14:paraId="059F3D3F" w14:textId="77777777" w:rsidR="007F04C1" w:rsidRDefault="00492872">
      <w:pPr>
        <w:spacing w:line="360" w:lineRule="auto"/>
        <w:ind w:left="720" w:hanging="720"/>
        <w:jc w:val="both"/>
        <w:rPr>
          <w:rtl/>
        </w:rPr>
      </w:pPr>
      <w:r>
        <w:rPr>
          <w:rtl/>
        </w:rPr>
        <w:tab/>
        <w:t xml:space="preserve">הערך החברתי שנפגע כתוצאה מביצוע העבירה של החזקת סם מסוכן שלא לצריכה עצמית הינו ביטחונו ושלומו של הציבור, שכן הסמים המופצים בחברה, </w:t>
      </w:r>
      <w:r>
        <w:rPr>
          <w:rFonts w:hint="cs"/>
          <w:rtl/>
        </w:rPr>
        <w:t>ובמיוחד הסמים המוגדרים "</w:t>
      </w:r>
      <w:r>
        <w:rPr>
          <w:rtl/>
        </w:rPr>
        <w:t>קשים", משחיתים כל חלקה טובה ופוגעים בכל אשר נקרה בדרכם. כל גורם בשרשרת הפצת הסמים תורם את תרומתו השלילית להתמכרותם של תושבי המדינה לסמים ולהרחבת הפשיעה, על גווניה השונים,</w:t>
      </w:r>
      <w:r>
        <w:rPr>
          <w:rFonts w:hint="cs"/>
          <w:rtl/>
        </w:rPr>
        <w:t xml:space="preserve"> זאת אף אם עסקינן  במי ש</w:t>
      </w:r>
      <w:r>
        <w:rPr>
          <w:rtl/>
        </w:rPr>
        <w:t>אינו נמנה עם גדולי סוחרי הסמים</w:t>
      </w:r>
      <w:r>
        <w:rPr>
          <w:rFonts w:hint="cs"/>
          <w:rtl/>
        </w:rPr>
        <w:t>.</w:t>
      </w:r>
      <w:r>
        <w:rPr>
          <w:rtl/>
        </w:rPr>
        <w:t xml:space="preserve"> </w:t>
      </w:r>
      <w:r>
        <w:rPr>
          <w:rFonts w:hint="cs"/>
          <w:rtl/>
        </w:rPr>
        <w:t xml:space="preserve">ככל שמדובר </w:t>
      </w:r>
      <w:r>
        <w:rPr>
          <w:rtl/>
        </w:rPr>
        <w:t xml:space="preserve">בהחזקת סם </w:t>
      </w:r>
      <w:r>
        <w:rPr>
          <w:rFonts w:hint="cs"/>
          <w:rtl/>
        </w:rPr>
        <w:t xml:space="preserve">"קשה" </w:t>
      </w:r>
      <w:r>
        <w:rPr>
          <w:rtl/>
        </w:rPr>
        <w:t xml:space="preserve">בכמות גדולה, מידת הפגיעה </w:t>
      </w:r>
      <w:r>
        <w:rPr>
          <w:rFonts w:hint="cs"/>
          <w:rtl/>
        </w:rPr>
        <w:t xml:space="preserve">הפוטנציאלית בציבור גדולה ורחבה יותר. בנקודה זו יוטעם, כי במקרה דנן החזיקה הנאשמת בכמות גדולה של סם מסוג הרואין במשקל של </w:t>
      </w:r>
      <w:smartTag w:uri="urn:schemas-microsoft-com:office:smarttags" w:element="metricconverter">
        <w:smartTagPr>
          <w:attr w:name="ProductID" w:val="139 גרם"/>
        </w:smartTagPr>
        <w:r>
          <w:rPr>
            <w:rFonts w:hint="cs"/>
            <w:rtl/>
          </w:rPr>
          <w:t>139 גרם</w:t>
        </w:r>
      </w:smartTag>
      <w:r>
        <w:rPr>
          <w:rFonts w:hint="cs"/>
          <w:rtl/>
        </w:rPr>
        <w:t xml:space="preserve"> נטו ובמשקל נוסף של </w:t>
      </w:r>
      <w:smartTag w:uri="urn:schemas-microsoft-com:office:smarttags" w:element="metricconverter">
        <w:smartTagPr>
          <w:attr w:name="ProductID" w:val="56.23 גרם"/>
        </w:smartTagPr>
        <w:r>
          <w:rPr>
            <w:rFonts w:hint="cs"/>
            <w:rtl/>
          </w:rPr>
          <w:t>56.23 גרם</w:t>
        </w:r>
      </w:smartTag>
      <w:r>
        <w:rPr>
          <w:rFonts w:hint="cs"/>
          <w:rtl/>
        </w:rPr>
        <w:t xml:space="preserve"> נטו וכן ב- 152 טבליות מסוג </w:t>
      </w:r>
      <w:r>
        <w:rPr>
          <w:rFonts w:hint="cs"/>
        </w:rPr>
        <w:t>MDMA</w:t>
      </w:r>
      <w:r>
        <w:rPr>
          <w:rFonts w:hint="cs"/>
          <w:rtl/>
        </w:rPr>
        <w:t>.</w:t>
      </w:r>
    </w:p>
    <w:p w14:paraId="48FD565B" w14:textId="77777777" w:rsidR="007F04C1" w:rsidRDefault="007F04C1">
      <w:pPr>
        <w:spacing w:line="360" w:lineRule="auto"/>
        <w:ind w:left="720" w:hanging="720"/>
        <w:jc w:val="both"/>
        <w:rPr>
          <w:rtl/>
        </w:rPr>
      </w:pPr>
    </w:p>
    <w:p w14:paraId="39E6AAF0" w14:textId="77777777" w:rsidR="007F04C1" w:rsidRDefault="00492872">
      <w:pPr>
        <w:spacing w:line="360" w:lineRule="auto"/>
        <w:ind w:left="720" w:hanging="720"/>
        <w:rPr>
          <w:rtl/>
        </w:rPr>
      </w:pPr>
      <w:r>
        <w:rPr>
          <w:rFonts w:hint="cs"/>
          <w:rtl/>
        </w:rPr>
        <w:t>24.</w:t>
      </w:r>
      <w:r>
        <w:rPr>
          <w:rtl/>
        </w:rPr>
        <w:tab/>
      </w:r>
      <w:r>
        <w:rPr>
          <w:rFonts w:hint="cs"/>
          <w:rtl/>
        </w:rPr>
        <w:t>להמחשת חומרת נגע הסמים ולהמחשת החשיבות בהשתת ענישה משמעותית בגין עבירות כגון דא, יפים הדברים הבאים, שנאמרו על ידי כב' השופט הנדל ב</w:t>
      </w:r>
      <w:hyperlink r:id="rId26" w:history="1">
        <w:r w:rsidRPr="00492872">
          <w:rPr>
            <w:color w:val="0000FF"/>
            <w:u w:val="single"/>
            <w:rtl/>
          </w:rPr>
          <w:t>ע"פ 972/11</w:t>
        </w:r>
      </w:hyperlink>
      <w:r>
        <w:rPr>
          <w:rFonts w:hint="cs"/>
          <w:rtl/>
        </w:rPr>
        <w:t xml:space="preserve"> </w:t>
      </w:r>
      <w:r>
        <w:rPr>
          <w:rFonts w:hint="cs"/>
          <w:b/>
          <w:bCs/>
          <w:rtl/>
        </w:rPr>
        <w:t>מדינת ישראל נ' אמארה</w:t>
      </w:r>
      <w:r>
        <w:rPr>
          <w:rFonts w:hint="cs"/>
          <w:rtl/>
        </w:rPr>
        <w:t xml:space="preserve"> (ניתן ביום 04.07.12): </w:t>
      </w:r>
    </w:p>
    <w:p w14:paraId="613896C5" w14:textId="77777777" w:rsidR="007F04C1" w:rsidRDefault="007F04C1">
      <w:pPr>
        <w:spacing w:line="360" w:lineRule="auto"/>
        <w:ind w:left="746"/>
        <w:jc w:val="both"/>
        <w:rPr>
          <w:rtl/>
        </w:rPr>
      </w:pPr>
    </w:p>
    <w:p w14:paraId="52FCFEBF" w14:textId="77777777" w:rsidR="007F04C1" w:rsidRDefault="00492872">
      <w:pPr>
        <w:pStyle w:val="ruller4"/>
        <w:ind w:left="1466" w:right="1800"/>
        <w:rPr>
          <w:rFonts w:cs="David"/>
          <w:spacing w:val="0"/>
          <w:sz w:val="24"/>
          <w:szCs w:val="24"/>
          <w:rtl/>
        </w:rPr>
      </w:pPr>
      <w:r>
        <w:rPr>
          <w:rFonts w:cs="David" w:hint="cs"/>
          <w:spacing w:val="0"/>
          <w:sz w:val="24"/>
          <w:szCs w:val="24"/>
          <w:rtl/>
        </w:rPr>
        <w:t>"</w:t>
      </w:r>
      <w:r>
        <w:rPr>
          <w:rFonts w:cs="David" w:hint="cs"/>
          <w:b/>
          <w:bCs/>
          <w:spacing w:val="0"/>
          <w:sz w:val="24"/>
          <w:szCs w:val="24"/>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בכללותה...ייתכן ועבירות הסמים הקשים הן כה נפוצות עד שהתרגלנו אליהן, ואולי אף אבדה לנו הרגישות למחיר שלא רק החברה משלמת אלא גם המשתמש עצמו...למאבק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27" w:history="1">
        <w:r w:rsidRPr="00492872">
          <w:rPr>
            <w:rFonts w:cs="David"/>
            <w:b/>
            <w:bCs/>
            <w:color w:val="0000FF"/>
            <w:spacing w:val="0"/>
            <w:sz w:val="24"/>
            <w:szCs w:val="24"/>
            <w:u w:val="single"/>
            <w:rtl/>
          </w:rPr>
          <w:t>ע"פ 8031/10</w:t>
        </w:r>
      </w:hyperlink>
      <w:r>
        <w:rPr>
          <w:rFonts w:cs="David" w:hint="cs"/>
          <w:b/>
          <w:bCs/>
          <w:spacing w:val="0"/>
          <w:sz w:val="24"/>
          <w:szCs w:val="24"/>
          <w:rtl/>
        </w:rPr>
        <w:t xml:space="preserve"> אורוסקו-צ'אבז נ' מדינת ישראל (1.3.2012))</w:t>
      </w:r>
      <w:r>
        <w:rPr>
          <w:rFonts w:cs="David" w:hint="cs"/>
          <w:spacing w:val="0"/>
          <w:sz w:val="24"/>
          <w:szCs w:val="24"/>
          <w:rtl/>
        </w:rPr>
        <w:t xml:space="preserve">". </w:t>
      </w:r>
    </w:p>
    <w:p w14:paraId="4EC5D6E7" w14:textId="77777777" w:rsidR="007F04C1" w:rsidRDefault="007F04C1">
      <w:pPr>
        <w:spacing w:line="360" w:lineRule="auto"/>
        <w:jc w:val="both"/>
        <w:rPr>
          <w:rFonts w:cs="Times New Roman"/>
          <w:rtl/>
        </w:rPr>
      </w:pPr>
    </w:p>
    <w:p w14:paraId="16D23CE1" w14:textId="77777777" w:rsidR="007F04C1" w:rsidRDefault="00492872">
      <w:pPr>
        <w:spacing w:line="360" w:lineRule="auto"/>
        <w:ind w:left="720" w:hanging="720"/>
        <w:jc w:val="both"/>
        <w:rPr>
          <w:rtl/>
        </w:rPr>
      </w:pPr>
      <w:r>
        <w:rPr>
          <w:rFonts w:hint="cs"/>
          <w:rtl/>
        </w:rPr>
        <w:t>25.</w:t>
      </w:r>
      <w:r>
        <w:rPr>
          <w:rtl/>
        </w:rPr>
        <w:tab/>
      </w:r>
      <w:r>
        <w:rPr>
          <w:rFonts w:hint="cs"/>
          <w:rtl/>
        </w:rPr>
        <w:t>ב</w:t>
      </w:r>
      <w:hyperlink r:id="rId28" w:history="1">
        <w:r w:rsidRPr="00492872">
          <w:rPr>
            <w:color w:val="0000FF"/>
            <w:u w:val="single"/>
            <w:rtl/>
          </w:rPr>
          <w:t>ע"פ 211/09</w:t>
        </w:r>
      </w:hyperlink>
      <w:r>
        <w:rPr>
          <w:rFonts w:hint="cs"/>
          <w:rtl/>
        </w:rPr>
        <w:t xml:space="preserve"> </w:t>
      </w:r>
      <w:r>
        <w:rPr>
          <w:rFonts w:hint="cs"/>
          <w:b/>
          <w:bCs/>
          <w:rtl/>
        </w:rPr>
        <w:t>אזולאי נ' מדינת ישראל</w:t>
      </w:r>
      <w:r>
        <w:rPr>
          <w:rFonts w:hint="cs"/>
          <w:rtl/>
        </w:rPr>
        <w:t xml:space="preserve"> (22.6.10) ציינה והדגישה כב' השופטת פרוקצ'יה את חומרתה המופלגת של עבירת החזקת סמים מסוכנים שלא לצריכה עצמית, זאת כהאי לישנא:</w:t>
      </w:r>
    </w:p>
    <w:p w14:paraId="1A7638DD" w14:textId="77777777" w:rsidR="007F04C1" w:rsidRDefault="00492872">
      <w:pPr>
        <w:pStyle w:val="ruller4"/>
        <w:ind w:left="1466" w:right="1800"/>
        <w:rPr>
          <w:rFonts w:cs="David"/>
          <w:b/>
          <w:bCs/>
          <w:spacing w:val="0"/>
          <w:sz w:val="24"/>
          <w:szCs w:val="24"/>
          <w:rtl/>
        </w:rPr>
      </w:pPr>
      <w:r>
        <w:rPr>
          <w:rFonts w:cs="David" w:hint="cs"/>
          <w:b/>
          <w:bCs/>
          <w:spacing w:val="0"/>
          <w:sz w:val="24"/>
          <w:szCs w:val="24"/>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cs="David" w:hint="cs"/>
          <w:spacing w:val="0"/>
          <w:sz w:val="24"/>
          <w:szCs w:val="24"/>
          <w:rtl/>
        </w:rPr>
        <w:t>.</w:t>
      </w:r>
    </w:p>
    <w:p w14:paraId="447047CF" w14:textId="77777777" w:rsidR="007F04C1" w:rsidRDefault="007F04C1">
      <w:pPr>
        <w:spacing w:line="360" w:lineRule="auto"/>
        <w:ind w:left="720" w:hanging="720"/>
        <w:jc w:val="both"/>
        <w:rPr>
          <w:rtl/>
        </w:rPr>
      </w:pPr>
    </w:p>
    <w:p w14:paraId="227F9BA7" w14:textId="77777777" w:rsidR="007F04C1" w:rsidRDefault="00492872">
      <w:pPr>
        <w:spacing w:line="360" w:lineRule="auto"/>
        <w:ind w:left="720" w:hanging="720"/>
        <w:jc w:val="both"/>
        <w:rPr>
          <w:rtl/>
        </w:rPr>
      </w:pPr>
      <w:r>
        <w:rPr>
          <w:rFonts w:hint="cs"/>
          <w:rtl/>
        </w:rPr>
        <w:t>26.</w:t>
      </w:r>
      <w:r>
        <w:rPr>
          <w:rFonts w:hint="cs"/>
          <w:rtl/>
        </w:rPr>
        <w:tab/>
        <w:t>ומן הכלל אל הפרט:</w:t>
      </w:r>
    </w:p>
    <w:p w14:paraId="14832C23" w14:textId="77777777" w:rsidR="007F04C1" w:rsidRDefault="00492872">
      <w:pPr>
        <w:spacing w:line="360" w:lineRule="auto"/>
        <w:ind w:left="720" w:hanging="720"/>
        <w:jc w:val="both"/>
        <w:rPr>
          <w:rtl/>
        </w:rPr>
      </w:pPr>
      <w:r>
        <w:rPr>
          <w:rtl/>
        </w:rPr>
        <w:tab/>
      </w:r>
      <w:r>
        <w:rPr>
          <w:rFonts w:hint="cs"/>
          <w:rtl/>
        </w:rPr>
        <w:t xml:space="preserve">במסגרת בחינת נסיבות ביצוע העבירה בתיק זה אציין, לחומרא, את התכנון המוקדם העומד בבסיס העבירה שבפנינו. ודוק, כל הסמים שנתפסו ברשות הנאשמת היו ארוזים ומחולקים, זאת כדלקמן: </w:t>
      </w:r>
      <w:r>
        <w:rPr>
          <w:rFonts w:hint="cs"/>
        </w:rPr>
        <w:t xml:space="preserve"> </w:t>
      </w:r>
      <w:r>
        <w:rPr>
          <w:rFonts w:hint="cs"/>
          <w:rtl/>
        </w:rPr>
        <w:t xml:space="preserve">הסם מסוג הרואין במשקל </w:t>
      </w:r>
      <w:smartTag w:uri="urn:schemas-microsoft-com:office:smarttags" w:element="metricconverter">
        <w:smartTagPr>
          <w:attr w:name="ProductID" w:val="139 גרם"/>
        </w:smartTagPr>
        <w:r>
          <w:rPr>
            <w:rFonts w:hint="cs"/>
            <w:rtl/>
          </w:rPr>
          <w:t>139 גרם</w:t>
        </w:r>
      </w:smartTag>
      <w:r>
        <w:rPr>
          <w:rFonts w:hint="cs"/>
          <w:rtl/>
        </w:rPr>
        <w:t xml:space="preserve"> נטו היה ארוז בשקית ניילון בגרב שחור; הסם מסוג הרואין במשקל </w:t>
      </w:r>
      <w:smartTag w:uri="urn:schemas-microsoft-com:office:smarttags" w:element="metricconverter">
        <w:smartTagPr>
          <w:attr w:name="ProductID" w:val="56.23 גרם"/>
        </w:smartTagPr>
        <w:r>
          <w:rPr>
            <w:rFonts w:hint="cs"/>
            <w:rtl/>
          </w:rPr>
          <w:t>56.23 גרם</w:t>
        </w:r>
      </w:smartTag>
      <w:r>
        <w:rPr>
          <w:rFonts w:hint="cs"/>
          <w:rtl/>
        </w:rPr>
        <w:t xml:space="preserve"> נטו היה ארוז ב- 12 אריזות מפלסטיק, בתוך גרב שחור גם 152 הטבליות מסוג </w:t>
      </w:r>
      <w:r>
        <w:rPr>
          <w:rFonts w:hint="cs"/>
        </w:rPr>
        <w:t>MDMA</w:t>
      </w:r>
      <w:r>
        <w:rPr>
          <w:rFonts w:hint="cs"/>
          <w:rtl/>
        </w:rPr>
        <w:t xml:space="preserve"> היו ארוזות באריזה מפלסטיק בתוך גרב לבן. אין צורך להכביר במילים באשר לייעודם של הסמים וחלוקתם באופן הנ"ל, כל שכן כאשר עסקינן בנאשמת שאינה משתמשת בסמים, כפי שמצטייר ממקרא תסקיר שירות המבחן. עוד אשוב ואציין במסגרת זו את הנזק האדיר שהיה צפוי להיגרם כתוצאה מביצוע העבירה, זאת אלמלא נתפסו הסמים ברשות הנאשמת, זאת בהינתן היות הסם המסוכן סם מסוג הרואין הידוע בכינויו "סם המוות הלבן".</w:t>
      </w:r>
    </w:p>
    <w:p w14:paraId="074105B9" w14:textId="77777777" w:rsidR="007F04C1" w:rsidRDefault="007F04C1">
      <w:pPr>
        <w:spacing w:line="360" w:lineRule="auto"/>
        <w:ind w:left="720" w:hanging="720"/>
        <w:jc w:val="both"/>
        <w:rPr>
          <w:rtl/>
        </w:rPr>
      </w:pPr>
    </w:p>
    <w:p w14:paraId="648536DD" w14:textId="77777777" w:rsidR="007F04C1" w:rsidRDefault="00492872">
      <w:pPr>
        <w:spacing w:line="360" w:lineRule="auto"/>
        <w:ind w:left="720" w:hanging="720"/>
        <w:jc w:val="both"/>
        <w:rPr>
          <w:rtl/>
        </w:rPr>
      </w:pPr>
      <w:r>
        <w:rPr>
          <w:rFonts w:hint="cs"/>
          <w:rtl/>
        </w:rPr>
        <w:t>27.</w:t>
      </w:r>
      <w:r>
        <w:rPr>
          <w:rFonts w:hint="cs"/>
          <w:rtl/>
        </w:rPr>
        <w:tab/>
      </w:r>
      <w:r>
        <w:rPr>
          <w:rtl/>
        </w:rPr>
        <w:t>לצורך בחינת מדיניות הענישה הנהוגה</w:t>
      </w:r>
      <w:r>
        <w:rPr>
          <w:rFonts w:hint="cs"/>
          <w:rtl/>
        </w:rPr>
        <w:t xml:space="preserve"> בגין עבירה דומה של החזקת סמים מסוכנים שלא לצריכה עצמית</w:t>
      </w:r>
      <w:r>
        <w:rPr>
          <w:rtl/>
        </w:rPr>
        <w:t xml:space="preserve">, </w:t>
      </w:r>
      <w:r>
        <w:rPr>
          <w:rFonts w:hint="cs"/>
          <w:rtl/>
        </w:rPr>
        <w:t xml:space="preserve">תובא הפסיקה </w:t>
      </w:r>
      <w:r>
        <w:rPr>
          <w:rtl/>
        </w:rPr>
        <w:t xml:space="preserve">להלן </w:t>
      </w:r>
      <w:r>
        <w:rPr>
          <w:rFonts w:hint="cs"/>
          <w:rtl/>
        </w:rPr>
        <w:t>:</w:t>
      </w:r>
    </w:p>
    <w:p w14:paraId="6596A003" w14:textId="77777777" w:rsidR="007F04C1" w:rsidRDefault="007F04C1">
      <w:pPr>
        <w:spacing w:line="360" w:lineRule="auto"/>
        <w:ind w:left="720" w:hanging="720"/>
        <w:jc w:val="both"/>
      </w:pPr>
    </w:p>
    <w:p w14:paraId="5E858A39" w14:textId="77777777" w:rsidR="007F04C1" w:rsidRDefault="00492872">
      <w:pPr>
        <w:spacing w:line="360" w:lineRule="auto"/>
        <w:ind w:left="1440" w:hanging="720"/>
        <w:jc w:val="both"/>
        <w:rPr>
          <w:rtl/>
        </w:rPr>
      </w:pPr>
      <w:r>
        <w:rPr>
          <w:rtl/>
        </w:rPr>
        <w:t>-</w:t>
      </w:r>
      <w:r>
        <w:rPr>
          <w:rtl/>
        </w:rPr>
        <w:tab/>
      </w:r>
      <w:hyperlink r:id="rId29" w:history="1">
        <w:r w:rsidRPr="00492872">
          <w:rPr>
            <w:color w:val="0000FF"/>
            <w:u w:val="single"/>
            <w:rtl/>
          </w:rPr>
          <w:t>ע.פ. 1594/96</w:t>
        </w:r>
      </w:hyperlink>
      <w:r>
        <w:rPr>
          <w:rtl/>
        </w:rPr>
        <w:t xml:space="preserve"> </w:t>
      </w:r>
      <w:r>
        <w:rPr>
          <w:b/>
          <w:bCs/>
          <w:rtl/>
        </w:rPr>
        <w:t>עקול נ' מדינת ישראל</w:t>
      </w:r>
      <w:r>
        <w:rPr>
          <w:rtl/>
        </w:rPr>
        <w:t xml:space="preserve"> (פורסם בנבו, ניתן ביום 2/4/1997) – בגין החזקה של </w:t>
      </w:r>
      <w:smartTag w:uri="urn:schemas-microsoft-com:office:smarttags" w:element="metricconverter">
        <w:smartTagPr>
          <w:attr w:name="ProductID" w:val="18 גרם"/>
        </w:smartTagPr>
        <w:r>
          <w:rPr>
            <w:rtl/>
          </w:rPr>
          <w:t>18 גרם</w:t>
        </w:r>
      </w:smartTag>
      <w:r>
        <w:rPr>
          <w:rtl/>
        </w:rPr>
        <w:t xml:space="preserve"> הרואין, נדון הנאשם, שהיה מכור לסמים, ל-5 שנות מאסר בפועל וערעורו על חומרת העונש נדחה. </w:t>
      </w:r>
    </w:p>
    <w:p w14:paraId="4414A591" w14:textId="77777777" w:rsidR="007F04C1" w:rsidRDefault="007F04C1">
      <w:pPr>
        <w:spacing w:line="360" w:lineRule="auto"/>
        <w:ind w:left="720"/>
        <w:jc w:val="both"/>
        <w:rPr>
          <w:rtl/>
        </w:rPr>
      </w:pPr>
    </w:p>
    <w:p w14:paraId="672084FD" w14:textId="77777777" w:rsidR="007F04C1" w:rsidRDefault="00492872">
      <w:pPr>
        <w:spacing w:line="360" w:lineRule="auto"/>
        <w:ind w:left="1440" w:hanging="720"/>
        <w:jc w:val="both"/>
        <w:rPr>
          <w:rtl/>
        </w:rPr>
      </w:pPr>
      <w:r>
        <w:rPr>
          <w:rtl/>
        </w:rPr>
        <w:t>-</w:t>
      </w:r>
      <w:r>
        <w:rPr>
          <w:rtl/>
        </w:rPr>
        <w:tab/>
      </w:r>
      <w:hyperlink r:id="rId30" w:history="1">
        <w:r w:rsidRPr="00492872">
          <w:rPr>
            <w:color w:val="0000FF"/>
            <w:u w:val="single"/>
            <w:rtl/>
          </w:rPr>
          <w:t>ע.פ. 5045/98</w:t>
        </w:r>
      </w:hyperlink>
      <w:r>
        <w:rPr>
          <w:rtl/>
        </w:rPr>
        <w:t xml:space="preserve"> </w:t>
      </w:r>
      <w:r>
        <w:rPr>
          <w:b/>
          <w:bCs/>
          <w:rtl/>
        </w:rPr>
        <w:t xml:space="preserve">מגדלאני נ' מדינת ישראל </w:t>
      </w:r>
      <w:r>
        <w:rPr>
          <w:rtl/>
        </w:rPr>
        <w:t>(פורסם בנבו, ניתן ביום</w:t>
      </w:r>
      <w:r>
        <w:rPr>
          <w:rFonts w:hint="cs"/>
        </w:rPr>
        <w:t xml:space="preserve"> </w:t>
      </w:r>
      <w:r>
        <w:rPr>
          <w:rtl/>
        </w:rPr>
        <w:t>12/6/2000</w:t>
      </w:r>
      <w:r>
        <w:rPr>
          <w:rFonts w:hint="cs"/>
          <w:rtl/>
        </w:rPr>
        <w:t>)</w:t>
      </w:r>
      <w:r>
        <w:rPr>
          <w:rtl/>
        </w:rPr>
        <w:t xml:space="preserve"> </w:t>
      </w:r>
      <w:r>
        <w:rPr>
          <w:rFonts w:hint="cs"/>
          <w:rtl/>
        </w:rPr>
        <w:t xml:space="preserve">- </w:t>
      </w:r>
      <w:r>
        <w:rPr>
          <w:rtl/>
        </w:rPr>
        <w:t xml:space="preserve">בגין החזקה של </w:t>
      </w:r>
      <w:smartTag w:uri="urn:schemas-microsoft-com:office:smarttags" w:element="metricconverter">
        <w:smartTagPr>
          <w:attr w:name="ProductID" w:val="24 גרם"/>
        </w:smartTagPr>
        <w:r>
          <w:rPr>
            <w:rtl/>
          </w:rPr>
          <w:t>24 גרם</w:t>
        </w:r>
      </w:smartTag>
      <w:r>
        <w:rPr>
          <w:rtl/>
        </w:rPr>
        <w:t xml:space="preserve"> הרואין, נגזר על הנאשם עונש של 3 שנות מאסר בפועל, במצטבר לעונש של מאסר על תנאי בן שנתיים שהופעל (סה"כ 5 שנות מאסר בפועל). במקרה הנ"ל דובר בנאשם בעל עבר פלילי בתחום הסמים, אשר ביצע את העבירה לאחר שחרורו ממאסר קודם. ערעורו על העונש נדחה.</w:t>
      </w:r>
    </w:p>
    <w:p w14:paraId="659ACB87" w14:textId="77777777" w:rsidR="007F04C1" w:rsidRDefault="007F04C1">
      <w:pPr>
        <w:spacing w:line="360" w:lineRule="auto"/>
        <w:ind w:left="1440" w:hanging="720"/>
        <w:jc w:val="both"/>
        <w:rPr>
          <w:rtl/>
        </w:rPr>
      </w:pPr>
    </w:p>
    <w:p w14:paraId="7E7EF047" w14:textId="77777777" w:rsidR="007F04C1" w:rsidRDefault="00492872">
      <w:pPr>
        <w:pStyle w:val="ListParagraph"/>
        <w:numPr>
          <w:ilvl w:val="0"/>
          <w:numId w:val="2"/>
        </w:numPr>
        <w:spacing w:line="360" w:lineRule="auto"/>
        <w:ind w:left="1417" w:hanging="695"/>
        <w:jc w:val="both"/>
        <w:rPr>
          <w:rtl/>
        </w:rPr>
      </w:pPr>
      <w:hyperlink r:id="rId31" w:history="1">
        <w:r w:rsidRPr="00492872">
          <w:rPr>
            <w:color w:val="0000FF"/>
            <w:u w:val="single"/>
            <w:rtl/>
          </w:rPr>
          <w:t>ע.פ. 4938/00</w:t>
        </w:r>
      </w:hyperlink>
      <w:r>
        <w:rPr>
          <w:rtl/>
        </w:rPr>
        <w:t xml:space="preserve"> </w:t>
      </w:r>
      <w:r>
        <w:rPr>
          <w:b/>
          <w:bCs/>
          <w:rtl/>
        </w:rPr>
        <w:t xml:space="preserve">כרים זידאן נ' מדינת ישראל </w:t>
      </w:r>
      <w:r>
        <w:rPr>
          <w:rtl/>
        </w:rPr>
        <w:t xml:space="preserve"> – בגין החזקת סם מסוכן מסוג הרואין במשקל של </w:t>
      </w:r>
      <w:smartTag w:uri="urn:schemas-microsoft-com:office:smarttags" w:element="metricconverter">
        <w:smartTagPr>
          <w:attr w:name="ProductID" w:val="52.41 גרם"/>
        </w:smartTagPr>
        <w:r>
          <w:rPr>
            <w:rtl/>
          </w:rPr>
          <w:t>52.41 גרם</w:t>
        </w:r>
      </w:smartTag>
      <w:r>
        <w:rPr>
          <w:rtl/>
        </w:rPr>
        <w:t xml:space="preserve"> וכן החזקת מאזניים אלקטרוניים לצורך שקילת הסם, הושת על הנאשם עונש של 4 שנות מאסר לריצוי בפועל, כאשר דובר בנאשם צעיר שעברו נקי. ערעורו של הנאשם נדחה. </w:t>
      </w:r>
    </w:p>
    <w:p w14:paraId="66D4C5C2" w14:textId="77777777" w:rsidR="007F04C1" w:rsidRDefault="007F04C1">
      <w:pPr>
        <w:rPr>
          <w:rtl/>
        </w:rPr>
      </w:pPr>
    </w:p>
    <w:p w14:paraId="0BB387F5" w14:textId="77777777" w:rsidR="007F04C1" w:rsidRDefault="00492872">
      <w:pPr>
        <w:rPr>
          <w:rtl/>
        </w:rPr>
      </w:pPr>
      <w:r>
        <w:rPr>
          <w:rFonts w:hint="cs"/>
          <w:rtl/>
        </w:rPr>
        <w:t xml:space="preserve"> </w:t>
      </w:r>
    </w:p>
    <w:p w14:paraId="01738BBD" w14:textId="77777777" w:rsidR="007F04C1" w:rsidRDefault="00492872">
      <w:pPr>
        <w:pStyle w:val="ListParagraph"/>
        <w:numPr>
          <w:ilvl w:val="0"/>
          <w:numId w:val="1"/>
        </w:numPr>
        <w:spacing w:line="360" w:lineRule="auto"/>
        <w:ind w:hanging="721"/>
        <w:jc w:val="both"/>
      </w:pPr>
      <w:hyperlink r:id="rId32" w:history="1">
        <w:r w:rsidRPr="00492872">
          <w:rPr>
            <w:color w:val="0000FF"/>
            <w:u w:val="single"/>
            <w:rtl/>
          </w:rPr>
          <w:t>ע"פ 5337/09</w:t>
        </w:r>
      </w:hyperlink>
      <w:r>
        <w:rPr>
          <w:rFonts w:hint="cs"/>
          <w:rtl/>
        </w:rPr>
        <w:t xml:space="preserve"> </w:t>
      </w:r>
      <w:r>
        <w:rPr>
          <w:rFonts w:hint="cs"/>
          <w:b/>
          <w:bCs/>
          <w:rtl/>
        </w:rPr>
        <w:t xml:space="preserve">בן דוד נ' מדינת ישראל </w:t>
      </w:r>
      <w:r>
        <w:rPr>
          <w:rFonts w:hint="cs"/>
          <w:rtl/>
        </w:rPr>
        <w:t xml:space="preserve">(ניתן ביום 31.01.10)- בית המשפט העליון הותיר על כנו את גזר דינו של בית המשפט המחוזי בבאר שבע, לפיו הושת על המערער עונש של 5 שנות מאסר לריצוי בפועל ושנתיים מאסר על תנאי. המערער, שהביע חרטה ונסיבות חייו היו קשות, הורשע בהחזקת סם מסוכן של קוקאין במשקל </w:t>
      </w:r>
      <w:smartTag w:uri="urn:schemas-microsoft-com:office:smarttags" w:element="metricconverter">
        <w:smartTagPr>
          <w:attr w:name="ProductID" w:val="337.66 גרם"/>
        </w:smartTagPr>
        <w:r>
          <w:rPr>
            <w:rFonts w:hint="cs"/>
            <w:rtl/>
          </w:rPr>
          <w:t>337.66 גרם</w:t>
        </w:r>
      </w:smartTag>
      <w:r>
        <w:rPr>
          <w:rFonts w:hint="cs"/>
          <w:rtl/>
        </w:rPr>
        <w:t xml:space="preserve"> נטו שלא לצריכה עצמית. </w:t>
      </w:r>
      <w:r>
        <w:rPr>
          <w:rFonts w:hint="cs"/>
        </w:rPr>
        <w:t xml:space="preserve"> </w:t>
      </w:r>
    </w:p>
    <w:p w14:paraId="48C47AF2" w14:textId="77777777" w:rsidR="007F04C1" w:rsidRDefault="007F04C1">
      <w:pPr>
        <w:pStyle w:val="ListParagraph"/>
        <w:spacing w:line="360" w:lineRule="auto"/>
        <w:ind w:left="1429"/>
        <w:jc w:val="both"/>
      </w:pPr>
    </w:p>
    <w:p w14:paraId="34AD72FA" w14:textId="77777777" w:rsidR="007F04C1" w:rsidRDefault="00492872">
      <w:pPr>
        <w:pStyle w:val="ListParagraph"/>
        <w:numPr>
          <w:ilvl w:val="0"/>
          <w:numId w:val="1"/>
        </w:numPr>
        <w:spacing w:line="360" w:lineRule="auto"/>
        <w:ind w:hanging="749"/>
        <w:jc w:val="both"/>
      </w:pPr>
      <w:hyperlink r:id="rId33" w:history="1">
        <w:r w:rsidRPr="00492872">
          <w:rPr>
            <w:color w:val="0000FF"/>
            <w:u w:val="single"/>
            <w:rtl/>
          </w:rPr>
          <w:t>ע"פ 211/09</w:t>
        </w:r>
      </w:hyperlink>
      <w:r>
        <w:rPr>
          <w:rFonts w:hint="cs"/>
          <w:rtl/>
        </w:rPr>
        <w:t xml:space="preserve"> </w:t>
      </w:r>
      <w:r>
        <w:rPr>
          <w:rFonts w:hint="cs"/>
          <w:b/>
          <w:bCs/>
          <w:rtl/>
        </w:rPr>
        <w:t>אזולאי נ' מדינת ישראל</w:t>
      </w:r>
      <w:r>
        <w:rPr>
          <w:rFonts w:hint="cs"/>
          <w:rtl/>
        </w:rPr>
        <w:t xml:space="preserve"> (ניתן ביום 22.06.10) – בית המשפט העליון הותיר על כנו את גזר דינו של בית המשפט המחוזי בבאר שבע שגזר על המערער 5 שעות מאסר בפועל ומאסר על תנאי. המערער נתפס ובמהלך חיפוש על גופו נשמטה שקית מתחתוניו ובה </w:t>
      </w:r>
      <w:smartTag w:uri="urn:schemas-microsoft-com:office:smarttags" w:element="metricconverter">
        <w:smartTagPr>
          <w:attr w:name="ProductID" w:val="176.67 גרם"/>
        </w:smartTagPr>
        <w:r>
          <w:rPr>
            <w:rFonts w:hint="cs"/>
            <w:rtl/>
          </w:rPr>
          <w:t>176.67 גרם</w:t>
        </w:r>
      </w:smartTag>
      <w:r>
        <w:rPr>
          <w:rFonts w:hint="cs"/>
          <w:rtl/>
        </w:rPr>
        <w:t xml:space="preserve"> סם מסוכן מסוג הרואין. לחובת המערער הנ"ל עבר פלילי מכביד בעבירות סמים, ומצבו הבריאותי היה קשה. המערער, שהיה בן 50, ניהל את משפטו עד תום. </w:t>
      </w:r>
    </w:p>
    <w:p w14:paraId="7D20B6AF" w14:textId="77777777" w:rsidR="007F04C1" w:rsidRDefault="007F04C1">
      <w:pPr>
        <w:pStyle w:val="ListParagraph"/>
        <w:rPr>
          <w:rtl/>
        </w:rPr>
      </w:pPr>
    </w:p>
    <w:p w14:paraId="6B0D5DEB" w14:textId="77777777" w:rsidR="007F04C1" w:rsidRDefault="00492872">
      <w:pPr>
        <w:pStyle w:val="ListParagraph"/>
        <w:numPr>
          <w:ilvl w:val="0"/>
          <w:numId w:val="1"/>
        </w:numPr>
        <w:spacing w:line="360" w:lineRule="auto"/>
        <w:ind w:hanging="721"/>
        <w:jc w:val="both"/>
      </w:pPr>
      <w:hyperlink r:id="rId34" w:history="1">
        <w:r w:rsidRPr="00492872">
          <w:rPr>
            <w:color w:val="0000FF"/>
            <w:u w:val="single"/>
            <w:rtl/>
          </w:rPr>
          <w:t>ת"פ (נצרת) 33691-04-12</w:t>
        </w:r>
      </w:hyperlink>
      <w:r>
        <w:rPr>
          <w:rFonts w:hint="cs"/>
          <w:rtl/>
        </w:rPr>
        <w:t xml:space="preserve"> </w:t>
      </w:r>
      <w:r>
        <w:rPr>
          <w:rFonts w:hint="cs"/>
          <w:b/>
          <w:bCs/>
          <w:rtl/>
        </w:rPr>
        <w:t>מ"י נ' סואעד</w:t>
      </w:r>
      <w:r>
        <w:rPr>
          <w:rFonts w:hint="cs"/>
          <w:rtl/>
        </w:rPr>
        <w:t xml:space="preserve"> (ניתן ביום 18.2.13) </w:t>
      </w:r>
      <w:r>
        <w:rPr>
          <w:rtl/>
        </w:rPr>
        <w:t>–</w:t>
      </w:r>
      <w:r>
        <w:rPr>
          <w:rFonts w:hint="cs"/>
          <w:rtl/>
        </w:rPr>
        <w:t xml:space="preserve"> בית המשפט המחוזי בנצרת השית על הנאשם, שהורשע בעבירה שעניינה החזקת כחצי ק"ג סם מסוכן מסוג הרואין שלא לצריכה עצמית וניסיון להחזיק  חבילה דומה נוספת של הסם הנ"ל, שלא לצריכה עצמית, עונש של מאסר בפועל למשך 54 חודש וכן עונש של מאסר על תנאי, כאשר דובר בנאשם שהודה בעובדות כתב האישום, לאחר שמיעת חלק מעדויות התביעה. עוד יצוין, כי דובר במקרה הנ"ל בנאשם בן 25, בעל עבר פלילי מכביד, אשר חווה נסיבות חיים קשות ותסקיר שירות המבחן לא בא בהמלצה טיפולית בעניינו.</w:t>
      </w:r>
    </w:p>
    <w:p w14:paraId="7AD8F46F" w14:textId="77777777" w:rsidR="007F04C1" w:rsidRDefault="007F04C1">
      <w:pPr>
        <w:spacing w:line="360" w:lineRule="auto"/>
        <w:jc w:val="both"/>
        <w:rPr>
          <w:rtl/>
        </w:rPr>
      </w:pPr>
    </w:p>
    <w:p w14:paraId="70262E19" w14:textId="77777777" w:rsidR="007F04C1" w:rsidRDefault="00492872">
      <w:pPr>
        <w:spacing w:line="360" w:lineRule="auto"/>
        <w:ind w:left="720" w:hanging="720"/>
        <w:jc w:val="both"/>
        <w:rPr>
          <w:rtl/>
        </w:rPr>
      </w:pPr>
      <w:r>
        <w:rPr>
          <w:rFonts w:hint="cs"/>
          <w:rtl/>
        </w:rPr>
        <w:t>28.</w:t>
      </w:r>
      <w:r>
        <w:rPr>
          <w:rtl/>
        </w:rPr>
        <w:tab/>
      </w:r>
      <w:r>
        <w:rPr>
          <w:rFonts w:hint="cs"/>
          <w:rtl/>
        </w:rPr>
        <w:t>לאחר שבחנתי את הערכים החברתיים שנפגעו כתוצאה מביצוע העבירה שבפנינו, את נסיבות ביצוע העבירה ואת מדיניות הענישה הנוהגת בעבירות כגון דא, הגעתי לכלל מסקנה כי מתחם העונש ההולם למעשה העבירה שביצעה הנאשמת, נע בין עונש של 24 חודשי מאסר בפועל לבין עונש של 54 חודשי מאסר בפועל.</w:t>
      </w:r>
    </w:p>
    <w:p w14:paraId="03C364F4" w14:textId="77777777" w:rsidR="007F04C1" w:rsidRDefault="007F04C1">
      <w:pPr>
        <w:spacing w:line="360" w:lineRule="auto"/>
        <w:ind w:left="720" w:hanging="720"/>
        <w:jc w:val="both"/>
        <w:rPr>
          <w:rtl/>
        </w:rPr>
      </w:pPr>
    </w:p>
    <w:p w14:paraId="7A049F75" w14:textId="77777777" w:rsidR="007F04C1" w:rsidRDefault="00492872">
      <w:pPr>
        <w:spacing w:line="360" w:lineRule="auto"/>
        <w:ind w:left="720" w:hanging="720"/>
        <w:jc w:val="both"/>
        <w:rPr>
          <w:rtl/>
        </w:rPr>
      </w:pPr>
      <w:r>
        <w:rPr>
          <w:rFonts w:hint="cs"/>
          <w:rtl/>
        </w:rPr>
        <w:t>29.</w:t>
      </w:r>
      <w:r>
        <w:rPr>
          <w:rFonts w:hint="cs"/>
          <w:rtl/>
        </w:rPr>
        <w:tab/>
        <w:t xml:space="preserve">אקדים ואומר, כי, חרף נסיבות חייה הקשות של הנאשמת והתמונה המצטיירת מעיון בתסקיר שירות המבחן ובחוות הדעת הפסיכיאטרית בעניינה (נ/1), לא ניתן, לדידי, לפעול בנידון דידן מכוח </w:t>
      </w:r>
      <w:hyperlink r:id="rId35" w:history="1">
        <w:r w:rsidR="008E1777" w:rsidRPr="008E1777">
          <w:rPr>
            <w:rStyle w:val="Hyperlink"/>
            <w:rFonts w:hint="eastAsia"/>
            <w:rtl/>
          </w:rPr>
          <w:t>סעיף</w:t>
        </w:r>
        <w:r w:rsidR="008E1777" w:rsidRPr="008E1777">
          <w:rPr>
            <w:rStyle w:val="Hyperlink"/>
            <w:rtl/>
          </w:rPr>
          <w:t xml:space="preserve"> 40ד</w:t>
        </w:r>
      </w:hyperlink>
      <w:r>
        <w:rPr>
          <w:rFonts w:hint="cs"/>
          <w:rtl/>
        </w:rPr>
        <w:t xml:space="preserve"> ל</w:t>
      </w:r>
      <w:hyperlink r:id="rId36" w:history="1">
        <w:r w:rsidRPr="00492872">
          <w:rPr>
            <w:color w:val="0000FF"/>
            <w:u w:val="single"/>
            <w:rtl/>
          </w:rPr>
          <w:t>חוק העונשין</w:t>
        </w:r>
      </w:hyperlink>
      <w:r>
        <w:rPr>
          <w:rFonts w:hint="cs"/>
          <w:rtl/>
        </w:rPr>
        <w:t xml:space="preserve"> ולחרוג, משיקולי שיקום, ממתחם העונש ההולם. בהינתן חומרת העבירה בה הורשעה הנאשמת, ונוכח סוגי הסמים במקרה שבפנינו, כמו גם כמויות הסמים הגדולות, הנני בדעה כי אין מקום להעניק אלמנט של בכורה לשיקולי שיקומה של הנאשמת, זאת חרף האמור בתסקיר שירות המבחן. </w:t>
      </w:r>
    </w:p>
    <w:p w14:paraId="1E663BE6" w14:textId="77777777" w:rsidR="007F04C1" w:rsidRDefault="007F04C1">
      <w:pPr>
        <w:spacing w:line="360" w:lineRule="auto"/>
        <w:ind w:left="720" w:hanging="720"/>
        <w:jc w:val="both"/>
        <w:rPr>
          <w:rtl/>
        </w:rPr>
      </w:pPr>
    </w:p>
    <w:p w14:paraId="5314ABB6" w14:textId="77777777" w:rsidR="007F04C1" w:rsidRDefault="00492872">
      <w:pPr>
        <w:spacing w:line="360" w:lineRule="auto"/>
        <w:ind w:left="720" w:hanging="720"/>
        <w:jc w:val="both"/>
        <w:rPr>
          <w:rtl/>
        </w:rPr>
      </w:pPr>
      <w:r>
        <w:rPr>
          <w:rtl/>
        </w:rPr>
        <w:tab/>
      </w:r>
      <w:r>
        <w:rPr>
          <w:rFonts w:hint="cs"/>
          <w:rtl/>
        </w:rPr>
        <w:t xml:space="preserve">בנקודה זו, בעניין  המלצת שירות המבחן, יפים דבריו הבאים של בית המשפט העליון: </w:t>
      </w:r>
    </w:p>
    <w:p w14:paraId="5B0C580E" w14:textId="77777777" w:rsidR="007F04C1" w:rsidRDefault="007F04C1">
      <w:pPr>
        <w:ind w:right="567"/>
        <w:rPr>
          <w:rtl/>
        </w:rPr>
      </w:pPr>
    </w:p>
    <w:p w14:paraId="039B035B" w14:textId="77777777" w:rsidR="007F04C1" w:rsidRDefault="00492872">
      <w:pPr>
        <w:shd w:val="clear" w:color="auto" w:fill="FFFFFF"/>
        <w:spacing w:line="360" w:lineRule="auto"/>
        <w:ind w:left="1440" w:right="567"/>
        <w:jc w:val="both"/>
      </w:pPr>
      <w:r>
        <w:rPr>
          <w:rFonts w:hint="cs"/>
          <w:rtl/>
        </w:rPr>
        <w:t>"...</w:t>
      </w:r>
      <w:r>
        <w:rPr>
          <w:rFonts w:hint="cs"/>
          <w:b/>
          <w:bCs/>
          <w:rtl/>
        </w:rPr>
        <w:t>השירות רואה את עיקר מעייניו במיצויו של היבט מוגדר של הנתונים הנאספים לקראת ההכרעה השיפוטית, ובית המשפט הוא שיוצר את האיזון הנאות בין הנתונים השונים ומופקד על ראייתו של השלם להבדיל מן הקטע או המקוטע</w:t>
      </w:r>
      <w:r>
        <w:rPr>
          <w:rFonts w:hint="cs"/>
          <w:rtl/>
        </w:rPr>
        <w:t>" (</w:t>
      </w:r>
      <w:hyperlink r:id="rId37" w:history="1">
        <w:r w:rsidRPr="00492872">
          <w:rPr>
            <w:color w:val="0000FF"/>
            <w:u w:val="single"/>
            <w:rtl/>
          </w:rPr>
          <w:t>ע"פ 344/81, 359 מ"י נ' סגל, פ"ד לה</w:t>
        </w:r>
      </w:hyperlink>
      <w:r>
        <w:rPr>
          <w:rFonts w:hint="cs"/>
          <w:rtl/>
        </w:rPr>
        <w:t xml:space="preserve">(4) 313, 318, מפי כב' הנשיא שמגר; וכן ראו </w:t>
      </w:r>
      <w:hyperlink r:id="rId38" w:history="1">
        <w:r w:rsidRPr="00492872">
          <w:rPr>
            <w:color w:val="0000FF"/>
            <w:u w:val="single"/>
            <w:rtl/>
          </w:rPr>
          <w:t>רע"פ 8787/03</w:t>
        </w:r>
      </w:hyperlink>
      <w:r>
        <w:rPr>
          <w:rFonts w:hint="cs"/>
          <w:rtl/>
        </w:rPr>
        <w:t xml:space="preserve"> </w:t>
      </w:r>
      <w:r>
        <w:rPr>
          <w:rFonts w:hint="cs"/>
          <w:b/>
          <w:bCs/>
          <w:rtl/>
        </w:rPr>
        <w:t>מנסור נ' מ"י</w:t>
      </w:r>
      <w:r>
        <w:rPr>
          <w:rFonts w:hint="cs"/>
          <w:rtl/>
        </w:rPr>
        <w:t xml:space="preserve"> (11/1/04), מפי כב' הש' טירקל; </w:t>
      </w:r>
      <w:hyperlink r:id="rId39" w:history="1">
        <w:r w:rsidRPr="00492872">
          <w:rPr>
            <w:color w:val="0000FF"/>
            <w:u w:val="single"/>
            <w:rtl/>
          </w:rPr>
          <w:t>ע"פ 4383/07</w:t>
        </w:r>
      </w:hyperlink>
      <w:r>
        <w:rPr>
          <w:rFonts w:hint="cs"/>
          <w:rtl/>
        </w:rPr>
        <w:t xml:space="preserve"> </w:t>
      </w:r>
      <w:r>
        <w:rPr>
          <w:rFonts w:hint="cs"/>
          <w:b/>
          <w:bCs/>
          <w:rtl/>
        </w:rPr>
        <w:t>אבו פנה נ' מ"י</w:t>
      </w:r>
      <w:r>
        <w:rPr>
          <w:rFonts w:hint="cs"/>
          <w:rtl/>
        </w:rPr>
        <w:t xml:space="preserve"> (25/9/07), מפי כב' הש' ארבל; </w:t>
      </w:r>
      <w:hyperlink r:id="rId40" w:history="1">
        <w:r w:rsidRPr="00492872">
          <w:rPr>
            <w:color w:val="0000FF"/>
            <w:u w:val="single"/>
            <w:rtl/>
          </w:rPr>
          <w:t>בש"פ 7835/09</w:t>
        </w:r>
      </w:hyperlink>
      <w:r>
        <w:rPr>
          <w:rFonts w:hint="cs"/>
          <w:rtl/>
        </w:rPr>
        <w:t xml:space="preserve"> </w:t>
      </w:r>
      <w:r>
        <w:rPr>
          <w:rFonts w:hint="cs"/>
          <w:b/>
          <w:bCs/>
          <w:rtl/>
        </w:rPr>
        <w:t>אגבאריה נ' מ"י</w:t>
      </w:r>
      <w:r>
        <w:rPr>
          <w:rFonts w:hint="cs"/>
          <w:rtl/>
        </w:rPr>
        <w:t xml:space="preserve"> (18/10/09), מפי כב' הש' חיות). </w:t>
      </w:r>
    </w:p>
    <w:p w14:paraId="6CDC6D9B" w14:textId="77777777" w:rsidR="007F04C1" w:rsidRDefault="007F04C1">
      <w:pPr>
        <w:rPr>
          <w:rtl/>
        </w:rPr>
      </w:pPr>
    </w:p>
    <w:p w14:paraId="5F65D24F" w14:textId="77777777" w:rsidR="007F04C1" w:rsidRDefault="007F04C1">
      <w:pPr>
        <w:spacing w:line="360" w:lineRule="auto"/>
        <w:jc w:val="both"/>
        <w:rPr>
          <w:rtl/>
        </w:rPr>
      </w:pPr>
    </w:p>
    <w:p w14:paraId="60421C67" w14:textId="77777777" w:rsidR="007F04C1" w:rsidRDefault="00492872">
      <w:pPr>
        <w:spacing w:line="360" w:lineRule="auto"/>
        <w:ind w:left="720" w:hanging="720"/>
        <w:jc w:val="both"/>
        <w:rPr>
          <w:rtl/>
        </w:rPr>
      </w:pPr>
      <w:r>
        <w:rPr>
          <w:rFonts w:hint="cs"/>
          <w:rtl/>
        </w:rPr>
        <w:t>30.</w:t>
      </w:r>
      <w:r>
        <w:rPr>
          <w:rtl/>
        </w:rPr>
        <w:tab/>
      </w:r>
      <w:r>
        <w:rPr>
          <w:rFonts w:hint="cs"/>
          <w:rtl/>
        </w:rPr>
        <w:t>כך גם במקרה דנן, כאשר נבחנת התמונה בשלמותה ולא רק תמונת נסיבותיה האישיות של הנאשמת, מחויב בית המשפט ליתן משקל של ממש לאינטרס הציבור, זאת על רקע חומרת העבירה ונסיבות ביצועה, אשר אינם מאפשרים בתיק זה הסתפקות בתקופת המעצר בת המספר חודשים בה נתונה הנאשמת כתקופת המאסר בפועל שתושת על הנאשמת, בסופו של יום. עם זאת, בהינתן הנסיבות שאינן קשורות בביצוע העבירה ובעיקר נסיבות חייה הקשות של הנאשמת, העולות הן מהתסקיר והן מטיעוני סנגוריו לפניי, מן הראוי להשית על הנאשמת עונש של מאסר בפועל המצוי ברף התחתון של מתחם העונש ההולם, אשר נקבע על ידי. בנקודה זו יוטעם, במסגרת בחינת הנסיבות שאינן קשורות בביצוע העבירה, כי עברה הפלילי של הנאשמת, אשר חוותה מסכת חיים קשה של ייסורים, הינו נקי וכן כי המקרה שבפנינו הינו מעידה חד פעמית מבחינת הנאשמת. לאמור לעיל יש להוסיף את גילה הצעיר של הנאשמת שהינה בת 22, כמו גם את הודאתה בהזדמנות הראשונה ואת העובדה שהורתעה  מההליך המשפטי וממעצרה, כפי שעולה מהתסקיר.</w:t>
      </w:r>
    </w:p>
    <w:p w14:paraId="63489759" w14:textId="77777777" w:rsidR="007F04C1" w:rsidRDefault="007F04C1">
      <w:pPr>
        <w:spacing w:line="360" w:lineRule="auto"/>
        <w:ind w:left="720" w:hanging="720"/>
        <w:jc w:val="both"/>
        <w:rPr>
          <w:rtl/>
        </w:rPr>
      </w:pPr>
    </w:p>
    <w:p w14:paraId="72E31BCD" w14:textId="77777777" w:rsidR="007F04C1" w:rsidRDefault="00492872">
      <w:pPr>
        <w:spacing w:line="360" w:lineRule="auto"/>
        <w:ind w:left="720" w:hanging="720"/>
        <w:jc w:val="both"/>
        <w:rPr>
          <w:rtl/>
        </w:rPr>
      </w:pPr>
      <w:r>
        <w:rPr>
          <w:rFonts w:hint="cs"/>
          <w:rtl/>
        </w:rPr>
        <w:t>31.</w:t>
      </w:r>
      <w:r>
        <w:rPr>
          <w:rFonts w:hint="cs"/>
          <w:rtl/>
        </w:rPr>
        <w:tab/>
        <w:t xml:space="preserve">סיכומו של דבר, אני דנה את הנאשמת לעונשים הבאים: </w:t>
      </w:r>
    </w:p>
    <w:p w14:paraId="0DAE8BF3" w14:textId="77777777" w:rsidR="007F04C1" w:rsidRDefault="00492872">
      <w:pPr>
        <w:spacing w:line="360" w:lineRule="auto"/>
        <w:ind w:left="720" w:hanging="720"/>
        <w:jc w:val="both"/>
        <w:rPr>
          <w:rtl/>
        </w:rPr>
      </w:pPr>
      <w:r>
        <w:rPr>
          <w:rtl/>
        </w:rPr>
        <w:tab/>
      </w:r>
      <w:r>
        <w:rPr>
          <w:rFonts w:hint="cs"/>
          <w:rtl/>
        </w:rPr>
        <w:t xml:space="preserve">מאסר בפועל לתקופה של 24 חודש, בניכוי תקופת מעצרה (מיום 25.1.15). </w:t>
      </w:r>
    </w:p>
    <w:p w14:paraId="7C3BA225" w14:textId="77777777" w:rsidR="007F04C1" w:rsidRDefault="00492872">
      <w:pPr>
        <w:spacing w:line="360" w:lineRule="auto"/>
        <w:ind w:left="720" w:hanging="720"/>
        <w:jc w:val="both"/>
        <w:rPr>
          <w:rtl/>
        </w:rPr>
      </w:pPr>
      <w:r>
        <w:rPr>
          <w:rtl/>
        </w:rPr>
        <w:tab/>
      </w:r>
      <w:r>
        <w:rPr>
          <w:rFonts w:hint="cs"/>
          <w:rtl/>
        </w:rPr>
        <w:t xml:space="preserve">מאסר על תנאי לתקופה של 12 חודש למשך 3 שנים והתנאי הוא כי לא תעבור עבירה מסוג פשע לפי </w:t>
      </w:r>
      <w:hyperlink r:id="rId41" w:history="1">
        <w:r w:rsidRPr="00492872">
          <w:rPr>
            <w:color w:val="0000FF"/>
            <w:u w:val="single"/>
            <w:rtl/>
          </w:rPr>
          <w:t>פקודת הסמים המסוכנים</w:t>
        </w:r>
      </w:hyperlink>
      <w:r>
        <w:rPr>
          <w:rFonts w:hint="cs"/>
          <w:rtl/>
        </w:rPr>
        <w:t xml:space="preserve"> [נוסח חדש], התשל"ג  - 1973 ותורשע בגינה.</w:t>
      </w:r>
    </w:p>
    <w:p w14:paraId="16C8607A" w14:textId="77777777" w:rsidR="007F04C1" w:rsidRDefault="007F04C1">
      <w:pPr>
        <w:spacing w:line="360" w:lineRule="auto"/>
        <w:ind w:left="720" w:hanging="720"/>
        <w:jc w:val="both"/>
        <w:rPr>
          <w:rtl/>
        </w:rPr>
      </w:pPr>
    </w:p>
    <w:p w14:paraId="2029E5B0" w14:textId="77777777" w:rsidR="007F04C1" w:rsidRDefault="00492872">
      <w:pPr>
        <w:spacing w:line="360" w:lineRule="auto"/>
        <w:ind w:left="720" w:hanging="720"/>
        <w:jc w:val="both"/>
        <w:rPr>
          <w:rtl/>
        </w:rPr>
      </w:pPr>
      <w:r>
        <w:rPr>
          <w:rtl/>
        </w:rPr>
        <w:tab/>
      </w:r>
      <w:r>
        <w:rPr>
          <w:rFonts w:hint="cs"/>
          <w:rtl/>
        </w:rPr>
        <w:t>בהתחשב בנסיבותיה האישיות הקשות של הנאשמת, לא יושת עליה קנס כספי.</w:t>
      </w:r>
    </w:p>
    <w:p w14:paraId="025D61B7" w14:textId="77777777" w:rsidR="007F04C1" w:rsidRDefault="007F04C1">
      <w:pPr>
        <w:spacing w:line="360" w:lineRule="auto"/>
        <w:ind w:left="720" w:hanging="720"/>
        <w:jc w:val="both"/>
        <w:rPr>
          <w:rtl/>
        </w:rPr>
      </w:pPr>
    </w:p>
    <w:p w14:paraId="537A559D" w14:textId="77777777" w:rsidR="007F04C1" w:rsidRDefault="00492872">
      <w:pPr>
        <w:rPr>
          <w:b/>
          <w:bCs/>
          <w:rtl/>
        </w:rPr>
      </w:pPr>
      <w:r>
        <w:rPr>
          <w:rtl/>
        </w:rPr>
        <w:tab/>
      </w:r>
      <w:r>
        <w:rPr>
          <w:rFonts w:hint="cs"/>
          <w:b/>
          <w:bCs/>
          <w:rtl/>
        </w:rPr>
        <w:t>ניתן בזה צו להשמדת הסמים, אשר נתפסו בגין תיק זה.</w:t>
      </w:r>
    </w:p>
    <w:p w14:paraId="1733415B" w14:textId="77777777" w:rsidR="007F04C1" w:rsidRDefault="007F04C1">
      <w:pPr>
        <w:rPr>
          <w:b/>
          <w:bCs/>
          <w:rtl/>
        </w:rPr>
      </w:pPr>
    </w:p>
    <w:p w14:paraId="245EF7F5" w14:textId="77777777" w:rsidR="007F04C1" w:rsidRDefault="00492872">
      <w:pPr>
        <w:rPr>
          <w:b/>
          <w:bCs/>
          <w:rtl/>
        </w:rPr>
      </w:pPr>
      <w:r>
        <w:rPr>
          <w:b/>
          <w:bCs/>
          <w:rtl/>
        </w:rPr>
        <w:tab/>
      </w:r>
      <w:r>
        <w:rPr>
          <w:rFonts w:hint="cs"/>
          <w:b/>
          <w:bCs/>
          <w:rtl/>
        </w:rPr>
        <w:t xml:space="preserve">המזכירות תמציא העתק מגזר הדין לשירות המבחן. </w:t>
      </w:r>
    </w:p>
    <w:p w14:paraId="6A5B38CF" w14:textId="77777777" w:rsidR="007F04C1" w:rsidRDefault="007F04C1">
      <w:pPr>
        <w:rPr>
          <w:b/>
          <w:bCs/>
          <w:rtl/>
        </w:rPr>
      </w:pPr>
    </w:p>
    <w:p w14:paraId="489F4FFD" w14:textId="77777777" w:rsidR="007F04C1" w:rsidRDefault="007F04C1">
      <w:pPr>
        <w:rPr>
          <w:b/>
          <w:bCs/>
          <w:rtl/>
        </w:rPr>
      </w:pPr>
    </w:p>
    <w:p w14:paraId="22CC813E" w14:textId="77777777" w:rsidR="007F04C1" w:rsidRDefault="00492872">
      <w:pPr>
        <w:rPr>
          <w:b/>
          <w:bCs/>
          <w:u w:val="single"/>
          <w:rtl/>
        </w:rPr>
      </w:pPr>
      <w:r>
        <w:rPr>
          <w:b/>
          <w:bCs/>
          <w:rtl/>
        </w:rPr>
        <w:tab/>
      </w:r>
      <w:r>
        <w:rPr>
          <w:rFonts w:hint="cs"/>
          <w:b/>
          <w:bCs/>
          <w:u w:val="single"/>
          <w:rtl/>
        </w:rPr>
        <w:t xml:space="preserve">זכות ערעור לבית המשפט העליון בתוך 45 יום. </w:t>
      </w:r>
    </w:p>
    <w:p w14:paraId="1A86E352" w14:textId="77777777" w:rsidR="007F04C1" w:rsidRDefault="007F04C1">
      <w:pPr>
        <w:rPr>
          <w:b/>
          <w:bCs/>
          <w:u w:val="single"/>
          <w:rtl/>
        </w:rPr>
      </w:pPr>
    </w:p>
    <w:p w14:paraId="43CB7251" w14:textId="77777777" w:rsidR="007F04C1" w:rsidRDefault="00492872">
      <w:pPr>
        <w:rPr>
          <w:rFonts w:cs="FrankRuehl"/>
          <w:sz w:val="28"/>
          <w:szCs w:val="28"/>
          <w:rtl/>
        </w:rPr>
      </w:pPr>
      <w:r>
        <w:rPr>
          <w:rFonts w:ascii="Arial" w:hAnsi="Arial"/>
          <w:rtl/>
        </w:rPr>
        <w:t xml:space="preserve">ניתן היום,  כ"ז תמוז תשע"ה, 14 יולי 2015, במעמד ב"כ המאשימה, הנאשמת וסנגורה. </w:t>
      </w:r>
    </w:p>
    <w:p w14:paraId="6EED69BC" w14:textId="77777777" w:rsidR="007F04C1" w:rsidRPr="00492872" w:rsidRDefault="00492872">
      <w:pPr>
        <w:rPr>
          <w:rFonts w:cs="FrankRuehl"/>
          <w:color w:val="FFFFFF"/>
          <w:sz w:val="2"/>
          <w:szCs w:val="2"/>
          <w:rtl/>
        </w:rPr>
      </w:pPr>
      <w:r w:rsidRPr="00492872">
        <w:rPr>
          <w:rFonts w:cs="FrankRuehl"/>
          <w:color w:val="FFFFFF"/>
          <w:sz w:val="2"/>
          <w:szCs w:val="2"/>
          <w:rtl/>
        </w:rPr>
        <w:t>5129371</w:t>
      </w:r>
    </w:p>
    <w:tbl>
      <w:tblPr>
        <w:bidiVisual/>
        <w:tblW w:w="3936" w:type="dxa"/>
        <w:tblInd w:w="4581" w:type="dxa"/>
        <w:tblBorders>
          <w:insideH w:val="single" w:sz="4" w:space="0" w:color="auto"/>
          <w:insideV w:val="single" w:sz="4" w:space="0" w:color="auto"/>
        </w:tblBorders>
        <w:tblLook w:val="01E0" w:firstRow="1" w:lastRow="1" w:firstColumn="1" w:lastColumn="1" w:noHBand="0" w:noVBand="0"/>
      </w:tblPr>
      <w:tblGrid>
        <w:gridCol w:w="3936"/>
      </w:tblGrid>
      <w:tr w:rsidR="007F04C1" w14:paraId="4A477BBB" w14:textId="77777777">
        <w:trPr>
          <w:trHeight w:val="316"/>
        </w:trPr>
        <w:tc>
          <w:tcPr>
            <w:tcW w:w="3936" w:type="dxa"/>
            <w:tcBorders>
              <w:top w:val="nil"/>
              <w:left w:val="nil"/>
              <w:bottom w:val="single" w:sz="4" w:space="0" w:color="auto"/>
              <w:right w:val="nil"/>
            </w:tcBorders>
            <w:shd w:val="clear" w:color="auto" w:fill="auto"/>
          </w:tcPr>
          <w:p w14:paraId="24FE491C" w14:textId="77777777" w:rsidR="007F04C1" w:rsidRPr="00492872" w:rsidRDefault="00492872">
            <w:pPr>
              <w:jc w:val="center"/>
              <w:rPr>
                <w:rFonts w:cs="Times New Roman"/>
                <w:color w:val="FFFFFF"/>
                <w:sz w:val="2"/>
                <w:szCs w:val="2"/>
              </w:rPr>
            </w:pPr>
            <w:r w:rsidRPr="00492872">
              <w:rPr>
                <w:rFonts w:cs="Times New Roman"/>
                <w:color w:val="FFFFFF"/>
                <w:sz w:val="2"/>
                <w:szCs w:val="2"/>
                <w:rtl/>
              </w:rPr>
              <w:t>54678313</w:t>
            </w:r>
          </w:p>
        </w:tc>
      </w:tr>
      <w:tr w:rsidR="007F04C1" w14:paraId="68342647" w14:textId="77777777">
        <w:trPr>
          <w:trHeight w:val="361"/>
        </w:trPr>
        <w:tc>
          <w:tcPr>
            <w:tcW w:w="3936" w:type="dxa"/>
            <w:tcBorders>
              <w:top w:val="single" w:sz="4" w:space="0" w:color="auto"/>
              <w:left w:val="nil"/>
              <w:bottom w:val="nil"/>
              <w:right w:val="nil"/>
            </w:tcBorders>
            <w:shd w:val="clear" w:color="auto" w:fill="auto"/>
          </w:tcPr>
          <w:p w14:paraId="3362967E" w14:textId="77777777" w:rsidR="007F04C1" w:rsidRDefault="00492872">
            <w:pPr>
              <w:jc w:val="center"/>
              <w:rPr>
                <w:b/>
                <w:bCs/>
                <w:rtl/>
              </w:rPr>
            </w:pPr>
            <w:r>
              <w:rPr>
                <w:rFonts w:hint="cs"/>
                <w:b/>
                <w:bCs/>
                <w:rtl/>
              </w:rPr>
              <w:t xml:space="preserve">רונית </w:t>
            </w:r>
            <w:r>
              <w:rPr>
                <w:rFonts w:cs="Times New Roman" w:hint="cs"/>
                <w:b/>
                <w:bCs/>
                <w:rtl/>
              </w:rPr>
              <w:t>בש</w:t>
            </w:r>
            <w:r>
              <w:rPr>
                <w:rFonts w:hint="cs"/>
                <w:b/>
                <w:bCs/>
                <w:rtl/>
              </w:rPr>
              <w:t xml:space="preserve"> , </w:t>
            </w:r>
            <w:r>
              <w:rPr>
                <w:rFonts w:cs="Times New Roman" w:hint="cs"/>
                <w:b/>
                <w:bCs/>
                <w:rtl/>
              </w:rPr>
              <w:t>שופטת</w:t>
            </w:r>
            <w:r>
              <w:rPr>
                <w:rFonts w:hint="cs"/>
                <w:b/>
                <w:bCs/>
                <w:rtl/>
              </w:rPr>
              <w:t xml:space="preserve"> </w:t>
            </w:r>
          </w:p>
        </w:tc>
      </w:tr>
    </w:tbl>
    <w:p w14:paraId="33AD6F13" w14:textId="77777777" w:rsidR="007F04C1" w:rsidRDefault="007F04C1">
      <w:pPr>
        <w:rPr>
          <w:rFonts w:cs="FrankRuehl"/>
          <w:sz w:val="28"/>
          <w:szCs w:val="28"/>
          <w:rtl/>
        </w:rPr>
      </w:pPr>
    </w:p>
    <w:p w14:paraId="1F8AFA5B" w14:textId="77777777" w:rsidR="00492872" w:rsidRPr="00492872" w:rsidRDefault="00492872" w:rsidP="00492872">
      <w:pPr>
        <w:keepNext/>
        <w:rPr>
          <w:rFonts w:ascii="David" w:hAnsi="David"/>
          <w:color w:val="000000"/>
          <w:sz w:val="22"/>
          <w:szCs w:val="22"/>
          <w:rtl/>
        </w:rPr>
      </w:pPr>
    </w:p>
    <w:p w14:paraId="31B32F5B" w14:textId="77777777" w:rsidR="00492872" w:rsidRPr="00492872" w:rsidRDefault="00492872" w:rsidP="00492872">
      <w:pPr>
        <w:keepNext/>
        <w:rPr>
          <w:rFonts w:ascii="David" w:hAnsi="David"/>
          <w:color w:val="000000"/>
          <w:sz w:val="22"/>
          <w:szCs w:val="22"/>
          <w:rtl/>
        </w:rPr>
      </w:pPr>
      <w:r w:rsidRPr="00492872">
        <w:rPr>
          <w:rFonts w:ascii="David" w:hAnsi="David"/>
          <w:color w:val="000000"/>
          <w:sz w:val="22"/>
          <w:szCs w:val="22"/>
          <w:rtl/>
        </w:rPr>
        <w:t>רונית בש 54678313</w:t>
      </w:r>
    </w:p>
    <w:p w14:paraId="422C75AC" w14:textId="77777777" w:rsidR="00492872" w:rsidRDefault="00492872" w:rsidP="00492872">
      <w:r w:rsidRPr="00492872">
        <w:rPr>
          <w:color w:val="000000"/>
          <w:rtl/>
        </w:rPr>
        <w:t>נוסח מסמך זה כפוף לשינויי ניסוח ועריכה</w:t>
      </w:r>
    </w:p>
    <w:p w14:paraId="3EAB297E" w14:textId="77777777" w:rsidR="00492872" w:rsidRDefault="00492872" w:rsidP="00492872">
      <w:pPr>
        <w:rPr>
          <w:rtl/>
        </w:rPr>
      </w:pPr>
    </w:p>
    <w:p w14:paraId="476390BA" w14:textId="77777777" w:rsidR="00492872" w:rsidRDefault="00492872" w:rsidP="00492872">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51B41420" w14:textId="77777777" w:rsidR="007F04C1" w:rsidRPr="00492872" w:rsidRDefault="0046688D" w:rsidP="00492872">
      <w:pPr>
        <w:jc w:val="center"/>
        <w:rPr>
          <w:color w:val="0000FF"/>
          <w:u w:val="single"/>
        </w:rPr>
      </w:pPr>
      <w:r>
        <w:rPr>
          <w:rFonts w:hint="cs"/>
          <w:color w:val="0000FF"/>
          <w:u w:val="single"/>
          <w:rtl/>
        </w:rPr>
        <w:t xml:space="preserve"> </w:t>
      </w:r>
    </w:p>
    <w:sectPr w:rsidR="007F04C1" w:rsidRPr="00492872" w:rsidSect="00492872">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19996" w14:textId="77777777" w:rsidR="00294248" w:rsidRDefault="00294248">
      <w:r>
        <w:separator/>
      </w:r>
    </w:p>
  </w:endnote>
  <w:endnote w:type="continuationSeparator" w:id="0">
    <w:p w14:paraId="509AA48C" w14:textId="77777777" w:rsidR="00294248" w:rsidRDefault="0029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TUR">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FE775" w14:textId="77777777" w:rsidR="00294248" w:rsidRDefault="00294248" w:rsidP="0049287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1F69D2" w14:textId="77777777" w:rsidR="00294248" w:rsidRPr="00492872" w:rsidRDefault="00294248" w:rsidP="00492872">
    <w:pPr>
      <w:pStyle w:val="a4"/>
      <w:pBdr>
        <w:top w:val="single" w:sz="4" w:space="1" w:color="auto"/>
        <w:between w:val="single" w:sz="4" w:space="0" w:color="auto"/>
      </w:pBdr>
      <w:spacing w:after="60"/>
      <w:jc w:val="center"/>
      <w:rPr>
        <w:rFonts w:ascii="FrankRuehl" w:hAnsi="FrankRuehl" w:cs="FrankRuehl"/>
        <w:color w:val="000000"/>
      </w:rPr>
    </w:pPr>
    <w:r w:rsidRPr="0049287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24D4A" w14:textId="77777777" w:rsidR="00294248" w:rsidRDefault="00294248" w:rsidP="0049287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35ED">
      <w:rPr>
        <w:rFonts w:ascii="FrankRuehl" w:hAnsi="FrankRuehl" w:cs="FrankRuehl"/>
        <w:noProof/>
        <w:rtl/>
      </w:rPr>
      <w:t>1</w:t>
    </w:r>
    <w:r>
      <w:rPr>
        <w:rFonts w:ascii="FrankRuehl" w:hAnsi="FrankRuehl" w:cs="FrankRuehl"/>
        <w:rtl/>
      </w:rPr>
      <w:fldChar w:fldCharType="end"/>
    </w:r>
  </w:p>
  <w:p w14:paraId="7B4BF542" w14:textId="77777777" w:rsidR="00294248" w:rsidRPr="00492872" w:rsidRDefault="00294248" w:rsidP="00492872">
    <w:pPr>
      <w:pStyle w:val="a4"/>
      <w:pBdr>
        <w:top w:val="single" w:sz="4" w:space="1" w:color="auto"/>
        <w:between w:val="single" w:sz="4" w:space="0" w:color="auto"/>
      </w:pBdr>
      <w:spacing w:after="60"/>
      <w:jc w:val="center"/>
      <w:rPr>
        <w:rFonts w:ascii="FrankRuehl" w:hAnsi="FrankRuehl" w:cs="FrankRuehl"/>
        <w:color w:val="000000"/>
      </w:rPr>
    </w:pPr>
    <w:r w:rsidRPr="00492872">
      <w:rPr>
        <w:rFonts w:ascii="FrankRuehl" w:hAnsi="FrankRuehl" w:cs="FrankRuehl"/>
        <w:color w:val="000000"/>
      </w:rPr>
      <w:pict w14:anchorId="58A49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E9BAF" w14:textId="77777777" w:rsidR="00294248" w:rsidRDefault="00294248">
      <w:r>
        <w:separator/>
      </w:r>
    </w:p>
  </w:footnote>
  <w:footnote w:type="continuationSeparator" w:id="0">
    <w:p w14:paraId="31918A30" w14:textId="77777777" w:rsidR="00294248" w:rsidRDefault="00294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089C8" w14:textId="77777777" w:rsidR="00294248" w:rsidRPr="00492872" w:rsidRDefault="00294248" w:rsidP="004928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6336-02-15</w:t>
    </w:r>
    <w:r>
      <w:rPr>
        <w:rFonts w:ascii="David" w:hAnsi="David"/>
        <w:color w:val="000000"/>
        <w:sz w:val="22"/>
        <w:szCs w:val="22"/>
        <w:rtl/>
      </w:rPr>
      <w:tab/>
      <w:t xml:space="preserve"> מדינת ישראל נ' נטלי בשוטין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3B5D9" w14:textId="77777777" w:rsidR="00294248" w:rsidRPr="00492872" w:rsidRDefault="00294248" w:rsidP="004928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6336-02-15</w:t>
    </w:r>
    <w:r>
      <w:rPr>
        <w:rFonts w:ascii="David" w:hAnsi="David"/>
        <w:color w:val="000000"/>
        <w:sz w:val="22"/>
        <w:szCs w:val="22"/>
        <w:rtl/>
      </w:rPr>
      <w:tab/>
      <w:t xml:space="preserve"> מדינת ישראל נ' נטלי בשוטין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96F42"/>
    <w:multiLevelType w:val="hybridMultilevel"/>
    <w:tmpl w:val="C4EC331A"/>
    <w:lvl w:ilvl="0" w:tplc="DDC0CA5A">
      <w:start w:val="27"/>
      <w:numFmt w:val="bullet"/>
      <w:lvlText w:val="-"/>
      <w:lvlJc w:val="left"/>
      <w:pPr>
        <w:ind w:left="1429" w:hanging="360"/>
      </w:pPr>
      <w:rPr>
        <w:rFonts w:ascii="Times New Roman" w:eastAsia="Times New Roman" w:hAnsi="Times New Roman" w:cs="David" w:hint="default"/>
        <w:lang w:bidi="he-IL"/>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6F54625"/>
    <w:multiLevelType w:val="hybridMultilevel"/>
    <w:tmpl w:val="B0100ADA"/>
    <w:lvl w:ilvl="0" w:tplc="652EF63A">
      <w:start w:val="27"/>
      <w:numFmt w:val="bullet"/>
      <w:lvlText w:val="-"/>
      <w:lvlJc w:val="left"/>
      <w:pPr>
        <w:ind w:left="1440" w:hanging="360"/>
      </w:pPr>
      <w:rPr>
        <w:rFonts w:ascii="Times New Roman" w:eastAsia="Times New Roman" w:hAnsi="Times New Roman"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6092154">
    <w:abstractNumId w:val="0"/>
  </w:num>
  <w:num w:numId="2" w16cid:durableId="89423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04C1"/>
    <w:rsid w:val="00040A7A"/>
    <w:rsid w:val="00294248"/>
    <w:rsid w:val="0046688D"/>
    <w:rsid w:val="00492872"/>
    <w:rsid w:val="00687AB6"/>
    <w:rsid w:val="0071230D"/>
    <w:rsid w:val="007F04C1"/>
    <w:rsid w:val="008626B3"/>
    <w:rsid w:val="008E1777"/>
    <w:rsid w:val="009F35ED"/>
    <w:rsid w:val="00B35C55"/>
    <w:rsid w:val="00BF4A76"/>
    <w:rsid w:val="00DB386B"/>
    <w:rsid w:val="00DE19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48970DE"/>
  <w15:chartTrackingRefBased/>
  <w15:docId w15:val="{9F75A79E-1E5F-4F07-B878-2581BAD5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04C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F04C1"/>
    <w:pPr>
      <w:tabs>
        <w:tab w:val="center" w:pos="4153"/>
        <w:tab w:val="right" w:pos="8306"/>
      </w:tabs>
    </w:pPr>
  </w:style>
  <w:style w:type="paragraph" w:styleId="a4">
    <w:name w:val="footer"/>
    <w:basedOn w:val="a"/>
    <w:rsid w:val="007F04C1"/>
    <w:pPr>
      <w:tabs>
        <w:tab w:val="center" w:pos="4153"/>
        <w:tab w:val="right" w:pos="8306"/>
      </w:tabs>
    </w:pPr>
  </w:style>
  <w:style w:type="character" w:styleId="a5">
    <w:name w:val="page number"/>
    <w:basedOn w:val="a0"/>
    <w:rsid w:val="007F04C1"/>
  </w:style>
  <w:style w:type="character" w:customStyle="1" w:styleId="TimesNewRomanTimesNewRoman">
    <w:name w:val="סגנון (לטיני) Times New Roman (עברית ושפות אחרות) Times New Roman..."/>
    <w:rsid w:val="007F04C1"/>
    <w:rPr>
      <w:rFonts w:ascii="Times New Roman" w:hAnsi="Times New Roman" w:cs="David" w:hint="default"/>
      <w:b/>
      <w:bCs/>
      <w:sz w:val="26"/>
      <w:szCs w:val="26"/>
    </w:rPr>
  </w:style>
  <w:style w:type="paragraph" w:customStyle="1" w:styleId="ruller4">
    <w:name w:val="ruller4"/>
    <w:basedOn w:val="a"/>
    <w:rsid w:val="007F04C1"/>
    <w:pPr>
      <w:overflowPunct w:val="0"/>
      <w:autoSpaceDE w:val="0"/>
      <w:autoSpaceDN w:val="0"/>
      <w:spacing w:line="360" w:lineRule="auto"/>
      <w:jc w:val="both"/>
    </w:pPr>
    <w:rPr>
      <w:rFonts w:ascii="Arial TUR" w:eastAsia="Calibri" w:hAnsi="Arial TUR" w:cs="Arial TUR"/>
      <w:spacing w:val="10"/>
      <w:sz w:val="22"/>
      <w:szCs w:val="22"/>
    </w:rPr>
  </w:style>
  <w:style w:type="paragraph" w:customStyle="1" w:styleId="ListParagraph">
    <w:name w:val="List Paragraph"/>
    <w:basedOn w:val="a"/>
    <w:rsid w:val="007F04C1"/>
    <w:pPr>
      <w:ind w:left="720"/>
      <w:contextualSpacing/>
    </w:pPr>
  </w:style>
  <w:style w:type="character" w:styleId="Hyperlink">
    <w:name w:val="Hyperlink"/>
    <w:rsid w:val="004928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738608" TargetMode="External"/><Relationship Id="rId39" Type="http://schemas.openxmlformats.org/officeDocument/2006/relationships/hyperlink" Target="http://www.nevo.co.il/case/5954809" TargetMode="External"/><Relationship Id="rId21" Type="http://schemas.openxmlformats.org/officeDocument/2006/relationships/hyperlink" Target="http://www.nevo.co.il/case/6243627" TargetMode="External"/><Relationship Id="rId34" Type="http://schemas.openxmlformats.org/officeDocument/2006/relationships/hyperlink" Target="http://www.nevo.co.il/case/4243004"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57794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6006793" TargetMode="External"/><Relationship Id="rId37" Type="http://schemas.openxmlformats.org/officeDocument/2006/relationships/hyperlink" Target="http://www.nevo.co.il/case/17939098" TargetMode="External"/><Relationship Id="rId40" Type="http://schemas.openxmlformats.org/officeDocument/2006/relationships/hyperlink" Target="http://www.nevo.co.il/case/611412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698919"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984454"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0c" TargetMode="External"/><Relationship Id="rId27" Type="http://schemas.openxmlformats.org/officeDocument/2006/relationships/hyperlink" Target="http://www.nevo.co.il/case/6119015" TargetMode="External"/><Relationship Id="rId30" Type="http://schemas.openxmlformats.org/officeDocument/2006/relationships/hyperlink" Target="http://www.nevo.co.il/case/5990804" TargetMode="External"/><Relationship Id="rId35" Type="http://schemas.openxmlformats.org/officeDocument/2006/relationships/hyperlink" Target="http://www.nevo.co.il/law/70301/40d"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698919" TargetMode="External"/><Relationship Id="rId38" Type="http://schemas.openxmlformats.org/officeDocument/2006/relationships/hyperlink" Target="http://www.nevo.co.il/case/6137776" TargetMode="External"/><Relationship Id="rId46" Type="http://schemas.openxmlformats.org/officeDocument/2006/relationships/footer" Target="footer2.xml"/><Relationship Id="rId20" Type="http://schemas.openxmlformats.org/officeDocument/2006/relationships/hyperlink" Target="http://www.nevo.co.il/law/70301/40b"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3184</Words>
  <Characters>15924</Characters>
  <Application>Microsoft Office Word</Application>
  <DocSecurity>0</DocSecurity>
  <Lines>132</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19070</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3145843</vt:i4>
      </vt:variant>
      <vt:variant>
        <vt:i4>99</vt:i4>
      </vt:variant>
      <vt:variant>
        <vt:i4>0</vt:i4>
      </vt:variant>
      <vt:variant>
        <vt:i4>5</vt:i4>
      </vt:variant>
      <vt:variant>
        <vt:lpwstr>http://www.nevo.co.il/case/6114126</vt:lpwstr>
      </vt:variant>
      <vt:variant>
        <vt:lpwstr/>
      </vt:variant>
      <vt:variant>
        <vt:i4>3211385</vt:i4>
      </vt:variant>
      <vt:variant>
        <vt:i4>96</vt:i4>
      </vt:variant>
      <vt:variant>
        <vt:i4>0</vt:i4>
      </vt:variant>
      <vt:variant>
        <vt:i4>5</vt:i4>
      </vt:variant>
      <vt:variant>
        <vt:lpwstr>http://www.nevo.co.il/case/5954809</vt:lpwstr>
      </vt:variant>
      <vt:variant>
        <vt:lpwstr/>
      </vt:variant>
      <vt:variant>
        <vt:i4>3407989</vt:i4>
      </vt:variant>
      <vt:variant>
        <vt:i4>93</vt:i4>
      </vt:variant>
      <vt:variant>
        <vt:i4>0</vt:i4>
      </vt:variant>
      <vt:variant>
        <vt:i4>5</vt:i4>
      </vt:variant>
      <vt:variant>
        <vt:lpwstr>http://www.nevo.co.il/case/6137776</vt:lpwstr>
      </vt:variant>
      <vt:variant>
        <vt:lpwstr/>
      </vt:variant>
      <vt:variant>
        <vt:i4>3670128</vt:i4>
      </vt:variant>
      <vt:variant>
        <vt:i4>90</vt:i4>
      </vt:variant>
      <vt:variant>
        <vt:i4>0</vt:i4>
      </vt:variant>
      <vt:variant>
        <vt:i4>5</vt:i4>
      </vt:variant>
      <vt:variant>
        <vt:lpwstr>http://www.nevo.co.il/case/17939098</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3407989</vt:i4>
      </vt:variant>
      <vt:variant>
        <vt:i4>81</vt:i4>
      </vt:variant>
      <vt:variant>
        <vt:i4>0</vt:i4>
      </vt:variant>
      <vt:variant>
        <vt:i4>5</vt:i4>
      </vt:variant>
      <vt:variant>
        <vt:lpwstr>http://www.nevo.co.il/case/4243004</vt:lpwstr>
      </vt:variant>
      <vt:variant>
        <vt:lpwstr/>
      </vt:variant>
      <vt:variant>
        <vt:i4>3932283</vt:i4>
      </vt:variant>
      <vt:variant>
        <vt:i4>78</vt:i4>
      </vt:variant>
      <vt:variant>
        <vt:i4>0</vt:i4>
      </vt:variant>
      <vt:variant>
        <vt:i4>5</vt:i4>
      </vt:variant>
      <vt:variant>
        <vt:lpwstr>http://www.nevo.co.il/case/5698919</vt:lpwstr>
      </vt:variant>
      <vt:variant>
        <vt:lpwstr/>
      </vt:variant>
      <vt:variant>
        <vt:i4>3276923</vt:i4>
      </vt:variant>
      <vt:variant>
        <vt:i4>75</vt:i4>
      </vt:variant>
      <vt:variant>
        <vt:i4>0</vt:i4>
      </vt:variant>
      <vt:variant>
        <vt:i4>5</vt:i4>
      </vt:variant>
      <vt:variant>
        <vt:lpwstr>http://www.nevo.co.il/case/6006793</vt:lpwstr>
      </vt:variant>
      <vt:variant>
        <vt:lpwstr/>
      </vt:variant>
      <vt:variant>
        <vt:i4>3997820</vt:i4>
      </vt:variant>
      <vt:variant>
        <vt:i4>72</vt:i4>
      </vt:variant>
      <vt:variant>
        <vt:i4>0</vt:i4>
      </vt:variant>
      <vt:variant>
        <vt:i4>5</vt:i4>
      </vt:variant>
      <vt:variant>
        <vt:lpwstr>http://www.nevo.co.il/case/5984454</vt:lpwstr>
      </vt:variant>
      <vt:variant>
        <vt:lpwstr/>
      </vt:variant>
      <vt:variant>
        <vt:i4>3145853</vt:i4>
      </vt:variant>
      <vt:variant>
        <vt:i4>69</vt:i4>
      </vt:variant>
      <vt:variant>
        <vt:i4>0</vt:i4>
      </vt:variant>
      <vt:variant>
        <vt:i4>5</vt:i4>
      </vt:variant>
      <vt:variant>
        <vt:lpwstr>http://www.nevo.co.il/case/5990804</vt:lpwstr>
      </vt:variant>
      <vt:variant>
        <vt:lpwstr/>
      </vt:variant>
      <vt:variant>
        <vt:i4>4063355</vt:i4>
      </vt:variant>
      <vt:variant>
        <vt:i4>66</vt:i4>
      </vt:variant>
      <vt:variant>
        <vt:i4>0</vt:i4>
      </vt:variant>
      <vt:variant>
        <vt:i4>5</vt:i4>
      </vt:variant>
      <vt:variant>
        <vt:lpwstr>http://www.nevo.co.il/case/5779418</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3276925</vt:i4>
      </vt:variant>
      <vt:variant>
        <vt:i4>60</vt:i4>
      </vt:variant>
      <vt:variant>
        <vt:i4>0</vt:i4>
      </vt:variant>
      <vt:variant>
        <vt:i4>5</vt:i4>
      </vt:variant>
      <vt:variant>
        <vt:lpwstr>http://www.nevo.co.il/case/6119015</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http://www.nevo.co.il/law/70301/40c</vt:lpwstr>
      </vt:variant>
      <vt:variant>
        <vt:lpwstr/>
      </vt:variant>
      <vt:variant>
        <vt:i4>3342455</vt:i4>
      </vt:variant>
      <vt:variant>
        <vt:i4>42</vt:i4>
      </vt:variant>
      <vt:variant>
        <vt:i4>0</vt:i4>
      </vt:variant>
      <vt:variant>
        <vt:i4>5</vt:i4>
      </vt:variant>
      <vt:variant>
        <vt:lpwstr>http://www.nevo.co.il/case/6243627</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2025-04-22T20:36:00Z</dcterms:created>
  <dcterms:modified xsi:type="dcterms:W3CDTF">2025-04-22T20:36:00Z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6336</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נטלי בשוטין</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20150714</vt:lpwstr>
  </property>
  <property fmtid="{D5CDD505-2E9C-101B-9397-08002B2CF9AE}" pid="13" name="TYPE_N_DATE">
    <vt:lpwstr>39020150714</vt:lpwstr>
  </property>
  <property fmtid="{D5CDD505-2E9C-101B-9397-08002B2CF9AE}" pid="14" name="ISABSTRACT">
    <vt:lpwstr>Y</vt:lpwstr>
  </property>
  <property fmtid="{D5CDD505-2E9C-101B-9397-08002B2CF9AE}" pid="15" name="WORDNUMPAGES">
    <vt:lpwstr>10</vt:lpwstr>
  </property>
  <property fmtid="{D5CDD505-2E9C-101B-9397-08002B2CF9AE}" pid="16" name="TYPE_ABS_DATE">
    <vt:lpwstr>390020150714</vt:lpwstr>
  </property>
  <property fmtid="{D5CDD505-2E9C-101B-9397-08002B2CF9AE}" pid="17" name="CASESLISTTMP1">
    <vt:lpwstr>6243627;5738608;6119015;5698919:2;5779418;5990804;5984454;6006793;4243004;17939098;6137776;5954809;6114126</vt:lpwstr>
  </property>
  <property fmtid="{D5CDD505-2E9C-101B-9397-08002B2CF9AE}" pid="18" name="LAWLISTTMP1">
    <vt:lpwstr>4216/007.a;007.c</vt:lpwstr>
  </property>
  <property fmtid="{D5CDD505-2E9C-101B-9397-08002B2CF9AE}" pid="19" name="LAWLISTTMP2">
    <vt:lpwstr>70301/040b;040c;040i;040d</vt:lpwstr>
  </property>
</Properties>
</file>