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8124D" w:rsidRPr="00666086" w14:paraId="26E99B91" w14:textId="77777777">
        <w:trPr>
          <w:trHeight w:hRule="exact" w:val="418"/>
          <w:jc w:val="center"/>
        </w:trPr>
        <w:tc>
          <w:tcPr>
            <w:tcW w:w="8721" w:type="dxa"/>
            <w:gridSpan w:val="2"/>
          </w:tcPr>
          <w:p w14:paraId="43E0ECCF" w14:textId="77777777" w:rsidR="00A8124D" w:rsidRPr="00666086" w:rsidRDefault="00666086">
            <w:pPr>
              <w:pStyle w:val="a3"/>
              <w:jc w:val="center"/>
              <w:rPr>
                <w:rFonts w:ascii="Tahoma" w:hAnsi="Tahoma" w:cs="Tahoma"/>
                <w:color w:val="000080"/>
                <w:rtl/>
              </w:rPr>
            </w:pPr>
            <w:bookmarkStart w:id="0" w:name="LastJudge"/>
            <w:r w:rsidRPr="00666086">
              <w:rPr>
                <w:rFonts w:ascii="Tahoma" w:hAnsi="Tahoma" w:cs="Tahoma"/>
                <w:b/>
                <w:bCs/>
                <w:color w:val="000080"/>
                <w:rtl/>
              </w:rPr>
              <w:t>בית המשפט המחוזי מרכז-לוד</w:t>
            </w:r>
          </w:p>
        </w:tc>
      </w:tr>
      <w:tr w:rsidR="00A8124D" w:rsidRPr="00666086" w14:paraId="6712CB71" w14:textId="77777777">
        <w:trPr>
          <w:trHeight w:val="337"/>
          <w:jc w:val="center"/>
        </w:trPr>
        <w:tc>
          <w:tcPr>
            <w:tcW w:w="5058" w:type="dxa"/>
          </w:tcPr>
          <w:p w14:paraId="6B01BF66" w14:textId="77777777" w:rsidR="00A8124D" w:rsidRPr="00666086" w:rsidRDefault="00666086">
            <w:pPr>
              <w:rPr>
                <w:rFonts w:cs="FrankRuehl"/>
                <w:sz w:val="28"/>
                <w:szCs w:val="28"/>
                <w:rtl/>
              </w:rPr>
            </w:pPr>
            <w:r w:rsidRPr="00666086">
              <w:rPr>
                <w:rFonts w:cs="FrankRuehl"/>
                <w:sz w:val="28"/>
                <w:szCs w:val="28"/>
                <w:rtl/>
              </w:rPr>
              <w:t>ת"פ</w:t>
            </w:r>
            <w:r w:rsidRPr="00666086">
              <w:rPr>
                <w:rFonts w:cs="FrankRuehl" w:hint="cs"/>
                <w:sz w:val="28"/>
                <w:szCs w:val="28"/>
                <w:rtl/>
              </w:rPr>
              <w:t xml:space="preserve"> </w:t>
            </w:r>
            <w:r w:rsidRPr="00666086">
              <w:rPr>
                <w:rFonts w:cs="FrankRuehl"/>
                <w:sz w:val="28"/>
                <w:szCs w:val="28"/>
                <w:rtl/>
              </w:rPr>
              <w:t>9160-02-15</w:t>
            </w:r>
            <w:r w:rsidRPr="00666086">
              <w:rPr>
                <w:rFonts w:cs="FrankRuehl" w:hint="cs"/>
                <w:sz w:val="28"/>
                <w:szCs w:val="28"/>
                <w:rtl/>
              </w:rPr>
              <w:t xml:space="preserve"> </w:t>
            </w:r>
            <w:r w:rsidRPr="00666086">
              <w:rPr>
                <w:rFonts w:cs="FrankRuehl"/>
                <w:sz w:val="28"/>
                <w:szCs w:val="28"/>
                <w:rtl/>
              </w:rPr>
              <w:t>מדינת ישראל נ' מזרחי(עציר)</w:t>
            </w:r>
          </w:p>
          <w:p w14:paraId="3D188EF6" w14:textId="77777777" w:rsidR="00A8124D" w:rsidRPr="00666086" w:rsidRDefault="00A8124D">
            <w:pPr>
              <w:pStyle w:val="a3"/>
              <w:rPr>
                <w:rFonts w:cs="FrankRuehl"/>
                <w:sz w:val="28"/>
                <w:szCs w:val="28"/>
                <w:rtl/>
              </w:rPr>
            </w:pPr>
          </w:p>
        </w:tc>
        <w:tc>
          <w:tcPr>
            <w:tcW w:w="3663" w:type="dxa"/>
          </w:tcPr>
          <w:p w14:paraId="72314436" w14:textId="77777777" w:rsidR="00A8124D" w:rsidRPr="00666086" w:rsidRDefault="00A8124D">
            <w:pPr>
              <w:pStyle w:val="a3"/>
              <w:jc w:val="right"/>
              <w:rPr>
                <w:rFonts w:cs="FrankRuehl"/>
                <w:sz w:val="28"/>
                <w:szCs w:val="28"/>
                <w:rtl/>
              </w:rPr>
            </w:pPr>
          </w:p>
        </w:tc>
      </w:tr>
    </w:tbl>
    <w:p w14:paraId="5713A9C2" w14:textId="77777777" w:rsidR="00A8124D" w:rsidRPr="00666086" w:rsidRDefault="00666086">
      <w:pPr>
        <w:pStyle w:val="a3"/>
        <w:rPr>
          <w:rtl/>
        </w:rPr>
      </w:pPr>
      <w:r w:rsidRPr="00666086">
        <w:rPr>
          <w:rFonts w:hint="cs"/>
          <w:rtl/>
        </w:rPr>
        <w:t xml:space="preserve"> </w:t>
      </w:r>
    </w:p>
    <w:p w14:paraId="28644D0C" w14:textId="77777777" w:rsidR="00A8124D" w:rsidRPr="00666086" w:rsidRDefault="00A8124D">
      <w:pPr>
        <w:spacing w:line="360" w:lineRule="auto"/>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8124D" w:rsidRPr="00666086" w14:paraId="253BD354" w14:textId="77777777">
        <w:trPr>
          <w:trHeight w:val="295"/>
          <w:jc w:val="center"/>
        </w:trPr>
        <w:tc>
          <w:tcPr>
            <w:tcW w:w="923" w:type="dxa"/>
            <w:tcBorders>
              <w:top w:val="nil"/>
              <w:left w:val="nil"/>
              <w:bottom w:val="nil"/>
              <w:right w:val="nil"/>
            </w:tcBorders>
            <w:shd w:val="clear" w:color="auto" w:fill="auto"/>
          </w:tcPr>
          <w:p w14:paraId="2AEC8979" w14:textId="77777777" w:rsidR="00A8124D" w:rsidRPr="00666086" w:rsidRDefault="00666086">
            <w:pPr>
              <w:spacing w:line="360" w:lineRule="auto"/>
              <w:jc w:val="both"/>
              <w:rPr>
                <w:rFonts w:ascii="Arial" w:hAnsi="Arial" w:cs="FrankRuehl"/>
                <w:sz w:val="28"/>
                <w:szCs w:val="28"/>
              </w:rPr>
            </w:pPr>
            <w:r w:rsidRPr="00666086">
              <w:rPr>
                <w:rFonts w:ascii="Arial" w:hAnsi="Arial" w:cs="FrankRuehl" w:hint="cs"/>
                <w:sz w:val="28"/>
                <w:szCs w:val="28"/>
                <w:rtl/>
              </w:rPr>
              <w:t>ב</w:t>
            </w:r>
            <w:r w:rsidRPr="0066608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F629EB4" w14:textId="77777777" w:rsidR="00A8124D" w:rsidRPr="00666086" w:rsidRDefault="00666086">
            <w:pPr>
              <w:spacing w:line="360" w:lineRule="auto"/>
              <w:rPr>
                <w:rFonts w:ascii="Arial" w:hAnsi="Arial" w:cs="FrankRuehl"/>
                <w:b/>
                <w:bCs/>
                <w:sz w:val="28"/>
                <w:szCs w:val="28"/>
                <w:rtl/>
              </w:rPr>
            </w:pPr>
            <w:r w:rsidRPr="00666086">
              <w:rPr>
                <w:rFonts w:ascii="Arial" w:hAnsi="Arial" w:cs="FrankRuehl" w:hint="cs"/>
                <w:b/>
                <w:bCs/>
                <w:sz w:val="28"/>
                <w:szCs w:val="28"/>
                <w:rtl/>
              </w:rPr>
              <w:t>כבוד ה</w:t>
            </w:r>
            <w:r w:rsidRPr="00666086">
              <w:rPr>
                <w:rFonts w:cs="FrankRuehl" w:hint="cs"/>
                <w:sz w:val="28"/>
                <w:szCs w:val="28"/>
                <w:rtl/>
              </w:rPr>
              <w:t>שופטת</w:t>
            </w:r>
            <w:r w:rsidRPr="00666086">
              <w:rPr>
                <w:rFonts w:ascii="Arial" w:hAnsi="Arial" w:cs="FrankRuehl" w:hint="cs"/>
                <w:b/>
                <w:bCs/>
                <w:sz w:val="28"/>
                <w:szCs w:val="28"/>
                <w:rtl/>
              </w:rPr>
              <w:t xml:space="preserve">  </w:t>
            </w:r>
            <w:r w:rsidRPr="00666086">
              <w:rPr>
                <w:rFonts w:cs="FrankRuehl" w:hint="cs"/>
                <w:sz w:val="28"/>
                <w:szCs w:val="28"/>
                <w:rtl/>
              </w:rPr>
              <w:t>מיכל ברנט</w:t>
            </w:r>
          </w:p>
          <w:p w14:paraId="156F3EA1" w14:textId="77777777" w:rsidR="00A8124D" w:rsidRPr="00666086" w:rsidRDefault="00A8124D">
            <w:pPr>
              <w:spacing w:line="360" w:lineRule="auto"/>
              <w:rPr>
                <w:rFonts w:cs="FrankRuehl"/>
                <w:sz w:val="28"/>
                <w:szCs w:val="28"/>
                <w:rtl/>
              </w:rPr>
            </w:pPr>
          </w:p>
          <w:p w14:paraId="67C254CB" w14:textId="77777777" w:rsidR="00A8124D" w:rsidRPr="00666086" w:rsidRDefault="00A8124D">
            <w:pPr>
              <w:spacing w:line="360" w:lineRule="auto"/>
              <w:jc w:val="both"/>
              <w:rPr>
                <w:rFonts w:ascii="Arial" w:hAnsi="Arial" w:cs="FrankRuehl"/>
                <w:sz w:val="28"/>
                <w:szCs w:val="28"/>
              </w:rPr>
            </w:pPr>
          </w:p>
        </w:tc>
      </w:tr>
      <w:tr w:rsidR="00A8124D" w:rsidRPr="00666086" w14:paraId="7FACB11E" w14:textId="77777777">
        <w:trPr>
          <w:trHeight w:val="355"/>
          <w:jc w:val="center"/>
        </w:trPr>
        <w:tc>
          <w:tcPr>
            <w:tcW w:w="923" w:type="dxa"/>
            <w:tcBorders>
              <w:top w:val="nil"/>
              <w:left w:val="nil"/>
              <w:bottom w:val="nil"/>
              <w:right w:val="nil"/>
            </w:tcBorders>
            <w:shd w:val="clear" w:color="auto" w:fill="auto"/>
          </w:tcPr>
          <w:p w14:paraId="0327005B" w14:textId="77777777" w:rsidR="00A8124D" w:rsidRPr="00666086" w:rsidRDefault="00666086">
            <w:pPr>
              <w:spacing w:line="360" w:lineRule="auto"/>
              <w:jc w:val="both"/>
              <w:rPr>
                <w:rFonts w:ascii="Arial" w:hAnsi="Arial" w:cs="FrankRuehl"/>
                <w:b/>
                <w:bCs/>
                <w:sz w:val="28"/>
                <w:szCs w:val="28"/>
              </w:rPr>
            </w:pPr>
            <w:bookmarkStart w:id="1" w:name="FirstAppellant"/>
            <w:r w:rsidRPr="00666086">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0A455770" w14:textId="77777777" w:rsidR="00A8124D" w:rsidRPr="00666086" w:rsidRDefault="00666086">
            <w:pPr>
              <w:spacing w:line="360" w:lineRule="auto"/>
              <w:rPr>
                <w:rFonts w:cs="FrankRuehl"/>
                <w:b/>
                <w:bCs/>
                <w:sz w:val="28"/>
                <w:szCs w:val="28"/>
              </w:rPr>
            </w:pPr>
            <w:r w:rsidRPr="00666086">
              <w:rPr>
                <w:rFonts w:cs="FrankRuehl" w:hint="cs"/>
                <w:b/>
                <w:bCs/>
                <w:sz w:val="28"/>
                <w:szCs w:val="28"/>
                <w:rtl/>
              </w:rPr>
              <w:t>מדינת ישראל</w:t>
            </w:r>
          </w:p>
        </w:tc>
        <w:tc>
          <w:tcPr>
            <w:tcW w:w="3771" w:type="dxa"/>
            <w:tcBorders>
              <w:top w:val="nil"/>
              <w:left w:val="nil"/>
              <w:bottom w:val="nil"/>
              <w:right w:val="nil"/>
            </w:tcBorders>
            <w:shd w:val="clear" w:color="auto" w:fill="auto"/>
          </w:tcPr>
          <w:p w14:paraId="213815E5" w14:textId="77777777" w:rsidR="00A8124D" w:rsidRPr="00666086" w:rsidRDefault="00A8124D">
            <w:pPr>
              <w:spacing w:line="360" w:lineRule="auto"/>
              <w:jc w:val="both"/>
              <w:rPr>
                <w:rFonts w:ascii="Arial" w:hAnsi="Arial" w:cs="FrankRuehl"/>
                <w:b/>
                <w:bCs/>
                <w:sz w:val="28"/>
                <w:szCs w:val="28"/>
              </w:rPr>
            </w:pPr>
          </w:p>
        </w:tc>
      </w:tr>
      <w:bookmarkEnd w:id="1"/>
      <w:tr w:rsidR="00A8124D" w:rsidRPr="00666086" w14:paraId="02A8B7D0" w14:textId="77777777">
        <w:trPr>
          <w:trHeight w:val="355"/>
          <w:jc w:val="center"/>
        </w:trPr>
        <w:tc>
          <w:tcPr>
            <w:tcW w:w="923" w:type="dxa"/>
            <w:tcBorders>
              <w:top w:val="nil"/>
              <w:left w:val="nil"/>
              <w:bottom w:val="nil"/>
              <w:right w:val="nil"/>
            </w:tcBorders>
            <w:shd w:val="clear" w:color="auto" w:fill="auto"/>
          </w:tcPr>
          <w:p w14:paraId="1F13D309" w14:textId="77777777" w:rsidR="00A8124D" w:rsidRPr="00666086" w:rsidRDefault="00A8124D">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693B731" w14:textId="77777777" w:rsidR="00A8124D" w:rsidRPr="00666086" w:rsidRDefault="00A8124D">
            <w:pPr>
              <w:spacing w:line="360" w:lineRule="auto"/>
              <w:jc w:val="both"/>
              <w:rPr>
                <w:rFonts w:cs="FrankRuehl"/>
                <w:b/>
                <w:bCs/>
                <w:sz w:val="28"/>
                <w:szCs w:val="28"/>
                <w:rtl/>
              </w:rPr>
            </w:pPr>
          </w:p>
        </w:tc>
        <w:tc>
          <w:tcPr>
            <w:tcW w:w="3771" w:type="dxa"/>
            <w:tcBorders>
              <w:top w:val="nil"/>
              <w:left w:val="nil"/>
              <w:bottom w:val="nil"/>
              <w:right w:val="nil"/>
            </w:tcBorders>
            <w:shd w:val="clear" w:color="auto" w:fill="auto"/>
          </w:tcPr>
          <w:p w14:paraId="7BE7B21B" w14:textId="77777777" w:rsidR="00A8124D" w:rsidRPr="00666086" w:rsidRDefault="00666086">
            <w:pPr>
              <w:spacing w:line="360" w:lineRule="auto"/>
              <w:jc w:val="right"/>
              <w:rPr>
                <w:rFonts w:ascii="Arial" w:hAnsi="Arial" w:cs="FrankRuehl"/>
                <w:b/>
                <w:bCs/>
                <w:sz w:val="28"/>
                <w:szCs w:val="28"/>
                <w:rtl/>
              </w:rPr>
            </w:pPr>
            <w:r w:rsidRPr="00666086">
              <w:rPr>
                <w:rFonts w:ascii="Arial" w:hAnsi="Arial" w:cs="FrankRuehl" w:hint="cs"/>
                <w:b/>
                <w:bCs/>
                <w:sz w:val="28"/>
                <w:szCs w:val="28"/>
                <w:rtl/>
              </w:rPr>
              <w:t>ה</w:t>
            </w:r>
            <w:r w:rsidRPr="00666086">
              <w:rPr>
                <w:rFonts w:cs="FrankRuehl" w:hint="cs"/>
                <w:b/>
                <w:bCs/>
                <w:sz w:val="28"/>
                <w:szCs w:val="28"/>
                <w:rtl/>
              </w:rPr>
              <w:t>מאשימה</w:t>
            </w:r>
          </w:p>
        </w:tc>
      </w:tr>
      <w:tr w:rsidR="00A8124D" w:rsidRPr="00666086" w14:paraId="5CFF1580" w14:textId="77777777">
        <w:trPr>
          <w:trHeight w:val="355"/>
          <w:jc w:val="center"/>
        </w:trPr>
        <w:tc>
          <w:tcPr>
            <w:tcW w:w="923" w:type="dxa"/>
            <w:tcBorders>
              <w:top w:val="nil"/>
              <w:left w:val="nil"/>
              <w:bottom w:val="nil"/>
              <w:right w:val="nil"/>
            </w:tcBorders>
            <w:shd w:val="clear" w:color="auto" w:fill="auto"/>
          </w:tcPr>
          <w:p w14:paraId="1DA05FBC" w14:textId="77777777" w:rsidR="00A8124D" w:rsidRPr="00666086" w:rsidRDefault="00A8124D">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2C85797B" w14:textId="77777777" w:rsidR="00A8124D" w:rsidRPr="00666086" w:rsidRDefault="00666086">
            <w:pPr>
              <w:spacing w:line="360" w:lineRule="auto"/>
              <w:jc w:val="center"/>
              <w:rPr>
                <w:rFonts w:ascii="Arial" w:hAnsi="Arial" w:cs="FrankRuehl"/>
                <w:b/>
                <w:bCs/>
                <w:sz w:val="28"/>
                <w:szCs w:val="28"/>
                <w:rtl/>
              </w:rPr>
            </w:pPr>
            <w:r w:rsidRPr="00666086">
              <w:rPr>
                <w:rFonts w:ascii="Arial" w:hAnsi="Arial" w:cs="FrankRuehl"/>
                <w:b/>
                <w:bCs/>
                <w:sz w:val="28"/>
                <w:szCs w:val="28"/>
                <w:rtl/>
              </w:rPr>
              <w:t>נגד</w:t>
            </w:r>
          </w:p>
          <w:p w14:paraId="1792276C" w14:textId="77777777" w:rsidR="00A8124D" w:rsidRPr="00666086" w:rsidRDefault="00A8124D">
            <w:pPr>
              <w:spacing w:line="360" w:lineRule="auto"/>
              <w:jc w:val="both"/>
              <w:rPr>
                <w:rFonts w:ascii="Arial" w:hAnsi="Arial" w:cs="FrankRuehl"/>
                <w:b/>
                <w:bCs/>
                <w:sz w:val="28"/>
                <w:szCs w:val="28"/>
              </w:rPr>
            </w:pPr>
          </w:p>
        </w:tc>
      </w:tr>
      <w:tr w:rsidR="00A8124D" w:rsidRPr="00666086" w14:paraId="7E2A38A8" w14:textId="77777777">
        <w:trPr>
          <w:trHeight w:val="355"/>
          <w:jc w:val="center"/>
        </w:trPr>
        <w:tc>
          <w:tcPr>
            <w:tcW w:w="923" w:type="dxa"/>
            <w:tcBorders>
              <w:top w:val="nil"/>
              <w:left w:val="nil"/>
              <w:bottom w:val="nil"/>
              <w:right w:val="nil"/>
            </w:tcBorders>
            <w:shd w:val="clear" w:color="auto" w:fill="auto"/>
          </w:tcPr>
          <w:p w14:paraId="40E8C357" w14:textId="77777777" w:rsidR="00A8124D" w:rsidRPr="00666086" w:rsidRDefault="00A8124D">
            <w:pPr>
              <w:spacing w:line="360" w:lineRule="auto"/>
              <w:rPr>
                <w:rFonts w:ascii="Arial" w:hAnsi="Arial" w:cs="FrankRuehl" w:hint="cs"/>
                <w:b/>
                <w:bCs/>
                <w:sz w:val="28"/>
                <w:szCs w:val="28"/>
                <w:rtl/>
              </w:rPr>
            </w:pPr>
          </w:p>
        </w:tc>
        <w:tc>
          <w:tcPr>
            <w:tcW w:w="4126" w:type="dxa"/>
            <w:tcBorders>
              <w:top w:val="nil"/>
              <w:left w:val="nil"/>
              <w:bottom w:val="nil"/>
              <w:right w:val="nil"/>
            </w:tcBorders>
            <w:shd w:val="clear" w:color="auto" w:fill="auto"/>
          </w:tcPr>
          <w:p w14:paraId="3C9AB367" w14:textId="77777777" w:rsidR="00A8124D" w:rsidRPr="00666086" w:rsidRDefault="00666086">
            <w:pPr>
              <w:spacing w:line="360" w:lineRule="auto"/>
              <w:rPr>
                <w:rFonts w:cs="FrankRuehl"/>
                <w:b/>
                <w:bCs/>
                <w:sz w:val="28"/>
                <w:szCs w:val="28"/>
                <w:rtl/>
              </w:rPr>
            </w:pPr>
            <w:r w:rsidRPr="00666086">
              <w:rPr>
                <w:rFonts w:cs="FrankRuehl" w:hint="cs"/>
                <w:b/>
                <w:bCs/>
                <w:sz w:val="28"/>
                <w:szCs w:val="28"/>
                <w:rtl/>
              </w:rPr>
              <w:t>חנוך מזרחי (עציר)</w:t>
            </w:r>
          </w:p>
        </w:tc>
        <w:tc>
          <w:tcPr>
            <w:tcW w:w="3771" w:type="dxa"/>
            <w:tcBorders>
              <w:top w:val="nil"/>
              <w:left w:val="nil"/>
              <w:bottom w:val="nil"/>
              <w:right w:val="nil"/>
            </w:tcBorders>
            <w:shd w:val="clear" w:color="auto" w:fill="auto"/>
          </w:tcPr>
          <w:p w14:paraId="15E1453F" w14:textId="77777777" w:rsidR="00A8124D" w:rsidRPr="00666086" w:rsidRDefault="00A8124D">
            <w:pPr>
              <w:spacing w:line="360" w:lineRule="auto"/>
              <w:jc w:val="right"/>
              <w:rPr>
                <w:rFonts w:ascii="Arial" w:hAnsi="Arial" w:cs="FrankRuehl"/>
                <w:b/>
                <w:bCs/>
                <w:sz w:val="28"/>
                <w:szCs w:val="28"/>
              </w:rPr>
            </w:pPr>
          </w:p>
        </w:tc>
      </w:tr>
      <w:tr w:rsidR="00A8124D" w:rsidRPr="00666086" w14:paraId="2E9422A4" w14:textId="77777777">
        <w:trPr>
          <w:trHeight w:val="355"/>
          <w:jc w:val="center"/>
        </w:trPr>
        <w:tc>
          <w:tcPr>
            <w:tcW w:w="923" w:type="dxa"/>
            <w:tcBorders>
              <w:top w:val="nil"/>
              <w:left w:val="nil"/>
              <w:bottom w:val="nil"/>
              <w:right w:val="nil"/>
            </w:tcBorders>
            <w:shd w:val="clear" w:color="auto" w:fill="auto"/>
          </w:tcPr>
          <w:p w14:paraId="34CC7CC5" w14:textId="77777777" w:rsidR="00A8124D" w:rsidRPr="00666086" w:rsidRDefault="00A8124D">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3DB4F3C" w14:textId="77777777" w:rsidR="00A8124D" w:rsidRPr="00666086" w:rsidRDefault="00A8124D">
            <w:pPr>
              <w:spacing w:line="360" w:lineRule="auto"/>
              <w:jc w:val="both"/>
              <w:rPr>
                <w:rFonts w:cs="FrankRuehl"/>
                <w:b/>
                <w:bCs/>
                <w:sz w:val="28"/>
                <w:szCs w:val="28"/>
                <w:rtl/>
              </w:rPr>
            </w:pPr>
          </w:p>
        </w:tc>
        <w:tc>
          <w:tcPr>
            <w:tcW w:w="3771" w:type="dxa"/>
            <w:tcBorders>
              <w:top w:val="nil"/>
              <w:left w:val="nil"/>
              <w:bottom w:val="nil"/>
              <w:right w:val="nil"/>
            </w:tcBorders>
            <w:shd w:val="clear" w:color="auto" w:fill="auto"/>
          </w:tcPr>
          <w:p w14:paraId="2F7B7715" w14:textId="77777777" w:rsidR="00A8124D" w:rsidRPr="00666086" w:rsidRDefault="00666086">
            <w:pPr>
              <w:spacing w:line="360" w:lineRule="auto"/>
              <w:jc w:val="right"/>
              <w:rPr>
                <w:rFonts w:ascii="Arial" w:hAnsi="Arial" w:cs="FrankRuehl"/>
                <w:b/>
                <w:bCs/>
                <w:sz w:val="28"/>
                <w:szCs w:val="28"/>
              </w:rPr>
            </w:pPr>
            <w:r w:rsidRPr="00666086">
              <w:rPr>
                <w:rFonts w:ascii="Arial" w:hAnsi="Arial" w:cs="FrankRuehl" w:hint="cs"/>
                <w:b/>
                <w:bCs/>
                <w:sz w:val="28"/>
                <w:szCs w:val="28"/>
                <w:rtl/>
              </w:rPr>
              <w:t>ה</w:t>
            </w:r>
            <w:r w:rsidRPr="00666086">
              <w:rPr>
                <w:rFonts w:cs="FrankRuehl" w:hint="cs"/>
                <w:b/>
                <w:bCs/>
                <w:sz w:val="28"/>
                <w:szCs w:val="28"/>
                <w:rtl/>
              </w:rPr>
              <w:t>נאשם</w:t>
            </w:r>
          </w:p>
        </w:tc>
      </w:tr>
    </w:tbl>
    <w:p w14:paraId="0401C865" w14:textId="77777777" w:rsidR="00A8124D" w:rsidRPr="00666086" w:rsidRDefault="00666086">
      <w:pPr>
        <w:spacing w:line="360" w:lineRule="auto"/>
        <w:rPr>
          <w:rFonts w:cs="FrankRuehl"/>
          <w:sz w:val="28"/>
          <w:szCs w:val="28"/>
          <w:rtl/>
        </w:rPr>
      </w:pPr>
      <w:r w:rsidRPr="00666086">
        <w:rPr>
          <w:rFonts w:cs="FrankRuehl" w:hint="cs"/>
          <w:sz w:val="28"/>
          <w:szCs w:val="28"/>
          <w:rtl/>
        </w:rPr>
        <w:t xml:space="preserve">נוכחים: </w:t>
      </w:r>
      <w:bookmarkStart w:id="2" w:name="FirstLawyer"/>
      <w:r w:rsidRPr="00666086">
        <w:rPr>
          <w:rFonts w:cs="FrankRuehl" w:hint="cs"/>
          <w:sz w:val="28"/>
          <w:szCs w:val="28"/>
          <w:rtl/>
        </w:rPr>
        <w:t>ב"כ</w:t>
      </w:r>
      <w:bookmarkEnd w:id="2"/>
      <w:r w:rsidRPr="00666086">
        <w:rPr>
          <w:rFonts w:cs="FrankRuehl" w:hint="cs"/>
          <w:sz w:val="28"/>
          <w:szCs w:val="28"/>
          <w:rtl/>
        </w:rPr>
        <w:t xml:space="preserve"> המאשימה עו"ד דן כהן</w:t>
      </w:r>
    </w:p>
    <w:p w14:paraId="537183DC" w14:textId="77777777" w:rsidR="00A8124D" w:rsidRPr="00666086" w:rsidRDefault="00666086">
      <w:pPr>
        <w:spacing w:line="360" w:lineRule="auto"/>
        <w:rPr>
          <w:rFonts w:cs="FrankRuehl"/>
          <w:sz w:val="28"/>
          <w:szCs w:val="28"/>
          <w:rtl/>
        </w:rPr>
      </w:pPr>
      <w:r w:rsidRPr="00666086">
        <w:rPr>
          <w:rFonts w:cs="FrankRuehl"/>
          <w:sz w:val="28"/>
          <w:szCs w:val="28"/>
          <w:rtl/>
        </w:rPr>
        <w:tab/>
      </w:r>
      <w:r w:rsidRPr="00666086">
        <w:rPr>
          <w:rFonts w:cs="FrankRuehl" w:hint="cs"/>
          <w:sz w:val="28"/>
          <w:szCs w:val="28"/>
          <w:rtl/>
        </w:rPr>
        <w:t xml:space="preserve"> ב"כ הנאשם עו"ד אסף טל</w:t>
      </w:r>
    </w:p>
    <w:p w14:paraId="44DC7F77" w14:textId="77777777" w:rsidR="00114BBC" w:rsidRDefault="00666086">
      <w:pPr>
        <w:spacing w:line="360" w:lineRule="auto"/>
        <w:rPr>
          <w:rFonts w:cs="FrankRuehl"/>
          <w:sz w:val="28"/>
          <w:szCs w:val="28"/>
        </w:rPr>
      </w:pPr>
      <w:r w:rsidRPr="00666086">
        <w:rPr>
          <w:rFonts w:cs="FrankRuehl"/>
          <w:sz w:val="28"/>
          <w:szCs w:val="28"/>
          <w:rtl/>
        </w:rPr>
        <w:tab/>
      </w:r>
      <w:r w:rsidRPr="00666086">
        <w:rPr>
          <w:rFonts w:cs="FrankRuehl" w:hint="cs"/>
          <w:sz w:val="28"/>
          <w:szCs w:val="28"/>
          <w:rtl/>
        </w:rPr>
        <w:t xml:space="preserve"> הנאשם הובא באמצעות שב"ס</w:t>
      </w:r>
    </w:p>
    <w:p w14:paraId="5A12CB53" w14:textId="77777777" w:rsidR="00114BBC" w:rsidRPr="00114BBC" w:rsidRDefault="00114BBC" w:rsidP="00114BBC">
      <w:pPr>
        <w:spacing w:after="120" w:line="240" w:lineRule="exact"/>
        <w:ind w:left="283" w:hanging="283"/>
        <w:jc w:val="both"/>
        <w:rPr>
          <w:rFonts w:ascii="FrankRuehl" w:hAnsi="FrankRuehl" w:cs="FrankRuehl"/>
        </w:rPr>
      </w:pPr>
    </w:p>
    <w:p w14:paraId="1E0F19DA" w14:textId="77777777" w:rsidR="00146C76" w:rsidRDefault="00146C76" w:rsidP="00146C76">
      <w:pPr>
        <w:spacing w:after="120" w:line="240" w:lineRule="exact"/>
        <w:ind w:left="283" w:hanging="283"/>
        <w:jc w:val="both"/>
        <w:rPr>
          <w:rFonts w:ascii="FrankRuehl" w:hAnsi="FrankRuehl" w:cs="FrankRuehl"/>
          <w:rtl/>
        </w:rPr>
      </w:pPr>
      <w:bookmarkStart w:id="3" w:name="LawTable"/>
      <w:bookmarkEnd w:id="3"/>
    </w:p>
    <w:p w14:paraId="445F8CD9" w14:textId="77777777" w:rsidR="00146C76" w:rsidRPr="00146C76" w:rsidRDefault="00146C76" w:rsidP="00146C76">
      <w:pPr>
        <w:spacing w:before="120" w:after="120" w:line="240" w:lineRule="exact"/>
        <w:ind w:left="283" w:hanging="283"/>
        <w:jc w:val="both"/>
        <w:rPr>
          <w:rFonts w:ascii="FrankRuehl" w:hAnsi="FrankRuehl" w:cs="FrankRuehl"/>
          <w:rtl/>
        </w:rPr>
      </w:pPr>
    </w:p>
    <w:p w14:paraId="20AB33B4" w14:textId="77777777" w:rsidR="00146C76" w:rsidRPr="00146C76" w:rsidRDefault="00146C76" w:rsidP="00146C76">
      <w:pPr>
        <w:spacing w:before="120" w:after="120" w:line="240" w:lineRule="exact"/>
        <w:ind w:left="283" w:hanging="283"/>
        <w:jc w:val="both"/>
        <w:rPr>
          <w:rFonts w:ascii="FrankRuehl" w:hAnsi="FrankRuehl" w:cs="FrankRuehl"/>
          <w:rtl/>
        </w:rPr>
      </w:pPr>
    </w:p>
    <w:p w14:paraId="62EB562F" w14:textId="77777777" w:rsidR="00146C76" w:rsidRPr="00146C76" w:rsidRDefault="00146C76" w:rsidP="00146C76">
      <w:pPr>
        <w:spacing w:before="120" w:after="120" w:line="240" w:lineRule="exact"/>
        <w:ind w:left="283" w:hanging="283"/>
        <w:jc w:val="both"/>
        <w:rPr>
          <w:rFonts w:ascii="FrankRuehl" w:hAnsi="FrankRuehl" w:cs="FrankRuehl"/>
          <w:rtl/>
        </w:rPr>
      </w:pPr>
      <w:r w:rsidRPr="00146C76">
        <w:rPr>
          <w:rFonts w:ascii="FrankRuehl" w:hAnsi="FrankRuehl" w:cs="FrankRuehl"/>
          <w:rtl/>
        </w:rPr>
        <w:t xml:space="preserve">חקיקה שאוזכרה: </w:t>
      </w:r>
    </w:p>
    <w:p w14:paraId="79562216" w14:textId="77777777" w:rsidR="00146C76" w:rsidRPr="00146C76" w:rsidRDefault="00146C76" w:rsidP="00146C76">
      <w:pPr>
        <w:spacing w:before="120" w:after="120" w:line="240" w:lineRule="exact"/>
        <w:ind w:left="283" w:hanging="283"/>
        <w:jc w:val="both"/>
        <w:rPr>
          <w:rFonts w:ascii="FrankRuehl" w:hAnsi="FrankRuehl" w:cs="FrankRuehl"/>
          <w:rtl/>
        </w:rPr>
      </w:pPr>
      <w:hyperlink r:id="rId7" w:history="1">
        <w:r w:rsidRPr="00146C76">
          <w:rPr>
            <w:rFonts w:ascii="FrankRuehl" w:hAnsi="FrankRuehl" w:cs="FrankRuehl"/>
            <w:color w:val="0000FF"/>
            <w:rtl/>
          </w:rPr>
          <w:t>פקודת הסמים המסוכנים [נוסח חדש], תשל"ג-1973</w:t>
        </w:r>
      </w:hyperlink>
      <w:r w:rsidRPr="00146C76">
        <w:rPr>
          <w:rFonts w:ascii="FrankRuehl" w:hAnsi="FrankRuehl" w:cs="FrankRuehl"/>
          <w:rtl/>
        </w:rPr>
        <w:t xml:space="preserve">: סע'  </w:t>
      </w:r>
      <w:hyperlink r:id="rId8" w:history="1">
        <w:r w:rsidRPr="00146C76">
          <w:rPr>
            <w:rFonts w:ascii="FrankRuehl" w:hAnsi="FrankRuehl" w:cs="FrankRuehl"/>
            <w:color w:val="0000FF"/>
            <w:rtl/>
          </w:rPr>
          <w:t>7.א.</w:t>
        </w:r>
      </w:hyperlink>
      <w:r w:rsidRPr="00146C76">
        <w:rPr>
          <w:rFonts w:ascii="FrankRuehl" w:hAnsi="FrankRuehl" w:cs="FrankRuehl"/>
          <w:rtl/>
        </w:rPr>
        <w:t xml:space="preserve">, </w:t>
      </w:r>
      <w:hyperlink r:id="rId9" w:history="1">
        <w:r w:rsidRPr="00146C76">
          <w:rPr>
            <w:rFonts w:ascii="FrankRuehl" w:hAnsi="FrankRuehl" w:cs="FrankRuehl"/>
            <w:color w:val="0000FF"/>
            <w:rtl/>
          </w:rPr>
          <w:t>7.ג</w:t>
        </w:r>
      </w:hyperlink>
      <w:r w:rsidRPr="00146C76">
        <w:rPr>
          <w:rFonts w:ascii="FrankRuehl" w:hAnsi="FrankRuehl" w:cs="FrankRuehl"/>
          <w:rtl/>
        </w:rPr>
        <w:t xml:space="preserve">, </w:t>
      </w:r>
      <w:hyperlink r:id="rId10" w:history="1">
        <w:r w:rsidRPr="00146C76">
          <w:rPr>
            <w:rFonts w:ascii="FrankRuehl" w:hAnsi="FrankRuehl" w:cs="FrankRuehl"/>
            <w:color w:val="0000FF"/>
            <w:rtl/>
          </w:rPr>
          <w:t>13</w:t>
        </w:r>
      </w:hyperlink>
      <w:r w:rsidRPr="00146C76">
        <w:rPr>
          <w:rFonts w:ascii="FrankRuehl" w:hAnsi="FrankRuehl" w:cs="FrankRuehl"/>
          <w:rtl/>
        </w:rPr>
        <w:t xml:space="preserve">, </w:t>
      </w:r>
      <w:hyperlink r:id="rId11" w:history="1">
        <w:r w:rsidRPr="00146C76">
          <w:rPr>
            <w:rFonts w:ascii="FrankRuehl" w:hAnsi="FrankRuehl" w:cs="FrankRuehl"/>
            <w:color w:val="0000FF"/>
            <w:rtl/>
          </w:rPr>
          <w:t>19א</w:t>
        </w:r>
      </w:hyperlink>
    </w:p>
    <w:p w14:paraId="78669E19" w14:textId="77777777" w:rsidR="00146C76" w:rsidRPr="00146C76" w:rsidRDefault="00146C76" w:rsidP="00146C76">
      <w:pPr>
        <w:spacing w:before="120" w:after="120" w:line="240" w:lineRule="exact"/>
        <w:ind w:left="283" w:hanging="283"/>
        <w:jc w:val="both"/>
        <w:rPr>
          <w:rFonts w:ascii="FrankRuehl" w:hAnsi="FrankRuehl" w:cs="FrankRuehl"/>
          <w:rtl/>
        </w:rPr>
      </w:pPr>
      <w:hyperlink r:id="rId12" w:history="1">
        <w:r w:rsidRPr="00146C76">
          <w:rPr>
            <w:rFonts w:ascii="FrankRuehl" w:hAnsi="FrankRuehl" w:cs="FrankRuehl"/>
            <w:color w:val="0000FF"/>
            <w:rtl/>
          </w:rPr>
          <w:t>חוק העונשין, תשל"ז-1977</w:t>
        </w:r>
      </w:hyperlink>
      <w:r w:rsidRPr="00146C76">
        <w:rPr>
          <w:rFonts w:ascii="FrankRuehl" w:hAnsi="FrankRuehl" w:cs="FrankRuehl"/>
          <w:rtl/>
        </w:rPr>
        <w:t xml:space="preserve">: סע'  </w:t>
      </w:r>
      <w:hyperlink r:id="rId13" w:history="1">
        <w:r w:rsidRPr="00146C76">
          <w:rPr>
            <w:rFonts w:ascii="FrankRuehl" w:hAnsi="FrankRuehl" w:cs="FrankRuehl"/>
            <w:color w:val="0000FF"/>
            <w:rtl/>
          </w:rPr>
          <w:t>40ד.</w:t>
        </w:r>
      </w:hyperlink>
      <w:r w:rsidRPr="00146C76">
        <w:rPr>
          <w:rFonts w:ascii="FrankRuehl" w:hAnsi="FrankRuehl" w:cs="FrankRuehl"/>
          <w:rtl/>
        </w:rPr>
        <w:t xml:space="preserve">, </w:t>
      </w:r>
      <w:hyperlink r:id="rId14" w:history="1">
        <w:r w:rsidRPr="00146C76">
          <w:rPr>
            <w:rFonts w:ascii="FrankRuehl" w:hAnsi="FrankRuehl" w:cs="FrankRuehl"/>
            <w:color w:val="0000FF"/>
            <w:rtl/>
          </w:rPr>
          <w:t>40י.</w:t>
        </w:r>
      </w:hyperlink>
    </w:p>
    <w:p w14:paraId="13CC2BE2" w14:textId="77777777" w:rsidR="00146C76" w:rsidRPr="00146C76" w:rsidRDefault="00146C76" w:rsidP="00146C76">
      <w:pPr>
        <w:spacing w:after="120" w:line="240" w:lineRule="exact"/>
        <w:ind w:left="283" w:hanging="283"/>
        <w:jc w:val="both"/>
        <w:rPr>
          <w:rFonts w:ascii="FrankRuehl" w:hAnsi="FrankRuehl" w:cs="FrankRuehl"/>
          <w:rtl/>
        </w:rPr>
      </w:pPr>
      <w:bookmarkStart w:id="4" w:name="LawTable_End"/>
      <w:bookmarkEnd w:id="4"/>
    </w:p>
    <w:p w14:paraId="1ABC27E3" w14:textId="77777777" w:rsidR="00114BBC" w:rsidRPr="00114BBC" w:rsidRDefault="00114BBC" w:rsidP="00114BBC">
      <w:pPr>
        <w:spacing w:after="120" w:line="240" w:lineRule="exact"/>
        <w:ind w:left="283" w:hanging="283"/>
        <w:jc w:val="both"/>
        <w:rPr>
          <w:rFonts w:ascii="FrankRuehl" w:hAnsi="FrankRuehl" w:cs="FrankRuehl"/>
          <w:rtl/>
        </w:rPr>
      </w:pPr>
    </w:p>
    <w:p w14:paraId="3F52FE71" w14:textId="77777777" w:rsidR="00666086" w:rsidRPr="00666086" w:rsidRDefault="00666086" w:rsidP="00666086">
      <w:pPr>
        <w:spacing w:line="360" w:lineRule="auto"/>
        <w:jc w:val="center"/>
        <w:rPr>
          <w:rFonts w:cs="FrankRuehl"/>
          <w:b/>
          <w:bCs/>
          <w:sz w:val="28"/>
          <w:szCs w:val="28"/>
          <w:u w:val="single"/>
          <w:rtl/>
        </w:rPr>
      </w:pPr>
      <w:bookmarkStart w:id="5" w:name="PsakDin"/>
      <w:bookmarkEnd w:id="0"/>
      <w:r w:rsidRPr="00666086">
        <w:rPr>
          <w:rFonts w:cs="FrankRuehl"/>
          <w:b/>
          <w:bCs/>
          <w:sz w:val="28"/>
          <w:szCs w:val="28"/>
          <w:u w:val="single"/>
          <w:rtl/>
        </w:rPr>
        <w:t>גזר דין</w:t>
      </w:r>
    </w:p>
    <w:bookmarkEnd w:id="5"/>
    <w:p w14:paraId="6DF7F9C2" w14:textId="77777777" w:rsidR="00A8124D" w:rsidRDefault="00A8124D">
      <w:pPr>
        <w:spacing w:line="360" w:lineRule="auto"/>
        <w:jc w:val="both"/>
        <w:rPr>
          <w:rFonts w:cs="FrankRuehl"/>
          <w:sz w:val="28"/>
          <w:szCs w:val="28"/>
          <w:rtl/>
        </w:rPr>
      </w:pPr>
    </w:p>
    <w:p w14:paraId="5D3576F8" w14:textId="77777777" w:rsidR="00A8124D" w:rsidRDefault="00666086">
      <w:pPr>
        <w:spacing w:line="360" w:lineRule="auto"/>
        <w:jc w:val="both"/>
        <w:rPr>
          <w:rFonts w:cs="FrankRuehl"/>
          <w:b/>
          <w:bCs/>
          <w:sz w:val="28"/>
          <w:szCs w:val="28"/>
          <w:u w:val="single"/>
          <w:rtl/>
        </w:rPr>
      </w:pPr>
      <w:r>
        <w:rPr>
          <w:rFonts w:cs="FrankRuehl"/>
          <w:b/>
          <w:bCs/>
          <w:sz w:val="28"/>
          <w:szCs w:val="28"/>
          <w:u w:val="single"/>
          <w:rtl/>
        </w:rPr>
        <w:t>כללי</w:t>
      </w:r>
    </w:p>
    <w:p w14:paraId="6721ECB8" w14:textId="77777777" w:rsidR="00A8124D" w:rsidRDefault="00666086">
      <w:pPr>
        <w:pStyle w:val="a6"/>
        <w:numPr>
          <w:ilvl w:val="0"/>
          <w:numId w:val="1"/>
        </w:numPr>
        <w:spacing w:line="360" w:lineRule="auto"/>
        <w:jc w:val="both"/>
        <w:rPr>
          <w:rFonts w:cs="FrankRuehl"/>
          <w:sz w:val="28"/>
          <w:szCs w:val="28"/>
        </w:rPr>
      </w:pPr>
      <w:bookmarkStart w:id="6" w:name="ABSTRACT_START"/>
      <w:bookmarkEnd w:id="6"/>
      <w:r>
        <w:rPr>
          <w:rFonts w:cs="FrankRuehl"/>
          <w:sz w:val="28"/>
          <w:szCs w:val="28"/>
          <w:rtl/>
        </w:rPr>
        <w:lastRenderedPageBreak/>
        <w:t xml:space="preserve">ביום 7.10.15 הורשע הנאשם, במסגרת הסדר דיוני, בעבירות של ייבוא סם מסוכן, </w:t>
      </w:r>
      <w:r>
        <w:rPr>
          <w:rFonts w:cs="FrankRuehl" w:hint="cs"/>
          <w:sz w:val="28"/>
          <w:szCs w:val="28"/>
          <w:rtl/>
        </w:rPr>
        <w:t xml:space="preserve">עבירה </w:t>
      </w:r>
      <w:r>
        <w:rPr>
          <w:rFonts w:cs="FrankRuehl"/>
          <w:sz w:val="28"/>
          <w:szCs w:val="28"/>
          <w:rtl/>
        </w:rPr>
        <w:t xml:space="preserve">לפי </w:t>
      </w:r>
      <w:hyperlink r:id="rId15" w:history="1">
        <w:r w:rsidR="00114BBC" w:rsidRPr="00114BBC">
          <w:rPr>
            <w:rFonts w:cs="FrankRuehl" w:hint="cs"/>
            <w:color w:val="0000FF"/>
            <w:sz w:val="28"/>
            <w:szCs w:val="28"/>
            <w:u w:val="single"/>
            <w:rtl/>
          </w:rPr>
          <w:t>סעיף</w:t>
        </w:r>
        <w:r w:rsidR="00114BBC" w:rsidRPr="00114BBC">
          <w:rPr>
            <w:rFonts w:cs="FrankRuehl"/>
            <w:color w:val="0000FF"/>
            <w:sz w:val="28"/>
            <w:szCs w:val="28"/>
            <w:u w:val="single"/>
            <w:rtl/>
          </w:rPr>
          <w:t xml:space="preserve"> 13</w:t>
        </w:r>
      </w:hyperlink>
      <w:r>
        <w:rPr>
          <w:rFonts w:cs="FrankRuehl"/>
          <w:sz w:val="28"/>
          <w:szCs w:val="28"/>
          <w:rtl/>
        </w:rPr>
        <w:t xml:space="preserve"> יחד עם </w:t>
      </w:r>
      <w:hyperlink r:id="rId16" w:history="1">
        <w:r w:rsidR="00114BBC" w:rsidRPr="00114BBC">
          <w:rPr>
            <w:rFonts w:cs="FrankRuehl" w:hint="cs"/>
            <w:color w:val="0000FF"/>
            <w:sz w:val="28"/>
            <w:szCs w:val="28"/>
            <w:u w:val="single"/>
            <w:rtl/>
          </w:rPr>
          <w:t>סעיף</w:t>
        </w:r>
        <w:r w:rsidR="00114BBC" w:rsidRPr="00114BBC">
          <w:rPr>
            <w:rFonts w:cs="FrankRuehl"/>
            <w:color w:val="0000FF"/>
            <w:sz w:val="28"/>
            <w:szCs w:val="28"/>
            <w:u w:val="single"/>
            <w:rtl/>
          </w:rPr>
          <w:t xml:space="preserve"> 19</w:t>
        </w:r>
        <w:r w:rsidR="00114BBC" w:rsidRPr="00114BBC">
          <w:rPr>
            <w:rFonts w:cs="FrankRuehl" w:hint="cs"/>
            <w:color w:val="0000FF"/>
            <w:sz w:val="28"/>
            <w:szCs w:val="28"/>
            <w:u w:val="single"/>
            <w:rtl/>
          </w:rPr>
          <w:t>א</w:t>
        </w:r>
      </w:hyperlink>
      <w:r>
        <w:rPr>
          <w:rFonts w:cs="FrankRuehl"/>
          <w:sz w:val="28"/>
          <w:szCs w:val="28"/>
          <w:rtl/>
        </w:rPr>
        <w:t xml:space="preserve"> ל</w:t>
      </w:r>
      <w:hyperlink r:id="rId17" w:history="1">
        <w:r w:rsidRPr="00666086">
          <w:rPr>
            <w:rStyle w:val="Hyperlink"/>
            <w:rFonts w:cs="FrankRuehl" w:hint="cs"/>
            <w:sz w:val="28"/>
            <w:szCs w:val="28"/>
            <w:rtl/>
          </w:rPr>
          <w:t>פקודת</w:t>
        </w:r>
        <w:r w:rsidRPr="00666086">
          <w:rPr>
            <w:rStyle w:val="Hyperlink"/>
            <w:rFonts w:cs="FrankRuehl"/>
            <w:sz w:val="28"/>
            <w:szCs w:val="28"/>
            <w:rtl/>
          </w:rPr>
          <w:t xml:space="preserve"> </w:t>
        </w:r>
        <w:r w:rsidRPr="00666086">
          <w:rPr>
            <w:rStyle w:val="Hyperlink"/>
            <w:rFonts w:cs="FrankRuehl" w:hint="cs"/>
            <w:sz w:val="28"/>
            <w:szCs w:val="28"/>
            <w:rtl/>
          </w:rPr>
          <w:t>הסמים</w:t>
        </w:r>
        <w:r w:rsidRPr="00666086">
          <w:rPr>
            <w:rStyle w:val="Hyperlink"/>
            <w:rFonts w:cs="FrankRuehl"/>
            <w:sz w:val="28"/>
            <w:szCs w:val="28"/>
            <w:rtl/>
          </w:rPr>
          <w:t xml:space="preserve"> </w:t>
        </w:r>
        <w:r w:rsidRPr="00666086">
          <w:rPr>
            <w:rStyle w:val="Hyperlink"/>
            <w:rFonts w:cs="FrankRuehl" w:hint="cs"/>
            <w:sz w:val="28"/>
            <w:szCs w:val="28"/>
            <w:rtl/>
          </w:rPr>
          <w:t>המסוכנים</w:t>
        </w:r>
      </w:hyperlink>
      <w:r>
        <w:rPr>
          <w:rFonts w:cs="FrankRuehl"/>
          <w:sz w:val="28"/>
          <w:szCs w:val="28"/>
          <w:rtl/>
        </w:rPr>
        <w:t xml:space="preserve"> [נוסח חדש], התשל"ג-1973, והחזקת סם מסוכן שלא לצריכה עצמית</w:t>
      </w:r>
      <w:r>
        <w:rPr>
          <w:rFonts w:cs="FrankRuehl" w:hint="cs"/>
          <w:sz w:val="28"/>
          <w:szCs w:val="28"/>
          <w:rtl/>
        </w:rPr>
        <w:t xml:space="preserve">, עבירה </w:t>
      </w:r>
      <w:r>
        <w:rPr>
          <w:rFonts w:cs="FrankRuehl"/>
          <w:sz w:val="28"/>
          <w:szCs w:val="28"/>
          <w:rtl/>
        </w:rPr>
        <w:t xml:space="preserve">לפי </w:t>
      </w:r>
      <w:hyperlink r:id="rId18" w:history="1">
        <w:r w:rsidR="00114BBC" w:rsidRPr="00114BBC">
          <w:rPr>
            <w:rFonts w:cs="FrankRuehl" w:hint="cs"/>
            <w:color w:val="0000FF"/>
            <w:sz w:val="28"/>
            <w:szCs w:val="28"/>
            <w:u w:val="single"/>
            <w:rtl/>
          </w:rPr>
          <w:t>סעיף</w:t>
        </w:r>
        <w:r w:rsidR="00114BBC" w:rsidRPr="00114BBC">
          <w:rPr>
            <w:rFonts w:cs="FrankRuehl"/>
            <w:color w:val="0000FF"/>
            <w:sz w:val="28"/>
            <w:szCs w:val="28"/>
            <w:u w:val="single"/>
            <w:rtl/>
          </w:rPr>
          <w:t xml:space="preserve"> 7(</w:t>
        </w:r>
        <w:r w:rsidR="00114BBC" w:rsidRPr="00114BBC">
          <w:rPr>
            <w:rFonts w:cs="FrankRuehl" w:hint="cs"/>
            <w:color w:val="0000FF"/>
            <w:sz w:val="28"/>
            <w:szCs w:val="28"/>
            <w:u w:val="single"/>
            <w:rtl/>
          </w:rPr>
          <w:t>א</w:t>
        </w:r>
        <w:r w:rsidR="00114BBC" w:rsidRPr="00114BBC">
          <w:rPr>
            <w:rFonts w:cs="FrankRuehl"/>
            <w:color w:val="0000FF"/>
            <w:sz w:val="28"/>
            <w:szCs w:val="28"/>
            <w:u w:val="single"/>
            <w:rtl/>
          </w:rPr>
          <w:t>)+(</w:t>
        </w:r>
        <w:r w:rsidR="00114BBC" w:rsidRPr="00114BBC">
          <w:rPr>
            <w:rFonts w:cs="FrankRuehl" w:hint="cs"/>
            <w:color w:val="0000FF"/>
            <w:sz w:val="28"/>
            <w:szCs w:val="28"/>
            <w:u w:val="single"/>
            <w:rtl/>
          </w:rPr>
          <w:t>ג</w:t>
        </w:r>
        <w:r w:rsidR="00114BBC" w:rsidRPr="00114BBC">
          <w:rPr>
            <w:rFonts w:cs="FrankRuehl"/>
            <w:color w:val="0000FF"/>
            <w:sz w:val="28"/>
            <w:szCs w:val="28"/>
            <w:u w:val="single"/>
            <w:rtl/>
          </w:rPr>
          <w:t>)</w:t>
        </w:r>
      </w:hyperlink>
      <w:r>
        <w:rPr>
          <w:rFonts w:cs="FrankRuehl"/>
          <w:sz w:val="28"/>
          <w:szCs w:val="28"/>
          <w:rtl/>
        </w:rPr>
        <w:t xml:space="preserve"> רישא לפקודה</w:t>
      </w:r>
      <w:bookmarkStart w:id="7" w:name="ABSTRACT_END"/>
      <w:bookmarkEnd w:id="7"/>
      <w:r>
        <w:rPr>
          <w:rFonts w:cs="FrankRuehl"/>
          <w:sz w:val="28"/>
          <w:szCs w:val="28"/>
          <w:rtl/>
        </w:rPr>
        <w:t xml:space="preserve">. </w:t>
      </w:r>
    </w:p>
    <w:p w14:paraId="1B834CE0" w14:textId="77777777" w:rsidR="00A8124D" w:rsidRDefault="00A8124D">
      <w:pPr>
        <w:pStyle w:val="a6"/>
        <w:spacing w:line="360" w:lineRule="auto"/>
        <w:jc w:val="both"/>
        <w:rPr>
          <w:rFonts w:cs="FrankRuehl"/>
          <w:sz w:val="28"/>
          <w:szCs w:val="28"/>
        </w:rPr>
      </w:pPr>
    </w:p>
    <w:p w14:paraId="1728F4C9"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 xml:space="preserve"> הוסכם בין הצדדים להפנות את הנאשם לשירות המבחן, לקבלת תסקיר בעניינו. </w:t>
      </w:r>
    </w:p>
    <w:p w14:paraId="19437A78" w14:textId="77777777" w:rsidR="00A8124D" w:rsidRDefault="00666086">
      <w:pPr>
        <w:pStyle w:val="a6"/>
        <w:numPr>
          <w:ilvl w:val="0"/>
          <w:numId w:val="1"/>
        </w:numPr>
        <w:spacing w:line="360" w:lineRule="auto"/>
        <w:jc w:val="both"/>
        <w:rPr>
          <w:rFonts w:cs="FrankRuehl"/>
          <w:sz w:val="28"/>
          <w:szCs w:val="28"/>
        </w:rPr>
      </w:pPr>
      <w:r>
        <w:rPr>
          <w:rFonts w:cs="FrankRuehl"/>
          <w:sz w:val="28"/>
          <w:szCs w:val="28"/>
          <w:rtl/>
        </w:rPr>
        <w:t xml:space="preserve">בהתאם לעובדות כתב האישום, ביום 1.1.15 טס הנאשם מישראל לברזיל, ובמועד שאינו ידוע במדויק, עובר ליום 20.1.15, קיבל הנאשם בברזיל מאחר שזהותו אינה ידועה סם מסוכן מסוג קוקאין במשקל 1,977 גרם נטו. </w:t>
      </w:r>
    </w:p>
    <w:p w14:paraId="4CBE10F4" w14:textId="77777777" w:rsidR="00A8124D" w:rsidRDefault="00A8124D">
      <w:pPr>
        <w:pStyle w:val="a6"/>
        <w:spacing w:line="360" w:lineRule="auto"/>
        <w:jc w:val="both"/>
        <w:rPr>
          <w:rFonts w:cs="FrankRuehl"/>
          <w:sz w:val="28"/>
          <w:szCs w:val="28"/>
        </w:rPr>
      </w:pPr>
    </w:p>
    <w:p w14:paraId="329D45CC" w14:textId="77777777" w:rsidR="00A8124D" w:rsidRDefault="00666086">
      <w:pPr>
        <w:pStyle w:val="a6"/>
        <w:spacing w:line="360" w:lineRule="auto"/>
        <w:jc w:val="both"/>
        <w:rPr>
          <w:rFonts w:cs="FrankRuehl"/>
          <w:sz w:val="28"/>
          <w:szCs w:val="28"/>
          <w:rtl/>
        </w:rPr>
      </w:pPr>
      <w:r>
        <w:rPr>
          <w:rFonts w:cs="FrankRuehl"/>
          <w:sz w:val="28"/>
          <w:szCs w:val="28"/>
          <w:rtl/>
        </w:rPr>
        <w:t xml:space="preserve">בלילה שבין 19.1.15 ליום 20.1.15 נחת הנאשם בנמל התעופה בן גוריון ונשא בכליו את הסם האמור, שהוסלק בתוך שני פסלים. </w:t>
      </w:r>
    </w:p>
    <w:p w14:paraId="568B5ED4" w14:textId="77777777" w:rsidR="00A8124D" w:rsidRDefault="00A8124D">
      <w:pPr>
        <w:pStyle w:val="a6"/>
        <w:spacing w:line="360" w:lineRule="auto"/>
        <w:jc w:val="both"/>
        <w:rPr>
          <w:rFonts w:cs="FrankRuehl"/>
          <w:sz w:val="28"/>
          <w:szCs w:val="28"/>
          <w:rtl/>
        </w:rPr>
      </w:pPr>
    </w:p>
    <w:p w14:paraId="3BC1BBF0"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הנאשם עצור בגין תיק זה מיום 20.1.15.</w:t>
      </w:r>
    </w:p>
    <w:p w14:paraId="1253C6A0" w14:textId="77777777" w:rsidR="00A8124D" w:rsidRDefault="00A8124D">
      <w:pPr>
        <w:pStyle w:val="a6"/>
        <w:spacing w:line="360" w:lineRule="auto"/>
        <w:jc w:val="both"/>
        <w:rPr>
          <w:rFonts w:cs="FrankRuehl"/>
          <w:sz w:val="8"/>
          <w:szCs w:val="8"/>
        </w:rPr>
      </w:pPr>
    </w:p>
    <w:p w14:paraId="32F792D6" w14:textId="77777777" w:rsidR="00A8124D" w:rsidRDefault="00666086">
      <w:pPr>
        <w:spacing w:line="360" w:lineRule="auto"/>
        <w:jc w:val="both"/>
        <w:rPr>
          <w:rFonts w:cs="FrankRuehl"/>
          <w:b/>
          <w:bCs/>
          <w:sz w:val="28"/>
          <w:szCs w:val="28"/>
          <w:u w:val="single"/>
          <w:rtl/>
        </w:rPr>
      </w:pPr>
      <w:r>
        <w:rPr>
          <w:rFonts w:cs="FrankRuehl"/>
          <w:b/>
          <w:bCs/>
          <w:sz w:val="28"/>
          <w:szCs w:val="28"/>
          <w:u w:val="single"/>
          <w:rtl/>
        </w:rPr>
        <w:t>תסקיר שירות המבחן</w:t>
      </w:r>
    </w:p>
    <w:p w14:paraId="5EC8E3BF"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 xml:space="preserve">מתסקיר שירות המבחן עולה, כי הנאשם רווק בן 30, עלה ארצה בשנת 1991 עם משפחתו, השלים 12 שנות לימוד והוא בעל תעודת בגרות חלקית, והשלים שירות צבאי מלא כמאבטח מתקנים. תאר צריכת סמים לעתים רחוקות בנסיבות חברתיות במהלך שירותו הצבאי, וכן צריכת אלכוהול בשל קשיי התמודדות בהתנהלות בוגרת ועצמאית. עבד תקופה ממושכת כמנהל בית דפוס, אולם עובר למעצרו התגורר בגפו בדירה שכורה ועבד בשליחויות ובשיפוצים. אביו סובל ממחלת הסוכרת ומוגדר כנכה ע"י הבל"ל, אמו אינה עובדת, והוא בקשר רופף עם הוריו. הנאשם נעדר הרשעות קודמות. </w:t>
      </w:r>
    </w:p>
    <w:p w14:paraId="5BD60594" w14:textId="77777777" w:rsidR="00A8124D" w:rsidRDefault="00A8124D">
      <w:pPr>
        <w:pStyle w:val="a6"/>
        <w:spacing w:line="360" w:lineRule="auto"/>
        <w:jc w:val="both"/>
        <w:rPr>
          <w:rFonts w:cs="FrankRuehl"/>
          <w:sz w:val="10"/>
          <w:szCs w:val="10"/>
        </w:rPr>
      </w:pPr>
    </w:p>
    <w:p w14:paraId="3CA0EDE3" w14:textId="77777777" w:rsidR="00A8124D" w:rsidRDefault="00666086">
      <w:pPr>
        <w:pStyle w:val="a6"/>
        <w:spacing w:line="360" w:lineRule="auto"/>
        <w:jc w:val="both"/>
        <w:rPr>
          <w:rFonts w:cs="FrankRuehl"/>
          <w:sz w:val="28"/>
          <w:szCs w:val="28"/>
          <w:rtl/>
        </w:rPr>
      </w:pPr>
      <w:r>
        <w:rPr>
          <w:rFonts w:cs="FrankRuehl"/>
          <w:sz w:val="28"/>
          <w:szCs w:val="28"/>
          <w:rtl/>
        </w:rPr>
        <w:t xml:space="preserve">ביחס לביצוע העבירה תאר מעורבות עם גורמים שוליים, בין היתר בעקבות חובות הימורים שצבר. לדבריו פעל מתוך תחושת לחץ ואיום, אולם קיבל אחריות על התנהלותו. ציין כי מאז מעצרו ניתק קשריו השוליים, הינו נקי מסמים ופנה בבקשה לקבלת סיוע משפטי בשל חובותיו. במסגרת מעצרו השתתף בסדנאות ובפעילויות חינוך, ומתקבל הרושם כי לנאשם כוחות לעבור שינוי אולם הוא זקוק להמשך תמיכה וליווי. </w:t>
      </w:r>
    </w:p>
    <w:p w14:paraId="04D2DF41" w14:textId="77777777" w:rsidR="00A8124D" w:rsidRDefault="00A8124D">
      <w:pPr>
        <w:pStyle w:val="a6"/>
        <w:spacing w:line="360" w:lineRule="auto"/>
        <w:jc w:val="both"/>
        <w:rPr>
          <w:rFonts w:cs="FrankRuehl"/>
          <w:sz w:val="8"/>
          <w:szCs w:val="8"/>
        </w:rPr>
      </w:pPr>
    </w:p>
    <w:p w14:paraId="28CB8686" w14:textId="77777777" w:rsidR="00A8124D" w:rsidRDefault="00666086">
      <w:pPr>
        <w:pStyle w:val="a6"/>
        <w:spacing w:line="360" w:lineRule="auto"/>
        <w:jc w:val="both"/>
        <w:rPr>
          <w:rFonts w:cs="FrankRuehl"/>
          <w:sz w:val="28"/>
          <w:szCs w:val="28"/>
          <w:rtl/>
        </w:rPr>
      </w:pPr>
      <w:r>
        <w:rPr>
          <w:rFonts w:cs="FrankRuehl"/>
          <w:sz w:val="28"/>
          <w:szCs w:val="28"/>
          <w:rtl/>
        </w:rPr>
        <w:lastRenderedPageBreak/>
        <w:t>להתרשמות שירות המבחן, העבירות מהוות ביטוי להתדרדרות והסלמה במצבו של הנאשם, כמו גם לדפוסי חשיבה והתנהגות שוליים ובעייתיים, אולם מעצרו עצר את תהליך ההתדרדרות ומהווה גורם מרתיע, וכיום הוא מכיר בבעייתיות מעשיו, חש חרטה ומבטא רצון לקיים אורח חיים נורמטיבי ותהליך טיפולי מחוץ לכותלי הכלא. בנסיבות אלה העריך שירות המבחן כי קיים סיכון להישנות עבירות, וכי השתלבותו של הנאשם בטיפול במסגרת שירות המבחן עשויה לסייע בהפחתתו. לפיכך הומלץ להסתפק בתקופת מעצרו, ולהטיל עליו צו מבחן למשך שנה, במהלכה ישולב בטיפול ייעודי הממוקד בעבריינות ויועמק האבחון בנושא ההתמכרויות, כולל שימוש בסמים, אלכוהול והימורים. כן הומלץ להטיל על הנאשם של"צ בהיקף של 220 שעות, ועונש מאסר מותנה משמעותי.</w:t>
      </w:r>
    </w:p>
    <w:p w14:paraId="22F48837" w14:textId="77777777" w:rsidR="00A8124D" w:rsidRDefault="00666086">
      <w:pPr>
        <w:spacing w:line="360" w:lineRule="auto"/>
        <w:jc w:val="both"/>
        <w:rPr>
          <w:rFonts w:cs="FrankRuehl"/>
          <w:b/>
          <w:bCs/>
          <w:sz w:val="28"/>
          <w:szCs w:val="28"/>
          <w:u w:val="single"/>
          <w:rtl/>
        </w:rPr>
      </w:pPr>
      <w:r>
        <w:rPr>
          <w:rFonts w:cs="FrankRuehl"/>
          <w:b/>
          <w:bCs/>
          <w:sz w:val="28"/>
          <w:szCs w:val="28"/>
          <w:u w:val="single"/>
          <w:rtl/>
        </w:rPr>
        <w:t>ראיות לעונש</w:t>
      </w:r>
    </w:p>
    <w:p w14:paraId="1A1A6F0A"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מטעם הנאשם העידה אחותו, הגב' ליאורה איזמאילוב, ומסרה כי היא אם לשלושה ילדים קטנים, וכי הנאשם הינו אדם טוב שככל הנראה מעד עקב חובות. לדבריה היא עצמה קיבלה שיחות טלפון מאימות בעקבות חובותיו, ו</w:t>
      </w:r>
      <w:r>
        <w:rPr>
          <w:rFonts w:cs="FrankRuehl" w:hint="cs"/>
          <w:sz w:val="28"/>
          <w:szCs w:val="28"/>
          <w:rtl/>
        </w:rPr>
        <w:t>הם</w:t>
      </w:r>
      <w:r>
        <w:rPr>
          <w:rFonts w:cs="FrankRuehl"/>
          <w:sz w:val="28"/>
          <w:szCs w:val="28"/>
          <w:rtl/>
        </w:rPr>
        <w:t xml:space="preserve"> בחרו שלא לשתף את הוריהם בדבר מעצרו של הנאשם על מנת לא להסב להם צער וקושי, במצבם הרפואי הלקוי.</w:t>
      </w:r>
    </w:p>
    <w:p w14:paraId="032289EF" w14:textId="77777777" w:rsidR="00A8124D" w:rsidRDefault="00A8124D">
      <w:pPr>
        <w:pStyle w:val="a6"/>
        <w:spacing w:line="360" w:lineRule="auto"/>
        <w:jc w:val="both"/>
        <w:rPr>
          <w:rFonts w:cs="FrankRuehl"/>
          <w:sz w:val="28"/>
          <w:szCs w:val="28"/>
        </w:rPr>
      </w:pPr>
    </w:p>
    <w:p w14:paraId="5F124B3F" w14:textId="77777777" w:rsidR="00A8124D" w:rsidRDefault="00666086">
      <w:pPr>
        <w:pStyle w:val="a6"/>
        <w:spacing w:line="360" w:lineRule="auto"/>
        <w:jc w:val="both"/>
        <w:rPr>
          <w:rFonts w:cs="FrankRuehl"/>
          <w:sz w:val="28"/>
          <w:szCs w:val="28"/>
          <w:rtl/>
        </w:rPr>
      </w:pPr>
      <w:r>
        <w:rPr>
          <w:rFonts w:cs="FrankRuehl"/>
          <w:sz w:val="28"/>
          <w:szCs w:val="28"/>
          <w:rtl/>
        </w:rPr>
        <w:t xml:space="preserve">כן העיד אחיו, מר אלי מזרחי, ומסר כי הנאשם אדם חרוץ, שרת בצבא ביחידת דובדבן, תרם לחברה, לא ידע על הסתבכותו של הנאשם בחובות עובר למעצרו והדבר אינו מאפיין אותו. </w:t>
      </w:r>
    </w:p>
    <w:p w14:paraId="5BDD9D48" w14:textId="77777777" w:rsidR="00A8124D" w:rsidRDefault="00A8124D">
      <w:pPr>
        <w:pStyle w:val="a6"/>
        <w:spacing w:line="360" w:lineRule="auto"/>
        <w:jc w:val="both"/>
        <w:rPr>
          <w:rFonts w:cs="FrankRuehl"/>
          <w:sz w:val="28"/>
          <w:szCs w:val="28"/>
          <w:rtl/>
        </w:rPr>
      </w:pPr>
    </w:p>
    <w:p w14:paraId="5FE7CB7D" w14:textId="77777777" w:rsidR="00A8124D" w:rsidRDefault="00666086">
      <w:pPr>
        <w:pStyle w:val="a6"/>
        <w:spacing w:line="360" w:lineRule="auto"/>
        <w:jc w:val="both"/>
        <w:rPr>
          <w:rFonts w:cs="FrankRuehl"/>
          <w:sz w:val="28"/>
          <w:szCs w:val="28"/>
          <w:rtl/>
        </w:rPr>
      </w:pPr>
      <w:r>
        <w:rPr>
          <w:rFonts w:cs="FrankRuehl"/>
          <w:sz w:val="28"/>
          <w:szCs w:val="28"/>
          <w:rtl/>
        </w:rPr>
        <w:t xml:space="preserve">בת זוגו של הנאשם, הגב' ליאת מצליח, מסרה כי נפרדה מהנאשם בין היתר בעקבות חובותיו, וכי חידשה את הקשר עם הנאשם לאחר מעצרו. לדבריה הנאשם הוא אדם אחראי ומעד. </w:t>
      </w:r>
    </w:p>
    <w:p w14:paraId="5A766FAC" w14:textId="77777777" w:rsidR="00A8124D" w:rsidRDefault="00A8124D">
      <w:pPr>
        <w:pStyle w:val="a6"/>
        <w:spacing w:line="360" w:lineRule="auto"/>
        <w:jc w:val="both"/>
        <w:rPr>
          <w:rFonts w:cs="FrankRuehl"/>
          <w:sz w:val="28"/>
          <w:szCs w:val="28"/>
          <w:rtl/>
        </w:rPr>
      </w:pPr>
    </w:p>
    <w:p w14:paraId="0CA6FD98"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ב"כ הנאשם הפנה לאסופת מסמכים ובהם תלושי שכר ממקום עבודתו הקודם של הנאשם (ארד המרכז לצילומי צבע בע"מ),תעודת שחרור מהצבא, כתב תביעה שהוגש כנגד הנאשם מטעם בנק דיסקונט ע"ס 60,000 ₪, מסמך רפואי ע"ש אם הנאשם ממנו עולה כי זו זומנה לבדיקה מקדימה לניתוח במחלקת אף אוזן גרון. לטענת ב"כ הנאשם ואחות הנאשם, האם עברה את הניתוח במועד הטיעונים לעונש.</w:t>
      </w:r>
    </w:p>
    <w:p w14:paraId="7D5B571A" w14:textId="77777777" w:rsidR="00A8124D" w:rsidRDefault="00A8124D">
      <w:pPr>
        <w:pStyle w:val="a6"/>
        <w:spacing w:line="360" w:lineRule="auto"/>
        <w:jc w:val="both"/>
        <w:rPr>
          <w:rFonts w:cs="FrankRuehl"/>
          <w:sz w:val="28"/>
          <w:szCs w:val="28"/>
          <w:rtl/>
        </w:rPr>
      </w:pPr>
    </w:p>
    <w:p w14:paraId="34298B10" w14:textId="77777777" w:rsidR="00A8124D" w:rsidRDefault="00666086">
      <w:pPr>
        <w:spacing w:line="360" w:lineRule="auto"/>
        <w:jc w:val="both"/>
        <w:rPr>
          <w:rFonts w:cs="FrankRuehl"/>
          <w:b/>
          <w:bCs/>
          <w:sz w:val="28"/>
          <w:szCs w:val="28"/>
          <w:u w:val="single"/>
          <w:rtl/>
        </w:rPr>
      </w:pPr>
      <w:r>
        <w:rPr>
          <w:rFonts w:cs="FrankRuehl"/>
          <w:b/>
          <w:bCs/>
          <w:sz w:val="28"/>
          <w:szCs w:val="28"/>
          <w:u w:val="single"/>
          <w:rtl/>
        </w:rPr>
        <w:t>טיעוני ב"כ הצדדים לעונש</w:t>
      </w:r>
    </w:p>
    <w:p w14:paraId="38C8C027"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 xml:space="preserve">ב"כ המאשימה עמד על כך שהנאשם ייבא ארצה כמות גדולה של כ-2 ק"ג של סם מסוכן מסוג קוקאין, והפנה לפוטנציאל הנזק של סם זה, כפי שנקבע בפסיקה, ולצורך להעניש בחומרה את כל החוליות בשרשרת יבוא הסם, תוך העדפת האינטרס הציבורי על פני נסיבותיו האישיות של הנאשם. אשר להמלצות תסקיר שירות המבחן נטען, אלה אינן מתיישבות עם הסיכון שנקבע ביחס להישנות העבירות. בשים לב לכמות הסם ולטיבו טוען ב"כ המאשימה כי מתחם העונש ההולם נע בין 6 ל-9 שנות מאסר, וכי בהתחשב בגילו של הנאשם ובהיעדר עבר פלילי, יש להשית עליו 7 שנות מאסר בפועל, כמו גם עונש מאסר מותנה וקנס משמעותי. </w:t>
      </w:r>
    </w:p>
    <w:p w14:paraId="08805BC2" w14:textId="77777777" w:rsidR="00A8124D" w:rsidRDefault="00A8124D">
      <w:pPr>
        <w:pStyle w:val="a6"/>
        <w:spacing w:line="360" w:lineRule="auto"/>
        <w:jc w:val="both"/>
        <w:rPr>
          <w:rFonts w:cs="FrankRuehl"/>
          <w:sz w:val="28"/>
          <w:szCs w:val="28"/>
        </w:rPr>
      </w:pPr>
    </w:p>
    <w:p w14:paraId="3F4CCECF" w14:textId="77777777" w:rsidR="00A8124D" w:rsidRDefault="00666086">
      <w:pPr>
        <w:pStyle w:val="a6"/>
        <w:spacing w:line="360" w:lineRule="auto"/>
        <w:jc w:val="both"/>
        <w:rPr>
          <w:rFonts w:cs="FrankRuehl"/>
          <w:sz w:val="28"/>
          <w:szCs w:val="28"/>
        </w:rPr>
      </w:pPr>
      <w:r>
        <w:rPr>
          <w:rFonts w:cs="FrankRuehl"/>
          <w:sz w:val="28"/>
          <w:szCs w:val="28"/>
          <w:rtl/>
        </w:rPr>
        <w:t>כתימוכין לעתירתו, הפנה ב"כ המאשימה לפסיקה כדלקמן:</w:t>
      </w:r>
    </w:p>
    <w:p w14:paraId="00A6B0EC" w14:textId="77777777" w:rsidR="00A8124D" w:rsidRDefault="00666086">
      <w:pPr>
        <w:pStyle w:val="a6"/>
        <w:numPr>
          <w:ilvl w:val="0"/>
          <w:numId w:val="2"/>
        </w:numPr>
        <w:spacing w:line="360" w:lineRule="auto"/>
        <w:jc w:val="both"/>
        <w:rPr>
          <w:rFonts w:cs="FrankRuehl"/>
          <w:sz w:val="28"/>
          <w:szCs w:val="28"/>
          <w:rtl/>
        </w:rPr>
      </w:pPr>
      <w:hyperlink r:id="rId19"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3625/11</w:t>
        </w:r>
      </w:hyperlink>
      <w:r>
        <w:rPr>
          <w:rFonts w:cs="FrankRuehl"/>
          <w:sz w:val="28"/>
          <w:szCs w:val="28"/>
          <w:rtl/>
        </w:rPr>
        <w:t>, 3626 פלונית ואח' נ' מדינת ישראל – המערערים, אזרחי בוליביה וארגנטינה, טסו יחד ממדריד לישראל, בדרכם מבוליביה, כשהם נושאים בגופם סם מסוכן מסוג קוקאין במשקל כולל של כ-1,886 גרם (בליעת קפסולות). המערערים נקלעו לביצוע המעשים בעקבות מצוקה כלכלית קשה בארץ מוצאם, לא היו מהמארגנים אלא חוליה חלשה בשרשרת הפצת הסם, והם ושיתפו פעולה עם רשויות החוק באופן מלא. יחד עם זאת, קבע בית המשפט העליון כי אין מנוס מהעדפת האינטרס החברתי הכולל, לאור הפגיעה הנרחבת של הסמים המסוכנים ביחידים ובציבור, וערעורם על העונשים שהוטלו עליהם – 45 ו-55 חודשי מאסר - נדחה.</w:t>
      </w:r>
    </w:p>
    <w:p w14:paraId="15DDF96C" w14:textId="77777777" w:rsidR="00A8124D" w:rsidRDefault="00666086">
      <w:pPr>
        <w:pStyle w:val="a6"/>
        <w:numPr>
          <w:ilvl w:val="0"/>
          <w:numId w:val="2"/>
        </w:numPr>
        <w:spacing w:line="360" w:lineRule="auto"/>
        <w:jc w:val="both"/>
        <w:rPr>
          <w:rFonts w:cs="FrankRuehl"/>
          <w:sz w:val="28"/>
          <w:szCs w:val="28"/>
        </w:rPr>
      </w:pPr>
      <w:hyperlink r:id="rId20"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312/13</w:t>
        </w:r>
      </w:hyperlink>
      <w:r>
        <w:rPr>
          <w:rFonts w:cs="FrankRuehl"/>
          <w:sz w:val="28"/>
          <w:szCs w:val="28"/>
          <w:rtl/>
        </w:rPr>
        <w:t xml:space="preserve"> עאידה חנפיס נ' מדינת ישראל – המערער פנה לסוכן משטרתי והציע לו להיות בלדר ולייבא ארצה מפרו קוקאין, הפנה אותו לאדם שסיפק לו את הסמים וייבא ארצה 1.1 ק"ג סם מסוכן מסוג קוקאין. בשתי הזדמנויות קודמות קשר המערער קשר עם הסוכן והלה ייבא עבורו כ-400 גרם קוקאין בעבור 4000$.  בית המשפט המחוזי קבע מתחם ענישה שנע בין 4 ל-12 שנות מאסר, ובשים לב לכך שמדובר בהרשעתו הראשונה של המערער ולהודאתו הטיל עליו 4.5 שנות מאסר בפועל. בית המשפט העליון (כב' הש' סולברג) מצא כי אין להתערב בעונש אף שמדובר באדם נורמטיבי, לאור המאבק בנגע הסמים והנזק הפוטנציאלי הגלום בסמים ליחידים ולציבור. אעיר, כי אין עניינו של מי ששלח אחרים להיות בלדרים במספר הזדמנויות דומה לענייננו.</w:t>
      </w:r>
    </w:p>
    <w:p w14:paraId="7FB653BD" w14:textId="77777777" w:rsidR="00A8124D" w:rsidRDefault="00666086">
      <w:pPr>
        <w:pStyle w:val="a6"/>
        <w:numPr>
          <w:ilvl w:val="0"/>
          <w:numId w:val="2"/>
        </w:numPr>
        <w:spacing w:line="360" w:lineRule="auto"/>
        <w:jc w:val="both"/>
        <w:rPr>
          <w:rFonts w:cs="FrankRuehl"/>
          <w:sz w:val="28"/>
          <w:szCs w:val="28"/>
        </w:rPr>
      </w:pPr>
      <w:hyperlink r:id="rId21"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10254/09</w:t>
        </w:r>
      </w:hyperlink>
      <w:r>
        <w:rPr>
          <w:rFonts w:cs="FrankRuehl"/>
          <w:sz w:val="28"/>
          <w:szCs w:val="28"/>
          <w:rtl/>
        </w:rPr>
        <w:t xml:space="preserve"> יוסף דהן נ' מדינת ישראל – המערער, צעיר ללא עבר מכביד, הורשע לאחר שמיעת ראיות בכך שקשר עם אחר לייבא ארצה 1,940 גרם סם מסוכן מסוג קוקאין ששוויו כמיליון וארבע מאות אלף ₪. הסם הוסתר בנרות חלולים אטומים בשעווה שנשלחו מהאיים הקריביים לאילת. המערער ניצל את תפקידו כעובד בסניף הדואר באילת ונטל את החבילות מהסניף. בשל כך הועמד עונשו על 12 שנות מאסר בפועל, ובית המשפט העליון דחה את הערעור על העונש לנוכח כמות הסם והנזק הפוטנציאלי לקרבנות אנונימיים. אעיר, כי נסיבות לחומרה שהתקיימו בתיק זה ואינן מתקיימות בענייננו הינן היוזמה בייבוא הסם וניצול מעמדו של המערער כעובד הדואר.</w:t>
      </w:r>
    </w:p>
    <w:p w14:paraId="10B76526" w14:textId="77777777" w:rsidR="00A8124D" w:rsidRDefault="00666086">
      <w:pPr>
        <w:pStyle w:val="a6"/>
        <w:numPr>
          <w:ilvl w:val="0"/>
          <w:numId w:val="2"/>
        </w:numPr>
        <w:spacing w:line="360" w:lineRule="auto"/>
        <w:jc w:val="both"/>
        <w:rPr>
          <w:rFonts w:cs="FrankRuehl"/>
          <w:sz w:val="28"/>
          <w:szCs w:val="28"/>
        </w:rPr>
      </w:pPr>
      <w:hyperlink r:id="rId22"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5813/14</w:t>
        </w:r>
      </w:hyperlink>
      <w:r>
        <w:rPr>
          <w:rFonts w:cs="FrankRuehl"/>
          <w:sz w:val="28"/>
          <w:szCs w:val="28"/>
          <w:rtl/>
        </w:rPr>
        <w:t xml:space="preserve"> </w:t>
      </w:r>
      <w:r>
        <w:rPr>
          <w:rFonts w:cs="FrankRuehl"/>
          <w:sz w:val="28"/>
          <w:szCs w:val="28"/>
        </w:rPr>
        <w:t xml:space="preserve">Yeni Marcela Jordan Pedraza </w:t>
      </w:r>
      <w:r>
        <w:rPr>
          <w:rFonts w:cs="FrankRuehl"/>
          <w:sz w:val="28"/>
          <w:szCs w:val="28"/>
          <w:rtl/>
        </w:rPr>
        <w:t xml:space="preserve"> נ' מדינת ישראל – המערערת אזרחית קולומביה ייבאה ארצה על גופה 660 גרם סם מסוכן מסוג קוקאין, על רקע מצוקתה הכלכלית והיותה אם חד הורית. בית המשפט המחוזי קבע את מתחם העונש ההולם בין 24 ל-55 חודשי מאסר, והשית על המערערת 45 חודשי מאסר בפועל. בית המשפט העליון (הש' הנדל) ציין שלושה רכיבי חומרה: מורכבות עבירת היבוא, סוג הסם וכמות הסם, וציין כי בהתחשב בכמות הקבועה בתוספת השנייה להחזקה לצריכה עצמית עולה כי המערערת הבריחה מעל לאלפיים מנות סם, ומכאן שאין להתערב בעונשה, ולא זו אף זו אלא שלולא נסיבותיה ראוי היה אף להחמיר עימה.</w:t>
      </w:r>
    </w:p>
    <w:p w14:paraId="66B018D3" w14:textId="77777777" w:rsidR="00A8124D" w:rsidRDefault="00666086">
      <w:pPr>
        <w:pStyle w:val="a6"/>
        <w:numPr>
          <w:ilvl w:val="0"/>
          <w:numId w:val="2"/>
        </w:numPr>
        <w:spacing w:line="360" w:lineRule="auto"/>
        <w:jc w:val="both"/>
        <w:rPr>
          <w:rFonts w:cs="FrankRuehl"/>
          <w:sz w:val="28"/>
          <w:szCs w:val="28"/>
        </w:rPr>
      </w:pPr>
      <w:hyperlink r:id="rId23"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3931/13</w:t>
        </w:r>
      </w:hyperlink>
      <w:r>
        <w:rPr>
          <w:rFonts w:cs="FrankRuehl"/>
          <w:sz w:val="28"/>
          <w:szCs w:val="28"/>
          <w:rtl/>
        </w:rPr>
        <w:t xml:space="preserve"> חיים באום נ' מדינת ישראל – המערער קשר קשר עם אחרים וייבא ארצה מארגנטינה 556 גרם סם מסוכן מסוג קוקאין (באמצעות בליעת קפסולות). בית המשפט המחוזי קבע את מתחם העונש בין 30 ל- 45 חודשי מאסר והשית על המערער 40 חודשי מאסר בפועל, בשים לב לגילו הצעיר, עברו הנקי ושיתוף פעולה עם רשויות אכיפת החוק. בית המשפט העליון (כב' הש' ג'ובראן) מצא את המתחם שנקבע על ידי בית המשפט המחוזי עולה בקנה אחד עם עקרון ההלימה, וחזר על כך שאין להקל בעונשם של הבלדרים רק בשל הצורך להחמיר בענישה עם עבריינים שמקומם בשרשרת יבוא הסם גבוה יותר.</w:t>
      </w:r>
    </w:p>
    <w:p w14:paraId="0CB5556F" w14:textId="77777777" w:rsidR="00A8124D" w:rsidRDefault="00A8124D">
      <w:pPr>
        <w:pStyle w:val="a6"/>
        <w:spacing w:line="360" w:lineRule="auto"/>
        <w:ind w:left="1080"/>
        <w:jc w:val="both"/>
        <w:rPr>
          <w:rFonts w:cs="FrankRuehl"/>
          <w:sz w:val="28"/>
          <w:szCs w:val="28"/>
        </w:rPr>
      </w:pPr>
    </w:p>
    <w:p w14:paraId="239B43B1" w14:textId="77777777" w:rsidR="00A8124D" w:rsidRDefault="00666086">
      <w:pPr>
        <w:pStyle w:val="a6"/>
        <w:numPr>
          <w:ilvl w:val="0"/>
          <w:numId w:val="1"/>
        </w:numPr>
        <w:spacing w:line="360" w:lineRule="auto"/>
        <w:jc w:val="both"/>
        <w:rPr>
          <w:rFonts w:cs="FrankRuehl"/>
          <w:sz w:val="28"/>
          <w:szCs w:val="28"/>
        </w:rPr>
      </w:pPr>
      <w:r>
        <w:rPr>
          <w:rFonts w:cs="FrankRuehl"/>
          <w:sz w:val="28"/>
          <w:szCs w:val="28"/>
          <w:rtl/>
        </w:rPr>
        <w:t>ב"כ הנאשם עמד על קשייו של הנאשם, על גילו הצעיר והיעדר עבר פלילי, על המצוקה הכלכלית שליוותה אותו מילדות, על מצבם הבריאותי הרעוע של הוריו, ועל כך שביצע שירות צבאי מלא על אף קשיים אלה. כן טען כי המעשים בוצעו על רקע חובות, וכי הנאשם אוים לבצע מעשים אלה, אם כי לא הועלתה ע"י ב"כ הנאשם טענת הכורח. ב"כ הנאשם הצביע על הדרך הטיפולית שעבר הנאשם במסגרת שב"ס, וביקש להתחשב בהודאתו ובכך שהסם נתפס ולא הסב נזק לציבור בפועל. לטענתו אין המדובר בעבריין, ויש לאמץ את המלצות התסקיר ולסטות ממתחם העונש ההולם לנוכח סיכויי שיקומו של הנאשם, בפרט בשים לב לכך שהנאשם מרצה לראשונה עונש מאסר.</w:t>
      </w:r>
    </w:p>
    <w:p w14:paraId="168091E7" w14:textId="77777777" w:rsidR="00A8124D" w:rsidRDefault="00A8124D">
      <w:pPr>
        <w:pStyle w:val="a6"/>
        <w:spacing w:line="360" w:lineRule="auto"/>
        <w:jc w:val="both"/>
        <w:rPr>
          <w:rFonts w:cs="FrankRuehl"/>
          <w:sz w:val="28"/>
          <w:szCs w:val="28"/>
          <w:rtl/>
        </w:rPr>
      </w:pPr>
    </w:p>
    <w:p w14:paraId="5D6A1206" w14:textId="77777777" w:rsidR="00A8124D" w:rsidRDefault="00A8124D">
      <w:pPr>
        <w:pStyle w:val="a6"/>
        <w:spacing w:line="360" w:lineRule="auto"/>
        <w:jc w:val="both"/>
        <w:rPr>
          <w:rFonts w:cs="FrankRuehl"/>
          <w:sz w:val="28"/>
          <w:szCs w:val="28"/>
          <w:rtl/>
        </w:rPr>
      </w:pPr>
    </w:p>
    <w:p w14:paraId="4942587B" w14:textId="77777777" w:rsidR="00A8124D" w:rsidRDefault="00A8124D">
      <w:pPr>
        <w:pStyle w:val="a6"/>
        <w:spacing w:line="360" w:lineRule="auto"/>
        <w:jc w:val="both"/>
        <w:rPr>
          <w:rFonts w:cs="FrankRuehl"/>
          <w:sz w:val="28"/>
          <w:szCs w:val="28"/>
        </w:rPr>
      </w:pPr>
    </w:p>
    <w:p w14:paraId="11493A88" w14:textId="77777777" w:rsidR="00A8124D" w:rsidRDefault="00666086">
      <w:pPr>
        <w:pStyle w:val="a6"/>
        <w:spacing w:line="360" w:lineRule="auto"/>
        <w:jc w:val="both"/>
        <w:rPr>
          <w:rFonts w:cs="FrankRuehl"/>
          <w:sz w:val="28"/>
          <w:szCs w:val="28"/>
          <w:rtl/>
        </w:rPr>
      </w:pPr>
      <w:r>
        <w:rPr>
          <w:rFonts w:cs="FrankRuehl"/>
          <w:sz w:val="28"/>
          <w:szCs w:val="28"/>
          <w:rtl/>
        </w:rPr>
        <w:t>ב"כ הנאשם הפנה לפסיקה כדלקמן:</w:t>
      </w:r>
    </w:p>
    <w:p w14:paraId="415730B3" w14:textId="77777777" w:rsidR="00A8124D" w:rsidRDefault="00666086">
      <w:pPr>
        <w:pStyle w:val="a6"/>
        <w:numPr>
          <w:ilvl w:val="0"/>
          <w:numId w:val="3"/>
        </w:numPr>
        <w:spacing w:line="360" w:lineRule="auto"/>
        <w:jc w:val="both"/>
        <w:rPr>
          <w:rFonts w:cs="FrankRuehl"/>
          <w:sz w:val="28"/>
          <w:szCs w:val="28"/>
          <w:rtl/>
        </w:rPr>
      </w:pPr>
      <w:hyperlink r:id="rId24"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7907/14</w:t>
        </w:r>
      </w:hyperlink>
      <w:r>
        <w:rPr>
          <w:rFonts w:cs="FrankRuehl"/>
          <w:sz w:val="28"/>
          <w:szCs w:val="28"/>
          <w:rtl/>
        </w:rPr>
        <w:t xml:space="preserve"> עומרי ואזנה נ' מדינת ישראל – המערער קשר עם אחרים לייבא כמות גדולה של קוקאין ממקסיקו לישראל, ולשם כך נשלחה בלדרית מהארץ. בסופו של יום העסקה לא הושלמה. במקרה זה הוטלו על המערער 3 שנות מאסר בפועל, ובית המשפט הקל בעונשו אך מהטעם של עקרון אחידות הענישה, ובשל עונשים קלים יותר שהושתו על נאשמים אחרים, מרכזיים יותר, בפרשה. </w:t>
      </w:r>
    </w:p>
    <w:p w14:paraId="48F40CD5" w14:textId="77777777" w:rsidR="00A8124D" w:rsidRDefault="00666086">
      <w:pPr>
        <w:pStyle w:val="a6"/>
        <w:numPr>
          <w:ilvl w:val="0"/>
          <w:numId w:val="3"/>
        </w:numPr>
        <w:spacing w:line="360" w:lineRule="auto"/>
        <w:jc w:val="both"/>
        <w:rPr>
          <w:rFonts w:cs="FrankRuehl"/>
          <w:sz w:val="28"/>
          <w:szCs w:val="28"/>
        </w:rPr>
      </w:pPr>
      <w:hyperlink r:id="rId25"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1635/14</w:t>
        </w:r>
      </w:hyperlink>
      <w:r>
        <w:rPr>
          <w:rFonts w:cs="FrankRuehl"/>
          <w:sz w:val="28"/>
          <w:szCs w:val="28"/>
          <w:rtl/>
        </w:rPr>
        <w:t xml:space="preserve"> שי יהודה נ' מדינת ישראל – המערער ודודו קשרו קשר עם קרוב משפחה בארה"ב לייבא סמים ארצה, ומסרו לו כתובות למשלוח סמים. בדרך זו ייבאו ארצה שתי חבילות סמים המכילות כ-8 ק"ג סם מסוכן מסוג מתיל מתא-קאתינון. המערער נורמטיבי ללא עבר, שירות המבחן המליץ על שיקומו. בית המשפט המחוזי קבע כי תחם העונש נע בין 40 חודשי מאסר לשש שנות מאסר ומצא לסטות לקולא מהמתחם לנוכח המלצות התסקיר והשית על המערער 30 חודשי מאסר לריצוי בפועל – בדומה לעתירת התביעה. בית המשפט העליון דחה את הערעור על העונש.</w:t>
      </w:r>
    </w:p>
    <w:p w14:paraId="559D1DFF" w14:textId="77777777" w:rsidR="00A8124D" w:rsidRDefault="00666086">
      <w:pPr>
        <w:pStyle w:val="a6"/>
        <w:numPr>
          <w:ilvl w:val="0"/>
          <w:numId w:val="3"/>
        </w:numPr>
        <w:spacing w:line="360" w:lineRule="auto"/>
        <w:jc w:val="both"/>
        <w:rPr>
          <w:rFonts w:cs="FrankRuehl"/>
          <w:sz w:val="28"/>
          <w:szCs w:val="28"/>
        </w:rPr>
      </w:pPr>
      <w:r>
        <w:rPr>
          <w:rFonts w:cs="FrankRuehl"/>
          <w:sz w:val="28"/>
          <w:szCs w:val="28"/>
          <w:rtl/>
        </w:rPr>
        <w:t>ע"פ 5953/12 מדינת ישראל נ' מרדכי אביטל ודוידי אהרון – דוידי חבר לאחרים (אסירים בפרו) לייבוא סם ארצה דרך מצרים, ולאחר שהכניס הסם ארצה העביר דגימה ממנו לאביטל. על דוידי, בעל עבר עשיר, הוטלו 5 שנות מאסר, לאחר שנקבע שמתחם העונש נע בין 4.5 לשמונה שנות מאסר. על אביטל (דוגם הסם), שעמד בקשר קונקרטי עם שירות המבחן, נגמל מסמים ולקח אחריות על מעשיו, אף כי שירות המבחן לא בא בהמלצה טיפולית בעניינו, הוטלו 21 חודשי מאסר לאחר שנקבע מתחם הנע בין 10 ל-32 חודשי מאסר, אך עונש זה אינו רלבנטי לענייננו.</w:t>
      </w:r>
    </w:p>
    <w:p w14:paraId="07949895" w14:textId="77777777" w:rsidR="00A8124D" w:rsidRDefault="00666086">
      <w:pPr>
        <w:pStyle w:val="a6"/>
        <w:numPr>
          <w:ilvl w:val="0"/>
          <w:numId w:val="3"/>
        </w:numPr>
        <w:spacing w:line="360" w:lineRule="auto"/>
        <w:jc w:val="both"/>
        <w:rPr>
          <w:rFonts w:cs="FrankRuehl"/>
          <w:sz w:val="28"/>
          <w:szCs w:val="28"/>
        </w:rPr>
      </w:pPr>
      <w:hyperlink r:id="rId26"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9482/09</w:t>
        </w:r>
      </w:hyperlink>
      <w:r>
        <w:rPr>
          <w:rFonts w:cs="FrankRuehl"/>
          <w:sz w:val="28"/>
          <w:szCs w:val="28"/>
          <w:rtl/>
        </w:rPr>
        <w:t xml:space="preserve"> שמעון ביטון נ' מדינת ישראל – המערער טס עם שלושה בלדרים לחו"ל ושם סיפק להם סם מסוג קוקאין. הבלדרים בלעו את הסם וייבאו אותה ארצה בקיבתם. באופן זה ייבא המערער כ-1,200 גרם מהסם האמור. בית המשפט המחוזי השית על המערער 6.5 שנות מאסר, על אחד הבלדרים ("יוני") הוטלו 4.5 שנות מאסר, על בלדר נוסף ("שלמה") שמאן ליטול הסמים הוטלו 9 חודשי מאסר ועל הבלדרית ("לריסה") הוטלו 8 חודשי מאסר בפועל לאור האבחנה בחלק שנטלו באירוע. בית המשפט העליון עמד על האבחנה בין חלקם של המעורבים ומצא שלא להתערב בעונשו של המערער. </w:t>
      </w:r>
    </w:p>
    <w:p w14:paraId="6AAE308B" w14:textId="77777777" w:rsidR="00A8124D" w:rsidRDefault="00666086">
      <w:pPr>
        <w:spacing w:line="360" w:lineRule="auto"/>
        <w:ind w:left="720"/>
        <w:jc w:val="both"/>
        <w:rPr>
          <w:rFonts w:cs="FrankRuehl"/>
          <w:sz w:val="28"/>
          <w:szCs w:val="28"/>
        </w:rPr>
      </w:pPr>
      <w:r>
        <w:rPr>
          <w:rFonts w:cs="FrankRuehl"/>
          <w:sz w:val="28"/>
          <w:szCs w:val="28"/>
          <w:rtl/>
        </w:rPr>
        <w:t>יודגש, כי עיון בגזרי הדין של בית המשפט המחוזי מעלה כי עונשו של הבלדר שלמה היה מקל לנוכח העובדה שחזר בו בהיותו בחו"ל מהסכמתו לייבא את הסם, לאור הודאתו והפללתו את המעורבים האחרים בפרשה כמו גם העובדה שהותקף בשל כך במהלך מעצרו. וכי עונשה של הבלדרית היה מקל לנוכח זיכוייה מחמת הספק מעבירת ייבוא הסם בשל היעדר מודעות, והרשעתה בעבירת קשירת קשר בלבד. על כן ברי שאין ללמוד מעונשים אלה דבר וחצי דבר לענייננו.</w:t>
      </w:r>
    </w:p>
    <w:p w14:paraId="378928FA" w14:textId="77777777" w:rsidR="00A8124D" w:rsidRDefault="00666086">
      <w:pPr>
        <w:pStyle w:val="a6"/>
        <w:spacing w:line="360" w:lineRule="auto"/>
        <w:ind w:left="1080"/>
        <w:jc w:val="both"/>
        <w:rPr>
          <w:rFonts w:cs="FrankRuehl"/>
          <w:sz w:val="28"/>
          <w:szCs w:val="28"/>
        </w:rPr>
      </w:pPr>
      <w:r>
        <w:rPr>
          <w:rFonts w:cs="FrankRuehl"/>
          <w:sz w:val="28"/>
          <w:szCs w:val="28"/>
          <w:rtl/>
        </w:rPr>
        <w:t xml:space="preserve"> </w:t>
      </w:r>
    </w:p>
    <w:p w14:paraId="23F5C88D"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הנאשם בדברו האחרון הביע חרטה על מעשיו, מסר כי ספג בביתו ערכים ועבד בצורה מסודרת, הסם לא היה שלו ולא היה מיועד לו.</w:t>
      </w:r>
    </w:p>
    <w:p w14:paraId="271B98E0" w14:textId="77777777" w:rsidR="00A8124D" w:rsidRDefault="00A8124D">
      <w:pPr>
        <w:pStyle w:val="a6"/>
        <w:spacing w:line="360" w:lineRule="auto"/>
        <w:jc w:val="both"/>
        <w:rPr>
          <w:rFonts w:cs="FrankRuehl"/>
          <w:sz w:val="28"/>
          <w:szCs w:val="28"/>
        </w:rPr>
      </w:pPr>
    </w:p>
    <w:p w14:paraId="68C48012" w14:textId="77777777" w:rsidR="00A8124D" w:rsidRDefault="00666086">
      <w:pPr>
        <w:spacing w:line="360" w:lineRule="auto"/>
        <w:jc w:val="both"/>
        <w:rPr>
          <w:rFonts w:cs="FrankRuehl"/>
          <w:b/>
          <w:bCs/>
          <w:sz w:val="28"/>
          <w:szCs w:val="28"/>
          <w:u w:val="single"/>
          <w:rtl/>
        </w:rPr>
      </w:pPr>
      <w:r>
        <w:rPr>
          <w:rFonts w:cs="FrankRuehl"/>
          <w:b/>
          <w:bCs/>
          <w:sz w:val="28"/>
          <w:szCs w:val="28"/>
          <w:u w:val="single"/>
          <w:rtl/>
        </w:rPr>
        <w:t>דיון והכרעה</w:t>
      </w:r>
    </w:p>
    <w:p w14:paraId="5572234E" w14:textId="77777777" w:rsidR="00A8124D" w:rsidRDefault="00666086">
      <w:pPr>
        <w:spacing w:line="360" w:lineRule="auto"/>
        <w:jc w:val="both"/>
        <w:rPr>
          <w:rFonts w:cs="FrankRuehl"/>
          <w:b/>
          <w:bCs/>
          <w:sz w:val="28"/>
          <w:szCs w:val="28"/>
          <w:u w:val="single"/>
          <w:rtl/>
        </w:rPr>
      </w:pPr>
      <w:r>
        <w:rPr>
          <w:rFonts w:cs="FrankRuehl"/>
          <w:b/>
          <w:bCs/>
          <w:sz w:val="28"/>
          <w:szCs w:val="28"/>
          <w:u w:val="single"/>
          <w:rtl/>
        </w:rPr>
        <w:t>מתחם העונש ההולם למעשה העבירה</w:t>
      </w:r>
    </w:p>
    <w:p w14:paraId="16C14F57"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 xml:space="preserve">כפי שתואר לעיל, הנאשם יצא את הארץ וטס לברזיל, שם קיבל לידיו סם מסוג קוקאין במשקל של כ-2 ק"ג נטו, שהוסלק בפסלונים. הנאשם נטל את הסם האמור וייבא אותו ארצה בטיסה חזרה, ונעצר בהיותו בנתב"ג.  </w:t>
      </w:r>
    </w:p>
    <w:p w14:paraId="110D7495" w14:textId="77777777" w:rsidR="00A8124D" w:rsidRDefault="00A8124D">
      <w:pPr>
        <w:pStyle w:val="a6"/>
        <w:spacing w:line="360" w:lineRule="auto"/>
        <w:jc w:val="both"/>
        <w:rPr>
          <w:rFonts w:cs="FrankRuehl"/>
          <w:sz w:val="28"/>
          <w:szCs w:val="28"/>
        </w:rPr>
      </w:pPr>
    </w:p>
    <w:p w14:paraId="4C3E1F8A" w14:textId="77777777" w:rsidR="00A8124D" w:rsidRDefault="00666086">
      <w:pPr>
        <w:pStyle w:val="a6"/>
        <w:spacing w:line="360" w:lineRule="auto"/>
        <w:jc w:val="both"/>
        <w:rPr>
          <w:rFonts w:cs="FrankRuehl"/>
          <w:sz w:val="28"/>
          <w:szCs w:val="28"/>
        </w:rPr>
      </w:pPr>
      <w:r>
        <w:rPr>
          <w:rFonts w:cs="FrankRuehl"/>
          <w:sz w:val="28"/>
          <w:szCs w:val="28"/>
          <w:rtl/>
        </w:rPr>
        <w:t xml:space="preserve">מעשים אלה (כמו גם עבירת הייבוא מטיבה) בוצעו לאחר תכנון מוקדם; כמות הסם שיובאה הינה רבה, וסוג הסם שיובא הינו סם קשה, אשר הנזק הפוטנציאלי שהיה ביכולתו להסב הינו רב, ואך בשל פעולות אכיפה מבורכות נמנעה כניסתו של הסם לשוק הצרכנים. </w:t>
      </w:r>
    </w:p>
    <w:p w14:paraId="064CDFCE" w14:textId="77777777" w:rsidR="00A8124D" w:rsidRDefault="00A8124D">
      <w:pPr>
        <w:pStyle w:val="a6"/>
        <w:spacing w:line="360" w:lineRule="auto"/>
        <w:jc w:val="both"/>
        <w:rPr>
          <w:rFonts w:cs="FrankRuehl"/>
          <w:sz w:val="28"/>
          <w:szCs w:val="28"/>
          <w:rtl/>
        </w:rPr>
      </w:pPr>
    </w:p>
    <w:p w14:paraId="4E32A02D" w14:textId="77777777" w:rsidR="00A8124D" w:rsidRDefault="00666086">
      <w:pPr>
        <w:pStyle w:val="a6"/>
        <w:spacing w:line="360" w:lineRule="auto"/>
        <w:jc w:val="both"/>
        <w:rPr>
          <w:rFonts w:cs="FrankRuehl"/>
          <w:sz w:val="28"/>
          <w:szCs w:val="28"/>
          <w:rtl/>
        </w:rPr>
      </w:pPr>
      <w:r>
        <w:rPr>
          <w:rFonts w:cs="FrankRuehl"/>
          <w:sz w:val="28"/>
          <w:szCs w:val="28"/>
          <w:rtl/>
        </w:rPr>
        <w:t xml:space="preserve">לבית המשפט לא נמסר מידע במסגרת העובדתית של כתב האישום אודות זהות יוזם ביצוע העבירות ומעמדו של הנאשם בביצוע העבירות, ומנגד, אף טענותיו של הנאשם בדבר ביצוע המעשים עקב איומים אינם בגדר נסיבה מוסכמת ולא הוכחו כנדרש במסגרת הטיעונים לעונש (ראו לעניין זה את </w:t>
      </w:r>
      <w:hyperlink r:id="rId27" w:history="1">
        <w:r w:rsidR="00114BBC" w:rsidRPr="00114BBC">
          <w:rPr>
            <w:rFonts w:cs="FrankRuehl" w:hint="cs"/>
            <w:color w:val="0000FF"/>
            <w:sz w:val="28"/>
            <w:szCs w:val="28"/>
            <w:u w:val="single"/>
            <w:rtl/>
          </w:rPr>
          <w:t>סעיף</w:t>
        </w:r>
        <w:r w:rsidR="00114BBC" w:rsidRPr="00114BBC">
          <w:rPr>
            <w:rFonts w:cs="FrankRuehl"/>
            <w:color w:val="0000FF"/>
            <w:sz w:val="28"/>
            <w:szCs w:val="28"/>
            <w:u w:val="single"/>
            <w:rtl/>
          </w:rPr>
          <w:t xml:space="preserve"> 40</w:t>
        </w:r>
        <w:r w:rsidR="00114BBC" w:rsidRPr="00114BBC">
          <w:rPr>
            <w:rFonts w:cs="FrankRuehl" w:hint="cs"/>
            <w:color w:val="0000FF"/>
            <w:sz w:val="28"/>
            <w:szCs w:val="28"/>
            <w:u w:val="single"/>
            <w:rtl/>
          </w:rPr>
          <w:t>י</w:t>
        </w:r>
        <w:r w:rsidR="00114BBC" w:rsidRPr="00114BBC">
          <w:rPr>
            <w:rFonts w:cs="FrankRuehl"/>
            <w:color w:val="0000FF"/>
            <w:sz w:val="28"/>
            <w:szCs w:val="28"/>
            <w:u w:val="single"/>
            <w:rtl/>
          </w:rPr>
          <w:t>.</w:t>
        </w:r>
      </w:hyperlink>
      <w:r>
        <w:rPr>
          <w:rFonts w:cs="FrankRuehl"/>
          <w:sz w:val="28"/>
          <w:szCs w:val="28"/>
          <w:rtl/>
        </w:rPr>
        <w:t xml:space="preserve"> ל</w:t>
      </w:r>
      <w:hyperlink r:id="rId28" w:history="1">
        <w:r w:rsidRPr="00666086">
          <w:rPr>
            <w:rStyle w:val="Hyperlink"/>
            <w:rFonts w:cs="FrankRuehl" w:hint="cs"/>
            <w:sz w:val="28"/>
            <w:szCs w:val="28"/>
            <w:rtl/>
          </w:rPr>
          <w:t>חוק</w:t>
        </w:r>
        <w:r w:rsidRPr="00666086">
          <w:rPr>
            <w:rStyle w:val="Hyperlink"/>
            <w:rFonts w:cs="FrankRuehl"/>
            <w:sz w:val="28"/>
            <w:szCs w:val="28"/>
            <w:rtl/>
          </w:rPr>
          <w:t xml:space="preserve"> </w:t>
        </w:r>
        <w:r w:rsidRPr="00666086">
          <w:rPr>
            <w:rStyle w:val="Hyperlink"/>
            <w:rFonts w:cs="FrankRuehl" w:hint="cs"/>
            <w:sz w:val="28"/>
            <w:szCs w:val="28"/>
            <w:rtl/>
          </w:rPr>
          <w:t>העונשין</w:t>
        </w:r>
      </w:hyperlink>
      <w:r>
        <w:rPr>
          <w:rFonts w:cs="FrankRuehl"/>
          <w:sz w:val="28"/>
          <w:szCs w:val="28"/>
          <w:rtl/>
        </w:rPr>
        <w:t>). בשים לב לכך לא אדרש לא לאלה ולא לאלה.</w:t>
      </w:r>
    </w:p>
    <w:p w14:paraId="0737BCFC" w14:textId="77777777" w:rsidR="00A8124D" w:rsidRDefault="00A8124D">
      <w:pPr>
        <w:pStyle w:val="a6"/>
        <w:spacing w:line="360" w:lineRule="auto"/>
        <w:jc w:val="both"/>
        <w:rPr>
          <w:rFonts w:cs="FrankRuehl"/>
          <w:sz w:val="28"/>
          <w:szCs w:val="28"/>
          <w:rtl/>
        </w:rPr>
      </w:pPr>
    </w:p>
    <w:p w14:paraId="0059D2D6" w14:textId="77777777" w:rsidR="00A8124D" w:rsidRDefault="00666086">
      <w:pPr>
        <w:pStyle w:val="a6"/>
        <w:spacing w:line="360" w:lineRule="auto"/>
        <w:jc w:val="both"/>
        <w:rPr>
          <w:rFonts w:cs="FrankRuehl"/>
          <w:sz w:val="28"/>
          <w:szCs w:val="28"/>
          <w:rtl/>
        </w:rPr>
      </w:pPr>
      <w:r>
        <w:rPr>
          <w:rFonts w:cs="FrankRuehl"/>
          <w:sz w:val="28"/>
          <w:szCs w:val="28"/>
          <w:rtl/>
        </w:rPr>
        <w:t>בית המשפט העליון עמד לא אחת על הצורך לעקור מן השורש את נגע הסמים הפוגע בחברתנו, לאור הנזק העצום שמסבים הסחר והשימוש בסמים בכלל, ובסם הקוקאין בפרט, ליחידים ולחברה בכללותה. מאבק זה מחייב כי העונשים שיגזרו על ידי בתי המשפט יהיו מרתיעים והולמים, ועל כן, יש ליתן משקל ממשי לשיקול ההרתעתי אל מול השיקולים האישיים, שמשקלם יהיה נמוך יותר (</w:t>
      </w:r>
      <w:hyperlink r:id="rId29"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5953/13</w:t>
        </w:r>
      </w:hyperlink>
      <w:r>
        <w:rPr>
          <w:rFonts w:cs="FrankRuehl"/>
          <w:sz w:val="28"/>
          <w:szCs w:val="28"/>
          <w:rtl/>
        </w:rPr>
        <w:t xml:space="preserve"> אביטל ואהרון נ' מדינת ישראל).</w:t>
      </w:r>
    </w:p>
    <w:p w14:paraId="10FA1391" w14:textId="77777777" w:rsidR="00A8124D" w:rsidRDefault="00A8124D">
      <w:pPr>
        <w:pStyle w:val="a6"/>
        <w:spacing w:line="360" w:lineRule="auto"/>
        <w:jc w:val="both"/>
        <w:rPr>
          <w:rFonts w:cs="FrankRuehl"/>
          <w:sz w:val="28"/>
          <w:szCs w:val="28"/>
          <w:rtl/>
        </w:rPr>
      </w:pPr>
    </w:p>
    <w:p w14:paraId="64CD6184" w14:textId="77777777" w:rsidR="00A8124D" w:rsidRDefault="00666086">
      <w:pPr>
        <w:pStyle w:val="a6"/>
        <w:spacing w:line="360" w:lineRule="auto"/>
        <w:jc w:val="both"/>
        <w:rPr>
          <w:rFonts w:cs="FrankRuehl"/>
          <w:sz w:val="28"/>
          <w:szCs w:val="28"/>
          <w:rtl/>
        </w:rPr>
      </w:pPr>
      <w:r>
        <w:rPr>
          <w:rFonts w:cs="FrankRuehl"/>
          <w:sz w:val="28"/>
          <w:szCs w:val="28"/>
          <w:rtl/>
        </w:rPr>
        <w:t xml:space="preserve">כן נקבע, כי יש להחמיר בעונשם של בלדרי הסמים, על אף שמקומם אינו גבוה בשרשרת ייבוא הסמים, לנוכח חלקם בהחדרת הסם לגבולות ארצנו (ראו: </w:t>
      </w:r>
      <w:hyperlink r:id="rId30"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3931/13</w:t>
        </w:r>
      </w:hyperlink>
      <w:r>
        <w:rPr>
          <w:rFonts w:cs="FrankRuehl"/>
          <w:sz w:val="28"/>
          <w:szCs w:val="28"/>
          <w:rtl/>
        </w:rPr>
        <w:t xml:space="preserve"> חיים באום נ' מדינת ישראל; </w:t>
      </w:r>
      <w:hyperlink r:id="rId31"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4008/11</w:t>
        </w:r>
      </w:hyperlink>
      <w:r>
        <w:rPr>
          <w:rFonts w:cs="FrankRuehl"/>
          <w:sz w:val="28"/>
          <w:szCs w:val="28"/>
          <w:rtl/>
        </w:rPr>
        <w:t xml:space="preserve"> גוארדיה נ' מדינת ישראל; </w:t>
      </w:r>
      <w:hyperlink r:id="rId32" w:history="1">
        <w:r w:rsidRPr="00666086">
          <w:rPr>
            <w:rStyle w:val="Hyperlink"/>
            <w:rFonts w:cs="FrankRuehl" w:hint="cs"/>
            <w:sz w:val="28"/>
            <w:szCs w:val="28"/>
            <w:rtl/>
          </w:rPr>
          <w:t>ע</w:t>
        </w:r>
        <w:r w:rsidRPr="00666086">
          <w:rPr>
            <w:rStyle w:val="Hyperlink"/>
            <w:rFonts w:cs="FrankRuehl"/>
            <w:sz w:val="28"/>
            <w:szCs w:val="28"/>
            <w:rtl/>
          </w:rPr>
          <w:t>"</w:t>
        </w:r>
        <w:r w:rsidRPr="00666086">
          <w:rPr>
            <w:rStyle w:val="Hyperlink"/>
            <w:rFonts w:cs="FrankRuehl" w:hint="cs"/>
            <w:sz w:val="28"/>
            <w:szCs w:val="28"/>
            <w:rtl/>
          </w:rPr>
          <w:t>פ</w:t>
        </w:r>
        <w:r w:rsidRPr="00666086">
          <w:rPr>
            <w:rStyle w:val="Hyperlink"/>
            <w:rFonts w:cs="FrankRuehl"/>
            <w:sz w:val="28"/>
            <w:szCs w:val="28"/>
            <w:rtl/>
          </w:rPr>
          <w:t xml:space="preserve"> 3625/11</w:t>
        </w:r>
      </w:hyperlink>
      <w:r>
        <w:rPr>
          <w:rFonts w:cs="FrankRuehl"/>
          <w:sz w:val="28"/>
          <w:szCs w:val="28"/>
          <w:rtl/>
        </w:rPr>
        <w:t xml:space="preserve"> פלונית נ' מדינת ישראל).</w:t>
      </w:r>
    </w:p>
    <w:p w14:paraId="3622E3DF" w14:textId="77777777" w:rsidR="00A8124D" w:rsidRDefault="00A8124D">
      <w:pPr>
        <w:pStyle w:val="a6"/>
        <w:spacing w:line="360" w:lineRule="auto"/>
        <w:jc w:val="both"/>
        <w:rPr>
          <w:rFonts w:cs="FrankRuehl"/>
          <w:sz w:val="28"/>
          <w:szCs w:val="28"/>
          <w:rtl/>
        </w:rPr>
      </w:pPr>
    </w:p>
    <w:p w14:paraId="738CA2AC" w14:textId="77777777" w:rsidR="00A8124D" w:rsidRDefault="00666086">
      <w:pPr>
        <w:pStyle w:val="a6"/>
        <w:spacing w:line="360" w:lineRule="auto"/>
        <w:jc w:val="both"/>
        <w:rPr>
          <w:rFonts w:cs="FrankRuehl"/>
          <w:sz w:val="28"/>
          <w:szCs w:val="28"/>
          <w:rtl/>
        </w:rPr>
      </w:pPr>
      <w:r>
        <w:rPr>
          <w:rFonts w:cs="FrankRuehl"/>
          <w:sz w:val="28"/>
          <w:szCs w:val="28"/>
          <w:rtl/>
        </w:rPr>
        <w:t>הערכים המוגנים בעבירה הם, אם כן, שלום הציבור ובטחונו, והצורך במיגור תופעת הסחר בסמים.</w:t>
      </w:r>
    </w:p>
    <w:p w14:paraId="75499751" w14:textId="77777777" w:rsidR="00A8124D" w:rsidRDefault="00A8124D">
      <w:pPr>
        <w:pStyle w:val="a6"/>
        <w:spacing w:line="360" w:lineRule="auto"/>
        <w:jc w:val="both"/>
        <w:rPr>
          <w:rFonts w:cs="FrankRuehl"/>
          <w:sz w:val="28"/>
          <w:szCs w:val="28"/>
          <w:rtl/>
        </w:rPr>
      </w:pPr>
    </w:p>
    <w:p w14:paraId="233F01ED" w14:textId="77777777" w:rsidR="00A8124D" w:rsidRDefault="00666086">
      <w:pPr>
        <w:pStyle w:val="a6"/>
        <w:spacing w:line="360" w:lineRule="auto"/>
        <w:jc w:val="both"/>
        <w:rPr>
          <w:rFonts w:cs="FrankRuehl"/>
          <w:sz w:val="28"/>
          <w:szCs w:val="28"/>
          <w:rtl/>
        </w:rPr>
      </w:pPr>
      <w:r>
        <w:rPr>
          <w:rFonts w:cs="FrankRuehl"/>
          <w:sz w:val="28"/>
          <w:szCs w:val="28"/>
          <w:rtl/>
        </w:rPr>
        <w:t xml:space="preserve">בשים לב לנסיבות העבירה שלפנינו ולרמת הענישה הנוהגת, כפי שנסקרה לעיל, מצאתי כי מתחם העונש ההולם בענייננו נע בין 45 ל-85 חודשי מאסר בפועל. </w:t>
      </w:r>
    </w:p>
    <w:p w14:paraId="4339B28B" w14:textId="77777777" w:rsidR="00A8124D" w:rsidRDefault="00666086">
      <w:pPr>
        <w:spacing w:line="360" w:lineRule="auto"/>
        <w:jc w:val="both"/>
        <w:rPr>
          <w:rFonts w:cs="FrankRuehl"/>
          <w:sz w:val="28"/>
          <w:szCs w:val="28"/>
          <w:rtl/>
        </w:rPr>
      </w:pPr>
      <w:r>
        <w:rPr>
          <w:rFonts w:cs="FrankRuehl"/>
          <w:b/>
          <w:bCs/>
          <w:sz w:val="28"/>
          <w:szCs w:val="28"/>
          <w:u w:val="single"/>
          <w:rtl/>
        </w:rPr>
        <w:t xml:space="preserve">קביעת העונש בתוך המתחם </w:t>
      </w:r>
    </w:p>
    <w:p w14:paraId="17836959"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 xml:space="preserve">שירות המבחן הצביע על תהליך של התדרדרות תוך נטייה להתמכרות ואף להימורים, אשר </w:t>
      </w:r>
      <w:r>
        <w:rPr>
          <w:rFonts w:cs="FrankRuehl" w:hint="cs"/>
          <w:sz w:val="28"/>
          <w:szCs w:val="28"/>
          <w:rtl/>
        </w:rPr>
        <w:t>נ</w:t>
      </w:r>
      <w:r>
        <w:rPr>
          <w:rFonts w:cs="FrankRuehl"/>
          <w:sz w:val="28"/>
          <w:szCs w:val="28"/>
          <w:rtl/>
        </w:rPr>
        <w:t xml:space="preserve">עצר בעקבות מעצרו של הנאשם. כן התרשם שירות המבחן מקיומו של סיכון להישנות העבירות. </w:t>
      </w:r>
    </w:p>
    <w:p w14:paraId="276D2F8F" w14:textId="77777777" w:rsidR="00A8124D" w:rsidRDefault="00A8124D">
      <w:pPr>
        <w:pStyle w:val="a6"/>
        <w:spacing w:line="360" w:lineRule="auto"/>
        <w:jc w:val="both"/>
        <w:rPr>
          <w:rFonts w:cs="FrankRuehl"/>
          <w:sz w:val="18"/>
          <w:szCs w:val="18"/>
        </w:rPr>
      </w:pPr>
    </w:p>
    <w:p w14:paraId="22C64B94" w14:textId="77777777" w:rsidR="00A8124D" w:rsidRDefault="00666086">
      <w:pPr>
        <w:pStyle w:val="a6"/>
        <w:spacing w:line="360" w:lineRule="auto"/>
        <w:jc w:val="both"/>
        <w:rPr>
          <w:rFonts w:cs="FrankRuehl"/>
          <w:sz w:val="28"/>
          <w:szCs w:val="28"/>
          <w:rtl/>
        </w:rPr>
      </w:pPr>
      <w:r>
        <w:rPr>
          <w:rFonts w:cs="FrankRuehl"/>
          <w:sz w:val="28"/>
          <w:szCs w:val="28"/>
          <w:rtl/>
        </w:rPr>
        <w:t xml:space="preserve">התרשמות גורמי הטיפול בכלא מלמדת על ראשיתו של תהליך טיפולי, כאשר עיקר הקשר עסק בצרכיו הקונקרטיים של הנאשם וחששו מההליך המשפטי, ועל כן אף שיש לברך על מאמציו של הנאשם לעלות על דרך המלך, הרי שלא ניתן לקבוע בשלב מוקדם זה כי הנאשם השתקם או כי קיים סיכוי של ממש שישתקם, על פי הוראות </w:t>
      </w:r>
      <w:hyperlink r:id="rId33" w:history="1">
        <w:r w:rsidR="00114BBC" w:rsidRPr="00114BBC">
          <w:rPr>
            <w:rFonts w:cs="FrankRuehl" w:hint="cs"/>
            <w:color w:val="0000FF"/>
            <w:sz w:val="28"/>
            <w:szCs w:val="28"/>
            <w:u w:val="single"/>
            <w:rtl/>
          </w:rPr>
          <w:t>סעיף</w:t>
        </w:r>
        <w:r w:rsidR="00114BBC" w:rsidRPr="00114BBC">
          <w:rPr>
            <w:rFonts w:cs="FrankRuehl"/>
            <w:color w:val="0000FF"/>
            <w:sz w:val="28"/>
            <w:szCs w:val="28"/>
            <w:u w:val="single"/>
            <w:rtl/>
          </w:rPr>
          <w:t xml:space="preserve"> 40</w:t>
        </w:r>
        <w:r w:rsidR="00114BBC" w:rsidRPr="00114BBC">
          <w:rPr>
            <w:rFonts w:cs="FrankRuehl" w:hint="cs"/>
            <w:color w:val="0000FF"/>
            <w:sz w:val="28"/>
            <w:szCs w:val="28"/>
            <w:u w:val="single"/>
            <w:rtl/>
          </w:rPr>
          <w:t>ד</w:t>
        </w:r>
        <w:r w:rsidR="00114BBC" w:rsidRPr="00114BBC">
          <w:rPr>
            <w:rFonts w:cs="FrankRuehl"/>
            <w:color w:val="0000FF"/>
            <w:sz w:val="28"/>
            <w:szCs w:val="28"/>
            <w:u w:val="single"/>
            <w:rtl/>
          </w:rPr>
          <w:t>.</w:t>
        </w:r>
      </w:hyperlink>
      <w:r>
        <w:rPr>
          <w:rFonts w:cs="FrankRuehl"/>
          <w:sz w:val="28"/>
          <w:szCs w:val="28"/>
          <w:rtl/>
        </w:rPr>
        <w:t xml:space="preserve"> ל</w:t>
      </w:r>
      <w:hyperlink r:id="rId34" w:history="1">
        <w:r w:rsidRPr="00666086">
          <w:rPr>
            <w:rStyle w:val="Hyperlink"/>
            <w:rFonts w:cs="FrankRuehl" w:hint="cs"/>
            <w:sz w:val="28"/>
            <w:szCs w:val="28"/>
            <w:rtl/>
          </w:rPr>
          <w:t>חוק</w:t>
        </w:r>
        <w:r w:rsidRPr="00666086">
          <w:rPr>
            <w:rStyle w:val="Hyperlink"/>
            <w:rFonts w:cs="FrankRuehl"/>
            <w:sz w:val="28"/>
            <w:szCs w:val="28"/>
            <w:rtl/>
          </w:rPr>
          <w:t xml:space="preserve"> </w:t>
        </w:r>
        <w:r w:rsidRPr="00666086">
          <w:rPr>
            <w:rStyle w:val="Hyperlink"/>
            <w:rFonts w:cs="FrankRuehl" w:hint="cs"/>
            <w:sz w:val="28"/>
            <w:szCs w:val="28"/>
            <w:rtl/>
          </w:rPr>
          <w:t>העונשין</w:t>
        </w:r>
      </w:hyperlink>
      <w:r>
        <w:rPr>
          <w:rFonts w:cs="FrankRuehl"/>
          <w:sz w:val="28"/>
          <w:szCs w:val="28"/>
          <w:rtl/>
        </w:rPr>
        <w:t xml:space="preserve">. </w:t>
      </w:r>
    </w:p>
    <w:p w14:paraId="2C4E434F" w14:textId="77777777" w:rsidR="00A8124D" w:rsidRDefault="00A8124D">
      <w:pPr>
        <w:pStyle w:val="a6"/>
        <w:spacing w:line="360" w:lineRule="auto"/>
        <w:jc w:val="both"/>
        <w:rPr>
          <w:rFonts w:cs="FrankRuehl"/>
          <w:sz w:val="28"/>
          <w:szCs w:val="28"/>
        </w:rPr>
      </w:pPr>
    </w:p>
    <w:p w14:paraId="5178FFAC" w14:textId="77777777" w:rsidR="00A8124D" w:rsidRDefault="00666086">
      <w:pPr>
        <w:pStyle w:val="a6"/>
        <w:spacing w:line="360" w:lineRule="auto"/>
        <w:jc w:val="both"/>
        <w:rPr>
          <w:rFonts w:cs="FrankRuehl"/>
          <w:sz w:val="28"/>
          <w:szCs w:val="28"/>
          <w:rtl/>
        </w:rPr>
      </w:pPr>
      <w:r>
        <w:rPr>
          <w:rFonts w:cs="FrankRuehl"/>
          <w:sz w:val="28"/>
          <w:szCs w:val="28"/>
          <w:rtl/>
        </w:rPr>
        <w:t xml:space="preserve">בשים לב לכך אינני סבורה שיש לסטות לקולא ממתחם הענישה, ואין בדעתי לאמץ את המלצות שירות המבחן ביחס לעונש שיש להטיל על הנאשם. </w:t>
      </w:r>
    </w:p>
    <w:p w14:paraId="29F53863" w14:textId="77777777" w:rsidR="00A8124D" w:rsidRDefault="00A8124D">
      <w:pPr>
        <w:pStyle w:val="a6"/>
        <w:spacing w:line="360" w:lineRule="auto"/>
        <w:jc w:val="both"/>
        <w:rPr>
          <w:rFonts w:cs="FrankRuehl"/>
          <w:sz w:val="28"/>
          <w:szCs w:val="28"/>
          <w:rtl/>
        </w:rPr>
      </w:pPr>
    </w:p>
    <w:p w14:paraId="3F80EBB5" w14:textId="77777777" w:rsidR="00A8124D" w:rsidRDefault="00666086">
      <w:pPr>
        <w:pStyle w:val="a6"/>
        <w:numPr>
          <w:ilvl w:val="0"/>
          <w:numId w:val="1"/>
        </w:numPr>
        <w:spacing w:line="360" w:lineRule="auto"/>
        <w:jc w:val="both"/>
        <w:rPr>
          <w:rFonts w:cs="FrankRuehl"/>
          <w:sz w:val="28"/>
          <w:szCs w:val="28"/>
          <w:rtl/>
        </w:rPr>
      </w:pPr>
      <w:r>
        <w:rPr>
          <w:rFonts w:cs="FrankRuehl"/>
          <w:sz w:val="28"/>
          <w:szCs w:val="28"/>
          <w:rtl/>
        </w:rPr>
        <w:t xml:space="preserve">בבחינת הנסיבות שאינן קשורות במעשה העבירה אתחשב בנתוניו האישיים של הנאשם, כפי שאלה באו לידי ביטוי אף בתסקיר שירות המבחן, ובהם גילו הצעיר, היעדר עבר פלילי ותפקוד קודם נורמטיבי במסגרות צבאיות ואזרחיות, את הודאתו ונטילת האחריות על ידו ואת מצבו הכלכלי הרעוע. כן אתחשב בפניית הנאשם ובני משפחתו שלא למצות עמו את הדין מקום שמדובר בהרשעתו הראשונה בפלילים. בשים לב לכך, יש להטיל על הנאשם את העונש ברף התחתון של המתחם. </w:t>
      </w:r>
    </w:p>
    <w:p w14:paraId="4FDF4C01" w14:textId="77777777" w:rsidR="00A8124D" w:rsidRDefault="00A8124D">
      <w:pPr>
        <w:pStyle w:val="a6"/>
        <w:spacing w:line="360" w:lineRule="auto"/>
        <w:jc w:val="both"/>
        <w:rPr>
          <w:rFonts w:cs="FrankRuehl"/>
          <w:sz w:val="28"/>
          <w:szCs w:val="28"/>
        </w:rPr>
      </w:pPr>
    </w:p>
    <w:p w14:paraId="4473A69E" w14:textId="77777777" w:rsidR="00A8124D" w:rsidRDefault="00666086">
      <w:pPr>
        <w:pStyle w:val="a6"/>
        <w:numPr>
          <w:ilvl w:val="0"/>
          <w:numId w:val="1"/>
        </w:numPr>
        <w:spacing w:line="360" w:lineRule="auto"/>
        <w:jc w:val="both"/>
        <w:rPr>
          <w:rFonts w:cs="FrankRuehl"/>
          <w:sz w:val="28"/>
          <w:szCs w:val="28"/>
        </w:rPr>
      </w:pPr>
      <w:r>
        <w:rPr>
          <w:rFonts w:cs="FrankRuehl"/>
          <w:sz w:val="28"/>
          <w:szCs w:val="28"/>
          <w:rtl/>
        </w:rPr>
        <w:t>לאור האמור, אני מטילה על הנאשם את העונשים הבאים:</w:t>
      </w:r>
    </w:p>
    <w:p w14:paraId="23CBD697" w14:textId="77777777" w:rsidR="00A8124D" w:rsidRDefault="00A8124D">
      <w:pPr>
        <w:pStyle w:val="a6"/>
        <w:spacing w:line="360" w:lineRule="auto"/>
        <w:jc w:val="both"/>
        <w:rPr>
          <w:rFonts w:cs="FrankRuehl"/>
          <w:sz w:val="10"/>
          <w:szCs w:val="10"/>
        </w:rPr>
      </w:pPr>
    </w:p>
    <w:p w14:paraId="5DF41481" w14:textId="77777777" w:rsidR="00A8124D" w:rsidRDefault="00666086">
      <w:pPr>
        <w:pStyle w:val="a6"/>
        <w:numPr>
          <w:ilvl w:val="0"/>
          <w:numId w:val="4"/>
        </w:numPr>
        <w:spacing w:line="360" w:lineRule="auto"/>
        <w:jc w:val="both"/>
        <w:rPr>
          <w:rFonts w:cs="FrankRuehl"/>
          <w:sz w:val="28"/>
          <w:szCs w:val="28"/>
          <w:rtl/>
        </w:rPr>
      </w:pPr>
      <w:r>
        <w:rPr>
          <w:rFonts w:cs="FrankRuehl"/>
          <w:sz w:val="28"/>
          <w:szCs w:val="28"/>
          <w:rtl/>
        </w:rPr>
        <w:t>45 חודשי מאסר לריצוי בפועל, בניכוי ימי מעצרו מיום 20.1.15.</w:t>
      </w:r>
    </w:p>
    <w:p w14:paraId="77C374CC" w14:textId="77777777" w:rsidR="00A8124D" w:rsidRDefault="00666086">
      <w:pPr>
        <w:pStyle w:val="a6"/>
        <w:numPr>
          <w:ilvl w:val="0"/>
          <w:numId w:val="4"/>
        </w:numPr>
        <w:spacing w:line="360" w:lineRule="auto"/>
        <w:jc w:val="both"/>
        <w:rPr>
          <w:rFonts w:cs="FrankRuehl"/>
          <w:sz w:val="28"/>
          <w:szCs w:val="28"/>
        </w:rPr>
      </w:pPr>
      <w:r>
        <w:rPr>
          <w:rFonts w:cs="FrankRuehl"/>
          <w:sz w:val="28"/>
          <w:szCs w:val="28"/>
          <w:rtl/>
        </w:rPr>
        <w:t xml:space="preserve">12 חודשי מאסר על תנאי, והתנאי שלא יעבור כל עבירה מסוג פשע לפי פקודת הסמים,  וזאת לתקופה של שלוש שנים מתום ריצוי מאסרו. </w:t>
      </w:r>
    </w:p>
    <w:p w14:paraId="2064B172" w14:textId="77777777" w:rsidR="00A8124D" w:rsidRDefault="00666086">
      <w:pPr>
        <w:pStyle w:val="a6"/>
        <w:numPr>
          <w:ilvl w:val="0"/>
          <w:numId w:val="4"/>
        </w:numPr>
        <w:spacing w:line="360" w:lineRule="auto"/>
        <w:jc w:val="both"/>
        <w:rPr>
          <w:rFonts w:cs="FrankRuehl"/>
          <w:sz w:val="28"/>
          <w:szCs w:val="28"/>
        </w:rPr>
      </w:pPr>
      <w:r>
        <w:rPr>
          <w:rFonts w:cs="FrankRuehl"/>
          <w:sz w:val="28"/>
          <w:szCs w:val="28"/>
          <w:rtl/>
        </w:rPr>
        <w:t xml:space="preserve">6 חודשי מאסר על תנאי, והתנאי שלא יעבור עבירה מסוג עוון לפי פקודת הסמים, וזאת לתקופה של שנתיים מתום ריצוי מאסרו. </w:t>
      </w:r>
    </w:p>
    <w:p w14:paraId="51F8154A" w14:textId="77777777" w:rsidR="00A8124D" w:rsidRDefault="00666086">
      <w:pPr>
        <w:pStyle w:val="a6"/>
        <w:numPr>
          <w:ilvl w:val="0"/>
          <w:numId w:val="4"/>
        </w:numPr>
        <w:spacing w:line="360" w:lineRule="auto"/>
        <w:jc w:val="both"/>
        <w:rPr>
          <w:rFonts w:cs="FrankRuehl"/>
          <w:sz w:val="28"/>
          <w:szCs w:val="28"/>
        </w:rPr>
      </w:pPr>
      <w:r w:rsidRPr="00666086">
        <w:rPr>
          <w:rFonts w:cs="FrankRuehl"/>
          <w:color w:val="FFFFFF"/>
          <w:sz w:val="2"/>
          <w:szCs w:val="2"/>
          <w:rtl/>
        </w:rPr>
        <w:t>5129371</w:t>
      </w:r>
      <w:r>
        <w:rPr>
          <w:rFonts w:cs="FrankRuehl"/>
          <w:sz w:val="28"/>
          <w:szCs w:val="28"/>
          <w:rtl/>
        </w:rPr>
        <w:t xml:space="preserve">בשים לב לכך שהמניע לבצוע העבירה הוא כלכלי מחד, ולמצבו הכלכלי הרעוע של הנאשם מאידך, אני מטילה עליו קנס בסך 5,000 ₪ שישולם ב-10 תשלומים שווים החל מיום </w:t>
      </w:r>
      <w:r>
        <w:rPr>
          <w:rFonts w:cs="FrankRuehl" w:hint="cs"/>
          <w:sz w:val="28"/>
          <w:szCs w:val="28"/>
          <w:rtl/>
        </w:rPr>
        <w:t xml:space="preserve"> 1.7.16 ו</w:t>
      </w:r>
      <w:r>
        <w:rPr>
          <w:rFonts w:cs="FrankRuehl"/>
          <w:sz w:val="28"/>
          <w:szCs w:val="28"/>
          <w:rtl/>
        </w:rPr>
        <w:t>בראשון לכל חודש</w:t>
      </w:r>
      <w:r>
        <w:rPr>
          <w:rFonts w:cs="FrankRuehl" w:hint="cs"/>
          <w:sz w:val="28"/>
          <w:szCs w:val="28"/>
          <w:rtl/>
        </w:rPr>
        <w:t xml:space="preserve"> או 45 ימי מאסר תמורתו.</w:t>
      </w:r>
    </w:p>
    <w:p w14:paraId="35559E89" w14:textId="77777777" w:rsidR="00A8124D" w:rsidRDefault="00666086">
      <w:pPr>
        <w:pStyle w:val="a6"/>
        <w:spacing w:line="360" w:lineRule="auto"/>
        <w:ind w:left="1080"/>
        <w:jc w:val="both"/>
        <w:rPr>
          <w:rFonts w:cs="FrankRuehl"/>
          <w:sz w:val="28"/>
          <w:szCs w:val="28"/>
        </w:rPr>
      </w:pPr>
      <w:r w:rsidRPr="00666086">
        <w:rPr>
          <w:rFonts w:cs="FrankRuehl"/>
          <w:color w:val="FFFFFF"/>
          <w:sz w:val="2"/>
          <w:szCs w:val="2"/>
          <w:rtl/>
        </w:rPr>
        <w:t>54678313</w:t>
      </w:r>
      <w:r>
        <w:rPr>
          <w:rFonts w:cs="FrankRuehl" w:hint="cs"/>
          <w:sz w:val="28"/>
          <w:szCs w:val="28"/>
          <w:rtl/>
        </w:rPr>
        <w:t>היה ולא ישולם תשלום מן התשלומים במועדו יעמוד כל הקנס לפירעון מיידי.</w:t>
      </w:r>
    </w:p>
    <w:p w14:paraId="30AFC1C4" w14:textId="77777777" w:rsidR="00A8124D" w:rsidRDefault="00666086">
      <w:pPr>
        <w:spacing w:line="360" w:lineRule="auto"/>
        <w:rPr>
          <w:rFonts w:cs="FrankRuehl"/>
          <w:b/>
          <w:bCs/>
          <w:sz w:val="28"/>
          <w:szCs w:val="28"/>
          <w:rtl/>
        </w:rPr>
      </w:pPr>
      <w:r>
        <w:rPr>
          <w:rFonts w:ascii="Calibri" w:eastAsia="Calibri" w:hAnsi="Calibri" w:cs="FrankRuehl" w:hint="cs"/>
          <w:b/>
          <w:bCs/>
          <w:sz w:val="28"/>
          <w:szCs w:val="28"/>
          <w:rtl/>
        </w:rPr>
        <w:t>זכות ערעור לבית המשפט העליון תוך 45 יום מהיום.</w:t>
      </w:r>
    </w:p>
    <w:p w14:paraId="61A9476E" w14:textId="77777777" w:rsidR="00A8124D" w:rsidRDefault="00A8124D">
      <w:pPr>
        <w:spacing w:line="360" w:lineRule="auto"/>
        <w:rPr>
          <w:rFonts w:cs="FrankRuehl"/>
          <w:sz w:val="28"/>
          <w:szCs w:val="28"/>
          <w:rtl/>
        </w:rPr>
      </w:pPr>
    </w:p>
    <w:p w14:paraId="36262EE3" w14:textId="77777777" w:rsidR="00A8124D" w:rsidRDefault="00114BBC">
      <w:pPr>
        <w:spacing w:line="360" w:lineRule="auto"/>
        <w:jc w:val="center"/>
      </w:pPr>
      <w:r w:rsidRPr="00114BBC">
        <w:rPr>
          <w:rFonts w:ascii="Arial" w:hAnsi="Arial" w:cs="FrankRuehl"/>
          <w:color w:val="FFFFFF"/>
          <w:sz w:val="2"/>
          <w:szCs w:val="2"/>
          <w:rtl/>
        </w:rPr>
        <w:t>5129371</w:t>
      </w:r>
      <w:r w:rsidR="00666086">
        <w:rPr>
          <w:rFonts w:ascii="Arial" w:hAnsi="Arial" w:cs="FrankRuehl"/>
          <w:sz w:val="28"/>
          <w:szCs w:val="28"/>
          <w:rtl/>
        </w:rPr>
        <w:t xml:space="preserve">ניתן היום,  כ"ה שבט תשע"ו, 04 פברואר 2016, במעמד הצדדים. </w:t>
      </w:r>
      <w:r w:rsidR="00666086">
        <w:rPr>
          <w:rFonts w:cs="FrankRuehl" w:hint="cs"/>
          <w:sz w:val="28"/>
          <w:szCs w:val="28"/>
          <w:rtl/>
        </w:rPr>
        <w:t xml:space="preserve">   </w:t>
      </w:r>
      <w:r w:rsidR="00666086">
        <w:rPr>
          <w:rFonts w:cs="FrankRuehl" w:hint="cs"/>
          <w:sz w:val="28"/>
          <w:szCs w:val="28"/>
          <w:rtl/>
        </w:rPr>
        <w:tab/>
      </w:r>
      <w:r w:rsidR="00666086">
        <w:rPr>
          <w:rFonts w:cs="FrankRuehl" w:hint="cs"/>
          <w:sz w:val="28"/>
          <w:szCs w:val="28"/>
          <w:rtl/>
        </w:rPr>
        <w:tab/>
      </w:r>
      <w:r w:rsidR="00666086">
        <w:rPr>
          <w:rFonts w:cs="FrankRuehl" w:hint="cs"/>
          <w:sz w:val="28"/>
          <w:szCs w:val="28"/>
          <w:rtl/>
        </w:rPr>
        <w:tab/>
      </w:r>
      <w:r w:rsidR="00666086">
        <w:rPr>
          <w:rFonts w:cs="FrankRuehl" w:hint="cs"/>
          <w:sz w:val="28"/>
          <w:szCs w:val="28"/>
          <w:rtl/>
        </w:rPr>
        <w:tab/>
      </w:r>
      <w:r w:rsidR="00666086">
        <w:rPr>
          <w:rFonts w:cs="FrankRuehl" w:hint="cs"/>
          <w:sz w:val="28"/>
          <w:szCs w:val="28"/>
          <w:rtl/>
        </w:rPr>
        <w:tab/>
      </w:r>
    </w:p>
    <w:p w14:paraId="71E191D4" w14:textId="77777777" w:rsidR="00666086" w:rsidRPr="00114BBC" w:rsidRDefault="00114BBC" w:rsidP="00666086">
      <w:pPr>
        <w:keepNext/>
        <w:rPr>
          <w:rFonts w:ascii="David" w:hAnsi="David"/>
          <w:color w:val="FFFFFF"/>
          <w:sz w:val="2"/>
          <w:szCs w:val="2"/>
          <w:rtl/>
        </w:rPr>
      </w:pPr>
      <w:r w:rsidRPr="00114BBC">
        <w:rPr>
          <w:rFonts w:ascii="David" w:hAnsi="David"/>
          <w:color w:val="FFFFFF"/>
          <w:sz w:val="2"/>
          <w:szCs w:val="2"/>
          <w:rtl/>
        </w:rPr>
        <w:t>54678313</w:t>
      </w:r>
    </w:p>
    <w:p w14:paraId="75A46A46" w14:textId="77777777" w:rsidR="00666086" w:rsidRDefault="00666086" w:rsidP="00666086">
      <w:r w:rsidRPr="00666086">
        <w:rPr>
          <w:color w:val="000000"/>
          <w:rtl/>
        </w:rPr>
        <w:t>נוסח מסמך זה כפוף לשינויי ניסוח ועריכה</w:t>
      </w:r>
    </w:p>
    <w:p w14:paraId="3F8DEDCD" w14:textId="77777777" w:rsidR="00666086" w:rsidRDefault="00666086" w:rsidP="00666086">
      <w:pPr>
        <w:rPr>
          <w:rtl/>
        </w:rPr>
      </w:pPr>
    </w:p>
    <w:p w14:paraId="42E89A61" w14:textId="77777777" w:rsidR="00666086" w:rsidRDefault="00666086" w:rsidP="00666086">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0774AF6" w14:textId="77777777" w:rsidR="00114BBC" w:rsidRPr="00114BBC" w:rsidRDefault="00114BBC" w:rsidP="00114BBC">
      <w:pPr>
        <w:keepNext/>
        <w:rPr>
          <w:rFonts w:ascii="David" w:hAnsi="David"/>
          <w:color w:val="000000"/>
          <w:sz w:val="22"/>
          <w:szCs w:val="22"/>
          <w:rtl/>
        </w:rPr>
      </w:pPr>
    </w:p>
    <w:p w14:paraId="2B83A366" w14:textId="77777777" w:rsidR="00114BBC" w:rsidRDefault="00114BBC" w:rsidP="00114BBC">
      <w:pPr>
        <w:keepNext/>
        <w:rPr>
          <w:rFonts w:ascii="David" w:hAnsi="David" w:hint="cs"/>
          <w:color w:val="000000"/>
          <w:sz w:val="22"/>
          <w:szCs w:val="22"/>
          <w:rtl/>
        </w:rPr>
      </w:pPr>
      <w:r w:rsidRPr="00114BBC">
        <w:rPr>
          <w:rFonts w:ascii="David" w:hAnsi="David"/>
          <w:color w:val="000000"/>
          <w:sz w:val="22"/>
          <w:szCs w:val="22"/>
          <w:rtl/>
        </w:rPr>
        <w:t>מיכל ברנט 54678313-/</w:t>
      </w:r>
    </w:p>
    <w:p w14:paraId="74204669" w14:textId="77777777" w:rsidR="00AC42D6" w:rsidRPr="00114BBC" w:rsidRDefault="00AC42D6" w:rsidP="00114BBC">
      <w:pPr>
        <w:keepNext/>
        <w:rPr>
          <w:rFonts w:ascii="David" w:hAnsi="David"/>
          <w:color w:val="000000"/>
          <w:sz w:val="22"/>
          <w:szCs w:val="22"/>
          <w:rtl/>
        </w:rPr>
      </w:pPr>
    </w:p>
    <w:sectPr w:rsidR="00AC42D6" w:rsidRPr="00114BBC" w:rsidSect="00114BBC">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A39F8" w14:textId="77777777" w:rsidR="00CE6129" w:rsidRDefault="00CE6129">
      <w:r>
        <w:separator/>
      </w:r>
    </w:p>
  </w:endnote>
  <w:endnote w:type="continuationSeparator" w:id="0">
    <w:p w14:paraId="02EB510F" w14:textId="77777777" w:rsidR="00CE6129" w:rsidRDefault="00CE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95763" w14:textId="77777777" w:rsidR="00E2705D" w:rsidRDefault="00E2705D" w:rsidP="00114BB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9A5C0A" w14:textId="77777777" w:rsidR="00E2705D" w:rsidRPr="00114BBC" w:rsidRDefault="00E2705D" w:rsidP="00114BBC">
    <w:pPr>
      <w:pStyle w:val="a4"/>
      <w:pBdr>
        <w:top w:val="single" w:sz="4" w:space="1" w:color="auto"/>
        <w:between w:val="single" w:sz="4" w:space="0" w:color="auto"/>
      </w:pBdr>
      <w:spacing w:after="60"/>
      <w:jc w:val="center"/>
      <w:rPr>
        <w:rFonts w:ascii="FrankRuehl" w:hAnsi="FrankRuehl" w:cs="FrankRuehl"/>
        <w:color w:val="000000"/>
      </w:rPr>
    </w:pPr>
    <w:r w:rsidRPr="00114B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88178" w14:textId="77777777" w:rsidR="00E2705D" w:rsidRDefault="00E2705D" w:rsidP="00114BB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3BD2">
      <w:rPr>
        <w:rFonts w:ascii="FrankRuehl" w:hAnsi="FrankRuehl" w:cs="FrankRuehl"/>
        <w:noProof/>
        <w:rtl/>
      </w:rPr>
      <w:t>1</w:t>
    </w:r>
    <w:r>
      <w:rPr>
        <w:rFonts w:ascii="FrankRuehl" w:hAnsi="FrankRuehl" w:cs="FrankRuehl"/>
        <w:rtl/>
      </w:rPr>
      <w:fldChar w:fldCharType="end"/>
    </w:r>
  </w:p>
  <w:p w14:paraId="69FBB055" w14:textId="77777777" w:rsidR="00E2705D" w:rsidRPr="00114BBC" w:rsidRDefault="00E2705D" w:rsidP="00114BBC">
    <w:pPr>
      <w:pStyle w:val="a4"/>
      <w:pBdr>
        <w:top w:val="single" w:sz="4" w:space="1" w:color="auto"/>
        <w:between w:val="single" w:sz="4" w:space="0" w:color="auto"/>
      </w:pBdr>
      <w:spacing w:after="60"/>
      <w:jc w:val="center"/>
      <w:rPr>
        <w:rFonts w:ascii="FrankRuehl" w:hAnsi="FrankRuehl" w:cs="FrankRuehl"/>
        <w:color w:val="000000"/>
      </w:rPr>
    </w:pPr>
    <w:r w:rsidRPr="00114BBC">
      <w:rPr>
        <w:rFonts w:ascii="FrankRuehl" w:hAnsi="FrankRuehl" w:cs="FrankRuehl"/>
        <w:color w:val="000000"/>
      </w:rPr>
      <w:pict w14:anchorId="74A2A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0A740" w14:textId="77777777" w:rsidR="00CE6129" w:rsidRDefault="00CE6129">
      <w:r>
        <w:separator/>
      </w:r>
    </w:p>
  </w:footnote>
  <w:footnote w:type="continuationSeparator" w:id="0">
    <w:p w14:paraId="3B3AEDA6" w14:textId="77777777" w:rsidR="00CE6129" w:rsidRDefault="00CE6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16F13" w14:textId="77777777" w:rsidR="00E2705D" w:rsidRPr="00114BBC" w:rsidRDefault="00E2705D" w:rsidP="00114B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9160-02-15</w:t>
    </w:r>
    <w:r>
      <w:rPr>
        <w:rFonts w:ascii="David" w:hAnsi="David"/>
        <w:color w:val="000000"/>
        <w:sz w:val="22"/>
        <w:szCs w:val="22"/>
        <w:rtl/>
      </w:rPr>
      <w:tab/>
      <w:t xml:space="preserve"> מדינת ישראל נ' חנוך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A3ABD" w14:textId="77777777" w:rsidR="00E2705D" w:rsidRPr="00114BBC" w:rsidRDefault="00E2705D" w:rsidP="00114B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9160-02-15</w:t>
    </w:r>
    <w:r>
      <w:rPr>
        <w:rFonts w:ascii="David" w:hAnsi="David"/>
        <w:color w:val="000000"/>
        <w:sz w:val="22"/>
        <w:szCs w:val="22"/>
        <w:rtl/>
      </w:rPr>
      <w:tab/>
      <w:t xml:space="preserve"> מדינת ישראל נ' חנוך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C5F26"/>
    <w:multiLevelType w:val="hybridMultilevel"/>
    <w:tmpl w:val="1DC0B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DA34F6C"/>
    <w:multiLevelType w:val="hybridMultilevel"/>
    <w:tmpl w:val="0DF61800"/>
    <w:lvl w:ilvl="0" w:tplc="65CA83B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E6D7D62"/>
    <w:multiLevelType w:val="hybridMultilevel"/>
    <w:tmpl w:val="3CD4FDCC"/>
    <w:lvl w:ilvl="0" w:tplc="B3B251C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D5338A4"/>
    <w:multiLevelType w:val="hybridMultilevel"/>
    <w:tmpl w:val="E61C4B40"/>
    <w:lvl w:ilvl="0" w:tplc="C2FA81D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39283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67813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40845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9841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124D"/>
    <w:rsid w:val="00114BBC"/>
    <w:rsid w:val="00146C76"/>
    <w:rsid w:val="00253BD2"/>
    <w:rsid w:val="0029389B"/>
    <w:rsid w:val="00666086"/>
    <w:rsid w:val="0068628E"/>
    <w:rsid w:val="00736186"/>
    <w:rsid w:val="007666D6"/>
    <w:rsid w:val="008B566C"/>
    <w:rsid w:val="009268A6"/>
    <w:rsid w:val="00A8124D"/>
    <w:rsid w:val="00AC42D6"/>
    <w:rsid w:val="00CE6129"/>
    <w:rsid w:val="00DF51DD"/>
    <w:rsid w:val="00E2705D"/>
    <w:rsid w:val="00F32C30"/>
    <w:rsid w:val="00FD2B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F2C247"/>
  <w15:chartTrackingRefBased/>
  <w15:docId w15:val="{049AFD40-54EA-4C84-972C-6FAF1EC4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124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8124D"/>
    <w:pPr>
      <w:tabs>
        <w:tab w:val="center" w:pos="4153"/>
        <w:tab w:val="right" w:pos="8306"/>
      </w:tabs>
    </w:pPr>
  </w:style>
  <w:style w:type="paragraph" w:styleId="a4">
    <w:name w:val="footer"/>
    <w:basedOn w:val="a"/>
    <w:rsid w:val="00A8124D"/>
    <w:pPr>
      <w:tabs>
        <w:tab w:val="center" w:pos="4153"/>
        <w:tab w:val="right" w:pos="8306"/>
      </w:tabs>
    </w:pPr>
  </w:style>
  <w:style w:type="character" w:styleId="a5">
    <w:name w:val="page number"/>
    <w:basedOn w:val="a0"/>
    <w:rsid w:val="00A8124D"/>
  </w:style>
  <w:style w:type="paragraph" w:styleId="a6">
    <w:name w:val="List Paragraph"/>
    <w:basedOn w:val="a"/>
    <w:qFormat/>
    <w:rsid w:val="00A8124D"/>
    <w:pPr>
      <w:spacing w:after="160" w:line="256" w:lineRule="auto"/>
      <w:ind w:left="720"/>
      <w:contextualSpacing/>
    </w:pPr>
    <w:rPr>
      <w:rFonts w:ascii="Calibri" w:eastAsia="Calibri" w:hAnsi="Calibri" w:cs="Arial"/>
      <w:sz w:val="22"/>
      <w:szCs w:val="22"/>
    </w:rPr>
  </w:style>
  <w:style w:type="character" w:styleId="Hyperlink">
    <w:name w:val="Hyperlink"/>
    <w:rsid w:val="006660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5726579" TargetMode="External"/><Relationship Id="rId39" Type="http://schemas.openxmlformats.org/officeDocument/2006/relationships/footer" Target="footer2.xml"/><Relationship Id="rId21" Type="http://schemas.openxmlformats.org/officeDocument/2006/relationships/hyperlink" Target="http://www.nevo.co.il/case/5880710" TargetMode="External"/><Relationship Id="rId34"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5568837" TargetMode="External"/><Relationship Id="rId29" Type="http://schemas.openxmlformats.org/officeDocument/2006/relationships/hyperlink" Target="http://www.nevo.co.il/case/798017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18654248" TargetMode="External"/><Relationship Id="rId32" Type="http://schemas.openxmlformats.org/officeDocument/2006/relationships/hyperlink" Target="http://www.nevo.co.il/case/6245080"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7653052"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case/6245080" TargetMode="External"/><Relationship Id="rId31" Type="http://schemas.openxmlformats.org/officeDocument/2006/relationships/hyperlink" Target="http://www.nevo.co.il/case/593119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 TargetMode="External"/><Relationship Id="rId22" Type="http://schemas.openxmlformats.org/officeDocument/2006/relationships/hyperlink" Target="http://www.nevo.co.il/case/17948116" TargetMode="External"/><Relationship Id="rId27" Type="http://schemas.openxmlformats.org/officeDocument/2006/relationships/hyperlink" Target="http://www.nevo.co.il/law/70301/40j" TargetMode="External"/><Relationship Id="rId30" Type="http://schemas.openxmlformats.org/officeDocument/2006/relationships/hyperlink" Target="http://www.nevo.co.il/case/765305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3022249" TargetMode="External"/><Relationship Id="rId33" Type="http://schemas.openxmlformats.org/officeDocument/2006/relationships/hyperlink" Target="http://www.nevo.co.il/law/70301/40d"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2494</Words>
  <Characters>12472</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14937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3276923</vt:i4>
      </vt:variant>
      <vt:variant>
        <vt:i4>75</vt:i4>
      </vt:variant>
      <vt:variant>
        <vt:i4>0</vt:i4>
      </vt:variant>
      <vt:variant>
        <vt:i4>5</vt:i4>
      </vt:variant>
      <vt:variant>
        <vt:lpwstr>http://www.nevo.co.il/case/6245080</vt:lpwstr>
      </vt:variant>
      <vt:variant>
        <vt:lpwstr/>
      </vt:variant>
      <vt:variant>
        <vt:i4>3604597</vt:i4>
      </vt:variant>
      <vt:variant>
        <vt:i4>72</vt:i4>
      </vt:variant>
      <vt:variant>
        <vt:i4>0</vt:i4>
      </vt:variant>
      <vt:variant>
        <vt:i4>5</vt:i4>
      </vt:variant>
      <vt:variant>
        <vt:lpwstr>http://www.nevo.co.il/case/5931190</vt:lpwstr>
      </vt:variant>
      <vt:variant>
        <vt:lpwstr/>
      </vt:variant>
      <vt:variant>
        <vt:i4>3145844</vt:i4>
      </vt:variant>
      <vt:variant>
        <vt:i4>69</vt:i4>
      </vt:variant>
      <vt:variant>
        <vt:i4>0</vt:i4>
      </vt:variant>
      <vt:variant>
        <vt:i4>5</vt:i4>
      </vt:variant>
      <vt:variant>
        <vt:lpwstr>http://www.nevo.co.il/case/7653052</vt:lpwstr>
      </vt:variant>
      <vt:variant>
        <vt:lpwstr/>
      </vt:variant>
      <vt:variant>
        <vt:i4>4128890</vt:i4>
      </vt:variant>
      <vt:variant>
        <vt:i4>66</vt:i4>
      </vt:variant>
      <vt:variant>
        <vt:i4>0</vt:i4>
      </vt:variant>
      <vt:variant>
        <vt:i4>5</vt:i4>
      </vt:variant>
      <vt:variant>
        <vt:lpwstr>http://www.nevo.co.il/case/7980171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http://www.nevo.co.il/law/70301/40j</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3604599</vt:i4>
      </vt:variant>
      <vt:variant>
        <vt:i4>54</vt:i4>
      </vt:variant>
      <vt:variant>
        <vt:i4>0</vt:i4>
      </vt:variant>
      <vt:variant>
        <vt:i4>5</vt:i4>
      </vt:variant>
      <vt:variant>
        <vt:lpwstr>http://www.nevo.co.il/case/13022249</vt:lpwstr>
      </vt:variant>
      <vt:variant>
        <vt:lpwstr/>
      </vt:variant>
      <vt:variant>
        <vt:i4>3604603</vt:i4>
      </vt:variant>
      <vt:variant>
        <vt:i4>51</vt:i4>
      </vt:variant>
      <vt:variant>
        <vt:i4>0</vt:i4>
      </vt:variant>
      <vt:variant>
        <vt:i4>5</vt:i4>
      </vt:variant>
      <vt:variant>
        <vt:lpwstr>http://www.nevo.co.il/case/18654248</vt:lpwstr>
      </vt:variant>
      <vt:variant>
        <vt:lpwstr/>
      </vt:variant>
      <vt:variant>
        <vt:i4>3145844</vt:i4>
      </vt:variant>
      <vt:variant>
        <vt:i4>48</vt:i4>
      </vt:variant>
      <vt:variant>
        <vt:i4>0</vt:i4>
      </vt:variant>
      <vt:variant>
        <vt:i4>5</vt:i4>
      </vt:variant>
      <vt:variant>
        <vt:lpwstr>http://www.nevo.co.il/case/7653052</vt:lpwstr>
      </vt:variant>
      <vt:variant>
        <vt:lpwstr/>
      </vt:variant>
      <vt:variant>
        <vt:i4>3211382</vt:i4>
      </vt:variant>
      <vt:variant>
        <vt:i4>45</vt:i4>
      </vt:variant>
      <vt:variant>
        <vt:i4>0</vt:i4>
      </vt:variant>
      <vt:variant>
        <vt:i4>5</vt:i4>
      </vt:variant>
      <vt:variant>
        <vt:lpwstr>http://www.nevo.co.il/case/17948116</vt:lpwstr>
      </vt:variant>
      <vt:variant>
        <vt:lpwstr/>
      </vt:variant>
      <vt:variant>
        <vt:i4>3801213</vt:i4>
      </vt:variant>
      <vt:variant>
        <vt:i4>42</vt:i4>
      </vt:variant>
      <vt:variant>
        <vt:i4>0</vt:i4>
      </vt:variant>
      <vt:variant>
        <vt:i4>5</vt:i4>
      </vt:variant>
      <vt:variant>
        <vt:lpwstr>http://www.nevo.co.il/case/5880710</vt:lpwstr>
      </vt:variant>
      <vt:variant>
        <vt:lpwstr/>
      </vt:variant>
      <vt:variant>
        <vt:i4>3932282</vt:i4>
      </vt:variant>
      <vt:variant>
        <vt:i4>39</vt:i4>
      </vt:variant>
      <vt:variant>
        <vt:i4>0</vt:i4>
      </vt:variant>
      <vt:variant>
        <vt:i4>5</vt:i4>
      </vt:variant>
      <vt:variant>
        <vt:lpwstr>http://www.nevo.co.il/case/5568837</vt:lpwstr>
      </vt:variant>
      <vt:variant>
        <vt:lpwstr/>
      </vt:variant>
      <vt:variant>
        <vt:i4>3276923</vt:i4>
      </vt:variant>
      <vt:variant>
        <vt:i4>36</vt:i4>
      </vt:variant>
      <vt:variant>
        <vt:i4>0</vt:i4>
      </vt:variant>
      <vt:variant>
        <vt:i4>5</vt:i4>
      </vt:variant>
      <vt:variant>
        <vt:lpwstr>http://www.nevo.co.il/case/6245080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http://www.nevo.co.il/law/70301/40j</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2025-04-22T20:36:00Z</dcterms:created>
  <dcterms:modified xsi:type="dcterms:W3CDTF">2025-04-22T20:36:00Z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9160</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חנוך מזרחי</vt:lpwstr>
  </property>
  <property fmtid="{D5CDD505-2E9C-101B-9397-08002B2CF9AE}" pid="10" name="LAWYER">
    <vt:lpwstr>דן כהן;אסף טל</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20160204</vt:lpwstr>
  </property>
  <property fmtid="{D5CDD505-2E9C-101B-9397-08002B2CF9AE}" pid="14" name="TYPE_N_DATE">
    <vt:lpwstr>39020160204</vt:lpwstr>
  </property>
  <property fmtid="{D5CDD505-2E9C-101B-9397-08002B2CF9AE}" pid="15" name="WORDNUMPAGES">
    <vt:lpwstr>9</vt:lpwstr>
  </property>
  <property fmtid="{D5CDD505-2E9C-101B-9397-08002B2CF9AE}" pid="16" name="TYPE_ABS_DATE">
    <vt:lpwstr>390020160204</vt:lpwstr>
  </property>
  <property fmtid="{D5CDD505-2E9C-101B-9397-08002B2CF9AE}" pid="17" name="ISABSTRACT">
    <vt:lpwstr>Y</vt:lpwstr>
  </property>
  <property fmtid="{D5CDD505-2E9C-101B-9397-08002B2CF9AE}" pid="18" name="CASESLISTTMP1">
    <vt:lpwstr>6245080:2;5568837;5880710;17948116;7653052:2;18654248;13022249;5726579;7980171;5931190</vt:lpwstr>
  </property>
  <property fmtid="{D5CDD505-2E9C-101B-9397-08002B2CF9AE}" pid="19" name="LAWLISTTMP1">
    <vt:lpwstr>4216/013;019a;007.a;007.c</vt:lpwstr>
  </property>
  <property fmtid="{D5CDD505-2E9C-101B-9397-08002B2CF9AE}" pid="20" name="LAWLISTTMP2">
    <vt:lpwstr>70301/040j;040d</vt:lpwstr>
  </property>
</Properties>
</file>