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CF4CF6" w:rsidRPr="005248BC" w14:paraId="426B3D88" w14:textId="77777777">
        <w:trPr>
          <w:trHeight w:hRule="exact" w:val="418"/>
          <w:jc w:val="center"/>
        </w:trPr>
        <w:tc>
          <w:tcPr>
            <w:tcW w:w="8720" w:type="dxa"/>
            <w:gridSpan w:val="3"/>
          </w:tcPr>
          <w:p w14:paraId="67299CA4" w14:textId="77777777" w:rsidR="00CF4CF6" w:rsidRPr="005248BC" w:rsidRDefault="005248BC">
            <w:pPr>
              <w:pStyle w:val="a4"/>
              <w:tabs>
                <w:tab w:val="clear" w:pos="8306"/>
              </w:tabs>
              <w:jc w:val="center"/>
              <w:rPr>
                <w:rFonts w:ascii="Tahoma" w:hAnsi="Tahoma" w:cs="Tahoma"/>
                <w:b/>
                <w:bCs/>
                <w:color w:val="000080"/>
                <w:sz w:val="20"/>
                <w:szCs w:val="20"/>
                <w:rtl/>
              </w:rPr>
            </w:pPr>
            <w:r w:rsidRPr="005248BC">
              <w:rPr>
                <w:rFonts w:ascii="Tahoma" w:hAnsi="Tahoma" w:cs="Tahoma"/>
                <w:b/>
                <w:bCs/>
                <w:color w:val="000080"/>
                <w:sz w:val="20"/>
                <w:szCs w:val="20"/>
                <w:rtl/>
              </w:rPr>
              <w:t>בית המשפט המחוזי מרכז-לוד</w:t>
            </w:r>
          </w:p>
        </w:tc>
      </w:tr>
      <w:tr w:rsidR="00CF4CF6" w:rsidRPr="005248BC" w14:paraId="43710A0B" w14:textId="77777777">
        <w:trPr>
          <w:trHeight w:val="337"/>
          <w:jc w:val="center"/>
        </w:trPr>
        <w:tc>
          <w:tcPr>
            <w:tcW w:w="6396" w:type="dxa"/>
          </w:tcPr>
          <w:p w14:paraId="27247136" w14:textId="77777777" w:rsidR="00CF4CF6" w:rsidRPr="005248BC" w:rsidRDefault="005248BC" w:rsidP="000E1881">
            <w:pPr>
              <w:rPr>
                <w:rFonts w:hint="cs"/>
                <w:b/>
                <w:bCs/>
                <w:sz w:val="26"/>
                <w:szCs w:val="26"/>
                <w:rtl/>
              </w:rPr>
            </w:pPr>
            <w:r w:rsidRPr="005248BC">
              <w:rPr>
                <w:b/>
                <w:bCs/>
                <w:sz w:val="26"/>
                <w:szCs w:val="26"/>
                <w:rtl/>
              </w:rPr>
              <w:t>ת"פ</w:t>
            </w:r>
            <w:r w:rsidRPr="005248BC">
              <w:rPr>
                <w:rFonts w:hint="cs"/>
                <w:b/>
                <w:bCs/>
                <w:sz w:val="26"/>
                <w:szCs w:val="26"/>
                <w:rtl/>
              </w:rPr>
              <w:t xml:space="preserve"> </w:t>
            </w:r>
            <w:r w:rsidRPr="005248BC">
              <w:rPr>
                <w:b/>
                <w:bCs/>
                <w:sz w:val="26"/>
                <w:szCs w:val="26"/>
                <w:rtl/>
              </w:rPr>
              <w:t>46662-04-15</w:t>
            </w:r>
            <w:r w:rsidRPr="005248BC">
              <w:rPr>
                <w:rFonts w:hint="cs"/>
                <w:b/>
                <w:bCs/>
                <w:sz w:val="26"/>
                <w:szCs w:val="26"/>
                <w:rtl/>
              </w:rPr>
              <w:t xml:space="preserve"> </w:t>
            </w:r>
            <w:r w:rsidR="000E1881">
              <w:rPr>
                <w:b/>
                <w:bCs/>
                <w:sz w:val="26"/>
                <w:szCs w:val="26"/>
                <w:rtl/>
              </w:rPr>
              <w:t>מדינת ישראל נ' סגל</w:t>
            </w:r>
          </w:p>
          <w:p w14:paraId="3C17E030" w14:textId="77777777" w:rsidR="00CF4CF6" w:rsidRPr="005248BC" w:rsidRDefault="00CF4CF6">
            <w:pPr>
              <w:rPr>
                <w:b/>
                <w:bCs/>
                <w:sz w:val="26"/>
                <w:szCs w:val="26"/>
                <w:rtl/>
              </w:rPr>
            </w:pPr>
          </w:p>
        </w:tc>
        <w:tc>
          <w:tcPr>
            <w:tcW w:w="236" w:type="dxa"/>
          </w:tcPr>
          <w:p w14:paraId="7B00546C" w14:textId="77777777" w:rsidR="00CF4CF6" w:rsidRPr="005248BC" w:rsidRDefault="00CF4CF6">
            <w:pPr>
              <w:pStyle w:val="a4"/>
              <w:jc w:val="right"/>
              <w:rPr>
                <w:b/>
                <w:bCs/>
                <w:sz w:val="26"/>
                <w:szCs w:val="26"/>
                <w:rtl/>
              </w:rPr>
            </w:pPr>
          </w:p>
        </w:tc>
        <w:tc>
          <w:tcPr>
            <w:tcW w:w="2088" w:type="dxa"/>
          </w:tcPr>
          <w:p w14:paraId="56B39BE8" w14:textId="77777777" w:rsidR="00CF4CF6" w:rsidRPr="005248BC" w:rsidRDefault="005248BC">
            <w:pPr>
              <w:pStyle w:val="a4"/>
              <w:tabs>
                <w:tab w:val="clear" w:pos="4153"/>
              </w:tabs>
              <w:jc w:val="right"/>
              <w:rPr>
                <w:b/>
                <w:bCs/>
                <w:sz w:val="26"/>
                <w:szCs w:val="26"/>
                <w:rtl/>
              </w:rPr>
            </w:pPr>
            <w:r w:rsidRPr="005248BC">
              <w:rPr>
                <w:b/>
                <w:bCs/>
                <w:sz w:val="26"/>
                <w:szCs w:val="26"/>
                <w:rtl/>
              </w:rPr>
              <w:t>03 פברואר 2016</w:t>
            </w:r>
          </w:p>
        </w:tc>
      </w:tr>
    </w:tbl>
    <w:p w14:paraId="629B1E03" w14:textId="77777777" w:rsidR="00CF4CF6" w:rsidRPr="005248BC" w:rsidRDefault="00CF4CF6">
      <w:pPr>
        <w:pStyle w:val="a4"/>
        <w:jc w:val="center"/>
        <w:rPr>
          <w:rFonts w:ascii="Tahoma" w:hAnsi="Tahoma" w:cs="Tahoma"/>
          <w:b/>
          <w:bCs/>
          <w:color w:val="000080"/>
          <w:sz w:val="20"/>
          <w:szCs w:val="20"/>
          <w:rtl/>
        </w:rPr>
      </w:pPr>
    </w:p>
    <w:p w14:paraId="73DB4702" w14:textId="77777777" w:rsidR="00CF4CF6" w:rsidRPr="005248BC" w:rsidRDefault="00CF4CF6">
      <w:pPr>
        <w:rPr>
          <w:rFonts w:ascii="Arial" w:hAnsi="Arial"/>
          <w:rtl/>
        </w:rPr>
      </w:pPr>
    </w:p>
    <w:tbl>
      <w:tblPr>
        <w:bidiVisual/>
        <w:tblW w:w="0" w:type="auto"/>
        <w:jc w:val="center"/>
        <w:tblLook w:val="0000" w:firstRow="0" w:lastRow="0" w:firstColumn="0" w:lastColumn="0" w:noHBand="0" w:noVBand="0"/>
      </w:tblPr>
      <w:tblGrid>
        <w:gridCol w:w="1592"/>
        <w:gridCol w:w="7128"/>
      </w:tblGrid>
      <w:tr w:rsidR="00CF4CF6" w:rsidRPr="005248BC" w14:paraId="6F52E054" w14:textId="77777777">
        <w:trPr>
          <w:trHeight w:val="337"/>
          <w:jc w:val="center"/>
        </w:trPr>
        <w:tc>
          <w:tcPr>
            <w:tcW w:w="1592" w:type="dxa"/>
          </w:tcPr>
          <w:p w14:paraId="3E400379" w14:textId="77777777" w:rsidR="00CF4CF6" w:rsidRPr="005248BC" w:rsidRDefault="005248BC">
            <w:pPr>
              <w:pStyle w:val="a4"/>
              <w:bidi w:val="0"/>
              <w:spacing w:line="360" w:lineRule="auto"/>
              <w:jc w:val="both"/>
              <w:rPr>
                <w:rFonts w:ascii="Times New Roman" w:hAnsi="Times New Roman"/>
              </w:rPr>
            </w:pPr>
            <w:r w:rsidRPr="005248BC">
              <w:rPr>
                <w:rFonts w:ascii="Times New Roman" w:hAnsi="Times New Roman"/>
              </w:rPr>
              <w:t xml:space="preserve">  </w:t>
            </w:r>
          </w:p>
        </w:tc>
        <w:tc>
          <w:tcPr>
            <w:tcW w:w="7128" w:type="dxa"/>
          </w:tcPr>
          <w:p w14:paraId="38D21A97" w14:textId="77777777" w:rsidR="00CF4CF6" w:rsidRPr="005248BC" w:rsidRDefault="005248BC">
            <w:pPr>
              <w:pStyle w:val="a4"/>
              <w:jc w:val="right"/>
              <w:rPr>
                <w:b/>
                <w:bCs/>
                <w:sz w:val="26"/>
                <w:szCs w:val="26"/>
                <w:rtl/>
              </w:rPr>
            </w:pPr>
            <w:r w:rsidRPr="005248BC">
              <w:rPr>
                <w:rFonts w:hint="cs"/>
                <w:rtl/>
              </w:rPr>
              <w:t xml:space="preserve"> 46685-04-15</w:t>
            </w:r>
          </w:p>
        </w:tc>
      </w:tr>
    </w:tbl>
    <w:p w14:paraId="5974EFAC" w14:textId="77777777" w:rsidR="00CF4CF6" w:rsidRPr="005248BC" w:rsidRDefault="00CF4CF6">
      <w:pPr>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CF4CF6" w:rsidRPr="005248BC" w14:paraId="281EC407" w14:textId="77777777">
        <w:trPr>
          <w:gridAfter w:val="1"/>
          <w:wAfter w:w="84" w:type="dxa"/>
        </w:trPr>
        <w:tc>
          <w:tcPr>
            <w:tcW w:w="8718" w:type="dxa"/>
            <w:gridSpan w:val="2"/>
            <w:shd w:val="clear" w:color="auto" w:fill="auto"/>
          </w:tcPr>
          <w:p w14:paraId="761B8EBF" w14:textId="77777777" w:rsidR="00CF4CF6" w:rsidRPr="005248BC" w:rsidRDefault="005248BC">
            <w:pPr>
              <w:rPr>
                <w:rFonts w:ascii="Times New Roman" w:eastAsia="Times New Roman" w:hAnsi="Times New Roman"/>
                <w:b/>
                <w:bCs/>
                <w:sz w:val="26"/>
                <w:szCs w:val="26"/>
                <w:rtl/>
              </w:rPr>
            </w:pPr>
            <w:r w:rsidRPr="005248BC">
              <w:rPr>
                <w:rFonts w:ascii="Times New Roman" w:eastAsia="Times New Roman" w:hAnsi="Times New Roman" w:hint="cs"/>
                <w:b/>
                <w:bCs/>
                <w:sz w:val="26"/>
                <w:szCs w:val="26"/>
                <w:rtl/>
              </w:rPr>
              <w:t>לפני כבוד ה</w:t>
            </w:r>
            <w:r w:rsidRPr="005248BC">
              <w:rPr>
                <w:rFonts w:ascii="Times New Roman" w:eastAsia="Times New Roman" w:hAnsi="Times New Roman"/>
                <w:b/>
                <w:bCs/>
                <w:sz w:val="26"/>
                <w:szCs w:val="26"/>
                <w:rtl/>
              </w:rPr>
              <w:t>שופטת, סגנית נשיא רות לורך</w:t>
            </w:r>
            <w:r w:rsidRPr="005248BC">
              <w:rPr>
                <w:rStyle w:val="TimesNewRomanTimesNewRoman"/>
                <w:rFonts w:eastAsia="Times New Roman"/>
                <w:rtl/>
              </w:rPr>
              <w:t xml:space="preserve"> </w:t>
            </w:r>
          </w:p>
          <w:p w14:paraId="1A40197E" w14:textId="77777777" w:rsidR="00CF4CF6" w:rsidRPr="005248BC" w:rsidRDefault="00CF4CF6">
            <w:pPr>
              <w:rPr>
                <w:rFonts w:ascii="Times New Roman" w:eastAsia="Times New Roman" w:hAnsi="Times New Roman"/>
                <w:b/>
                <w:bCs/>
                <w:sz w:val="26"/>
                <w:szCs w:val="26"/>
                <w:rtl/>
              </w:rPr>
            </w:pPr>
          </w:p>
        </w:tc>
      </w:tr>
      <w:tr w:rsidR="00CF4CF6" w:rsidRPr="005248BC" w14:paraId="5514549A" w14:textId="77777777">
        <w:trPr>
          <w:cantSplit/>
          <w:trHeight w:val="175"/>
        </w:trPr>
        <w:tc>
          <w:tcPr>
            <w:tcW w:w="2880" w:type="dxa"/>
            <w:shd w:val="clear" w:color="auto" w:fill="auto"/>
          </w:tcPr>
          <w:p w14:paraId="3F52FE6F" w14:textId="77777777" w:rsidR="00CF4CF6" w:rsidRPr="005248BC" w:rsidRDefault="005248BC">
            <w:pPr>
              <w:ind w:left="26"/>
              <w:rPr>
                <w:rFonts w:ascii="Times New Roman" w:eastAsia="Times New Roman" w:hAnsi="Times New Roman"/>
                <w:b/>
                <w:bCs/>
                <w:sz w:val="26"/>
                <w:szCs w:val="26"/>
                <w:rtl/>
              </w:rPr>
            </w:pPr>
            <w:bookmarkStart w:id="0" w:name="FirstAppellant"/>
            <w:bookmarkStart w:id="1" w:name="LastJudge"/>
            <w:bookmarkEnd w:id="1"/>
            <w:r w:rsidRPr="005248BC">
              <w:rPr>
                <w:rFonts w:ascii="Times New Roman" w:eastAsia="Times New Roman" w:hAnsi="Times New Roman" w:hint="cs"/>
                <w:b/>
                <w:bCs/>
                <w:sz w:val="26"/>
                <w:szCs w:val="26"/>
                <w:rtl/>
              </w:rPr>
              <w:t>ה</w:t>
            </w:r>
            <w:r w:rsidRPr="005248BC">
              <w:rPr>
                <w:rFonts w:ascii="Times New Roman" w:eastAsia="Times New Roman" w:hAnsi="Times New Roman"/>
                <w:b/>
                <w:bCs/>
                <w:sz w:val="26"/>
                <w:szCs w:val="26"/>
                <w:rtl/>
              </w:rPr>
              <w:t>מאשימה</w:t>
            </w:r>
          </w:p>
        </w:tc>
        <w:tc>
          <w:tcPr>
            <w:tcW w:w="5922" w:type="dxa"/>
            <w:gridSpan w:val="2"/>
            <w:shd w:val="clear" w:color="auto" w:fill="auto"/>
          </w:tcPr>
          <w:p w14:paraId="6DF7C382" w14:textId="77777777" w:rsidR="00CF4CF6" w:rsidRPr="005248BC" w:rsidRDefault="005248BC">
            <w:pPr>
              <w:rPr>
                <w:rFonts w:ascii="Times New Roman" w:eastAsia="Times New Roman" w:hAnsi="Times New Roman"/>
                <w:b/>
                <w:bCs/>
                <w:sz w:val="26"/>
                <w:szCs w:val="26"/>
                <w:rtl/>
              </w:rPr>
            </w:pPr>
            <w:r w:rsidRPr="005248BC">
              <w:rPr>
                <w:rFonts w:ascii="Times New Roman" w:eastAsia="Times New Roman" w:hAnsi="Times New Roman"/>
                <w:b/>
                <w:bCs/>
                <w:sz w:val="26"/>
                <w:szCs w:val="26"/>
                <w:rtl/>
              </w:rPr>
              <w:t>מדינת ישראל</w:t>
            </w:r>
          </w:p>
        </w:tc>
      </w:tr>
      <w:bookmarkEnd w:id="0"/>
      <w:tr w:rsidR="00CF4CF6" w:rsidRPr="005248BC" w14:paraId="580E4234" w14:textId="77777777">
        <w:tc>
          <w:tcPr>
            <w:tcW w:w="8802" w:type="dxa"/>
            <w:gridSpan w:val="3"/>
            <w:shd w:val="clear" w:color="auto" w:fill="auto"/>
            <w:vAlign w:val="center"/>
          </w:tcPr>
          <w:p w14:paraId="07FE73E3" w14:textId="77777777" w:rsidR="00CF4CF6" w:rsidRPr="005248BC" w:rsidRDefault="00CF4CF6">
            <w:pPr>
              <w:jc w:val="center"/>
              <w:rPr>
                <w:rFonts w:ascii="Arial" w:eastAsia="Times New Roman" w:hAnsi="Arial"/>
                <w:b/>
                <w:bCs/>
                <w:sz w:val="26"/>
                <w:szCs w:val="26"/>
                <w:rtl/>
              </w:rPr>
            </w:pPr>
          </w:p>
          <w:p w14:paraId="47B07A12" w14:textId="77777777" w:rsidR="00CF4CF6" w:rsidRPr="005248BC" w:rsidRDefault="005248BC">
            <w:pPr>
              <w:jc w:val="center"/>
              <w:rPr>
                <w:rFonts w:ascii="Arial" w:eastAsia="Times New Roman" w:hAnsi="Arial"/>
                <w:b/>
                <w:bCs/>
                <w:sz w:val="26"/>
                <w:szCs w:val="26"/>
                <w:rtl/>
              </w:rPr>
            </w:pPr>
            <w:r w:rsidRPr="005248BC">
              <w:rPr>
                <w:rFonts w:ascii="Arial" w:eastAsia="Times New Roman" w:hAnsi="Arial"/>
                <w:b/>
                <w:bCs/>
                <w:sz w:val="26"/>
                <w:szCs w:val="26"/>
                <w:rtl/>
              </w:rPr>
              <w:t>נגד</w:t>
            </w:r>
          </w:p>
          <w:p w14:paraId="5847DDA1" w14:textId="77777777" w:rsidR="00CF4CF6" w:rsidRPr="005248BC" w:rsidRDefault="00CF4CF6">
            <w:pPr>
              <w:rPr>
                <w:rFonts w:ascii="Arial" w:eastAsia="Times New Roman" w:hAnsi="Arial"/>
                <w:b/>
                <w:bCs/>
                <w:sz w:val="26"/>
                <w:szCs w:val="26"/>
              </w:rPr>
            </w:pPr>
          </w:p>
        </w:tc>
      </w:tr>
      <w:tr w:rsidR="00CF4CF6" w:rsidRPr="005248BC" w14:paraId="6FD17932" w14:textId="77777777">
        <w:tc>
          <w:tcPr>
            <w:tcW w:w="2880" w:type="dxa"/>
            <w:shd w:val="clear" w:color="auto" w:fill="auto"/>
          </w:tcPr>
          <w:p w14:paraId="360EA121" w14:textId="77777777" w:rsidR="00CF4CF6" w:rsidRPr="005248BC" w:rsidRDefault="005248BC">
            <w:pPr>
              <w:ind w:left="26"/>
              <w:rPr>
                <w:rFonts w:ascii="Times New Roman" w:eastAsia="Times New Roman" w:hAnsi="Times New Roman"/>
                <w:b/>
                <w:bCs/>
                <w:sz w:val="26"/>
                <w:szCs w:val="26"/>
                <w:rtl/>
              </w:rPr>
            </w:pPr>
            <w:r w:rsidRPr="005248BC">
              <w:rPr>
                <w:rFonts w:ascii="Times New Roman" w:eastAsia="Times New Roman" w:hAnsi="Times New Roman" w:hint="cs"/>
                <w:b/>
                <w:bCs/>
                <w:sz w:val="26"/>
                <w:szCs w:val="26"/>
                <w:rtl/>
              </w:rPr>
              <w:t>ה</w:t>
            </w:r>
            <w:r w:rsidRPr="005248BC">
              <w:rPr>
                <w:rFonts w:ascii="Times New Roman" w:eastAsia="Times New Roman" w:hAnsi="Times New Roman"/>
                <w:b/>
                <w:bCs/>
                <w:sz w:val="26"/>
                <w:szCs w:val="26"/>
                <w:rtl/>
              </w:rPr>
              <w:t>נאשם</w:t>
            </w:r>
          </w:p>
        </w:tc>
        <w:tc>
          <w:tcPr>
            <w:tcW w:w="5922" w:type="dxa"/>
            <w:gridSpan w:val="2"/>
            <w:shd w:val="clear" w:color="auto" w:fill="auto"/>
          </w:tcPr>
          <w:p w14:paraId="6A483977" w14:textId="77777777" w:rsidR="00CF4CF6" w:rsidRPr="005248BC" w:rsidRDefault="005248BC">
            <w:pPr>
              <w:rPr>
                <w:rFonts w:ascii="Times New Roman" w:eastAsia="Times New Roman" w:hAnsi="Times New Roman" w:hint="cs"/>
                <w:b/>
                <w:bCs/>
                <w:sz w:val="26"/>
                <w:szCs w:val="26"/>
                <w:rtl/>
              </w:rPr>
            </w:pPr>
            <w:r w:rsidRPr="005248BC">
              <w:rPr>
                <w:rFonts w:ascii="Times New Roman" w:eastAsia="Times New Roman" w:hAnsi="Times New Roman"/>
                <w:b/>
                <w:bCs/>
                <w:sz w:val="26"/>
                <w:szCs w:val="26"/>
                <w:rtl/>
              </w:rPr>
              <w:t xml:space="preserve">ערן סגל </w:t>
            </w:r>
          </w:p>
        </w:tc>
      </w:tr>
    </w:tbl>
    <w:p w14:paraId="522373BD" w14:textId="77777777" w:rsidR="00CF4CF6" w:rsidRPr="005248BC" w:rsidRDefault="00CF4CF6">
      <w:pPr>
        <w:spacing w:line="360" w:lineRule="auto"/>
        <w:jc w:val="both"/>
        <w:rPr>
          <w:rtl/>
        </w:rPr>
      </w:pPr>
    </w:p>
    <w:p w14:paraId="351C0E2D" w14:textId="77777777" w:rsidR="00CF4CF6" w:rsidRPr="005248BC" w:rsidRDefault="005248BC">
      <w:pPr>
        <w:spacing w:line="360" w:lineRule="auto"/>
        <w:jc w:val="both"/>
        <w:rPr>
          <w:sz w:val="6"/>
          <w:szCs w:val="6"/>
          <w:rtl/>
        </w:rPr>
      </w:pPr>
      <w:r w:rsidRPr="005248BC">
        <w:rPr>
          <w:sz w:val="6"/>
          <w:szCs w:val="6"/>
          <w:rtl/>
        </w:rPr>
        <w:t>&lt;#2#&gt;</w:t>
      </w:r>
    </w:p>
    <w:p w14:paraId="10589923" w14:textId="77777777" w:rsidR="00CF4CF6" w:rsidRPr="005248BC" w:rsidRDefault="005248BC">
      <w:pPr>
        <w:pStyle w:val="12"/>
        <w:rPr>
          <w:u w:val="none"/>
          <w:rtl/>
        </w:rPr>
      </w:pPr>
      <w:r w:rsidRPr="005248BC">
        <w:rPr>
          <w:rFonts w:hint="cs"/>
          <w:u w:val="none"/>
          <w:rtl/>
        </w:rPr>
        <w:t>נוכחים:</w:t>
      </w:r>
    </w:p>
    <w:p w14:paraId="31F77D73" w14:textId="77777777" w:rsidR="00CF4CF6" w:rsidRPr="005248BC" w:rsidRDefault="005248BC">
      <w:pPr>
        <w:pStyle w:val="12"/>
        <w:rPr>
          <w:b w:val="0"/>
          <w:bCs w:val="0"/>
          <w:u w:val="none"/>
          <w:rtl/>
        </w:rPr>
      </w:pPr>
      <w:bookmarkStart w:id="2" w:name="FirstLawyer"/>
      <w:r w:rsidRPr="005248BC">
        <w:rPr>
          <w:rFonts w:hint="cs"/>
          <w:b w:val="0"/>
          <w:bCs w:val="0"/>
          <w:u w:val="none"/>
          <w:rtl/>
        </w:rPr>
        <w:t>ב"כ</w:t>
      </w:r>
      <w:bookmarkEnd w:id="2"/>
      <w:r w:rsidRPr="005248BC">
        <w:rPr>
          <w:rFonts w:hint="cs"/>
          <w:b w:val="0"/>
          <w:bCs w:val="0"/>
          <w:u w:val="none"/>
          <w:rtl/>
        </w:rPr>
        <w:t xml:space="preserve"> המאשימה עו"ד יעל עצמון</w:t>
      </w:r>
    </w:p>
    <w:p w14:paraId="7E948548" w14:textId="77777777" w:rsidR="00CF4CF6" w:rsidRPr="005248BC" w:rsidRDefault="005248BC">
      <w:pPr>
        <w:pStyle w:val="12"/>
        <w:rPr>
          <w:b w:val="0"/>
          <w:bCs w:val="0"/>
          <w:u w:val="none"/>
          <w:rtl/>
        </w:rPr>
      </w:pPr>
      <w:r w:rsidRPr="005248BC">
        <w:rPr>
          <w:rFonts w:hint="cs"/>
          <w:b w:val="0"/>
          <w:bCs w:val="0"/>
          <w:u w:val="none"/>
          <w:rtl/>
        </w:rPr>
        <w:t>ב"כ הנאשם עו"ד קרינה אבאל ממשרד עו"ד משה סוחמי</w:t>
      </w:r>
    </w:p>
    <w:p w14:paraId="22CA1990" w14:textId="77777777" w:rsidR="00CF4CF6" w:rsidRPr="005248BC" w:rsidRDefault="005248BC">
      <w:pPr>
        <w:pStyle w:val="12"/>
        <w:rPr>
          <w:b w:val="0"/>
          <w:bCs w:val="0"/>
          <w:u w:val="none"/>
          <w:rtl/>
        </w:rPr>
      </w:pPr>
      <w:r w:rsidRPr="005248BC">
        <w:rPr>
          <w:rFonts w:hint="cs"/>
          <w:b w:val="0"/>
          <w:bCs w:val="0"/>
          <w:u w:val="none"/>
          <w:rtl/>
        </w:rPr>
        <w:t>הנאשם הובא באמצעות שב"ס</w:t>
      </w:r>
    </w:p>
    <w:p w14:paraId="3E436D46" w14:textId="77777777" w:rsidR="000E1881" w:rsidRDefault="000E1881">
      <w:pPr>
        <w:pStyle w:val="12"/>
        <w:rPr>
          <w:b w:val="0"/>
          <w:bCs w:val="0"/>
          <w:u w:val="none"/>
          <w:rtl/>
        </w:rPr>
      </w:pPr>
      <w:bookmarkStart w:id="3" w:name="LawTable"/>
      <w:bookmarkEnd w:id="3"/>
    </w:p>
    <w:p w14:paraId="3BC3E69B" w14:textId="77777777" w:rsidR="000E1881" w:rsidRPr="000E1881" w:rsidRDefault="000E1881" w:rsidP="000E1881">
      <w:pPr>
        <w:pStyle w:val="12"/>
        <w:spacing w:after="120" w:line="240" w:lineRule="exact"/>
        <w:ind w:left="283" w:hanging="283"/>
        <w:jc w:val="both"/>
        <w:rPr>
          <w:rFonts w:ascii="FrankRuehl" w:hAnsi="FrankRuehl" w:cs="FrankRuehl"/>
          <w:b w:val="0"/>
          <w:bCs w:val="0"/>
          <w:u w:val="none"/>
          <w:rtl/>
        </w:rPr>
      </w:pPr>
    </w:p>
    <w:p w14:paraId="6572896B" w14:textId="77777777" w:rsidR="000E1881" w:rsidRPr="000E1881" w:rsidRDefault="000E1881" w:rsidP="000E1881">
      <w:pPr>
        <w:pStyle w:val="12"/>
        <w:spacing w:after="120" w:line="240" w:lineRule="exact"/>
        <w:ind w:left="283" w:hanging="283"/>
        <w:jc w:val="both"/>
        <w:rPr>
          <w:rFonts w:ascii="FrankRuehl" w:hAnsi="FrankRuehl" w:cs="FrankRuehl"/>
          <w:b w:val="0"/>
          <w:bCs w:val="0"/>
          <w:u w:val="none"/>
          <w:rtl/>
        </w:rPr>
      </w:pPr>
      <w:r w:rsidRPr="000E1881">
        <w:rPr>
          <w:rFonts w:ascii="FrankRuehl" w:hAnsi="FrankRuehl" w:cs="FrankRuehl"/>
          <w:b w:val="0"/>
          <w:bCs w:val="0"/>
          <w:u w:val="none"/>
          <w:rtl/>
        </w:rPr>
        <w:t xml:space="preserve">חקיקה שאוזכרה: </w:t>
      </w:r>
    </w:p>
    <w:p w14:paraId="760EC827" w14:textId="77777777" w:rsidR="000E1881" w:rsidRPr="000E1881" w:rsidRDefault="000E1881" w:rsidP="000E1881">
      <w:pPr>
        <w:pStyle w:val="12"/>
        <w:spacing w:after="120" w:line="240" w:lineRule="exact"/>
        <w:ind w:left="283" w:hanging="283"/>
        <w:jc w:val="both"/>
        <w:rPr>
          <w:rFonts w:ascii="FrankRuehl" w:hAnsi="FrankRuehl" w:cs="FrankRuehl"/>
          <w:b w:val="0"/>
          <w:bCs w:val="0"/>
          <w:color w:val="0000FF"/>
          <w:rtl/>
        </w:rPr>
      </w:pPr>
      <w:hyperlink r:id="rId7" w:history="1">
        <w:r w:rsidRPr="000E1881">
          <w:rPr>
            <w:rStyle w:val="Hyperlink"/>
            <w:rFonts w:ascii="FrankRuehl" w:eastAsia="David" w:hAnsi="FrankRuehl" w:cs="FrankRuehl"/>
            <w:b w:val="0"/>
            <w:bCs w:val="0"/>
            <w:rtl/>
          </w:rPr>
          <w:t>פקודת הסמים המסוכנים [נוסח חדש], תשל"ג-1973</w:t>
        </w:r>
      </w:hyperlink>
      <w:r w:rsidRPr="000E1881">
        <w:rPr>
          <w:rFonts w:ascii="FrankRuehl" w:hAnsi="FrankRuehl" w:cs="FrankRuehl"/>
          <w:b w:val="0"/>
          <w:bCs w:val="0"/>
          <w:color w:val="0000FF"/>
          <w:rtl/>
        </w:rPr>
        <w:t xml:space="preserve">: סע'  </w:t>
      </w:r>
      <w:hyperlink r:id="rId8" w:history="1">
        <w:r w:rsidRPr="000E1881">
          <w:rPr>
            <w:rStyle w:val="Hyperlink"/>
            <w:rFonts w:ascii="FrankRuehl" w:eastAsia="David" w:hAnsi="FrankRuehl" w:cs="FrankRuehl"/>
            <w:b w:val="0"/>
            <w:bCs w:val="0"/>
          </w:rPr>
          <w:t>6</w:t>
        </w:r>
      </w:hyperlink>
      <w:r w:rsidRPr="000E1881">
        <w:rPr>
          <w:rFonts w:ascii="FrankRuehl" w:hAnsi="FrankRuehl" w:cs="FrankRuehl"/>
          <w:b w:val="0"/>
          <w:bCs w:val="0"/>
          <w:color w:val="0000FF"/>
          <w:rtl/>
        </w:rPr>
        <w:t xml:space="preserve">, </w:t>
      </w:r>
      <w:hyperlink r:id="rId9" w:history="1">
        <w:r w:rsidRPr="000E1881">
          <w:rPr>
            <w:rStyle w:val="Hyperlink"/>
            <w:rFonts w:ascii="FrankRuehl" w:eastAsia="David" w:hAnsi="FrankRuehl" w:cs="FrankRuehl"/>
            <w:b w:val="0"/>
            <w:bCs w:val="0"/>
          </w:rPr>
          <w:t>7(</w:t>
        </w:r>
        <w:r w:rsidRPr="000E1881">
          <w:rPr>
            <w:rStyle w:val="Hyperlink"/>
            <w:rFonts w:ascii="FrankRuehl" w:eastAsia="David" w:hAnsi="FrankRuehl" w:cs="FrankRuehl"/>
            <w:b w:val="0"/>
            <w:bCs w:val="0"/>
            <w:rtl/>
          </w:rPr>
          <w:t>א</w:t>
        </w:r>
        <w:r w:rsidRPr="000E1881">
          <w:rPr>
            <w:rStyle w:val="Hyperlink"/>
            <w:rFonts w:ascii="FrankRuehl" w:eastAsia="David" w:hAnsi="FrankRuehl" w:cs="FrankRuehl"/>
            <w:b w:val="0"/>
            <w:bCs w:val="0"/>
          </w:rPr>
          <w:t>)</w:t>
        </w:r>
      </w:hyperlink>
      <w:r w:rsidRPr="000E1881">
        <w:rPr>
          <w:rFonts w:ascii="FrankRuehl" w:hAnsi="FrankRuehl" w:cs="FrankRuehl"/>
          <w:b w:val="0"/>
          <w:bCs w:val="0"/>
          <w:color w:val="0000FF"/>
          <w:rtl/>
        </w:rPr>
        <w:t xml:space="preserve">, </w:t>
      </w:r>
      <w:hyperlink r:id="rId10" w:history="1">
        <w:r w:rsidRPr="000E1881">
          <w:rPr>
            <w:rStyle w:val="Hyperlink"/>
            <w:rFonts w:ascii="FrankRuehl" w:eastAsia="David" w:hAnsi="FrankRuehl" w:cs="FrankRuehl"/>
            <w:b w:val="0"/>
            <w:bCs w:val="0"/>
          </w:rPr>
          <w:t>(</w:t>
        </w:r>
        <w:r w:rsidRPr="000E1881">
          <w:rPr>
            <w:rStyle w:val="Hyperlink"/>
            <w:rFonts w:ascii="FrankRuehl" w:eastAsia="David" w:hAnsi="FrankRuehl" w:cs="FrankRuehl"/>
            <w:b w:val="0"/>
            <w:bCs w:val="0"/>
            <w:rtl/>
          </w:rPr>
          <w:t>ג</w:t>
        </w:r>
        <w:r w:rsidRPr="000E1881">
          <w:rPr>
            <w:rStyle w:val="Hyperlink"/>
            <w:rFonts w:ascii="FrankRuehl" w:eastAsia="David" w:hAnsi="FrankRuehl" w:cs="FrankRuehl"/>
            <w:b w:val="0"/>
            <w:bCs w:val="0"/>
          </w:rPr>
          <w:t>)</w:t>
        </w:r>
      </w:hyperlink>
      <w:r w:rsidRPr="000E1881">
        <w:rPr>
          <w:rFonts w:ascii="FrankRuehl" w:hAnsi="FrankRuehl" w:cs="FrankRuehl"/>
          <w:b w:val="0"/>
          <w:bCs w:val="0"/>
          <w:color w:val="0000FF"/>
          <w:rtl/>
        </w:rPr>
        <w:t xml:space="preserve">, </w:t>
      </w:r>
      <w:hyperlink r:id="rId11" w:history="1">
        <w:r w:rsidRPr="000E1881">
          <w:rPr>
            <w:rStyle w:val="Hyperlink"/>
            <w:rFonts w:ascii="FrankRuehl" w:eastAsia="David" w:hAnsi="FrankRuehl" w:cs="FrankRuehl"/>
            <w:b w:val="0"/>
            <w:bCs w:val="0"/>
          </w:rPr>
          <w:t>10</w:t>
        </w:r>
      </w:hyperlink>
      <w:r w:rsidRPr="000E1881">
        <w:rPr>
          <w:rFonts w:ascii="FrankRuehl" w:hAnsi="FrankRuehl" w:cs="FrankRuehl"/>
          <w:b w:val="0"/>
          <w:bCs w:val="0"/>
          <w:color w:val="0000FF"/>
          <w:rtl/>
        </w:rPr>
        <w:t xml:space="preserve">, </w:t>
      </w:r>
      <w:hyperlink r:id="rId12" w:history="1">
        <w:r w:rsidRPr="000E1881">
          <w:rPr>
            <w:rStyle w:val="Hyperlink"/>
            <w:rFonts w:ascii="FrankRuehl" w:eastAsia="David" w:hAnsi="FrankRuehl" w:cs="FrankRuehl"/>
            <w:b w:val="0"/>
            <w:bCs w:val="0"/>
          </w:rPr>
          <w:t>32</w:t>
        </w:r>
      </w:hyperlink>
    </w:p>
    <w:p w14:paraId="30216ACB" w14:textId="77777777" w:rsidR="000E1881" w:rsidRPr="000E1881" w:rsidRDefault="000E1881" w:rsidP="000E1881">
      <w:pPr>
        <w:pStyle w:val="12"/>
        <w:spacing w:after="120" w:line="240" w:lineRule="exact"/>
        <w:ind w:left="283" w:hanging="283"/>
        <w:jc w:val="both"/>
        <w:rPr>
          <w:rFonts w:ascii="FrankRuehl" w:hAnsi="FrankRuehl" w:cs="FrankRuehl"/>
          <w:b w:val="0"/>
          <w:bCs w:val="0"/>
          <w:color w:val="0000FF"/>
          <w:rtl/>
        </w:rPr>
      </w:pPr>
      <w:hyperlink r:id="rId13" w:history="1">
        <w:r w:rsidRPr="000E1881">
          <w:rPr>
            <w:rStyle w:val="Hyperlink"/>
            <w:rFonts w:ascii="FrankRuehl" w:eastAsia="David" w:hAnsi="FrankRuehl" w:cs="FrankRuehl"/>
            <w:b w:val="0"/>
            <w:bCs w:val="0"/>
            <w:rtl/>
          </w:rPr>
          <w:t>חוק העונשין, תשל"ז-1977</w:t>
        </w:r>
      </w:hyperlink>
      <w:r w:rsidRPr="000E1881">
        <w:rPr>
          <w:rFonts w:ascii="FrankRuehl" w:hAnsi="FrankRuehl" w:cs="FrankRuehl"/>
          <w:b w:val="0"/>
          <w:bCs w:val="0"/>
          <w:color w:val="0000FF"/>
          <w:rtl/>
        </w:rPr>
        <w:t xml:space="preserve">: סע'  </w:t>
      </w:r>
      <w:hyperlink r:id="rId14" w:history="1">
        <w:r w:rsidRPr="000E1881">
          <w:rPr>
            <w:rStyle w:val="Hyperlink"/>
            <w:rFonts w:ascii="FrankRuehl" w:eastAsia="David" w:hAnsi="FrankRuehl" w:cs="FrankRuehl"/>
            <w:b w:val="0"/>
            <w:bCs w:val="0"/>
          </w:rPr>
          <w:t>40</w:t>
        </w:r>
        <w:r w:rsidRPr="000E1881">
          <w:rPr>
            <w:rStyle w:val="Hyperlink"/>
            <w:rFonts w:ascii="FrankRuehl" w:eastAsia="David" w:hAnsi="FrankRuehl" w:cs="FrankRuehl"/>
            <w:b w:val="0"/>
            <w:bCs w:val="0"/>
            <w:rtl/>
          </w:rPr>
          <w:t>ח</w:t>
        </w:r>
      </w:hyperlink>
    </w:p>
    <w:p w14:paraId="0D0AB382" w14:textId="77777777" w:rsidR="000E1881" w:rsidRPr="000E1881" w:rsidRDefault="000E1881" w:rsidP="000E1881">
      <w:pPr>
        <w:pStyle w:val="12"/>
        <w:spacing w:after="120" w:line="240" w:lineRule="exact"/>
        <w:ind w:left="283" w:hanging="283"/>
        <w:jc w:val="both"/>
        <w:rPr>
          <w:rFonts w:ascii="FrankRuehl" w:hAnsi="FrankRuehl" w:cs="FrankRuehl"/>
          <w:b w:val="0"/>
          <w:bCs w:val="0"/>
          <w:u w:val="none"/>
          <w:rtl/>
        </w:rPr>
      </w:pPr>
    </w:p>
    <w:p w14:paraId="6E9539D2" w14:textId="77777777" w:rsidR="000E1881" w:rsidRPr="000E1881" w:rsidRDefault="000E1881">
      <w:pPr>
        <w:pStyle w:val="12"/>
        <w:rPr>
          <w:b w:val="0"/>
          <w:bCs w:val="0"/>
          <w:u w:val="none"/>
          <w:rtl/>
        </w:rPr>
      </w:pPr>
      <w:bookmarkStart w:id="4" w:name="LawTable_End"/>
      <w:bookmarkEnd w:id="4"/>
    </w:p>
    <w:p w14:paraId="6DD824F2" w14:textId="77777777" w:rsidR="005248BC" w:rsidRPr="005248BC" w:rsidRDefault="005248BC" w:rsidP="005248BC">
      <w:pPr>
        <w:spacing w:line="360" w:lineRule="auto"/>
        <w:jc w:val="center"/>
        <w:rPr>
          <w:rFonts w:ascii="Arial" w:hAnsi="Arial"/>
          <w:b/>
          <w:bCs/>
          <w:sz w:val="28"/>
          <w:szCs w:val="28"/>
          <w:u w:val="single"/>
          <w:rtl/>
        </w:rPr>
      </w:pPr>
      <w:bookmarkStart w:id="5" w:name="PsakDin"/>
      <w:r w:rsidRPr="005248BC">
        <w:rPr>
          <w:rFonts w:ascii="Arial" w:hAnsi="Arial"/>
          <w:b/>
          <w:bCs/>
          <w:sz w:val="28"/>
          <w:szCs w:val="28"/>
          <w:u w:val="single"/>
          <w:rtl/>
        </w:rPr>
        <w:t>גזר דין</w:t>
      </w:r>
    </w:p>
    <w:bookmarkEnd w:id="5"/>
    <w:p w14:paraId="180E5B44" w14:textId="77777777" w:rsidR="00CF4CF6" w:rsidRDefault="00CF4CF6">
      <w:pPr>
        <w:spacing w:line="360" w:lineRule="auto"/>
        <w:jc w:val="center"/>
        <w:rPr>
          <w:b/>
          <w:bCs/>
          <w:u w:val="single"/>
          <w:rtl/>
        </w:rPr>
      </w:pPr>
    </w:p>
    <w:p w14:paraId="79D00336" w14:textId="77777777" w:rsidR="00CF4CF6" w:rsidRDefault="005248BC">
      <w:pPr>
        <w:pStyle w:val="ListParagraph"/>
        <w:numPr>
          <w:ilvl w:val="0"/>
          <w:numId w:val="1"/>
        </w:numPr>
        <w:spacing w:line="360" w:lineRule="auto"/>
        <w:jc w:val="both"/>
        <w:rPr>
          <w:rFonts w:cs="David"/>
          <w:b/>
          <w:bCs/>
          <w:sz w:val="24"/>
          <w:szCs w:val="24"/>
          <w:u w:val="single"/>
          <w:rtl/>
        </w:rPr>
      </w:pPr>
      <w:r>
        <w:rPr>
          <w:rFonts w:cs="David" w:hint="cs"/>
          <w:sz w:val="24"/>
          <w:szCs w:val="24"/>
          <w:rtl/>
        </w:rPr>
        <w:t xml:space="preserve">הנאשם הורשע על-פי הודאתו בעובדות כתב-האישום, בביצוע עבירות </w:t>
      </w:r>
      <w:r>
        <w:rPr>
          <w:rFonts w:cs="David" w:hint="cs"/>
          <w:b/>
          <w:bCs/>
          <w:sz w:val="24"/>
          <w:szCs w:val="24"/>
          <w:rtl/>
        </w:rPr>
        <w:t>ייצור, הכנה והפקה של סם מסוכן</w:t>
      </w:r>
      <w:r>
        <w:rPr>
          <w:rFonts w:cs="David" w:hint="cs"/>
          <w:sz w:val="24"/>
          <w:szCs w:val="24"/>
          <w:rtl/>
        </w:rPr>
        <w:t xml:space="preserve">, לפי </w:t>
      </w:r>
      <w:hyperlink r:id="rId15" w:history="1">
        <w:r w:rsidR="000E1881" w:rsidRPr="000E1881">
          <w:rPr>
            <w:rStyle w:val="Hyperlink"/>
            <w:rFonts w:cs="David" w:hint="cs"/>
            <w:sz w:val="24"/>
            <w:szCs w:val="24"/>
            <w:rtl/>
          </w:rPr>
          <w:t>סעיף</w:t>
        </w:r>
        <w:r w:rsidR="000E1881" w:rsidRPr="000E1881">
          <w:rPr>
            <w:rStyle w:val="Hyperlink"/>
            <w:rFonts w:cs="David"/>
            <w:sz w:val="24"/>
            <w:szCs w:val="24"/>
            <w:rtl/>
          </w:rPr>
          <w:t xml:space="preserve"> 6</w:t>
        </w:r>
      </w:hyperlink>
      <w:r>
        <w:rPr>
          <w:rFonts w:cs="David" w:hint="cs"/>
          <w:sz w:val="24"/>
          <w:szCs w:val="24"/>
          <w:rtl/>
        </w:rPr>
        <w:t xml:space="preserve"> רישא ל</w:t>
      </w:r>
      <w:hyperlink r:id="rId16" w:history="1">
        <w:r w:rsidRPr="005248BC">
          <w:rPr>
            <w:rStyle w:val="Hyperlink"/>
            <w:rFonts w:cs="David" w:hint="cs"/>
            <w:sz w:val="24"/>
            <w:szCs w:val="24"/>
            <w:rtl/>
          </w:rPr>
          <w:t>פקודת</w:t>
        </w:r>
        <w:r w:rsidRPr="005248BC">
          <w:rPr>
            <w:rStyle w:val="Hyperlink"/>
            <w:rFonts w:cs="David"/>
            <w:sz w:val="24"/>
            <w:szCs w:val="24"/>
            <w:rtl/>
          </w:rPr>
          <w:t xml:space="preserve"> </w:t>
        </w:r>
        <w:r w:rsidRPr="005248BC">
          <w:rPr>
            <w:rStyle w:val="Hyperlink"/>
            <w:rFonts w:cs="David" w:hint="cs"/>
            <w:sz w:val="24"/>
            <w:szCs w:val="24"/>
            <w:rtl/>
          </w:rPr>
          <w:t>הסמים</w:t>
        </w:r>
        <w:r w:rsidRPr="005248BC">
          <w:rPr>
            <w:rStyle w:val="Hyperlink"/>
            <w:rFonts w:cs="David"/>
            <w:sz w:val="24"/>
            <w:szCs w:val="24"/>
            <w:rtl/>
          </w:rPr>
          <w:t xml:space="preserve"> </w:t>
        </w:r>
        <w:r w:rsidRPr="005248BC">
          <w:rPr>
            <w:rStyle w:val="Hyperlink"/>
            <w:rFonts w:cs="David" w:hint="cs"/>
            <w:sz w:val="24"/>
            <w:szCs w:val="24"/>
            <w:rtl/>
          </w:rPr>
          <w:t>המסוכנים</w:t>
        </w:r>
      </w:hyperlink>
      <w:r>
        <w:rPr>
          <w:rFonts w:cs="David" w:hint="cs"/>
          <w:sz w:val="24"/>
          <w:szCs w:val="24"/>
          <w:rtl/>
        </w:rPr>
        <w:t xml:space="preserve"> [נוסח חדש], התשל"ג-1973 (להלן: </w:t>
      </w:r>
      <w:r>
        <w:rPr>
          <w:rFonts w:cs="David" w:hint="cs"/>
          <w:b/>
          <w:bCs/>
          <w:sz w:val="24"/>
          <w:szCs w:val="24"/>
          <w:rtl/>
        </w:rPr>
        <w:t>"הפקודה"</w:t>
      </w:r>
      <w:r>
        <w:rPr>
          <w:rFonts w:cs="David" w:hint="cs"/>
          <w:sz w:val="24"/>
          <w:szCs w:val="24"/>
          <w:rtl/>
        </w:rPr>
        <w:t xml:space="preserve">); </w:t>
      </w:r>
      <w:r>
        <w:rPr>
          <w:rFonts w:cs="David" w:hint="cs"/>
          <w:b/>
          <w:bCs/>
          <w:sz w:val="24"/>
          <w:szCs w:val="24"/>
          <w:rtl/>
        </w:rPr>
        <w:t>החזקת סם שלא לצריכה עצמית</w:t>
      </w:r>
      <w:r>
        <w:rPr>
          <w:rFonts w:cs="David" w:hint="cs"/>
          <w:sz w:val="24"/>
          <w:szCs w:val="24"/>
          <w:rtl/>
        </w:rPr>
        <w:t xml:space="preserve">, לפי </w:t>
      </w:r>
      <w:hyperlink r:id="rId17" w:history="1">
        <w:r w:rsidR="000E1881" w:rsidRPr="000E1881">
          <w:rPr>
            <w:rStyle w:val="Hyperlink"/>
            <w:rFonts w:cs="David" w:hint="cs"/>
            <w:sz w:val="24"/>
            <w:szCs w:val="24"/>
            <w:rtl/>
          </w:rPr>
          <w:t>סעיף</w:t>
        </w:r>
        <w:r w:rsidR="000E1881" w:rsidRPr="000E1881">
          <w:rPr>
            <w:rStyle w:val="Hyperlink"/>
            <w:rFonts w:cs="David"/>
            <w:sz w:val="24"/>
            <w:szCs w:val="24"/>
            <w:rtl/>
          </w:rPr>
          <w:t xml:space="preserve"> 7(</w:t>
        </w:r>
        <w:r w:rsidR="000E1881" w:rsidRPr="000E1881">
          <w:rPr>
            <w:rStyle w:val="Hyperlink"/>
            <w:rFonts w:cs="David" w:hint="cs"/>
            <w:sz w:val="24"/>
            <w:szCs w:val="24"/>
            <w:rtl/>
          </w:rPr>
          <w:t>א</w:t>
        </w:r>
        <w:r w:rsidR="000E1881" w:rsidRPr="000E1881">
          <w:rPr>
            <w:rStyle w:val="Hyperlink"/>
            <w:rFonts w:cs="David"/>
            <w:sz w:val="24"/>
            <w:szCs w:val="24"/>
            <w:rtl/>
          </w:rPr>
          <w:t>)</w:t>
        </w:r>
      </w:hyperlink>
      <w:r>
        <w:rPr>
          <w:rFonts w:cs="David" w:hint="cs"/>
          <w:sz w:val="24"/>
          <w:szCs w:val="24"/>
          <w:rtl/>
        </w:rPr>
        <w:t xml:space="preserve"> ו-</w:t>
      </w:r>
      <w:hyperlink r:id="rId18" w:history="1">
        <w:r w:rsidR="000E1881" w:rsidRPr="000E1881">
          <w:rPr>
            <w:rStyle w:val="Hyperlink"/>
            <w:rFonts w:cs="David"/>
            <w:sz w:val="24"/>
            <w:szCs w:val="24"/>
            <w:rtl/>
          </w:rPr>
          <w:t>(</w:t>
        </w:r>
        <w:r w:rsidR="000E1881" w:rsidRPr="000E1881">
          <w:rPr>
            <w:rStyle w:val="Hyperlink"/>
            <w:rFonts w:cs="David" w:hint="cs"/>
            <w:sz w:val="24"/>
            <w:szCs w:val="24"/>
            <w:rtl/>
          </w:rPr>
          <w:t>ג</w:t>
        </w:r>
        <w:r w:rsidR="000E1881" w:rsidRPr="000E1881">
          <w:rPr>
            <w:rStyle w:val="Hyperlink"/>
            <w:rFonts w:cs="David"/>
            <w:sz w:val="24"/>
            <w:szCs w:val="24"/>
            <w:rtl/>
          </w:rPr>
          <w:t>)</w:t>
        </w:r>
      </w:hyperlink>
      <w:r>
        <w:rPr>
          <w:rFonts w:cs="David" w:hint="cs"/>
          <w:sz w:val="24"/>
          <w:szCs w:val="24"/>
          <w:rtl/>
        </w:rPr>
        <w:t xml:space="preserve"> לפקודה; </w:t>
      </w:r>
      <w:r>
        <w:rPr>
          <w:rFonts w:cs="David" w:hint="cs"/>
          <w:b/>
          <w:bCs/>
          <w:sz w:val="24"/>
          <w:szCs w:val="24"/>
          <w:rtl/>
        </w:rPr>
        <w:t>והחזקת כלים המשמשים להכנת סם</w:t>
      </w:r>
      <w:r>
        <w:rPr>
          <w:rFonts w:cs="David" w:hint="cs"/>
          <w:sz w:val="24"/>
          <w:szCs w:val="24"/>
          <w:rtl/>
        </w:rPr>
        <w:t xml:space="preserve">, לפי </w:t>
      </w:r>
      <w:hyperlink r:id="rId19" w:history="1">
        <w:r w:rsidR="000E1881" w:rsidRPr="000E1881">
          <w:rPr>
            <w:rStyle w:val="Hyperlink"/>
            <w:rFonts w:cs="David" w:hint="cs"/>
            <w:sz w:val="24"/>
            <w:szCs w:val="24"/>
            <w:rtl/>
          </w:rPr>
          <w:t>סעיף</w:t>
        </w:r>
        <w:r w:rsidR="000E1881" w:rsidRPr="000E1881">
          <w:rPr>
            <w:rStyle w:val="Hyperlink"/>
            <w:rFonts w:cs="David"/>
            <w:sz w:val="24"/>
            <w:szCs w:val="24"/>
            <w:rtl/>
          </w:rPr>
          <w:t xml:space="preserve"> 10</w:t>
        </w:r>
      </w:hyperlink>
      <w:r>
        <w:rPr>
          <w:rFonts w:cs="David" w:hint="cs"/>
          <w:sz w:val="24"/>
          <w:szCs w:val="24"/>
          <w:rtl/>
        </w:rPr>
        <w:t xml:space="preserve"> רישא לפקודה.</w:t>
      </w:r>
    </w:p>
    <w:p w14:paraId="3C1821B5" w14:textId="77777777" w:rsidR="00CF4CF6" w:rsidRDefault="00CF4CF6">
      <w:pPr>
        <w:pStyle w:val="ListParagraph"/>
        <w:spacing w:line="360" w:lineRule="auto"/>
        <w:jc w:val="both"/>
        <w:rPr>
          <w:rFonts w:cs="David"/>
          <w:sz w:val="24"/>
          <w:szCs w:val="24"/>
        </w:rPr>
      </w:pPr>
    </w:p>
    <w:p w14:paraId="04D1F699" w14:textId="77777777" w:rsidR="00CF4CF6" w:rsidRDefault="005248BC">
      <w:pPr>
        <w:pStyle w:val="ListParagraph"/>
        <w:numPr>
          <w:ilvl w:val="0"/>
          <w:numId w:val="1"/>
        </w:numPr>
        <w:spacing w:line="360" w:lineRule="auto"/>
        <w:jc w:val="both"/>
        <w:rPr>
          <w:rFonts w:cs="David"/>
          <w:sz w:val="24"/>
          <w:szCs w:val="24"/>
        </w:rPr>
      </w:pPr>
      <w:r>
        <w:rPr>
          <w:rFonts w:cs="David" w:hint="cs"/>
          <w:sz w:val="24"/>
          <w:szCs w:val="24"/>
          <w:rtl/>
        </w:rPr>
        <w:t xml:space="preserve">בהתאם לעובדות כתב-האישום, </w:t>
      </w:r>
      <w:bookmarkStart w:id="6" w:name="ABSTRACT_START"/>
      <w:bookmarkEnd w:id="6"/>
      <w:r>
        <w:rPr>
          <w:rFonts w:cs="David" w:hint="cs"/>
          <w:sz w:val="24"/>
          <w:szCs w:val="24"/>
          <w:rtl/>
        </w:rPr>
        <w:t>בחודש אוקטובר 2014 שכר הנאשם דירה בראשון לציון. בסמוך לאחר מכן, הקים הנאשם מעבדת הידרו לגידול קנבוס בחדרים השונים של הדירה.</w:t>
      </w:r>
    </w:p>
    <w:p w14:paraId="05EDF6E5" w14:textId="77777777" w:rsidR="00CF4CF6" w:rsidRDefault="005248BC">
      <w:pPr>
        <w:pStyle w:val="ListParagraph"/>
        <w:spacing w:line="360" w:lineRule="auto"/>
        <w:jc w:val="both"/>
        <w:rPr>
          <w:rFonts w:cs="David"/>
          <w:sz w:val="24"/>
          <w:szCs w:val="24"/>
        </w:rPr>
      </w:pPr>
      <w:r>
        <w:rPr>
          <w:rFonts w:cs="David" w:hint="cs"/>
          <w:sz w:val="24"/>
          <w:szCs w:val="24"/>
          <w:rtl/>
        </w:rPr>
        <w:t>ביום 15.4.2015 החזיק הנאשם בדירה צמחי קנבוס רבים, בעציצים, במשקל נטו של 78.8 ק"ג והחזיק בדירה כלים אסורים המשמשים להכנת הסם ובין השאר: עציצים ואדניות, מגשיות להנבטת זרעים, מנורות הלוגן, מאווררים, שעוני טיימר, שנאים, מסננים, מערכת השקייה, מערכת חשמל ומערכת איוורור, שקיות רבות של דשן וצמר גפן.</w:t>
      </w:r>
    </w:p>
    <w:p w14:paraId="15256238" w14:textId="77777777" w:rsidR="00CF4CF6" w:rsidRDefault="005248BC">
      <w:pPr>
        <w:spacing w:line="360" w:lineRule="auto"/>
        <w:jc w:val="both"/>
        <w:rPr>
          <w:b/>
          <w:bCs/>
          <w:u w:val="single"/>
          <w:rtl/>
        </w:rPr>
      </w:pPr>
      <w:bookmarkStart w:id="7" w:name="ABSTRACT_END"/>
      <w:bookmarkEnd w:id="7"/>
      <w:r>
        <w:rPr>
          <w:rFonts w:hint="cs"/>
          <w:b/>
          <w:bCs/>
          <w:u w:val="single"/>
          <w:rtl/>
        </w:rPr>
        <w:t>תסקיר שירות המבחן</w:t>
      </w:r>
    </w:p>
    <w:p w14:paraId="5635CC91" w14:textId="77777777" w:rsidR="00CF4CF6" w:rsidRDefault="005248BC">
      <w:pPr>
        <w:pStyle w:val="ListParagraph"/>
        <w:numPr>
          <w:ilvl w:val="0"/>
          <w:numId w:val="1"/>
        </w:numPr>
        <w:spacing w:line="360" w:lineRule="auto"/>
        <w:jc w:val="both"/>
        <w:rPr>
          <w:rFonts w:cs="David"/>
          <w:sz w:val="24"/>
          <w:szCs w:val="24"/>
        </w:rPr>
      </w:pPr>
      <w:r>
        <w:rPr>
          <w:rFonts w:cs="David" w:hint="cs"/>
          <w:sz w:val="24"/>
          <w:szCs w:val="24"/>
          <w:rtl/>
        </w:rPr>
        <w:lastRenderedPageBreak/>
        <w:t>הנאשם כבן 23, אב לילדה בת 4 המתגוררת עם אמה בדרום אפריקה. הנאשם עלה לארץ לבדו בשנת 2012, וטרם מעצרו שירת שירות סדיר בצבא במשך כשנה וחצי, כנהג משאית תובלה. הוא תיאר קושי להסתגל למסגרת הצבאית, כאשר במהלך השירות ביצע עבירת נפקדות עליה נשפט למאסר בכלא צבאי. עוד תיאר מערכת יחסים מרוחקת עם הוריו, כאשר מאז מעצרו הקשר ביניהם נותק והוא אינו נעזר בהם.</w:t>
      </w:r>
    </w:p>
    <w:p w14:paraId="68F5C8CA" w14:textId="77777777" w:rsidR="00CF4CF6" w:rsidRDefault="005248BC">
      <w:pPr>
        <w:pStyle w:val="ListParagraph"/>
        <w:spacing w:line="360" w:lineRule="auto"/>
        <w:jc w:val="both"/>
        <w:rPr>
          <w:rFonts w:cs="David"/>
          <w:sz w:val="24"/>
          <w:szCs w:val="24"/>
        </w:rPr>
      </w:pPr>
      <w:r>
        <w:rPr>
          <w:rFonts w:cs="David" w:hint="cs"/>
          <w:sz w:val="24"/>
          <w:szCs w:val="24"/>
          <w:rtl/>
        </w:rPr>
        <w:t>הנאשם נעדר כל עבר פלילי. לדבריו, על אף ילדותו הנורמטיבית, החל לצרוך סמים מסוג קנבוס בגיל 16, בנסיבות חברתיות. הנאשם שלל תלות בחומרים פסיכואקטיביים ונזקקות לטיפול ייעודי. שירות המבחן התרשם כי הנאשם מתייחס בצמצום לשימוש בסמים ומתקשה לבחון את הקשרים השוליים שרכש בעקבות שימוש זה.</w:t>
      </w:r>
    </w:p>
    <w:p w14:paraId="3824DFB9" w14:textId="77777777" w:rsidR="00CF4CF6" w:rsidRDefault="005248BC">
      <w:pPr>
        <w:pStyle w:val="ListParagraph"/>
        <w:spacing w:line="360" w:lineRule="auto"/>
        <w:jc w:val="both"/>
        <w:rPr>
          <w:rFonts w:cs="David"/>
          <w:sz w:val="24"/>
          <w:szCs w:val="24"/>
        </w:rPr>
      </w:pPr>
      <w:r>
        <w:rPr>
          <w:rFonts w:cs="David" w:hint="cs"/>
          <w:sz w:val="24"/>
          <w:szCs w:val="24"/>
          <w:rtl/>
        </w:rPr>
        <w:t xml:space="preserve">לדברי הנאשם, ברקע לביצוע המעשים עומד ניסיונו לקבל סיוע מרשויות בצבא לצורך ביקור משפחתו בדרום אפריקה, והתמודדות עם קשיים כלכליים ורגשות של תסכול, חרדה ודכאון. לאחר שלא מצא פתרון לבעיותיו, יצר קשר עם גורמים עבריינים במטרה לגייס את הכסף הדרוש לנסיעתו. הנאשם ביטא צער על מעשיו, אך תאר את ביצוע העבירות כאירוע נקודתי. ניכר כי מתקשה להתייחס באופן מעמיק לתפקודו במהלך השנים האחרונות ולבעייתיות שבהתנהלותו בתקופה שקדמה לביצוע העבירות. </w:t>
      </w:r>
    </w:p>
    <w:p w14:paraId="79A79D16" w14:textId="77777777" w:rsidR="00CF4CF6" w:rsidRDefault="005248BC">
      <w:pPr>
        <w:pStyle w:val="ListParagraph"/>
        <w:spacing w:line="360" w:lineRule="auto"/>
        <w:jc w:val="both"/>
        <w:rPr>
          <w:rFonts w:cs="David"/>
          <w:b/>
          <w:bCs/>
          <w:sz w:val="24"/>
          <w:szCs w:val="24"/>
          <w:u w:val="single"/>
        </w:rPr>
      </w:pPr>
      <w:r>
        <w:rPr>
          <w:rFonts w:cs="David" w:hint="cs"/>
          <w:sz w:val="24"/>
          <w:szCs w:val="24"/>
          <w:rtl/>
        </w:rPr>
        <w:t>שירות המבחן התרשם כי לנאשם קושי לשמור על יציבות במסגרות החיים, כי מאפייני אישיותו אינם מגובשים דיים, וכי הוא נעדר מערכת תמיכה משפחתית או חברית. ההתרשמות הינה כי לנאשם קושי בוויסות דחפים, כאשר היה חשוף להתנהלות עבריינית ושולית לאורך תקופה ממושכת. לנאשם קושי לשתף פעולה עם גורמי הטיפול, ולכן נמנע שירות המבחן מהמלצה שיקומית בעניינו, והומלץ להטיל עליו ענישה מרתיעה על-מנת להפחית הסיכון להישנות מעורבות עבריינית.</w:t>
      </w:r>
      <w:r>
        <w:rPr>
          <w:rFonts w:cs="David" w:hint="cs"/>
          <w:b/>
          <w:bCs/>
          <w:sz w:val="24"/>
          <w:szCs w:val="24"/>
          <w:u w:val="single"/>
          <w:rtl/>
        </w:rPr>
        <w:t xml:space="preserve"> </w:t>
      </w:r>
    </w:p>
    <w:p w14:paraId="2E424FE0" w14:textId="77777777" w:rsidR="00CF4CF6" w:rsidRDefault="005248BC">
      <w:pPr>
        <w:spacing w:line="360" w:lineRule="auto"/>
        <w:jc w:val="both"/>
        <w:rPr>
          <w:b/>
          <w:bCs/>
          <w:u w:val="single"/>
          <w:rtl/>
        </w:rPr>
      </w:pPr>
      <w:r>
        <w:rPr>
          <w:rFonts w:hint="cs"/>
          <w:b/>
          <w:bCs/>
          <w:u w:val="single"/>
          <w:rtl/>
        </w:rPr>
        <w:t>טיעוני הצדדים לעונש</w:t>
      </w:r>
    </w:p>
    <w:p w14:paraId="40FF1A05" w14:textId="77777777" w:rsidR="00CF4CF6" w:rsidRDefault="005248BC">
      <w:pPr>
        <w:pStyle w:val="ListParagraph"/>
        <w:numPr>
          <w:ilvl w:val="0"/>
          <w:numId w:val="1"/>
        </w:numPr>
        <w:spacing w:line="360" w:lineRule="auto"/>
        <w:jc w:val="both"/>
        <w:rPr>
          <w:rFonts w:cs="David"/>
          <w:b/>
          <w:bCs/>
          <w:sz w:val="24"/>
          <w:szCs w:val="24"/>
          <w:u w:val="single"/>
          <w:rtl/>
        </w:rPr>
      </w:pPr>
      <w:r>
        <w:rPr>
          <w:rFonts w:cs="David" w:hint="cs"/>
          <w:b/>
          <w:bCs/>
          <w:sz w:val="24"/>
          <w:szCs w:val="24"/>
          <w:u w:val="single"/>
          <w:rtl/>
        </w:rPr>
        <w:t>ב"כ המאשימה</w:t>
      </w:r>
      <w:r>
        <w:rPr>
          <w:rFonts w:cs="David" w:hint="cs"/>
          <w:sz w:val="24"/>
          <w:szCs w:val="24"/>
          <w:rtl/>
        </w:rPr>
        <w:t xml:space="preserve"> טען כי העבירות שביצע הנאשם הפכו נפוצות. עבירות אלה פוגעות הן בצרכני הסם, והן בציבור כולו, שנפגע כתוצאה מהעבירות שמבצעים צרכני הסם. </w:t>
      </w:r>
    </w:p>
    <w:p w14:paraId="1595FCE6" w14:textId="77777777" w:rsidR="00CF4CF6" w:rsidRDefault="00CF4CF6">
      <w:pPr>
        <w:pStyle w:val="ListParagraph"/>
        <w:spacing w:line="360" w:lineRule="auto"/>
        <w:jc w:val="both"/>
        <w:rPr>
          <w:rFonts w:cs="David"/>
          <w:b/>
          <w:bCs/>
          <w:sz w:val="24"/>
          <w:szCs w:val="24"/>
          <w:u w:val="single"/>
        </w:rPr>
      </w:pPr>
    </w:p>
    <w:p w14:paraId="3613B72E" w14:textId="77777777" w:rsidR="00CF4CF6" w:rsidRDefault="005248BC">
      <w:pPr>
        <w:pStyle w:val="ListParagraph"/>
        <w:numPr>
          <w:ilvl w:val="0"/>
          <w:numId w:val="1"/>
        </w:numPr>
        <w:spacing w:line="360" w:lineRule="auto"/>
        <w:jc w:val="both"/>
        <w:rPr>
          <w:rFonts w:cs="David"/>
          <w:b/>
          <w:bCs/>
          <w:sz w:val="24"/>
          <w:szCs w:val="24"/>
          <w:u w:val="single"/>
        </w:rPr>
      </w:pPr>
      <w:r>
        <w:rPr>
          <w:rFonts w:cs="David" w:hint="cs"/>
          <w:sz w:val="24"/>
          <w:szCs w:val="24"/>
          <w:rtl/>
        </w:rPr>
        <w:t xml:space="preserve">נטען כי נסיבות ביצוע העבירות הינן חמורות, הן בשל כמות הסם הגדולה שהנאשם גידל, הן בשל התקופה הארוכה של כחצי שנה בה פעלה המעבדה, והן בשל הציוד הרב שנמצא במקום. הצורך במציאת דירה מתאימה, רכישת הציוד, הקמת המעבדה, ויצירת קשר עם גורמים עברייניים לצורך מכירת הסם, דרשו מהנאשם השקעה כלכלית גדולה וכן רכישת ידע והשקעת זמן רב. תכנון מוקדם זה מהווה נסיבה מחמירה. </w:t>
      </w:r>
    </w:p>
    <w:p w14:paraId="2D673F52" w14:textId="77777777" w:rsidR="00CF4CF6" w:rsidRDefault="00CF4CF6">
      <w:pPr>
        <w:pStyle w:val="ListParagraph"/>
        <w:rPr>
          <w:rFonts w:cs="David"/>
          <w:sz w:val="24"/>
          <w:szCs w:val="24"/>
        </w:rPr>
      </w:pPr>
    </w:p>
    <w:p w14:paraId="6CF4FDEF" w14:textId="77777777" w:rsidR="00CF4CF6" w:rsidRDefault="005248BC">
      <w:pPr>
        <w:pStyle w:val="ListParagraph"/>
        <w:numPr>
          <w:ilvl w:val="0"/>
          <w:numId w:val="1"/>
        </w:numPr>
        <w:spacing w:line="360" w:lineRule="auto"/>
        <w:jc w:val="both"/>
        <w:rPr>
          <w:rFonts w:cs="David"/>
          <w:b/>
          <w:bCs/>
          <w:sz w:val="24"/>
          <w:szCs w:val="24"/>
          <w:u w:val="single"/>
          <w:rtl/>
        </w:rPr>
      </w:pPr>
      <w:r>
        <w:rPr>
          <w:rFonts w:cs="David" w:hint="cs"/>
          <w:sz w:val="24"/>
          <w:szCs w:val="24"/>
          <w:rtl/>
        </w:rPr>
        <w:t xml:space="preserve">נטען כי חומרת העבירות ותדירותן ההולכת וגוברת מחייבת החמרה בענישה הנוהגת, במיוחד ביחס לרכיב הקנס, שכן אין הלימה בין הרווח שניתן להפיק מביצוע עבירות אלה לבין הקנסות הנגזרים כיום בפסיקה. </w:t>
      </w:r>
      <w:hyperlink r:id="rId20" w:history="1">
        <w:r w:rsidR="000E1881" w:rsidRPr="000E1881">
          <w:rPr>
            <w:rStyle w:val="Hyperlink"/>
            <w:rFonts w:cs="David" w:hint="cs"/>
            <w:sz w:val="24"/>
            <w:szCs w:val="24"/>
            <w:rtl/>
          </w:rPr>
          <w:t>סעיף</w:t>
        </w:r>
        <w:r w:rsidR="000E1881" w:rsidRPr="000E1881">
          <w:rPr>
            <w:rStyle w:val="Hyperlink"/>
            <w:rFonts w:cs="David"/>
            <w:sz w:val="24"/>
            <w:szCs w:val="24"/>
            <w:rtl/>
          </w:rPr>
          <w:t xml:space="preserve"> 32</w:t>
        </w:r>
      </w:hyperlink>
      <w:r>
        <w:rPr>
          <w:rFonts w:cs="David" w:hint="cs"/>
          <w:sz w:val="24"/>
          <w:szCs w:val="24"/>
          <w:rtl/>
        </w:rPr>
        <w:t xml:space="preserve"> לפקודת הסמים מאפשר לבית-המשפט להטיל על נאשמים קנסות העולים עד פי 5 משווי הסם או התמורה בגינו. נטען כי על אף שכתב-האישום אינו כולל נתונים בדבר שווי הסם או הרווח שהופק, יש לעשות שימוש </w:t>
      </w:r>
      <w:r>
        <w:rPr>
          <w:rFonts w:cs="David" w:hint="cs"/>
          <w:sz w:val="24"/>
          <w:szCs w:val="24"/>
          <w:rtl/>
        </w:rPr>
        <w:lastRenderedPageBreak/>
        <w:t>בסעיף זה ולקבוע את גובה הקנס בהתחשב בכמות הסם שנתפסה ומההשקעה הגדולה שהושקעה.</w:t>
      </w:r>
    </w:p>
    <w:p w14:paraId="0DBEAF2A" w14:textId="77777777" w:rsidR="00CF4CF6" w:rsidRDefault="00CF4CF6">
      <w:pPr>
        <w:pStyle w:val="ListParagraph"/>
        <w:rPr>
          <w:rFonts w:cs="David"/>
          <w:b/>
          <w:bCs/>
          <w:sz w:val="24"/>
          <w:szCs w:val="24"/>
          <w:u w:val="single"/>
        </w:rPr>
      </w:pPr>
    </w:p>
    <w:p w14:paraId="6752A31D" w14:textId="77777777" w:rsidR="00CF4CF6" w:rsidRDefault="005248BC">
      <w:pPr>
        <w:pStyle w:val="ListParagraph"/>
        <w:numPr>
          <w:ilvl w:val="0"/>
          <w:numId w:val="1"/>
        </w:numPr>
        <w:spacing w:line="360" w:lineRule="auto"/>
        <w:jc w:val="both"/>
        <w:rPr>
          <w:rFonts w:cs="David"/>
          <w:b/>
          <w:bCs/>
          <w:sz w:val="24"/>
          <w:szCs w:val="24"/>
          <w:u w:val="single"/>
          <w:rtl/>
        </w:rPr>
      </w:pPr>
      <w:r>
        <w:rPr>
          <w:rFonts w:cs="David" w:hint="cs"/>
          <w:sz w:val="24"/>
          <w:szCs w:val="24"/>
          <w:rtl/>
        </w:rPr>
        <w:t>בהתייחס לתסקיר שירות המבחן, נטען כי על אף דברי הנאשם המלמדים על חסרון כיס, הוא לא הסביר כיצד עלה בידו לרכוש את הציוד הרב הנדרש לצורך הקמת המעבדה. כמו כן נטען כי מדובר בעבירות שבוצעו לאורך תקופה ארוכה, ולא במעידה חד פעמית כפי שביקש להציג זאת הנאשם.</w:t>
      </w:r>
    </w:p>
    <w:p w14:paraId="68488CF7" w14:textId="77777777" w:rsidR="00CF4CF6" w:rsidRDefault="00CF4CF6">
      <w:pPr>
        <w:pStyle w:val="ListParagraph"/>
        <w:rPr>
          <w:rFonts w:cs="David"/>
          <w:b/>
          <w:bCs/>
          <w:sz w:val="24"/>
          <w:szCs w:val="24"/>
          <w:u w:val="single"/>
        </w:rPr>
      </w:pPr>
    </w:p>
    <w:p w14:paraId="4254BC1E" w14:textId="77777777" w:rsidR="00CF4CF6" w:rsidRDefault="005248BC">
      <w:pPr>
        <w:pStyle w:val="ListParagraph"/>
        <w:numPr>
          <w:ilvl w:val="0"/>
          <w:numId w:val="1"/>
        </w:numPr>
        <w:spacing w:line="360" w:lineRule="auto"/>
        <w:jc w:val="both"/>
        <w:rPr>
          <w:rFonts w:cs="David"/>
          <w:b/>
          <w:bCs/>
          <w:sz w:val="24"/>
          <w:szCs w:val="24"/>
          <w:u w:val="single"/>
          <w:rtl/>
        </w:rPr>
      </w:pPr>
      <w:r>
        <w:rPr>
          <w:rFonts w:cs="David" w:hint="cs"/>
          <w:b/>
          <w:bCs/>
          <w:sz w:val="24"/>
          <w:szCs w:val="24"/>
          <w:u w:val="single"/>
          <w:rtl/>
        </w:rPr>
        <w:t>לשיטת המאשימה, מתחם העונש ההולם את המעשים נע בין 36 ל-48 חודשי מאסר בפועל</w:t>
      </w:r>
      <w:r>
        <w:rPr>
          <w:rFonts w:cs="David" w:hint="cs"/>
          <w:sz w:val="24"/>
          <w:szCs w:val="24"/>
          <w:rtl/>
        </w:rPr>
        <w:t xml:space="preserve">. נטען כי הענישה הנוהגת בעבירות בהן הורשע הנאשם הינה על-פי רוב תוצאה של הסדרי טיעון, ואין לגזור ממנה את מתחם הענישה ההולם את חומרת האירוע במקרה זה. בשים לב לנסיבותיו האישיות של הנאשם, מבקשת המאשימה לגזור עליו </w:t>
      </w:r>
      <w:r>
        <w:rPr>
          <w:rFonts w:cs="David" w:hint="cs"/>
          <w:b/>
          <w:bCs/>
          <w:sz w:val="24"/>
          <w:szCs w:val="24"/>
          <w:rtl/>
        </w:rPr>
        <w:t>40 חודשי מאסר בפועל ומאסר מותנה</w:t>
      </w:r>
      <w:r>
        <w:rPr>
          <w:rFonts w:cs="David" w:hint="cs"/>
          <w:sz w:val="24"/>
          <w:szCs w:val="24"/>
          <w:rtl/>
        </w:rPr>
        <w:t xml:space="preserve">. עוד נטען כי </w:t>
      </w:r>
      <w:r>
        <w:rPr>
          <w:rFonts w:cs="David" w:hint="cs"/>
          <w:b/>
          <w:bCs/>
          <w:sz w:val="24"/>
          <w:szCs w:val="24"/>
          <w:rtl/>
        </w:rPr>
        <w:t>גובה הקנס המתאים במקרה זה נע בין חצי מיליון ₪ ועד 2 מיליון ₪</w:t>
      </w:r>
      <w:r>
        <w:rPr>
          <w:rFonts w:cs="David" w:hint="cs"/>
          <w:sz w:val="24"/>
          <w:szCs w:val="24"/>
          <w:rtl/>
        </w:rPr>
        <w:t>, אך נוכח הנסיבות האישיות מוכנה המאשימה להסתפק ברף הנמוך של מתחם זה.</w:t>
      </w:r>
    </w:p>
    <w:p w14:paraId="47C1A350" w14:textId="77777777" w:rsidR="00CF4CF6" w:rsidRDefault="00CF4CF6">
      <w:pPr>
        <w:pStyle w:val="ListParagraph"/>
        <w:rPr>
          <w:rFonts w:cs="David"/>
          <w:b/>
          <w:bCs/>
          <w:sz w:val="24"/>
          <w:szCs w:val="24"/>
          <w:u w:val="single"/>
        </w:rPr>
      </w:pPr>
    </w:p>
    <w:p w14:paraId="6AA31AC9" w14:textId="77777777" w:rsidR="00CF4CF6" w:rsidRDefault="005248BC">
      <w:pPr>
        <w:pStyle w:val="ListParagraph"/>
        <w:numPr>
          <w:ilvl w:val="0"/>
          <w:numId w:val="1"/>
        </w:numPr>
        <w:spacing w:line="360" w:lineRule="auto"/>
        <w:jc w:val="both"/>
        <w:rPr>
          <w:rFonts w:cs="David"/>
          <w:b/>
          <w:bCs/>
          <w:sz w:val="24"/>
          <w:szCs w:val="24"/>
          <w:u w:val="single"/>
          <w:rtl/>
        </w:rPr>
      </w:pPr>
      <w:r>
        <w:rPr>
          <w:rFonts w:cs="David" w:hint="cs"/>
          <w:b/>
          <w:bCs/>
          <w:sz w:val="24"/>
          <w:szCs w:val="24"/>
          <w:u w:val="single"/>
          <w:rtl/>
        </w:rPr>
        <w:t>ב"כ הנאשם</w:t>
      </w:r>
      <w:r>
        <w:rPr>
          <w:rFonts w:cs="David" w:hint="cs"/>
          <w:sz w:val="24"/>
          <w:szCs w:val="24"/>
          <w:rtl/>
        </w:rPr>
        <w:t xml:space="preserve"> טען כי הענישה אליה עותרת המאשימה במקרה זה חמורה בהרבה מהענישה הנוהגת, וכי בפסקי-דין רבים, לרבות אלה אליהם הפנתה המאשימה, נגזרו עונשים ברף נמוך יותר. נטען כי גם אם קיים צורך בהחמרת הענישה, מקרה זה אינו מתאים לכך, בשל נסיבותיו האישיות של הנאשם.</w:t>
      </w:r>
    </w:p>
    <w:p w14:paraId="0E479259" w14:textId="77777777" w:rsidR="00CF4CF6" w:rsidRDefault="00CF4CF6">
      <w:pPr>
        <w:pStyle w:val="ListParagraph"/>
        <w:rPr>
          <w:rFonts w:cs="David"/>
          <w:b/>
          <w:bCs/>
          <w:sz w:val="24"/>
          <w:szCs w:val="24"/>
          <w:u w:val="single"/>
        </w:rPr>
      </w:pPr>
    </w:p>
    <w:p w14:paraId="6AC62770" w14:textId="77777777" w:rsidR="00CF4CF6" w:rsidRDefault="005248BC">
      <w:pPr>
        <w:pStyle w:val="ListParagraph"/>
        <w:numPr>
          <w:ilvl w:val="0"/>
          <w:numId w:val="1"/>
        </w:numPr>
        <w:spacing w:line="360" w:lineRule="auto"/>
        <w:jc w:val="both"/>
        <w:rPr>
          <w:rFonts w:cs="David"/>
          <w:b/>
          <w:bCs/>
          <w:sz w:val="24"/>
          <w:szCs w:val="24"/>
          <w:u w:val="single"/>
          <w:rtl/>
        </w:rPr>
      </w:pPr>
      <w:r>
        <w:rPr>
          <w:rFonts w:cs="David" w:hint="cs"/>
          <w:b/>
          <w:bCs/>
          <w:sz w:val="24"/>
          <w:szCs w:val="24"/>
          <w:u w:val="single"/>
          <w:rtl/>
        </w:rPr>
        <w:t>לשיטת ההגנה, מתחם העונש ההולם את המעשים נע בין 18 ל-36 חודשי מאסר בפועל.</w:t>
      </w:r>
      <w:r>
        <w:rPr>
          <w:rFonts w:cs="David" w:hint="cs"/>
          <w:sz w:val="24"/>
          <w:szCs w:val="24"/>
          <w:rtl/>
        </w:rPr>
        <w:t xml:space="preserve"> נטען כי הנאשם אמנם שכר את הדירה בחודש אוקטובר 2014 והקים את המעבדה, אך כתב-האישום אינו מפרט מתי החלה המעבדה לפעול. עוד נטען כי מתסקיר שירות המבחן ואף מנסיבותיו האישיות של הנאשם ניתן להסיק כי הוא אמנם זה שביצע את העבירות, אך קיימים גורמים עברייניים העומדים מאחורי המעשים.</w:t>
      </w:r>
    </w:p>
    <w:p w14:paraId="4EE3DBFD" w14:textId="77777777" w:rsidR="00CF4CF6" w:rsidRDefault="00CF4CF6">
      <w:pPr>
        <w:pStyle w:val="ListParagraph"/>
        <w:rPr>
          <w:rFonts w:cs="David"/>
          <w:b/>
          <w:bCs/>
          <w:sz w:val="24"/>
          <w:szCs w:val="24"/>
          <w:u w:val="single"/>
        </w:rPr>
      </w:pPr>
    </w:p>
    <w:p w14:paraId="167B4CC2" w14:textId="77777777" w:rsidR="00CF4CF6" w:rsidRDefault="005248BC">
      <w:pPr>
        <w:pStyle w:val="ListParagraph"/>
        <w:numPr>
          <w:ilvl w:val="0"/>
          <w:numId w:val="1"/>
        </w:numPr>
        <w:spacing w:line="360" w:lineRule="auto"/>
        <w:jc w:val="both"/>
        <w:rPr>
          <w:rFonts w:cs="David"/>
          <w:b/>
          <w:bCs/>
          <w:sz w:val="24"/>
          <w:szCs w:val="24"/>
          <w:u w:val="single"/>
          <w:rtl/>
        </w:rPr>
      </w:pPr>
      <w:r>
        <w:rPr>
          <w:rFonts w:cs="David" w:hint="cs"/>
          <w:sz w:val="24"/>
          <w:szCs w:val="24"/>
          <w:rtl/>
        </w:rPr>
        <w:t xml:space="preserve">ביחס לרכיב הקנס טען הסנגור כי בהתאם להוראות </w:t>
      </w:r>
      <w:hyperlink r:id="rId21" w:history="1">
        <w:r w:rsidRPr="005248BC">
          <w:rPr>
            <w:rStyle w:val="Hyperlink"/>
            <w:rFonts w:cs="David" w:hint="cs"/>
            <w:sz w:val="24"/>
            <w:szCs w:val="24"/>
            <w:rtl/>
          </w:rPr>
          <w:t>חוק</w:t>
        </w:r>
        <w:r w:rsidRPr="005248BC">
          <w:rPr>
            <w:rStyle w:val="Hyperlink"/>
            <w:rFonts w:cs="David"/>
            <w:sz w:val="24"/>
            <w:szCs w:val="24"/>
            <w:rtl/>
          </w:rPr>
          <w:t xml:space="preserve"> </w:t>
        </w:r>
        <w:r w:rsidRPr="005248BC">
          <w:rPr>
            <w:rStyle w:val="Hyperlink"/>
            <w:rFonts w:cs="David" w:hint="cs"/>
            <w:sz w:val="24"/>
            <w:szCs w:val="24"/>
            <w:rtl/>
          </w:rPr>
          <w:t>העונשין</w:t>
        </w:r>
      </w:hyperlink>
      <w:r>
        <w:rPr>
          <w:rFonts w:cs="David" w:hint="cs"/>
          <w:sz w:val="24"/>
          <w:szCs w:val="24"/>
          <w:rtl/>
        </w:rPr>
        <w:t xml:space="preserve">, בקביעת רכיב עונשי זה יש להתחשב במצבו הכלכלי של הנאשם. לנאשם בענייננו אין כל רכוש, כאשר הוסכם כי קטנוע המצוי בבעלותו יחולט על-ידי המאשימה. אין מקום במקרה זה לעשות שימוש בהוראות </w:t>
      </w:r>
      <w:hyperlink r:id="rId22" w:history="1">
        <w:r w:rsidR="000E1881" w:rsidRPr="000E1881">
          <w:rPr>
            <w:rStyle w:val="Hyperlink"/>
            <w:rFonts w:cs="David" w:hint="cs"/>
            <w:sz w:val="24"/>
            <w:szCs w:val="24"/>
            <w:rtl/>
          </w:rPr>
          <w:t>סעיף</w:t>
        </w:r>
        <w:r w:rsidR="000E1881" w:rsidRPr="000E1881">
          <w:rPr>
            <w:rStyle w:val="Hyperlink"/>
            <w:rFonts w:cs="David"/>
            <w:sz w:val="24"/>
            <w:szCs w:val="24"/>
            <w:rtl/>
          </w:rPr>
          <w:t xml:space="preserve"> 32</w:t>
        </w:r>
      </w:hyperlink>
      <w:r>
        <w:rPr>
          <w:rFonts w:cs="David" w:hint="cs"/>
          <w:sz w:val="24"/>
          <w:szCs w:val="24"/>
          <w:rtl/>
        </w:rPr>
        <w:t xml:space="preserve"> ל</w:t>
      </w:r>
      <w:hyperlink r:id="rId23" w:history="1">
        <w:r w:rsidRPr="005248BC">
          <w:rPr>
            <w:rStyle w:val="Hyperlink"/>
            <w:rFonts w:cs="David" w:hint="cs"/>
            <w:sz w:val="24"/>
            <w:szCs w:val="24"/>
            <w:rtl/>
          </w:rPr>
          <w:t>פקודת</w:t>
        </w:r>
        <w:r w:rsidRPr="005248BC">
          <w:rPr>
            <w:rStyle w:val="Hyperlink"/>
            <w:rFonts w:cs="David"/>
            <w:sz w:val="24"/>
            <w:szCs w:val="24"/>
            <w:rtl/>
          </w:rPr>
          <w:t xml:space="preserve"> </w:t>
        </w:r>
        <w:r w:rsidRPr="005248BC">
          <w:rPr>
            <w:rStyle w:val="Hyperlink"/>
            <w:rFonts w:cs="David" w:hint="cs"/>
            <w:sz w:val="24"/>
            <w:szCs w:val="24"/>
            <w:rtl/>
          </w:rPr>
          <w:t>הסמים</w:t>
        </w:r>
        <w:r w:rsidRPr="005248BC">
          <w:rPr>
            <w:rStyle w:val="Hyperlink"/>
            <w:rFonts w:cs="David"/>
            <w:sz w:val="24"/>
            <w:szCs w:val="24"/>
            <w:rtl/>
          </w:rPr>
          <w:t xml:space="preserve"> </w:t>
        </w:r>
        <w:r w:rsidRPr="005248BC">
          <w:rPr>
            <w:rStyle w:val="Hyperlink"/>
            <w:rFonts w:cs="David" w:hint="cs"/>
            <w:sz w:val="24"/>
            <w:szCs w:val="24"/>
            <w:rtl/>
          </w:rPr>
          <w:t>המסוכנים</w:t>
        </w:r>
      </w:hyperlink>
      <w:r>
        <w:rPr>
          <w:rFonts w:cs="David" w:hint="cs"/>
          <w:sz w:val="24"/>
          <w:szCs w:val="24"/>
          <w:rtl/>
        </w:rPr>
        <w:t>, הן בשל מצבו הכלכלי של הנאשם, והם מאחר וכתב-האישום אינו מפרט כלל אודות שווי הסם או הרווח שניתן היה להפיק ממנו.</w:t>
      </w:r>
    </w:p>
    <w:p w14:paraId="133C6BC5" w14:textId="77777777" w:rsidR="00CF4CF6" w:rsidRDefault="00CF4CF6">
      <w:pPr>
        <w:pStyle w:val="ListParagraph"/>
        <w:rPr>
          <w:rFonts w:cs="David"/>
          <w:b/>
          <w:bCs/>
          <w:sz w:val="24"/>
          <w:szCs w:val="24"/>
          <w:u w:val="single"/>
        </w:rPr>
      </w:pPr>
    </w:p>
    <w:p w14:paraId="0FFF2E60" w14:textId="77777777" w:rsidR="00CF4CF6" w:rsidRDefault="005248BC">
      <w:pPr>
        <w:pStyle w:val="ListParagraph"/>
        <w:numPr>
          <w:ilvl w:val="0"/>
          <w:numId w:val="1"/>
        </w:numPr>
        <w:spacing w:line="360" w:lineRule="auto"/>
        <w:jc w:val="both"/>
        <w:rPr>
          <w:rFonts w:cs="David"/>
          <w:b/>
          <w:bCs/>
          <w:sz w:val="24"/>
          <w:szCs w:val="24"/>
          <w:u w:val="single"/>
          <w:rtl/>
        </w:rPr>
      </w:pPr>
      <w:r>
        <w:rPr>
          <w:rFonts w:cs="David" w:hint="cs"/>
          <w:sz w:val="24"/>
          <w:szCs w:val="24"/>
          <w:rtl/>
        </w:rPr>
        <w:t>הסנגור הדגיש את נסיבותיו האישיות של הנאשם. מדובר בנאשם צעיר, ללא משפחה בארץ. אין לו עבר פלילי וזהו מאסרו הראשון. הנאשם הודה מיד בחקירתו הראשונה, והביע חרטה על המעשים. הנאשם אף מטופל תרופתית בתרופות להרגעה במסגרת שב"ס, בשל הקושי שלו להתמודד עם מעצרו. בשים לב לנסיבות שאינן קשורות לביצוע העבירה, יש לגזור על הנאשם עונש המצוי ברף התחתון של מתחם הענישה-</w:t>
      </w:r>
      <w:r>
        <w:rPr>
          <w:rFonts w:cs="David" w:hint="cs"/>
          <w:b/>
          <w:bCs/>
          <w:sz w:val="24"/>
          <w:szCs w:val="24"/>
          <w:rtl/>
        </w:rPr>
        <w:t xml:space="preserve"> 18 חודשי מאסר בפועל</w:t>
      </w:r>
      <w:r>
        <w:rPr>
          <w:rFonts w:cs="David" w:hint="cs"/>
          <w:sz w:val="24"/>
          <w:szCs w:val="24"/>
          <w:rtl/>
        </w:rPr>
        <w:t>.</w:t>
      </w:r>
    </w:p>
    <w:p w14:paraId="4BA2C921" w14:textId="77777777" w:rsidR="00CF4CF6" w:rsidRDefault="00CF4CF6">
      <w:pPr>
        <w:pStyle w:val="ListParagraph"/>
        <w:rPr>
          <w:rFonts w:cs="David"/>
          <w:b/>
          <w:bCs/>
          <w:sz w:val="24"/>
          <w:szCs w:val="24"/>
          <w:u w:val="single"/>
        </w:rPr>
      </w:pPr>
    </w:p>
    <w:p w14:paraId="3F0ACFEE" w14:textId="77777777" w:rsidR="00CF4CF6" w:rsidRDefault="005248BC">
      <w:pPr>
        <w:pStyle w:val="ListParagraph"/>
        <w:numPr>
          <w:ilvl w:val="0"/>
          <w:numId w:val="1"/>
        </w:numPr>
        <w:spacing w:line="360" w:lineRule="auto"/>
        <w:jc w:val="both"/>
        <w:rPr>
          <w:rFonts w:cs="David"/>
          <w:b/>
          <w:bCs/>
          <w:sz w:val="24"/>
          <w:szCs w:val="24"/>
          <w:u w:val="single"/>
          <w:rtl/>
        </w:rPr>
      </w:pPr>
      <w:r>
        <w:rPr>
          <w:rFonts w:cs="David" w:hint="cs"/>
          <w:b/>
          <w:bCs/>
          <w:sz w:val="24"/>
          <w:szCs w:val="24"/>
          <w:u w:val="single"/>
          <w:rtl/>
        </w:rPr>
        <w:t>הנאשם</w:t>
      </w:r>
      <w:r>
        <w:rPr>
          <w:rFonts w:cs="David" w:hint="cs"/>
          <w:sz w:val="24"/>
          <w:szCs w:val="24"/>
          <w:rtl/>
        </w:rPr>
        <w:t xml:space="preserve"> בדבריו לעונש הביע חרטה על המעשים, וביקש להתחשב במצבו ובקשייו בכלא בעת גזירת עונשו.</w:t>
      </w:r>
    </w:p>
    <w:p w14:paraId="1CD7A83E" w14:textId="77777777" w:rsidR="00CF4CF6" w:rsidRDefault="00CF4CF6">
      <w:pPr>
        <w:rPr>
          <w:b/>
          <w:bCs/>
          <w:u w:val="single"/>
        </w:rPr>
      </w:pPr>
    </w:p>
    <w:p w14:paraId="185E10A4" w14:textId="77777777" w:rsidR="00CF4CF6" w:rsidRDefault="005248BC">
      <w:pPr>
        <w:rPr>
          <w:b/>
          <w:bCs/>
          <w:u w:val="single"/>
          <w:rtl/>
        </w:rPr>
      </w:pPr>
      <w:r>
        <w:rPr>
          <w:rFonts w:hint="cs"/>
          <w:b/>
          <w:bCs/>
          <w:u w:val="single"/>
          <w:rtl/>
        </w:rPr>
        <w:t>דיון והכרעה</w:t>
      </w:r>
    </w:p>
    <w:p w14:paraId="6BB12D4E" w14:textId="77777777" w:rsidR="00CF4CF6" w:rsidRDefault="005248BC">
      <w:pPr>
        <w:rPr>
          <w:b/>
          <w:bCs/>
          <w:u w:val="single"/>
          <w:rtl/>
        </w:rPr>
      </w:pPr>
      <w:r>
        <w:rPr>
          <w:rFonts w:hint="cs"/>
          <w:b/>
          <w:bCs/>
          <w:u w:val="single"/>
          <w:rtl/>
        </w:rPr>
        <w:t>מתחם העונש ההולם</w:t>
      </w:r>
    </w:p>
    <w:p w14:paraId="0723FF5A" w14:textId="77777777" w:rsidR="00CF4CF6" w:rsidRDefault="00CF4CF6">
      <w:pPr>
        <w:rPr>
          <w:b/>
          <w:bCs/>
          <w:u w:val="single"/>
          <w:rtl/>
        </w:rPr>
      </w:pPr>
    </w:p>
    <w:p w14:paraId="0B07D679" w14:textId="77777777" w:rsidR="00CF4CF6" w:rsidRDefault="005248BC">
      <w:pPr>
        <w:pStyle w:val="1"/>
        <w:numPr>
          <w:ilvl w:val="0"/>
          <w:numId w:val="1"/>
        </w:numPr>
        <w:bidi/>
        <w:jc w:val="both"/>
        <w:rPr>
          <w:rtl/>
        </w:rPr>
      </w:pPr>
      <w:r>
        <w:rPr>
          <w:rFonts w:hint="cs"/>
          <w:rtl/>
        </w:rPr>
        <w:t>הנאשם ביצע מספר מעשי עבירה, אך קיים קשר הדוק בין המעשים, וניתן לראות בהם "אירוע" אחד בהתאם למבחנים שנקבעו בעניין זה בפסיקה. אף הצדדים ביקשו לקבוע מתחם ענישה אחד בגין כלל העבירות שביצע הנאשם.</w:t>
      </w:r>
    </w:p>
    <w:p w14:paraId="46BB8AF7" w14:textId="77777777" w:rsidR="00CF4CF6" w:rsidRDefault="005248BC">
      <w:pPr>
        <w:pStyle w:val="1"/>
        <w:bidi/>
        <w:jc w:val="both"/>
      </w:pPr>
      <w:r>
        <w:rPr>
          <w:rFonts w:hint="cs"/>
          <w:rtl/>
        </w:rPr>
        <w:t>בהתאם להוראות תיקון 113 ל</w:t>
      </w:r>
      <w:hyperlink r:id="rId24" w:history="1">
        <w:r w:rsidRPr="005248BC">
          <w:rPr>
            <w:rStyle w:val="Hyperlink"/>
            <w:rFonts w:hint="eastAsia"/>
            <w:rtl/>
          </w:rPr>
          <w:t>חוק</w:t>
        </w:r>
        <w:r w:rsidRPr="005248BC">
          <w:rPr>
            <w:rStyle w:val="Hyperlink"/>
            <w:rtl/>
          </w:rPr>
          <w:t xml:space="preserve"> העונשין</w:t>
        </w:r>
      </w:hyperlink>
      <w:r>
        <w:rPr>
          <w:rFonts w:hint="cs"/>
          <w:rtl/>
        </w:rPr>
        <w:t>, בעת קביעת מתחם העונש ההולם את האירוע יש להתחשב בערכים החברתיים שנפגעו כתוצאה מביצוע העבירות, במידת הפגיעה בהם, בנסיבות הקשורות בביצוע העבירות ובמדיניות הענישה הנוהגת.</w:t>
      </w:r>
    </w:p>
    <w:p w14:paraId="23CF099D" w14:textId="77777777" w:rsidR="00CF4CF6" w:rsidRDefault="00CF4CF6">
      <w:pPr>
        <w:pStyle w:val="1"/>
        <w:bidi/>
        <w:jc w:val="both"/>
        <w:rPr>
          <w:rtl/>
        </w:rPr>
      </w:pPr>
    </w:p>
    <w:p w14:paraId="58B08461" w14:textId="77777777" w:rsidR="00CF4CF6" w:rsidRDefault="005248BC">
      <w:pPr>
        <w:pStyle w:val="1"/>
        <w:numPr>
          <w:ilvl w:val="0"/>
          <w:numId w:val="1"/>
        </w:numPr>
        <w:bidi/>
        <w:jc w:val="both"/>
        <w:rPr>
          <w:rtl/>
        </w:rPr>
      </w:pPr>
      <w:r>
        <w:rPr>
          <w:rFonts w:hint="cs"/>
          <w:u w:val="single"/>
          <w:rtl/>
        </w:rPr>
        <w:t>הערך החברתי שנפגע</w:t>
      </w:r>
      <w:r>
        <w:rPr>
          <w:rFonts w:hint="cs"/>
          <w:rtl/>
        </w:rPr>
        <w:t xml:space="preserve"> ממעשיו של הנאשם הינו הצורך בשמירה על הציבור מפני פגיעתם הקשה של סמים מסוכנים בגוף ובנפש. לעבירות הסמים פוטנציאל נזק גדול ביותר, שכן השימוש בסמים גורר, מלבד הפגיעה החמורה בצרכני הסם עצמם, נזקים נלווים כגון ביצוע עבירות רכוש ואלימות על-ידי הצרכנים לשם השגת המימון לרכישת הסם לו הם מכורים. לא בכדי קבע המחוקק בצד העבירות אותן ביצע הנאשם עונשים מחמירים של עד 20 שנות מאסר. בתי-המשפט הביעו לא אחת את הצורך בענישה מרתיעה של כל המעורבים בשרשרת ייצור והפצת הסם, לצורך מאבק ומיגור נגע הסמים.</w:t>
      </w:r>
    </w:p>
    <w:p w14:paraId="06D36DDC" w14:textId="77777777" w:rsidR="00CF4CF6" w:rsidRDefault="00CF4CF6">
      <w:pPr>
        <w:pStyle w:val="1"/>
        <w:bidi/>
        <w:jc w:val="both"/>
      </w:pPr>
    </w:p>
    <w:p w14:paraId="782A449F" w14:textId="77777777" w:rsidR="00CF4CF6" w:rsidRDefault="005248BC">
      <w:pPr>
        <w:pStyle w:val="1"/>
        <w:numPr>
          <w:ilvl w:val="0"/>
          <w:numId w:val="1"/>
        </w:numPr>
        <w:bidi/>
        <w:jc w:val="both"/>
      </w:pPr>
      <w:r>
        <w:rPr>
          <w:rFonts w:hint="cs"/>
          <w:rtl/>
        </w:rPr>
        <w:t xml:space="preserve">במעשיו פגע הנאשם פגיעה ממשית בערכים אלו. הדבר נלמד </w:t>
      </w:r>
      <w:r>
        <w:rPr>
          <w:rFonts w:hint="cs"/>
          <w:u w:val="single"/>
          <w:rtl/>
        </w:rPr>
        <w:t>מנסיבות ביצוע העבירות</w:t>
      </w:r>
      <w:r>
        <w:rPr>
          <w:rFonts w:hint="cs"/>
          <w:rtl/>
        </w:rPr>
        <w:t xml:space="preserve"> בענייננו. הנאשם שכר דירה ובסמוך לאחר מכן הקים בחדריה מעבדה לצורך גידול של קנבוס בשיטת ההידרו. ברי כי לצורך הקמת מעבדה מסוג זה נדרש תכנון מוקדם ורכישת ידע, וכן השקעה כספית משמעותית. כתב-האישום מפרט את הציוד הרב אותו החזיק הנאשם לצורך תפעול המעבדה וייצור הסם, לרבות מערכות השקיה, חשמל ואיוורור. על היקף הציוד ניתן ללמוד אף מהתמונות אשר צולמו בדירה והוצגו לעיוני (ע/1). המעבדה פעלה לאורך תקופה ממושכת, וכחצי שנה לאחר שהוקמה, נמצאו בה עציצים ובהם צמחי קנבוס, במשקל נטו של כ-78 קילו. מדובר בכמות מסחרית של סם, המצביעה על מידת הנזק הפוטנציאלי ממעשיו של הנאשם.</w:t>
      </w:r>
    </w:p>
    <w:p w14:paraId="08976E58" w14:textId="77777777" w:rsidR="00CF4CF6" w:rsidRDefault="00CF4CF6">
      <w:pPr>
        <w:pStyle w:val="1"/>
        <w:bidi/>
        <w:jc w:val="both"/>
      </w:pPr>
    </w:p>
    <w:p w14:paraId="3470CCB5" w14:textId="77777777" w:rsidR="00CF4CF6" w:rsidRDefault="005248BC">
      <w:pPr>
        <w:pStyle w:val="1"/>
        <w:numPr>
          <w:ilvl w:val="0"/>
          <w:numId w:val="1"/>
        </w:numPr>
        <w:bidi/>
        <w:jc w:val="both"/>
      </w:pPr>
      <w:r>
        <w:rPr>
          <w:rFonts w:hint="cs"/>
          <w:rtl/>
        </w:rPr>
        <w:t xml:space="preserve">בבחינת </w:t>
      </w:r>
      <w:r>
        <w:rPr>
          <w:rFonts w:hint="cs"/>
          <w:u w:val="single"/>
          <w:rtl/>
        </w:rPr>
        <w:t>מדיניות הענישה הנוהגת</w:t>
      </w:r>
      <w:r>
        <w:rPr>
          <w:rFonts w:hint="cs"/>
          <w:rtl/>
        </w:rPr>
        <w:t xml:space="preserve"> במקרים דומים, נעזרתי בפסקי-הדין אליהם הפנו הצדדים, כמפורט להלן:</w:t>
      </w:r>
    </w:p>
    <w:p w14:paraId="666A1212" w14:textId="77777777" w:rsidR="00CF4CF6" w:rsidRDefault="00CF4CF6">
      <w:pPr>
        <w:pStyle w:val="ListParagraph"/>
      </w:pPr>
    </w:p>
    <w:p w14:paraId="0E441FF9" w14:textId="77777777" w:rsidR="00CF4CF6" w:rsidRDefault="005248BC">
      <w:pPr>
        <w:pStyle w:val="1"/>
        <w:numPr>
          <w:ilvl w:val="1"/>
          <w:numId w:val="1"/>
        </w:numPr>
        <w:bidi/>
        <w:jc w:val="both"/>
        <w:rPr>
          <w:rtl/>
        </w:rPr>
      </w:pPr>
      <w:hyperlink r:id="rId25" w:history="1">
        <w:r w:rsidRPr="005248BC">
          <w:rPr>
            <w:rStyle w:val="Hyperlink"/>
            <w:rFonts w:hint="eastAsia"/>
            <w:rtl/>
          </w:rPr>
          <w:t>ת</w:t>
        </w:r>
        <w:r w:rsidRPr="005248BC">
          <w:rPr>
            <w:rStyle w:val="Hyperlink"/>
            <w:rtl/>
          </w:rPr>
          <w:t>"פ (מחוזי מרכז) 30278-05-12</w:t>
        </w:r>
      </w:hyperlink>
      <w:r>
        <w:rPr>
          <w:rFonts w:hint="cs"/>
          <w:rtl/>
        </w:rPr>
        <w:t xml:space="preserve"> </w:t>
      </w:r>
      <w:r>
        <w:rPr>
          <w:rFonts w:hint="cs"/>
          <w:b/>
          <w:bCs/>
          <w:rtl/>
        </w:rPr>
        <w:t xml:space="preserve">מדינת ישראל נ' בן שמעון </w:t>
      </w:r>
      <w:r>
        <w:rPr>
          <w:rFonts w:hint="cs"/>
          <w:rtl/>
        </w:rPr>
        <w:t xml:space="preserve">(20.2.2014)- הנאשם שכר דירה וגידל בה סם מסוכן מסוג קנבוס, תוך שימוש בכלים שונים לצורך כך. בדירתו נמצא סם במשקל של 33.5 ק"ג. בית-המשפט קבע כי </w:t>
      </w:r>
      <w:r>
        <w:rPr>
          <w:rFonts w:hint="cs"/>
          <w:b/>
          <w:bCs/>
          <w:rtl/>
        </w:rPr>
        <w:t>מתחם העונש ההולם נע בין 18 ל-30 חודשי מאסר בפועל, ועל הנאשם נגזרו 23 חודשי מאסר בפועל</w:t>
      </w:r>
      <w:r>
        <w:rPr>
          <w:rFonts w:hint="cs"/>
          <w:rtl/>
        </w:rPr>
        <w:t xml:space="preserve">, וכן הופעל עונש מאסר מותנה, חלקו במצטבר וחלקו בחופף. כמו כן נגזר על הנאשם </w:t>
      </w:r>
      <w:r>
        <w:rPr>
          <w:rFonts w:hint="cs"/>
          <w:b/>
          <w:bCs/>
          <w:rtl/>
        </w:rPr>
        <w:t>קנס כספי בסך 5,000 ₪</w:t>
      </w:r>
      <w:r>
        <w:rPr>
          <w:rFonts w:hint="cs"/>
          <w:rtl/>
        </w:rPr>
        <w:t>, בשים לב למצבו הכלכלי הקשה.</w:t>
      </w:r>
    </w:p>
    <w:p w14:paraId="668B485B" w14:textId="77777777" w:rsidR="00CF4CF6" w:rsidRDefault="00CF4CF6">
      <w:pPr>
        <w:pStyle w:val="1"/>
        <w:bidi/>
        <w:ind w:left="1440"/>
        <w:jc w:val="both"/>
      </w:pPr>
    </w:p>
    <w:p w14:paraId="0863AE0B" w14:textId="77777777" w:rsidR="00CF4CF6" w:rsidRDefault="005248BC">
      <w:pPr>
        <w:pStyle w:val="1"/>
        <w:numPr>
          <w:ilvl w:val="1"/>
          <w:numId w:val="1"/>
        </w:numPr>
        <w:bidi/>
        <w:jc w:val="both"/>
        <w:rPr>
          <w:b/>
          <w:bCs/>
        </w:rPr>
      </w:pPr>
      <w:hyperlink r:id="rId26" w:history="1">
        <w:r w:rsidRPr="005248BC">
          <w:rPr>
            <w:rStyle w:val="Hyperlink"/>
            <w:rFonts w:hint="eastAsia"/>
            <w:rtl/>
          </w:rPr>
          <w:t>ת</w:t>
        </w:r>
        <w:r w:rsidRPr="005248BC">
          <w:rPr>
            <w:rStyle w:val="Hyperlink"/>
            <w:rtl/>
          </w:rPr>
          <w:t>"פ (מחוזי תל-אביב-יפו) 33001-11-14</w:t>
        </w:r>
      </w:hyperlink>
      <w:r>
        <w:rPr>
          <w:rFonts w:hint="cs"/>
          <w:rtl/>
        </w:rPr>
        <w:t xml:space="preserve"> </w:t>
      </w:r>
      <w:r>
        <w:rPr>
          <w:rFonts w:hint="cs"/>
          <w:b/>
          <w:bCs/>
          <w:rtl/>
        </w:rPr>
        <w:t xml:space="preserve">מדינת ישראל נ' אלנט </w:t>
      </w:r>
      <w:r>
        <w:rPr>
          <w:rFonts w:hint="cs"/>
          <w:rtl/>
        </w:rPr>
        <w:t xml:space="preserve">(19.3.2015)- הנאשם שכר מחסן, הסב אותו לחממה, ושתל בו 208 עציצים ובהם זרעי קנבוס. לאחר כחצי שנה נמצאו במקום צמחים מסוג קנבוס במשקל כולל של 88 ק"ג נטו. שני נאשמים נוספים סייעו לנאשם באיתור המחסן המתאים ובשמירה על המחסן. בית-המשפט קבע כי </w:t>
      </w:r>
      <w:r>
        <w:rPr>
          <w:rFonts w:hint="cs"/>
          <w:b/>
          <w:bCs/>
          <w:rtl/>
        </w:rPr>
        <w:t>מתחם העונש ההולם את מעשיו נע בין 30 ל-48 חודשי מאסר בפועל, וגזר על הנאשם, בהתאם להסדר הטיעון אליו עתרו הצדדים, 38 חודשי מאסר בפועל, מאסר מותנה וקנס כספי בסך 20,000 ₪</w:t>
      </w:r>
      <w:r>
        <w:rPr>
          <w:rFonts w:hint="cs"/>
          <w:rtl/>
        </w:rPr>
        <w:t>.</w:t>
      </w:r>
    </w:p>
    <w:p w14:paraId="73188D72" w14:textId="77777777" w:rsidR="00CF4CF6" w:rsidRDefault="00CF4CF6">
      <w:pPr>
        <w:pStyle w:val="ListParagraph"/>
        <w:rPr>
          <w:b/>
          <w:bCs/>
        </w:rPr>
      </w:pPr>
    </w:p>
    <w:p w14:paraId="0FF74A20" w14:textId="77777777" w:rsidR="00CF4CF6" w:rsidRDefault="005248BC">
      <w:pPr>
        <w:pStyle w:val="1"/>
        <w:numPr>
          <w:ilvl w:val="1"/>
          <w:numId w:val="1"/>
        </w:numPr>
        <w:bidi/>
        <w:jc w:val="both"/>
        <w:rPr>
          <w:b/>
          <w:bCs/>
          <w:rtl/>
        </w:rPr>
      </w:pPr>
      <w:r>
        <w:rPr>
          <w:rFonts w:hint="cs"/>
          <w:rtl/>
        </w:rPr>
        <w:t xml:space="preserve">עפ"ג (מחוזי מרכז) </w:t>
      </w:r>
      <w:r>
        <w:rPr>
          <w:rFonts w:hint="cs"/>
          <w:b/>
          <w:bCs/>
          <w:rtl/>
        </w:rPr>
        <w:t xml:space="preserve">בן משה נ' מדינת ישראל </w:t>
      </w:r>
      <w:r>
        <w:rPr>
          <w:rFonts w:hint="cs"/>
          <w:rtl/>
        </w:rPr>
        <w:t xml:space="preserve">(16.2.2014)- הנאשם גידל במבנה מגורים סם מסוכן מסוג קנבוס במשקל של 40.9 ק"ג נטו, במספר רב של אדניות, תוך הקמת תשתית מתאימה ויצירת מעקף של מונה החשמל במקום לאספקת החשמל הנדרש. במסגרת הסדר הטיעון הסכימה המאשימה להגביל עצמה לעונש של 30 חודשי מאסר. בית-המשפט גזר על הנאשם </w:t>
      </w:r>
      <w:r>
        <w:rPr>
          <w:rFonts w:hint="cs"/>
          <w:b/>
          <w:bCs/>
          <w:rtl/>
        </w:rPr>
        <w:t>28 חודשי מאסר בפועל, מאסר מותנה, וקנס בסך 45,000 ₪.</w:t>
      </w:r>
      <w:r>
        <w:rPr>
          <w:rFonts w:hint="cs"/>
          <w:rtl/>
        </w:rPr>
        <w:t xml:space="preserve"> ערעורו של הנאשם על חומרת העונש נדחה.</w:t>
      </w:r>
    </w:p>
    <w:p w14:paraId="1CE35CE8" w14:textId="77777777" w:rsidR="00CF4CF6" w:rsidRDefault="00CF4CF6">
      <w:pPr>
        <w:pStyle w:val="ListParagraph"/>
        <w:rPr>
          <w:b/>
          <w:bCs/>
        </w:rPr>
      </w:pPr>
    </w:p>
    <w:p w14:paraId="596FFB5C" w14:textId="77777777" w:rsidR="00CF4CF6" w:rsidRDefault="005248BC">
      <w:pPr>
        <w:pStyle w:val="1"/>
        <w:numPr>
          <w:ilvl w:val="1"/>
          <w:numId w:val="1"/>
        </w:numPr>
        <w:bidi/>
        <w:jc w:val="both"/>
        <w:rPr>
          <w:b/>
          <w:bCs/>
          <w:rtl/>
        </w:rPr>
      </w:pPr>
      <w:hyperlink r:id="rId27" w:history="1">
        <w:r w:rsidRPr="005248BC">
          <w:rPr>
            <w:rStyle w:val="Hyperlink"/>
            <w:rFonts w:hint="eastAsia"/>
            <w:rtl/>
          </w:rPr>
          <w:t>ת</w:t>
        </w:r>
        <w:r w:rsidRPr="005248BC">
          <w:rPr>
            <w:rStyle w:val="Hyperlink"/>
            <w:rtl/>
          </w:rPr>
          <w:t>"פ (מחוזי חיפה) 16958-01-14</w:t>
        </w:r>
      </w:hyperlink>
      <w:r>
        <w:rPr>
          <w:rFonts w:hint="cs"/>
          <w:rtl/>
        </w:rPr>
        <w:t xml:space="preserve"> </w:t>
      </w:r>
      <w:r>
        <w:rPr>
          <w:rFonts w:hint="cs"/>
          <w:b/>
          <w:bCs/>
          <w:rtl/>
        </w:rPr>
        <w:t xml:space="preserve">מדינת ישראל נ' חייק </w:t>
      </w:r>
      <w:r>
        <w:rPr>
          <w:rFonts w:hint="cs"/>
          <w:rtl/>
        </w:rPr>
        <w:t xml:space="preserve">(30.4.2014)- הנאשם החזיק במבנה באזור תעשיה, ובו כלים רבים לצורך הפקת סם. במקום נמצאו שתילים רבים של סם מסוג קנבוס במשקל כולל של כ-60 ק"ג. </w:t>
      </w:r>
      <w:r>
        <w:rPr>
          <w:rFonts w:hint="cs"/>
          <w:b/>
          <w:bCs/>
          <w:rtl/>
        </w:rPr>
        <w:t xml:space="preserve">בית-המשפט קבע כי מתחם העונש ההולם את המעשים נע בין 12 ל-36 חודשי מאסר בפועל. </w:t>
      </w:r>
      <w:r>
        <w:rPr>
          <w:rFonts w:hint="cs"/>
          <w:rtl/>
        </w:rPr>
        <w:t>על הנאשם, אשר הביע רצון להשתלב בהליך גמילה מסמים במהלך ריצוי מאסרו, נגזרו</w:t>
      </w:r>
      <w:r>
        <w:rPr>
          <w:rFonts w:hint="cs"/>
          <w:b/>
          <w:bCs/>
          <w:rtl/>
        </w:rPr>
        <w:t xml:space="preserve"> 18 חודשי מאסר בפועל, מאסרים מותנים, וכן קנס כספי בסך 10,000 ₪.</w:t>
      </w:r>
    </w:p>
    <w:p w14:paraId="380AD269" w14:textId="77777777" w:rsidR="00CF4CF6" w:rsidRDefault="00CF4CF6">
      <w:pPr>
        <w:pStyle w:val="ListParagraph"/>
        <w:rPr>
          <w:b/>
          <w:bCs/>
        </w:rPr>
      </w:pPr>
    </w:p>
    <w:p w14:paraId="1236E5C2" w14:textId="77777777" w:rsidR="00CF4CF6" w:rsidRDefault="005248BC">
      <w:pPr>
        <w:pStyle w:val="1"/>
        <w:numPr>
          <w:ilvl w:val="1"/>
          <w:numId w:val="1"/>
        </w:numPr>
        <w:bidi/>
        <w:jc w:val="both"/>
        <w:rPr>
          <w:rtl/>
        </w:rPr>
      </w:pPr>
      <w:hyperlink r:id="rId28" w:history="1">
        <w:r w:rsidRPr="005248BC">
          <w:rPr>
            <w:rStyle w:val="Hyperlink"/>
            <w:rFonts w:hint="eastAsia"/>
            <w:rtl/>
          </w:rPr>
          <w:t>עפ</w:t>
        </w:r>
        <w:r w:rsidRPr="005248BC">
          <w:rPr>
            <w:rStyle w:val="Hyperlink"/>
            <w:rtl/>
          </w:rPr>
          <w:t>"ג (מחוזי תל-אביב-יפו) 46738-09-14</w:t>
        </w:r>
      </w:hyperlink>
      <w:r>
        <w:rPr>
          <w:rFonts w:hint="cs"/>
          <w:rtl/>
        </w:rPr>
        <w:t xml:space="preserve"> </w:t>
      </w:r>
      <w:r>
        <w:rPr>
          <w:rFonts w:hint="cs"/>
          <w:b/>
          <w:bCs/>
          <w:rtl/>
        </w:rPr>
        <w:t xml:space="preserve">מדינת ישראל נ' צקבאשווילי </w:t>
      </w:r>
      <w:r>
        <w:rPr>
          <w:rFonts w:hint="cs"/>
          <w:rtl/>
        </w:rPr>
        <w:t xml:space="preserve">(31.12.2014)- הנאשמים קשרו קשר להקים מעבדה לגידול סם מסוג קנבוס. לצורך כך שכרו מבנה באזור תעשיה, רכשו רכב כדי שישמש להעברת הסחורה, הכשירו את המקום לצורך גידול הסם ורכשו ציוד רב לצורך כך. במקום נתפסו 435 שתילים של סם במשקל כולל של 18 ק"ג נטו. </w:t>
      </w:r>
    </w:p>
    <w:p w14:paraId="5F18EE42" w14:textId="77777777" w:rsidR="00CF4CF6" w:rsidRDefault="005248BC">
      <w:pPr>
        <w:pStyle w:val="1"/>
        <w:bidi/>
        <w:ind w:left="1440"/>
        <w:jc w:val="both"/>
      </w:pPr>
      <w:r>
        <w:rPr>
          <w:rFonts w:hint="cs"/>
          <w:rtl/>
        </w:rPr>
        <w:t xml:space="preserve">בית-המשפט גזר על הנאשמים עונשי מאסר לתקופות של 12 ו-14 חודשים. ערעור המדינה על חומרת העונש התקבל, </w:t>
      </w:r>
      <w:r>
        <w:rPr>
          <w:rFonts w:hint="cs"/>
          <w:u w:val="single"/>
          <w:rtl/>
        </w:rPr>
        <w:t>תוך קביעה כי החובה להילחם בנגע הסמים מחייבת העלאת רף הענישה במקרים דומים</w:t>
      </w:r>
      <w:r>
        <w:rPr>
          <w:rFonts w:hint="cs"/>
          <w:rtl/>
        </w:rPr>
        <w:t xml:space="preserve">. </w:t>
      </w:r>
      <w:r>
        <w:rPr>
          <w:rFonts w:hint="cs"/>
          <w:b/>
          <w:bCs/>
          <w:rtl/>
        </w:rPr>
        <w:t>ערכאת הערעור קבעה כי מתחם העונש ההולם את המעשים נע בין 18 ל-36 חודשי מאסר בפועל, והעמידה את עונשם של הנאשמים על 24 חודשי מאסר.</w:t>
      </w:r>
    </w:p>
    <w:p w14:paraId="5A794F50" w14:textId="77777777" w:rsidR="00CF4CF6" w:rsidRDefault="00CF4CF6">
      <w:pPr>
        <w:pStyle w:val="1"/>
        <w:bidi/>
        <w:ind w:left="1440"/>
        <w:jc w:val="both"/>
        <w:rPr>
          <w:rtl/>
        </w:rPr>
      </w:pPr>
    </w:p>
    <w:p w14:paraId="7AE49B22" w14:textId="77777777" w:rsidR="00CF4CF6" w:rsidRDefault="005248BC">
      <w:pPr>
        <w:pStyle w:val="1"/>
        <w:numPr>
          <w:ilvl w:val="0"/>
          <w:numId w:val="1"/>
        </w:numPr>
        <w:bidi/>
        <w:jc w:val="both"/>
        <w:rPr>
          <w:rtl/>
        </w:rPr>
      </w:pPr>
      <w:r>
        <w:rPr>
          <w:rFonts w:hint="cs"/>
          <w:rtl/>
        </w:rPr>
        <w:t>ב"כ המאשימה טען כי בחלק ניכר מפסקי-דין העוסקים במעבדות לגידול סם נקבעו מתחמי ענישה בהתאם להסדרי טיעון אליהם הגיעו הצדדים, ועל כן לא ניתן ללמוד מהם אודות מתחמי הענישה ההולמים אירועים חמורים מסוג זה. עוד טען כי העובדה שעבירות אלה הפכו נפוצות, מחייבת החמרה בענישה לצורך הרתעת הציבור מביצוען. על כן עותרת המאשימה לקביעת מתחם מחמיר יותר מהענישה הנוהגת.</w:t>
      </w:r>
    </w:p>
    <w:p w14:paraId="2F2056D9" w14:textId="77777777" w:rsidR="00CF4CF6" w:rsidRDefault="005248BC">
      <w:pPr>
        <w:pStyle w:val="1"/>
        <w:bidi/>
        <w:jc w:val="both"/>
      </w:pPr>
      <w:r>
        <w:rPr>
          <w:rFonts w:hint="cs"/>
          <w:rtl/>
        </w:rPr>
        <w:t xml:space="preserve">בעניין זה אומר כי אף במקרים בהם קיים צורך בהעלאת רמת הענישה, הן לצורך הלימה בין העונש לחומרת המעשים, והן בשל שיקולי הרתעת הציבור מפני ביצוע עבירות שהפכו נפוצות, הרי שבהתאם לפסיקת בית-המשפט העליון, החמרת הענישה צריכה להיעשות בהדרגתיות ובמתינות (ראו למשל: </w:t>
      </w:r>
      <w:hyperlink r:id="rId29" w:history="1">
        <w:r w:rsidRPr="005248BC">
          <w:rPr>
            <w:rStyle w:val="Hyperlink"/>
            <w:rFonts w:hint="eastAsia"/>
            <w:rtl/>
          </w:rPr>
          <w:t>ע</w:t>
        </w:r>
        <w:r w:rsidRPr="005248BC">
          <w:rPr>
            <w:rStyle w:val="Hyperlink"/>
            <w:rtl/>
          </w:rPr>
          <w:t>"פ 2247/10</w:t>
        </w:r>
      </w:hyperlink>
      <w:r>
        <w:rPr>
          <w:rFonts w:hint="cs"/>
          <w:rtl/>
        </w:rPr>
        <w:t xml:space="preserve"> </w:t>
      </w:r>
      <w:r>
        <w:rPr>
          <w:rFonts w:hint="cs"/>
          <w:b/>
          <w:bCs/>
          <w:rtl/>
        </w:rPr>
        <w:t xml:space="preserve">ימיני נ' מדינת ישראל </w:t>
      </w:r>
      <w:r>
        <w:rPr>
          <w:rFonts w:hint="cs"/>
          <w:rtl/>
        </w:rPr>
        <w:t xml:space="preserve">(12.1.2011); </w:t>
      </w:r>
      <w:hyperlink r:id="rId30" w:history="1">
        <w:r w:rsidRPr="005248BC">
          <w:rPr>
            <w:rStyle w:val="Hyperlink"/>
            <w:rFonts w:hint="eastAsia"/>
            <w:rtl/>
          </w:rPr>
          <w:t>ע</w:t>
        </w:r>
        <w:r w:rsidRPr="005248BC">
          <w:rPr>
            <w:rStyle w:val="Hyperlink"/>
            <w:rtl/>
          </w:rPr>
          <w:t>"פ 2891/12</w:t>
        </w:r>
      </w:hyperlink>
      <w:r>
        <w:rPr>
          <w:rFonts w:hint="cs"/>
          <w:rtl/>
        </w:rPr>
        <w:t xml:space="preserve"> </w:t>
      </w:r>
      <w:r>
        <w:rPr>
          <w:rFonts w:hint="cs"/>
          <w:b/>
          <w:bCs/>
          <w:rtl/>
        </w:rPr>
        <w:t xml:space="preserve">מדינת ישראל נ' רבעא </w:t>
      </w:r>
      <w:r>
        <w:rPr>
          <w:rFonts w:hint="cs"/>
          <w:rtl/>
        </w:rPr>
        <w:t xml:space="preserve">(15.7.2012); </w:t>
      </w:r>
      <w:hyperlink r:id="rId31" w:history="1">
        <w:r w:rsidRPr="005248BC">
          <w:rPr>
            <w:rStyle w:val="Hyperlink"/>
            <w:rFonts w:hint="eastAsia"/>
            <w:rtl/>
          </w:rPr>
          <w:t>ע</w:t>
        </w:r>
        <w:r w:rsidRPr="005248BC">
          <w:rPr>
            <w:rStyle w:val="Hyperlink"/>
            <w:rtl/>
          </w:rPr>
          <w:t>"פ 3164/14</w:t>
        </w:r>
      </w:hyperlink>
      <w:r>
        <w:rPr>
          <w:rFonts w:hint="cs"/>
          <w:rtl/>
        </w:rPr>
        <w:t xml:space="preserve"> </w:t>
      </w:r>
      <w:r>
        <w:rPr>
          <w:rFonts w:hint="cs"/>
          <w:b/>
          <w:bCs/>
          <w:rtl/>
        </w:rPr>
        <w:t xml:space="preserve">פן נ' מדינת ישראל </w:t>
      </w:r>
      <w:r>
        <w:rPr>
          <w:rFonts w:hint="cs"/>
          <w:rtl/>
        </w:rPr>
        <w:t xml:space="preserve">(29.6.2015)). כך נפסק אף בעפ"ג </w:t>
      </w:r>
      <w:r>
        <w:rPr>
          <w:rFonts w:hint="cs"/>
          <w:b/>
          <w:bCs/>
          <w:rtl/>
        </w:rPr>
        <w:t xml:space="preserve">צקבאשווילי </w:t>
      </w:r>
      <w:r>
        <w:rPr>
          <w:rFonts w:hint="cs"/>
          <w:rtl/>
        </w:rPr>
        <w:t>המוזכר לעיל.</w:t>
      </w:r>
    </w:p>
    <w:p w14:paraId="06B0811A" w14:textId="77777777" w:rsidR="00CF4CF6" w:rsidRDefault="00CF4CF6">
      <w:pPr>
        <w:pStyle w:val="ListParagraph"/>
      </w:pPr>
    </w:p>
    <w:p w14:paraId="3C5573C0" w14:textId="77777777" w:rsidR="00CF4CF6" w:rsidRDefault="005248BC">
      <w:pPr>
        <w:pStyle w:val="1"/>
        <w:numPr>
          <w:ilvl w:val="0"/>
          <w:numId w:val="1"/>
        </w:numPr>
        <w:bidi/>
        <w:jc w:val="both"/>
        <w:rPr>
          <w:rtl/>
        </w:rPr>
      </w:pPr>
      <w:r>
        <w:rPr>
          <w:rFonts w:hint="cs"/>
          <w:rtl/>
        </w:rPr>
        <w:t xml:space="preserve">בשים לב לנסיבות ביצוע העבירות בענייננו, למדיניות הענישה הנוהגת, ולשיקולי הענישה המפורטים לעיל, לרבות הצורך בהחמרת הענישה אך במתינות ובהדרגתיות, אני סבורה כי מתחם העונש ההולם את המעשים נע בין </w:t>
      </w:r>
      <w:r>
        <w:rPr>
          <w:rFonts w:hint="cs"/>
          <w:b/>
          <w:bCs/>
          <w:rtl/>
        </w:rPr>
        <w:t>24 ל-48 חודשי מאסר בפועל</w:t>
      </w:r>
      <w:r>
        <w:rPr>
          <w:rFonts w:hint="cs"/>
          <w:rtl/>
        </w:rPr>
        <w:t>.</w:t>
      </w:r>
    </w:p>
    <w:p w14:paraId="35465428" w14:textId="77777777" w:rsidR="00CF4CF6" w:rsidRDefault="00CF4CF6">
      <w:pPr>
        <w:pStyle w:val="1"/>
        <w:bidi/>
        <w:ind w:left="0"/>
        <w:jc w:val="both"/>
        <w:rPr>
          <w:b/>
          <w:bCs/>
          <w:u w:val="single"/>
        </w:rPr>
      </w:pPr>
    </w:p>
    <w:p w14:paraId="66176057" w14:textId="77777777" w:rsidR="00CF4CF6" w:rsidRDefault="005248BC">
      <w:pPr>
        <w:pStyle w:val="1"/>
        <w:bidi/>
        <w:ind w:left="0"/>
        <w:jc w:val="both"/>
        <w:rPr>
          <w:b/>
          <w:bCs/>
          <w:u w:val="single"/>
          <w:rtl/>
        </w:rPr>
      </w:pPr>
      <w:r>
        <w:rPr>
          <w:rFonts w:hint="cs"/>
          <w:b/>
          <w:bCs/>
          <w:u w:val="single"/>
          <w:rtl/>
        </w:rPr>
        <w:t>גזירת עונשו של הנאשם</w:t>
      </w:r>
    </w:p>
    <w:p w14:paraId="29D7D355" w14:textId="77777777" w:rsidR="00CF4CF6" w:rsidRDefault="00CF4CF6">
      <w:pPr>
        <w:pStyle w:val="ListParagraph"/>
        <w:rPr>
          <w:rtl/>
        </w:rPr>
      </w:pPr>
    </w:p>
    <w:p w14:paraId="57D322AB" w14:textId="77777777" w:rsidR="00CF4CF6" w:rsidRDefault="005248BC">
      <w:pPr>
        <w:pStyle w:val="1"/>
        <w:numPr>
          <w:ilvl w:val="0"/>
          <w:numId w:val="1"/>
        </w:numPr>
        <w:bidi/>
        <w:jc w:val="both"/>
        <w:rPr>
          <w:rtl/>
        </w:rPr>
      </w:pPr>
      <w:r>
        <w:rPr>
          <w:rFonts w:hint="cs"/>
          <w:rtl/>
        </w:rPr>
        <w:t xml:space="preserve">בבחינת </w:t>
      </w:r>
      <w:r>
        <w:rPr>
          <w:rFonts w:hint="cs"/>
          <w:u w:val="single"/>
          <w:rtl/>
        </w:rPr>
        <w:t>הנסיבות שאינן קשורות בביצוע העבירה</w:t>
      </w:r>
      <w:r>
        <w:rPr>
          <w:rFonts w:hint="cs"/>
          <w:rtl/>
        </w:rPr>
        <w:t xml:space="preserve">, התחשבתי </w:t>
      </w:r>
      <w:r>
        <w:rPr>
          <w:rFonts w:hint="cs"/>
          <w:u w:val="single"/>
          <w:rtl/>
        </w:rPr>
        <w:t>לקולא</w:t>
      </w:r>
      <w:r>
        <w:rPr>
          <w:rFonts w:hint="cs"/>
          <w:rtl/>
        </w:rPr>
        <w:t xml:space="preserve"> בלקיחת האחריות של הנאשם ובהודאתו בביצוע העבירות מיד עם חקירתו במשטרה; בהעדרו של עבר פלילי ובכך שמדובר בעונש מאסר ראשון; בגילו הצעיר של הנאשם, בכך שהוא נעדר תמיכה משפחתית לאחר שעלה לבדו לארץ, ובטענות ההגנה כי הנאשם מגלה קשיים משמעותיים בהסתגלות לתנאי בית-הכלא.</w:t>
      </w:r>
    </w:p>
    <w:p w14:paraId="59E5DC33" w14:textId="77777777" w:rsidR="00CF4CF6" w:rsidRDefault="00CF4CF6">
      <w:pPr>
        <w:pStyle w:val="1"/>
        <w:bidi/>
        <w:jc w:val="both"/>
      </w:pPr>
    </w:p>
    <w:p w14:paraId="623D87D0" w14:textId="77777777" w:rsidR="00CF4CF6" w:rsidRDefault="005248BC">
      <w:pPr>
        <w:pStyle w:val="1"/>
        <w:numPr>
          <w:ilvl w:val="0"/>
          <w:numId w:val="1"/>
        </w:numPr>
        <w:bidi/>
        <w:jc w:val="both"/>
      </w:pPr>
      <w:r>
        <w:rPr>
          <w:rFonts w:hint="cs"/>
          <w:u w:val="single"/>
          <w:rtl/>
        </w:rPr>
        <w:t>לחומרא</w:t>
      </w:r>
      <w:r>
        <w:rPr>
          <w:rFonts w:hint="cs"/>
          <w:rtl/>
        </w:rPr>
        <w:t xml:space="preserve"> שקלתי את עמדת שירות המבחן ביחס לנאשם כמפורט בהרחבה בתסקיר. התרשמות שירות המבחן הינה כי הנאשם מתקשה להתייחס באופן מעמיק לחומרת העבירות ולהתנהלותו בעת ביצוען, ואינו משתף פעולה עם הגורמים המטפלים בניסיון לקבל כלים על-מנת להימנע ממעורבות עבריינית בעתיד. בהעדר המלצה שיקומית מטעם שירות המבחן, איני רואה לגזור על הנאשם עונש המצוי בקצה התחתון של המתחם, כעתירת ההגנה.</w:t>
      </w:r>
    </w:p>
    <w:p w14:paraId="6D9016FE" w14:textId="77777777" w:rsidR="00CF4CF6" w:rsidRDefault="00CF4CF6">
      <w:pPr>
        <w:pStyle w:val="1"/>
        <w:bidi/>
        <w:jc w:val="both"/>
      </w:pPr>
    </w:p>
    <w:p w14:paraId="4BCF05B5" w14:textId="77777777" w:rsidR="00CF4CF6" w:rsidRDefault="005248BC">
      <w:pPr>
        <w:pStyle w:val="1"/>
        <w:numPr>
          <w:ilvl w:val="0"/>
          <w:numId w:val="1"/>
        </w:numPr>
        <w:bidi/>
        <w:jc w:val="both"/>
      </w:pPr>
      <w:r>
        <w:rPr>
          <w:rFonts w:hint="cs"/>
          <w:b/>
          <w:bCs/>
          <w:u w:val="single"/>
          <w:rtl/>
        </w:rPr>
        <w:t>אשר לרכיב הקנס</w:t>
      </w:r>
      <w:r>
        <w:rPr>
          <w:rFonts w:hint="cs"/>
          <w:rtl/>
        </w:rPr>
        <w:t xml:space="preserve"> – המאשימה הפנתה להוראות </w:t>
      </w:r>
      <w:hyperlink r:id="rId32" w:history="1">
        <w:r w:rsidR="000E1881" w:rsidRPr="000E1881">
          <w:rPr>
            <w:rStyle w:val="Hyperlink"/>
            <w:rFonts w:hint="eastAsia"/>
            <w:rtl/>
          </w:rPr>
          <w:t>סעיף</w:t>
        </w:r>
        <w:r w:rsidR="000E1881" w:rsidRPr="000E1881">
          <w:rPr>
            <w:rStyle w:val="Hyperlink"/>
            <w:rtl/>
          </w:rPr>
          <w:t xml:space="preserve"> 32</w:t>
        </w:r>
      </w:hyperlink>
      <w:r>
        <w:rPr>
          <w:rFonts w:hint="cs"/>
          <w:rtl/>
        </w:rPr>
        <w:t xml:space="preserve"> ל</w:t>
      </w:r>
      <w:hyperlink r:id="rId33" w:history="1">
        <w:r w:rsidRPr="005248BC">
          <w:rPr>
            <w:rStyle w:val="Hyperlink"/>
            <w:rFonts w:hint="eastAsia"/>
            <w:rtl/>
          </w:rPr>
          <w:t>פקודת</w:t>
        </w:r>
        <w:r w:rsidRPr="005248BC">
          <w:rPr>
            <w:rStyle w:val="Hyperlink"/>
            <w:rtl/>
          </w:rPr>
          <w:t xml:space="preserve"> הסמים המסוכנים</w:t>
        </w:r>
      </w:hyperlink>
      <w:r>
        <w:rPr>
          <w:rFonts w:hint="cs"/>
          <w:rtl/>
        </w:rPr>
        <w:t>, המאפשר הטלת קנסות בסכום של עד פי חמישה משווי הסם שבו נעברה העבירה או משווי טובת ההנאה שהושגה בעבירה. בהתחשב בהוראות סעיף זה, ובשים לב לנסיבות ביצוע העבירות, ההשקעה שהושקעה בהקמת המעבדה, והיקף הסם שנתפס, עותרת המאשימה לגזור על הנאשם קנס בסך חצי מיליון ₪.</w:t>
      </w:r>
    </w:p>
    <w:p w14:paraId="601ADF46" w14:textId="77777777" w:rsidR="00CF4CF6" w:rsidRDefault="005248BC">
      <w:pPr>
        <w:pStyle w:val="1"/>
        <w:bidi/>
        <w:jc w:val="both"/>
      </w:pPr>
      <w:r>
        <w:rPr>
          <w:rFonts w:hint="cs"/>
          <w:rtl/>
        </w:rPr>
        <w:t xml:space="preserve">אין מחלוקת כי בביצוע עבירות הסמים בהן הורשע הנאשם טמון רווח כלכלי פוטנציאלי גדול מאוד וזהו המניע לביצוען. הטלת קנסות גבוהים על נאשמים שהורשעו בעבירות חמורות לפי פקודת הסמים מהווה חלק משמעותי במאבק בנגע הסמים, על-מנת שהעבירות לא תשתלמנה. הוראות </w:t>
      </w:r>
      <w:hyperlink r:id="rId34" w:history="1">
        <w:r w:rsidR="000E1881" w:rsidRPr="000E1881">
          <w:rPr>
            <w:rStyle w:val="Hyperlink"/>
            <w:rFonts w:hint="eastAsia"/>
            <w:rtl/>
          </w:rPr>
          <w:t>סעיף</w:t>
        </w:r>
        <w:r w:rsidR="000E1881" w:rsidRPr="000E1881">
          <w:rPr>
            <w:rStyle w:val="Hyperlink"/>
            <w:rtl/>
          </w:rPr>
          <w:t xml:space="preserve"> 32</w:t>
        </w:r>
      </w:hyperlink>
      <w:r>
        <w:rPr>
          <w:rFonts w:hint="cs"/>
          <w:rtl/>
        </w:rPr>
        <w:t xml:space="preserve"> נועדו למטרה זו. ואולם, איני סבורה כי מקרה זה הוא המקרה המתאים לשימוש בהוראות הסעיף, אשר מטיעוני המאשימה וכן מעיון בפסיקה עולה כי עד כה לא נעשה בו שימוש. כתב-האישום אינו מפרט אודות היקף הרווח הפוטנציאלי מביצוע העבירות, ועל כן כלל לא ניתן להפעיל את הוראות הסעיף כלשונו. ראוי כי הפעלת הוראות הסעיף והעלאת גובה הקנסות בהתאם להוראת חוק זו תעשה כאשר מלוא הנתונים הכספיים מופיעים בכתב-האישום ומובאים בפני בית-המשפט.</w:t>
      </w:r>
    </w:p>
    <w:p w14:paraId="01F45733" w14:textId="77777777" w:rsidR="00CF4CF6" w:rsidRDefault="005248BC">
      <w:pPr>
        <w:pStyle w:val="1"/>
        <w:bidi/>
        <w:jc w:val="both"/>
        <w:rPr>
          <w:rtl/>
        </w:rPr>
      </w:pPr>
      <w:r>
        <w:rPr>
          <w:rFonts w:hint="cs"/>
          <w:rtl/>
        </w:rPr>
        <w:t xml:space="preserve">יתר על כן, תסקיר שירות המבחן וכן טיעוני ההגנה לעונש מעלים כי מצבו הכלכלי של הנאשם אינו טוב, הוא מצוי לבדו בארץ, טרם מעצרו שירת בצבא ועבד במשרה חלקית ביותר, והוא נעדר כל תמיכה ממשפחתו. במצב דברים זה, ובשים לב להוראות </w:t>
      </w:r>
      <w:hyperlink r:id="rId35" w:history="1">
        <w:r w:rsidR="000E1881" w:rsidRPr="000E1881">
          <w:rPr>
            <w:rStyle w:val="Hyperlink"/>
            <w:rFonts w:hint="eastAsia"/>
            <w:rtl/>
          </w:rPr>
          <w:t>סעיף</w:t>
        </w:r>
        <w:r w:rsidR="000E1881" w:rsidRPr="000E1881">
          <w:rPr>
            <w:rStyle w:val="Hyperlink"/>
            <w:rtl/>
          </w:rPr>
          <w:t xml:space="preserve"> 40ח</w:t>
        </w:r>
      </w:hyperlink>
      <w:r>
        <w:rPr>
          <w:rFonts w:hint="cs"/>
          <w:rtl/>
        </w:rPr>
        <w:t xml:space="preserve"> ל</w:t>
      </w:r>
      <w:hyperlink r:id="rId36" w:history="1">
        <w:r w:rsidRPr="005248BC">
          <w:rPr>
            <w:rStyle w:val="Hyperlink"/>
            <w:rFonts w:hint="eastAsia"/>
            <w:rtl/>
          </w:rPr>
          <w:t>חוק</w:t>
        </w:r>
        <w:r w:rsidRPr="005248BC">
          <w:rPr>
            <w:rStyle w:val="Hyperlink"/>
            <w:rtl/>
          </w:rPr>
          <w:t xml:space="preserve"> העונשין</w:t>
        </w:r>
      </w:hyperlink>
      <w:r>
        <w:rPr>
          <w:rFonts w:hint="cs"/>
          <w:rtl/>
        </w:rPr>
        <w:t>, אין מקום להטיל על הנאשם קנס בסדר גודל אליו עתרה המאשימה.</w:t>
      </w:r>
    </w:p>
    <w:p w14:paraId="15C2000B" w14:textId="77777777" w:rsidR="00CF4CF6" w:rsidRDefault="005248BC">
      <w:pPr>
        <w:pStyle w:val="1"/>
        <w:bidi/>
        <w:jc w:val="both"/>
        <w:rPr>
          <w:rtl/>
        </w:rPr>
      </w:pPr>
      <w:r>
        <w:rPr>
          <w:rFonts w:hint="cs"/>
          <w:rtl/>
        </w:rPr>
        <w:t>בקביעת גובה הקנס אתחשב מחד בצורך להעביר מסר כי העבירות אינן משתלמות, ומאידך במצבו הכלכלי של הנאשם כמפורט, ובכך שהקטנוע והכסף שנמצאו ברשותו חולטו.</w:t>
      </w:r>
    </w:p>
    <w:p w14:paraId="4E886889" w14:textId="77777777" w:rsidR="00CF4CF6" w:rsidRDefault="00CF4CF6">
      <w:pPr>
        <w:pStyle w:val="1"/>
        <w:bidi/>
        <w:jc w:val="both"/>
        <w:rPr>
          <w:rtl/>
        </w:rPr>
      </w:pPr>
    </w:p>
    <w:p w14:paraId="621F25A3" w14:textId="77777777" w:rsidR="00CF4CF6" w:rsidRDefault="005248BC">
      <w:pPr>
        <w:pStyle w:val="1"/>
        <w:numPr>
          <w:ilvl w:val="0"/>
          <w:numId w:val="1"/>
        </w:numPr>
        <w:bidi/>
        <w:jc w:val="both"/>
        <w:rPr>
          <w:rtl/>
        </w:rPr>
      </w:pPr>
      <w:r>
        <w:rPr>
          <w:rFonts w:hint="cs"/>
          <w:rtl/>
        </w:rPr>
        <w:t>נוכח מכלול השיקולים המפורטים לעיל, אני גוזרת על הנאשם את העונשים הבאים:</w:t>
      </w:r>
    </w:p>
    <w:p w14:paraId="5FF3BE32" w14:textId="77777777" w:rsidR="00CF4CF6" w:rsidRDefault="00CF4CF6">
      <w:pPr>
        <w:pStyle w:val="1"/>
        <w:bidi/>
        <w:jc w:val="both"/>
      </w:pPr>
    </w:p>
    <w:p w14:paraId="24D47828" w14:textId="77777777" w:rsidR="00CF4CF6" w:rsidRDefault="005248BC">
      <w:pPr>
        <w:pStyle w:val="1"/>
        <w:numPr>
          <w:ilvl w:val="1"/>
          <w:numId w:val="1"/>
        </w:numPr>
        <w:bidi/>
        <w:jc w:val="both"/>
      </w:pPr>
      <w:r>
        <w:rPr>
          <w:rFonts w:hint="cs"/>
          <w:rtl/>
        </w:rPr>
        <w:t>30 חודשי מאסר בפועל החל מיום מעצרו- 15.4.2015.</w:t>
      </w:r>
    </w:p>
    <w:p w14:paraId="061250E7" w14:textId="77777777" w:rsidR="00CF4CF6" w:rsidRDefault="00CF4CF6">
      <w:pPr>
        <w:pStyle w:val="1"/>
        <w:bidi/>
        <w:ind w:left="1440"/>
        <w:jc w:val="both"/>
      </w:pPr>
    </w:p>
    <w:p w14:paraId="07B67481" w14:textId="77777777" w:rsidR="00CF4CF6" w:rsidRDefault="005248BC">
      <w:pPr>
        <w:pStyle w:val="1"/>
        <w:numPr>
          <w:ilvl w:val="1"/>
          <w:numId w:val="1"/>
        </w:numPr>
        <w:bidi/>
        <w:jc w:val="both"/>
      </w:pPr>
      <w:r>
        <w:rPr>
          <w:rFonts w:hint="cs"/>
          <w:rtl/>
        </w:rPr>
        <w:t xml:space="preserve">10 חודשים מאסר על תנאי, והתנאי הוא שלא יעבור תוך 3 שנים מיום שחרורו מהמאסר עבירה מסוג פשע לפי </w:t>
      </w:r>
      <w:hyperlink r:id="rId37" w:history="1">
        <w:r w:rsidRPr="005248BC">
          <w:rPr>
            <w:rStyle w:val="Hyperlink"/>
            <w:rFonts w:hint="eastAsia"/>
            <w:rtl/>
          </w:rPr>
          <w:t>פקודת</w:t>
        </w:r>
        <w:r w:rsidRPr="005248BC">
          <w:rPr>
            <w:rStyle w:val="Hyperlink"/>
            <w:rtl/>
          </w:rPr>
          <w:t xml:space="preserve"> הסמים המסוכנים</w:t>
        </w:r>
      </w:hyperlink>
      <w:r>
        <w:rPr>
          <w:rFonts w:hint="cs"/>
          <w:rtl/>
        </w:rPr>
        <w:t>.</w:t>
      </w:r>
    </w:p>
    <w:p w14:paraId="7DA03062" w14:textId="77777777" w:rsidR="00CF4CF6" w:rsidRDefault="00CF4CF6">
      <w:pPr>
        <w:pStyle w:val="ListParagraph"/>
      </w:pPr>
    </w:p>
    <w:p w14:paraId="056D104C" w14:textId="77777777" w:rsidR="00CF4CF6" w:rsidRDefault="005248BC">
      <w:pPr>
        <w:pStyle w:val="1"/>
        <w:numPr>
          <w:ilvl w:val="1"/>
          <w:numId w:val="1"/>
        </w:numPr>
        <w:bidi/>
        <w:jc w:val="both"/>
        <w:rPr>
          <w:rtl/>
        </w:rPr>
      </w:pPr>
      <w:r>
        <w:rPr>
          <w:rFonts w:hint="cs"/>
          <w:rtl/>
        </w:rPr>
        <w:t>קנס כספי בסך 20,000 ₪ או 90 ימי מאסר תחתיו. הקנס ישולם ב-5 תשלומים שווים ורצופים בסך 4,000 ₪ כל אחד, הראשון שבהם ביום 1.4.2016.</w:t>
      </w:r>
    </w:p>
    <w:p w14:paraId="4416EE47" w14:textId="77777777" w:rsidR="00CF4CF6" w:rsidRDefault="00CF4CF6">
      <w:pPr>
        <w:pStyle w:val="1"/>
        <w:bidi/>
        <w:ind w:left="1440"/>
        <w:jc w:val="both"/>
      </w:pPr>
    </w:p>
    <w:p w14:paraId="3EBFFC40" w14:textId="77777777" w:rsidR="00CF4CF6" w:rsidRDefault="005248BC">
      <w:pPr>
        <w:pStyle w:val="1"/>
        <w:numPr>
          <w:ilvl w:val="1"/>
          <w:numId w:val="1"/>
        </w:numPr>
        <w:bidi/>
        <w:jc w:val="both"/>
        <w:rPr>
          <w:rtl/>
        </w:rPr>
      </w:pPr>
      <w:r>
        <w:rPr>
          <w:rFonts w:hint="cs"/>
          <w:rtl/>
        </w:rPr>
        <w:t>בהסכמת ההגנה, אני מכריזה על הנאשם סוחר סמים, ומורה על חילוט הסכום הכספי בסך 820 ₪ וכן הקטנוע שמספרו 88-031-67 אשר שייכים לנאשם ונתפסו בעת מעצרו.</w:t>
      </w:r>
    </w:p>
    <w:p w14:paraId="663CF0A6" w14:textId="77777777" w:rsidR="00CF4CF6" w:rsidRDefault="00CF4CF6">
      <w:pPr>
        <w:pStyle w:val="ListParagraph"/>
      </w:pPr>
    </w:p>
    <w:p w14:paraId="4AE9027F" w14:textId="77777777" w:rsidR="00CF4CF6" w:rsidRDefault="005248BC">
      <w:pPr>
        <w:spacing w:line="360" w:lineRule="auto"/>
        <w:jc w:val="both"/>
        <w:rPr>
          <w:b/>
          <w:bCs/>
          <w:u w:val="single"/>
          <w:rtl/>
        </w:rPr>
      </w:pPr>
      <w:r>
        <w:rPr>
          <w:rFonts w:hint="cs"/>
          <w:b/>
          <w:bCs/>
          <w:u w:val="single"/>
          <w:rtl/>
        </w:rPr>
        <w:t>זכות ערעור לבית-המשפט העליון תוך 45 ימים מהיום.</w:t>
      </w:r>
    </w:p>
    <w:p w14:paraId="68119515" w14:textId="77777777" w:rsidR="00CF4CF6" w:rsidRDefault="005248BC">
      <w:pPr>
        <w:spacing w:line="360" w:lineRule="auto"/>
        <w:jc w:val="both"/>
        <w:rPr>
          <w:b/>
          <w:bCs/>
          <w:sz w:val="6"/>
          <w:szCs w:val="6"/>
          <w:rtl/>
        </w:rPr>
      </w:pPr>
      <w:r>
        <w:rPr>
          <w:b/>
          <w:bCs/>
          <w:sz w:val="6"/>
          <w:szCs w:val="6"/>
          <w:rtl/>
        </w:rPr>
        <w:t>&lt;#4#&gt;</w:t>
      </w:r>
    </w:p>
    <w:p w14:paraId="05912365" w14:textId="77777777" w:rsidR="00CF4CF6" w:rsidRDefault="00CF4CF6">
      <w:pPr>
        <w:jc w:val="right"/>
        <w:rPr>
          <w:rtl/>
        </w:rPr>
      </w:pPr>
    </w:p>
    <w:p w14:paraId="2C078839" w14:textId="77777777" w:rsidR="00CF4CF6" w:rsidRDefault="005248BC">
      <w:pPr>
        <w:jc w:val="center"/>
        <w:rPr>
          <w:rtl/>
        </w:rPr>
      </w:pPr>
      <w:r w:rsidRPr="005248BC">
        <w:rPr>
          <w:b/>
          <w:bCs/>
          <w:color w:val="FFFFFF"/>
          <w:sz w:val="2"/>
          <w:szCs w:val="2"/>
          <w:rtl/>
        </w:rPr>
        <w:t>5129371</w:t>
      </w:r>
      <w:r>
        <w:rPr>
          <w:b/>
          <w:bCs/>
          <w:rtl/>
        </w:rPr>
        <w:t xml:space="preserve">ניתן והודע היום כ"ד שבט תשע"ו, 03/02/2016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F4CF6" w14:paraId="1D60E80F" w14:textId="77777777">
        <w:trPr>
          <w:trHeight w:val="316"/>
          <w:jc w:val="right"/>
        </w:trPr>
        <w:tc>
          <w:tcPr>
            <w:tcW w:w="3936" w:type="dxa"/>
            <w:shd w:val="clear" w:color="auto" w:fill="auto"/>
          </w:tcPr>
          <w:p w14:paraId="3801C4D4" w14:textId="77777777" w:rsidR="00CF4CF6" w:rsidRPr="005248BC" w:rsidRDefault="005248BC">
            <w:pPr>
              <w:jc w:val="center"/>
              <w:rPr>
                <w:rFonts w:ascii="Times New Roman" w:eastAsia="Times New Roman" w:hAnsi="Times New Roman" w:cs="Times New Roman"/>
                <w:color w:val="FFFFFF"/>
                <w:sz w:val="2"/>
                <w:szCs w:val="2"/>
              </w:rPr>
            </w:pPr>
            <w:r w:rsidRPr="005248BC">
              <w:rPr>
                <w:rFonts w:ascii="Times New Roman" w:eastAsia="Times New Roman" w:hAnsi="Times New Roman" w:cs="Times New Roman"/>
                <w:color w:val="FFFFFF"/>
                <w:sz w:val="2"/>
                <w:szCs w:val="2"/>
                <w:rtl/>
              </w:rPr>
              <w:t>54678313</w:t>
            </w:r>
          </w:p>
          <w:p w14:paraId="36E8D5DA" w14:textId="77777777" w:rsidR="00CF4CF6" w:rsidRDefault="00CF4CF6">
            <w:pPr>
              <w:jc w:val="center"/>
              <w:rPr>
                <w:rFonts w:ascii="Times New Roman" w:eastAsia="Times New Roman" w:hAnsi="Times New Roman" w:cs="Times New Roman"/>
                <w:rtl/>
              </w:rPr>
            </w:pPr>
          </w:p>
        </w:tc>
      </w:tr>
      <w:tr w:rsidR="00CF4CF6" w14:paraId="5FE1F9FD" w14:textId="77777777">
        <w:trPr>
          <w:trHeight w:val="361"/>
          <w:jc w:val="right"/>
        </w:trPr>
        <w:tc>
          <w:tcPr>
            <w:tcW w:w="3936" w:type="dxa"/>
            <w:shd w:val="clear" w:color="auto" w:fill="auto"/>
          </w:tcPr>
          <w:p w14:paraId="29B35574" w14:textId="77777777" w:rsidR="00CF4CF6" w:rsidRDefault="005248BC">
            <w:pPr>
              <w:jc w:val="center"/>
              <w:rPr>
                <w:rFonts w:ascii="Times New Roman" w:eastAsia="Times New Roman" w:hAnsi="Times New Roman"/>
                <w:b/>
                <w:bCs/>
                <w:rtl/>
              </w:rPr>
            </w:pPr>
            <w:r>
              <w:rPr>
                <w:rFonts w:ascii="Times New Roman" w:eastAsia="Times New Roman" w:hAnsi="Times New Roman" w:hint="cs"/>
                <w:b/>
                <w:bCs/>
                <w:rtl/>
              </w:rPr>
              <w:t>רות לורך</w:t>
            </w:r>
            <w:r>
              <w:rPr>
                <w:rFonts w:ascii="Times New Roman" w:eastAsia="Times New Roman" w:hAnsi="Times New Roman"/>
                <w:b/>
                <w:bCs/>
                <w:rtl/>
              </w:rPr>
              <w:t xml:space="preserve"> </w:t>
            </w:r>
            <w:r>
              <w:rPr>
                <w:rFonts w:ascii="Times New Roman" w:eastAsia="Times New Roman" w:hAnsi="Times New Roman" w:hint="cs"/>
                <w:b/>
                <w:bCs/>
                <w:rtl/>
              </w:rPr>
              <w:t>, שופטת, סגנית נשיא</w:t>
            </w:r>
            <w:r>
              <w:rPr>
                <w:rFonts w:ascii="Times New Roman" w:eastAsia="Times New Roman" w:hAnsi="Times New Roman"/>
                <w:b/>
                <w:bCs/>
                <w:rtl/>
              </w:rPr>
              <w:t xml:space="preserve"> </w:t>
            </w:r>
          </w:p>
        </w:tc>
      </w:tr>
    </w:tbl>
    <w:p w14:paraId="7B40373F" w14:textId="77777777" w:rsidR="005248BC" w:rsidRPr="005248BC" w:rsidRDefault="005248BC" w:rsidP="005248BC">
      <w:pPr>
        <w:keepNext/>
        <w:rPr>
          <w:color w:val="000000"/>
          <w:sz w:val="22"/>
          <w:szCs w:val="22"/>
          <w:rtl/>
        </w:rPr>
      </w:pPr>
    </w:p>
    <w:p w14:paraId="69947202" w14:textId="77777777" w:rsidR="005248BC" w:rsidRPr="005248BC" w:rsidRDefault="005248BC" w:rsidP="005248BC">
      <w:pPr>
        <w:keepNext/>
        <w:rPr>
          <w:color w:val="000000"/>
          <w:sz w:val="22"/>
          <w:szCs w:val="22"/>
          <w:rtl/>
        </w:rPr>
      </w:pPr>
      <w:r w:rsidRPr="005248BC">
        <w:rPr>
          <w:color w:val="000000"/>
          <w:sz w:val="22"/>
          <w:szCs w:val="22"/>
          <w:rtl/>
        </w:rPr>
        <w:t>רות לורך 54678313</w:t>
      </w:r>
    </w:p>
    <w:p w14:paraId="7EE695F5" w14:textId="77777777" w:rsidR="005248BC" w:rsidRDefault="005248BC" w:rsidP="005248BC">
      <w:pPr>
        <w:rPr>
          <w:color w:val="000000"/>
          <w:rtl/>
        </w:rPr>
      </w:pPr>
      <w:r w:rsidRPr="005248BC">
        <w:rPr>
          <w:color w:val="000000"/>
          <w:rtl/>
        </w:rPr>
        <w:t>נוסח מסמך זה כפוף לשינויי ניסוח ועריכה</w:t>
      </w:r>
    </w:p>
    <w:p w14:paraId="6F13D309" w14:textId="77777777" w:rsidR="005248BC" w:rsidRDefault="005248BC" w:rsidP="005248BC">
      <w:pPr>
        <w:rPr>
          <w:rtl/>
        </w:rPr>
      </w:pPr>
    </w:p>
    <w:p w14:paraId="6693E3FF" w14:textId="77777777" w:rsidR="005248BC" w:rsidRDefault="005248BC" w:rsidP="005248BC">
      <w:pPr>
        <w:jc w:val="center"/>
        <w:rPr>
          <w:rFonts w:hint="cs"/>
          <w:color w:val="0000FF"/>
          <w:u w:val="single"/>
          <w:rtl/>
        </w:rPr>
      </w:pPr>
      <w:hyperlink r:id="rId38" w:history="1">
        <w:r>
          <w:rPr>
            <w:rStyle w:val="Hyperlink"/>
            <w:rtl/>
          </w:rPr>
          <w:t>בעניין עריכה ושינויים במסמכי פסיקה, חקיקה ועוד באתר נבו – הקש כאן</w:t>
        </w:r>
      </w:hyperlink>
    </w:p>
    <w:p w14:paraId="529EA4D9" w14:textId="77777777" w:rsidR="000E5D59" w:rsidRDefault="000E5D59" w:rsidP="005248BC">
      <w:pPr>
        <w:jc w:val="center"/>
        <w:rPr>
          <w:color w:val="0000FF"/>
          <w:u w:val="single"/>
          <w:rtl/>
        </w:rPr>
      </w:pPr>
    </w:p>
    <w:p w14:paraId="2B26F24C" w14:textId="77777777" w:rsidR="00CF4CF6" w:rsidRPr="005248BC" w:rsidRDefault="00CF4CF6" w:rsidP="005248BC">
      <w:pPr>
        <w:jc w:val="center"/>
        <w:rPr>
          <w:color w:val="0000FF"/>
          <w:u w:val="single"/>
        </w:rPr>
      </w:pPr>
    </w:p>
    <w:sectPr w:rsidR="00CF4CF6" w:rsidRPr="005248BC" w:rsidSect="005248BC">
      <w:headerReference w:type="even" r:id="rId39"/>
      <w:headerReference w:type="default" r:id="rId40"/>
      <w:footerReference w:type="even" r:id="rId41"/>
      <w:footerReference w:type="default" r:id="rId4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0BA45" w14:textId="77777777" w:rsidR="000104BB" w:rsidRDefault="000104BB">
      <w:r>
        <w:separator/>
      </w:r>
    </w:p>
  </w:endnote>
  <w:endnote w:type="continuationSeparator" w:id="0">
    <w:p w14:paraId="2646059C" w14:textId="77777777" w:rsidR="000104BB" w:rsidRDefault="00010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9CC49" w14:textId="77777777" w:rsidR="004416F9" w:rsidRDefault="004416F9" w:rsidP="005248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21</w:t>
    </w:r>
    <w:r>
      <w:rPr>
        <w:rFonts w:ascii="FrankRuehl" w:hAnsi="FrankRuehl" w:cs="FrankRuehl"/>
        <w:rtl/>
      </w:rPr>
      <w:fldChar w:fldCharType="end"/>
    </w:r>
  </w:p>
  <w:p w14:paraId="401EE828" w14:textId="77777777" w:rsidR="004416F9" w:rsidRPr="005248BC" w:rsidRDefault="004416F9" w:rsidP="005248BC">
    <w:pPr>
      <w:pStyle w:val="a5"/>
      <w:pBdr>
        <w:top w:val="single" w:sz="4" w:space="1" w:color="auto"/>
        <w:between w:val="single" w:sz="4" w:space="0" w:color="auto"/>
      </w:pBdr>
      <w:spacing w:after="60"/>
      <w:jc w:val="center"/>
      <w:rPr>
        <w:rFonts w:ascii="FrankRuehl" w:hAnsi="FrankRuehl" w:cs="FrankRuehl"/>
        <w:color w:val="000000"/>
      </w:rPr>
    </w:pPr>
    <w:r w:rsidRPr="005248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7447B" w14:textId="77777777" w:rsidR="004416F9" w:rsidRDefault="004416F9" w:rsidP="005248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37FF">
      <w:rPr>
        <w:rFonts w:ascii="FrankRuehl" w:hAnsi="FrankRuehl" w:cs="FrankRuehl"/>
        <w:noProof/>
        <w:rtl/>
      </w:rPr>
      <w:t>1</w:t>
    </w:r>
    <w:r>
      <w:rPr>
        <w:rFonts w:ascii="FrankRuehl" w:hAnsi="FrankRuehl" w:cs="FrankRuehl"/>
        <w:rtl/>
      </w:rPr>
      <w:fldChar w:fldCharType="end"/>
    </w:r>
  </w:p>
  <w:p w14:paraId="37BB2057" w14:textId="77777777" w:rsidR="004416F9" w:rsidRPr="005248BC" w:rsidRDefault="004416F9" w:rsidP="005248BC">
    <w:pPr>
      <w:pStyle w:val="a5"/>
      <w:pBdr>
        <w:top w:val="single" w:sz="4" w:space="1" w:color="auto"/>
        <w:between w:val="single" w:sz="4" w:space="0" w:color="auto"/>
      </w:pBdr>
      <w:spacing w:after="60"/>
      <w:jc w:val="center"/>
      <w:rPr>
        <w:rFonts w:ascii="FrankRuehl" w:hAnsi="FrankRuehl" w:cs="FrankRuehl"/>
        <w:color w:val="000000"/>
      </w:rPr>
    </w:pPr>
    <w:r w:rsidRPr="005248BC">
      <w:rPr>
        <w:rFonts w:ascii="FrankRuehl" w:hAnsi="FrankRuehl" w:cs="FrankRuehl"/>
        <w:color w:val="000000"/>
      </w:rPr>
      <w:pict w14:anchorId="03530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60078" w14:textId="77777777" w:rsidR="000104BB" w:rsidRDefault="000104BB">
      <w:r>
        <w:separator/>
      </w:r>
    </w:p>
  </w:footnote>
  <w:footnote w:type="continuationSeparator" w:id="0">
    <w:p w14:paraId="311F6C47" w14:textId="77777777" w:rsidR="000104BB" w:rsidRDefault="00010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55A5A" w14:textId="77777777" w:rsidR="004416F9" w:rsidRPr="005248BC" w:rsidRDefault="004416F9" w:rsidP="005248B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46662-04-15</w:t>
    </w:r>
    <w:r>
      <w:rPr>
        <w:color w:val="000000"/>
        <w:sz w:val="22"/>
        <w:szCs w:val="22"/>
        <w:rtl/>
      </w:rPr>
      <w:tab/>
      <w:t xml:space="preserve"> מדינת ישראל נ' ערן סגל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5AE4E" w14:textId="77777777" w:rsidR="004416F9" w:rsidRPr="005248BC" w:rsidRDefault="004416F9" w:rsidP="005248B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46662-04-15</w:t>
    </w:r>
    <w:r>
      <w:rPr>
        <w:color w:val="000000"/>
        <w:sz w:val="22"/>
        <w:szCs w:val="22"/>
        <w:rtl/>
      </w:rPr>
      <w:tab/>
      <w:t xml:space="preserve"> מדינת ישראל נ' ערן סגל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032B9"/>
    <w:multiLevelType w:val="hybridMultilevel"/>
    <w:tmpl w:val="174AF918"/>
    <w:lvl w:ilvl="0" w:tplc="AEDCC82E">
      <w:start w:val="1"/>
      <w:numFmt w:val="decimal"/>
      <w:lvlText w:val="%1."/>
      <w:lvlJc w:val="left"/>
      <w:pPr>
        <w:ind w:left="720" w:hanging="720"/>
      </w:pPr>
      <w:rPr>
        <w:b w:val="0"/>
        <w:bCs w:val="0"/>
      </w:rPr>
    </w:lvl>
    <w:lvl w:ilvl="1" w:tplc="B6AC96EC">
      <w:start w:val="1"/>
      <w:numFmt w:val="hebrew1"/>
      <w:lvlText w:val="%2."/>
      <w:lvlJc w:val="center"/>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349253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4CF6"/>
    <w:rsid w:val="000104BB"/>
    <w:rsid w:val="000E1881"/>
    <w:rsid w:val="000E5D59"/>
    <w:rsid w:val="0029415B"/>
    <w:rsid w:val="003B4AA2"/>
    <w:rsid w:val="004416F9"/>
    <w:rsid w:val="005248BC"/>
    <w:rsid w:val="00573D39"/>
    <w:rsid w:val="00984813"/>
    <w:rsid w:val="00A64742"/>
    <w:rsid w:val="00C237FF"/>
    <w:rsid w:val="00CF4C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8FE9B6"/>
  <w15:chartTrackingRefBased/>
  <w15:docId w15:val="{9D0F7ACE-587F-4A0C-A279-C055B9E3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4CF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CF4CF6"/>
  </w:style>
  <w:style w:type="paragraph" w:styleId="a4">
    <w:name w:val="header"/>
    <w:basedOn w:val="a"/>
    <w:rsid w:val="00CF4CF6"/>
    <w:pPr>
      <w:tabs>
        <w:tab w:val="center" w:pos="4153"/>
        <w:tab w:val="right" w:pos="8306"/>
      </w:tabs>
    </w:pPr>
  </w:style>
  <w:style w:type="paragraph" w:styleId="a5">
    <w:name w:val="footer"/>
    <w:basedOn w:val="a"/>
    <w:rsid w:val="00CF4CF6"/>
    <w:pPr>
      <w:tabs>
        <w:tab w:val="center" w:pos="4153"/>
        <w:tab w:val="right" w:pos="8306"/>
      </w:tabs>
    </w:pPr>
  </w:style>
  <w:style w:type="character" w:styleId="a6">
    <w:name w:val="page number"/>
    <w:basedOn w:val="a0"/>
    <w:rsid w:val="00CF4CF6"/>
  </w:style>
  <w:style w:type="character" w:customStyle="1" w:styleId="TimesNewRomanTimesNewRoman">
    <w:name w:val="סגנון (לטיני) Times New Roman (עברית ושפות אחרות) Times New Roman..."/>
    <w:rsid w:val="00CF4CF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CF4CF6"/>
    <w:rPr>
      <w:rFonts w:ascii="Times New Roman" w:eastAsia="Times New Roman" w:hAnsi="Times New Roman"/>
      <w:b/>
      <w:bCs/>
      <w:u w:val="single"/>
    </w:rPr>
  </w:style>
  <w:style w:type="paragraph" w:customStyle="1" w:styleId="ListParagraph">
    <w:name w:val="List Paragraph"/>
    <w:basedOn w:val="a"/>
    <w:rsid w:val="00CF4CF6"/>
    <w:pPr>
      <w:spacing w:after="160" w:line="256" w:lineRule="auto"/>
      <w:ind w:left="720"/>
      <w:contextualSpacing/>
    </w:pPr>
    <w:rPr>
      <w:rFonts w:ascii="Calibri" w:eastAsia="Calibri" w:hAnsi="Calibri" w:cs="Arial"/>
      <w:sz w:val="22"/>
      <w:szCs w:val="22"/>
    </w:rPr>
  </w:style>
  <w:style w:type="paragraph" w:customStyle="1" w:styleId="1">
    <w:name w:val="פיסקת רשימה1"/>
    <w:basedOn w:val="a"/>
    <w:rsid w:val="00CF4CF6"/>
    <w:pPr>
      <w:bidi w:val="0"/>
      <w:spacing w:line="360" w:lineRule="auto"/>
      <w:ind w:left="720"/>
      <w:contextualSpacing/>
      <w:jc w:val="right"/>
    </w:pPr>
    <w:rPr>
      <w:rFonts w:ascii="Arial" w:eastAsia="Times New Roman" w:hAnsi="Arial"/>
    </w:rPr>
  </w:style>
  <w:style w:type="character" w:styleId="Hyperlink">
    <w:name w:val="Hyperlink"/>
    <w:rsid w:val="005248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18159953" TargetMode="External"/><Relationship Id="rId39" Type="http://schemas.openxmlformats.org/officeDocument/2006/relationships/header" Target="header1.xml"/><Relationship Id="rId21" Type="http://schemas.openxmlformats.org/officeDocument/2006/relationships/hyperlink" Target="http://www.nevo.co.il/law/70301" TargetMode="External"/><Relationship Id="rId34" Type="http://schemas.openxmlformats.org/officeDocument/2006/relationships/hyperlink" Target="http://www.nevo.co.il/law/4216/32"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32" TargetMode="External"/><Relationship Id="rId29" Type="http://schemas.openxmlformats.org/officeDocument/2006/relationships/hyperlink" Target="http://www.nevo.co.il/case/5821139"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32"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law/4216" TargetMode="External"/><Relationship Id="rId28" Type="http://schemas.openxmlformats.org/officeDocument/2006/relationships/hyperlink" Target="http://www.nevo.co.il/case/18045843"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10" TargetMode="External"/><Relationship Id="rId31" Type="http://schemas.openxmlformats.org/officeDocument/2006/relationships/hyperlink" Target="http://www.nevo.co.il/case/1690450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h" TargetMode="External"/><Relationship Id="rId22" Type="http://schemas.openxmlformats.org/officeDocument/2006/relationships/hyperlink" Target="http://www.nevo.co.il/law/4216/32" TargetMode="External"/><Relationship Id="rId27" Type="http://schemas.openxmlformats.org/officeDocument/2006/relationships/hyperlink" Target="http://www.nevo.co.il/case/11237056" TargetMode="External"/><Relationship Id="rId30" Type="http://schemas.openxmlformats.org/officeDocument/2006/relationships/hyperlink" Target="http://www.nevo.co.il/case/5581438" TargetMode="External"/><Relationship Id="rId35" Type="http://schemas.openxmlformats.org/officeDocument/2006/relationships/hyperlink" Target="http://www.nevo.co.il/law/70301/40h"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32"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4249952" TargetMode="External"/><Relationship Id="rId33" Type="http://schemas.openxmlformats.org/officeDocument/2006/relationships/hyperlink" Target="http://www.nevo.co.il/law/421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2540</Words>
  <Characters>12704</Characters>
  <Application>Microsoft Office Word</Application>
  <DocSecurity>0</DocSecurity>
  <Lines>105</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15214</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http://www.nevo.co.il/law/70301/40h</vt:lpwstr>
      </vt:variant>
      <vt:variant>
        <vt:lpwstr/>
      </vt:variant>
      <vt:variant>
        <vt:i4>5046346</vt:i4>
      </vt:variant>
      <vt:variant>
        <vt:i4>81</vt:i4>
      </vt:variant>
      <vt:variant>
        <vt:i4>0</vt:i4>
      </vt:variant>
      <vt:variant>
        <vt:i4>5</vt:i4>
      </vt:variant>
      <vt:variant>
        <vt:lpwstr>http://www.nevo.co.il/law/4216/32</vt:lpwstr>
      </vt:variant>
      <vt:variant>
        <vt:lpwstr/>
      </vt:variant>
      <vt:variant>
        <vt:i4>8257637</vt:i4>
      </vt:variant>
      <vt:variant>
        <vt:i4>78</vt:i4>
      </vt:variant>
      <vt:variant>
        <vt:i4>0</vt:i4>
      </vt:variant>
      <vt:variant>
        <vt:i4>5</vt:i4>
      </vt:variant>
      <vt:variant>
        <vt:lpwstr>http://www.nevo.co.il/law/4216</vt:lpwstr>
      </vt:variant>
      <vt:variant>
        <vt:lpwstr/>
      </vt:variant>
      <vt:variant>
        <vt:i4>5046346</vt:i4>
      </vt:variant>
      <vt:variant>
        <vt:i4>75</vt:i4>
      </vt:variant>
      <vt:variant>
        <vt:i4>0</vt:i4>
      </vt:variant>
      <vt:variant>
        <vt:i4>5</vt:i4>
      </vt:variant>
      <vt:variant>
        <vt:lpwstr>http://www.nevo.co.il/law/4216/32</vt:lpwstr>
      </vt:variant>
      <vt:variant>
        <vt:lpwstr/>
      </vt:variant>
      <vt:variant>
        <vt:i4>3932279</vt:i4>
      </vt:variant>
      <vt:variant>
        <vt:i4>72</vt:i4>
      </vt:variant>
      <vt:variant>
        <vt:i4>0</vt:i4>
      </vt:variant>
      <vt:variant>
        <vt:i4>5</vt:i4>
      </vt:variant>
      <vt:variant>
        <vt:lpwstr>http://www.nevo.co.il/case/16904503</vt:lpwstr>
      </vt:variant>
      <vt:variant>
        <vt:lpwstr/>
      </vt:variant>
      <vt:variant>
        <vt:i4>3211379</vt:i4>
      </vt:variant>
      <vt:variant>
        <vt:i4>69</vt:i4>
      </vt:variant>
      <vt:variant>
        <vt:i4>0</vt:i4>
      </vt:variant>
      <vt:variant>
        <vt:i4>5</vt:i4>
      </vt:variant>
      <vt:variant>
        <vt:lpwstr>http://www.nevo.co.il/case/5581438</vt:lpwstr>
      </vt:variant>
      <vt:variant>
        <vt:lpwstr/>
      </vt:variant>
      <vt:variant>
        <vt:i4>4128894</vt:i4>
      </vt:variant>
      <vt:variant>
        <vt:i4>66</vt:i4>
      </vt:variant>
      <vt:variant>
        <vt:i4>0</vt:i4>
      </vt:variant>
      <vt:variant>
        <vt:i4>5</vt:i4>
      </vt:variant>
      <vt:variant>
        <vt:lpwstr>http://www.nevo.co.il/case/5821139</vt:lpwstr>
      </vt:variant>
      <vt:variant>
        <vt:lpwstr/>
      </vt:variant>
      <vt:variant>
        <vt:i4>3145840</vt:i4>
      </vt:variant>
      <vt:variant>
        <vt:i4>63</vt:i4>
      </vt:variant>
      <vt:variant>
        <vt:i4>0</vt:i4>
      </vt:variant>
      <vt:variant>
        <vt:i4>5</vt:i4>
      </vt:variant>
      <vt:variant>
        <vt:lpwstr>http://www.nevo.co.il/case/18045843</vt:lpwstr>
      </vt:variant>
      <vt:variant>
        <vt:lpwstr/>
      </vt:variant>
      <vt:variant>
        <vt:i4>3211382</vt:i4>
      </vt:variant>
      <vt:variant>
        <vt:i4>60</vt:i4>
      </vt:variant>
      <vt:variant>
        <vt:i4>0</vt:i4>
      </vt:variant>
      <vt:variant>
        <vt:i4>5</vt:i4>
      </vt:variant>
      <vt:variant>
        <vt:lpwstr>http://www.nevo.co.il/case/11237056</vt:lpwstr>
      </vt:variant>
      <vt:variant>
        <vt:lpwstr/>
      </vt:variant>
      <vt:variant>
        <vt:i4>3932272</vt:i4>
      </vt:variant>
      <vt:variant>
        <vt:i4>57</vt:i4>
      </vt:variant>
      <vt:variant>
        <vt:i4>0</vt:i4>
      </vt:variant>
      <vt:variant>
        <vt:i4>5</vt:i4>
      </vt:variant>
      <vt:variant>
        <vt:lpwstr>http://www.nevo.co.il/case/18159953</vt:lpwstr>
      </vt:variant>
      <vt:variant>
        <vt:lpwstr/>
      </vt:variant>
      <vt:variant>
        <vt:i4>3866746</vt:i4>
      </vt:variant>
      <vt:variant>
        <vt:i4>54</vt:i4>
      </vt:variant>
      <vt:variant>
        <vt:i4>0</vt:i4>
      </vt:variant>
      <vt:variant>
        <vt:i4>5</vt:i4>
      </vt:variant>
      <vt:variant>
        <vt:lpwstr>http://www.nevo.co.il/case/4249952</vt:lpwstr>
      </vt:variant>
      <vt:variant>
        <vt:lpwstr/>
      </vt:variant>
      <vt:variant>
        <vt:i4>7995492</vt:i4>
      </vt:variant>
      <vt:variant>
        <vt:i4>51</vt:i4>
      </vt:variant>
      <vt:variant>
        <vt:i4>0</vt:i4>
      </vt:variant>
      <vt:variant>
        <vt:i4>5</vt:i4>
      </vt:variant>
      <vt:variant>
        <vt:lpwstr>http://www.nevo.co.il/law/70301</vt:lpwstr>
      </vt:variant>
      <vt:variant>
        <vt:lpwstr/>
      </vt:variant>
      <vt:variant>
        <vt:i4>8257637</vt:i4>
      </vt:variant>
      <vt:variant>
        <vt:i4>48</vt:i4>
      </vt:variant>
      <vt:variant>
        <vt:i4>0</vt:i4>
      </vt:variant>
      <vt:variant>
        <vt:i4>5</vt:i4>
      </vt:variant>
      <vt:variant>
        <vt:lpwstr>http://www.nevo.co.il/law/4216</vt:lpwstr>
      </vt:variant>
      <vt:variant>
        <vt:lpwstr/>
      </vt:variant>
      <vt:variant>
        <vt:i4>5046346</vt:i4>
      </vt:variant>
      <vt:variant>
        <vt:i4>45</vt:i4>
      </vt:variant>
      <vt:variant>
        <vt:i4>0</vt:i4>
      </vt:variant>
      <vt:variant>
        <vt:i4>5</vt:i4>
      </vt:variant>
      <vt:variant>
        <vt:lpwstr>http://www.nevo.co.il/law/4216/32</vt:lpwstr>
      </vt:variant>
      <vt:variant>
        <vt:lpwstr/>
      </vt:variant>
      <vt:variant>
        <vt:i4>7995492</vt:i4>
      </vt:variant>
      <vt:variant>
        <vt:i4>42</vt:i4>
      </vt:variant>
      <vt:variant>
        <vt:i4>0</vt:i4>
      </vt:variant>
      <vt:variant>
        <vt:i4>5</vt:i4>
      </vt:variant>
      <vt:variant>
        <vt:lpwstr>http://www.nevo.co.il/law/70301</vt:lpwstr>
      </vt:variant>
      <vt:variant>
        <vt:lpwstr/>
      </vt:variant>
      <vt:variant>
        <vt:i4>5046346</vt:i4>
      </vt:variant>
      <vt:variant>
        <vt:i4>39</vt:i4>
      </vt:variant>
      <vt:variant>
        <vt:i4>0</vt:i4>
      </vt:variant>
      <vt:variant>
        <vt:i4>5</vt:i4>
      </vt:variant>
      <vt:variant>
        <vt:lpwstr>http://www.nevo.co.il/law/4216/32</vt:lpwstr>
      </vt:variant>
      <vt:variant>
        <vt:lpwstr/>
      </vt:variant>
      <vt:variant>
        <vt:i4>5177418</vt:i4>
      </vt:variant>
      <vt:variant>
        <vt:i4>36</vt:i4>
      </vt:variant>
      <vt:variant>
        <vt:i4>0</vt:i4>
      </vt:variant>
      <vt:variant>
        <vt:i4>5</vt:i4>
      </vt:variant>
      <vt:variant>
        <vt:lpwstr>http://www.nevo.co.il/law/4216/10</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6619233</vt:i4>
      </vt:variant>
      <vt:variant>
        <vt:i4>21</vt:i4>
      </vt:variant>
      <vt:variant>
        <vt:i4>0</vt:i4>
      </vt:variant>
      <vt:variant>
        <vt:i4>5</vt:i4>
      </vt:variant>
      <vt:variant>
        <vt:lpwstr>http://www.nevo.co.il/law/70301/40h</vt:lpwstr>
      </vt:variant>
      <vt:variant>
        <vt:lpwstr/>
      </vt:variant>
      <vt:variant>
        <vt:i4>7995492</vt:i4>
      </vt:variant>
      <vt:variant>
        <vt:i4>18</vt:i4>
      </vt:variant>
      <vt:variant>
        <vt:i4>0</vt:i4>
      </vt:variant>
      <vt:variant>
        <vt:i4>5</vt:i4>
      </vt:variant>
      <vt:variant>
        <vt:lpwstr>http://www.nevo.co.il/law/70301</vt:lpwstr>
      </vt:variant>
      <vt:variant>
        <vt:lpwstr/>
      </vt:variant>
      <vt:variant>
        <vt:i4>5046346</vt:i4>
      </vt:variant>
      <vt:variant>
        <vt:i4>15</vt:i4>
      </vt:variant>
      <vt:variant>
        <vt:i4>0</vt:i4>
      </vt:variant>
      <vt:variant>
        <vt:i4>5</vt:i4>
      </vt:variant>
      <vt:variant>
        <vt:lpwstr>http://www.nevo.co.il/law/4216/32</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2025-04-22T20:37:00Z</dcterms:created>
  <dcterms:modified xsi:type="dcterms:W3CDTF">2025-04-22T20:37:00Z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46662</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ערן סגל</vt:lpwstr>
  </property>
  <property fmtid="{D5CDD505-2E9C-101B-9397-08002B2CF9AE}" pid="10" name="LAWYER">
    <vt:lpwstr>יעל עצמון;קרינה אבאל ממשרד משה סוחמי</vt:lpwstr>
  </property>
  <property fmtid="{D5CDD505-2E9C-101B-9397-08002B2CF9AE}" pid="11" name="JUDGE">
    <vt:lpwstr>רות לורך</vt:lpwstr>
  </property>
  <property fmtid="{D5CDD505-2E9C-101B-9397-08002B2CF9AE}" pid="12" name="CITY">
    <vt:lpwstr>מרכז</vt:lpwstr>
  </property>
  <property fmtid="{D5CDD505-2E9C-101B-9397-08002B2CF9AE}" pid="13" name="DATE">
    <vt:lpwstr>20160203</vt:lpwstr>
  </property>
  <property fmtid="{D5CDD505-2E9C-101B-9397-08002B2CF9AE}" pid="14" name="TYPE_N_DATE">
    <vt:lpwstr>39020160203</vt:lpwstr>
  </property>
  <property fmtid="{D5CDD505-2E9C-101B-9397-08002B2CF9AE}" pid="15" name="CASESLISTTMP1">
    <vt:lpwstr>4249952;18159953;11237056;18045843;5821139;5581438;16904503</vt:lpwstr>
  </property>
  <property fmtid="{D5CDD505-2E9C-101B-9397-08002B2CF9AE}" pid="16" name="WORDNUMPAGES">
    <vt:lpwstr>8</vt:lpwstr>
  </property>
  <property fmtid="{D5CDD505-2E9C-101B-9397-08002B2CF9AE}" pid="17" name="TYPE_ABS_DATE">
    <vt:lpwstr>390020160203</vt:lpwstr>
  </property>
  <property fmtid="{D5CDD505-2E9C-101B-9397-08002B2CF9AE}" pid="18" name="ISABSTRACT">
    <vt:lpwstr>Y</vt:lpwstr>
  </property>
  <property fmtid="{D5CDD505-2E9C-101B-9397-08002B2CF9AE}" pid="19" name="LAWLISTTMP1">
    <vt:lpwstr>4216/006;007.a;007.c;010;032:4</vt:lpwstr>
  </property>
  <property fmtid="{D5CDD505-2E9C-101B-9397-08002B2CF9AE}" pid="20" name="LAWLISTTMP2">
    <vt:lpwstr>70301/040h</vt:lpwstr>
  </property>
</Properties>
</file>