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D35ED" w:rsidRPr="006D7B84" w14:paraId="68D7F943" w14:textId="77777777">
        <w:trPr>
          <w:trHeight w:hRule="exact" w:val="418"/>
          <w:jc w:val="center"/>
        </w:trPr>
        <w:tc>
          <w:tcPr>
            <w:tcW w:w="8721" w:type="dxa"/>
            <w:gridSpan w:val="2"/>
          </w:tcPr>
          <w:p w14:paraId="52F7006B" w14:textId="77777777" w:rsidR="00AD35ED" w:rsidRPr="006D7B84" w:rsidRDefault="00AD35ED" w:rsidP="006D7B84">
            <w:pPr>
              <w:pStyle w:val="a3"/>
              <w:jc w:val="center"/>
              <w:rPr>
                <w:rFonts w:ascii="Tahoma" w:hAnsi="Tahoma" w:cs="Tahoma"/>
                <w:color w:val="000080"/>
                <w:rtl/>
              </w:rPr>
            </w:pPr>
            <w:bookmarkStart w:id="0" w:name="LastJudge"/>
            <w:r w:rsidRPr="006D7B84">
              <w:rPr>
                <w:rFonts w:ascii="Tahoma" w:hAnsi="Tahoma" w:cs="Tahoma"/>
                <w:b/>
                <w:bCs/>
                <w:color w:val="000080"/>
                <w:rtl/>
              </w:rPr>
              <w:t>בית המשפט המחוזי בבאר שבע</w:t>
            </w:r>
          </w:p>
        </w:tc>
      </w:tr>
      <w:tr w:rsidR="00AD35ED" w:rsidRPr="006D7B84" w14:paraId="21A8D95B" w14:textId="77777777">
        <w:trPr>
          <w:trHeight w:val="337"/>
          <w:jc w:val="center"/>
        </w:trPr>
        <w:tc>
          <w:tcPr>
            <w:tcW w:w="5056" w:type="dxa"/>
          </w:tcPr>
          <w:p w14:paraId="40826ADD" w14:textId="77777777" w:rsidR="00AD35ED" w:rsidRPr="006D7B84" w:rsidRDefault="00AD35ED" w:rsidP="006D7B84">
            <w:pPr>
              <w:rPr>
                <w:rFonts w:cs="FrankRuehl"/>
                <w:sz w:val="28"/>
                <w:szCs w:val="28"/>
                <w:rtl/>
              </w:rPr>
            </w:pPr>
            <w:r w:rsidRPr="006D7B84">
              <w:rPr>
                <w:rFonts w:cs="FrankRuehl"/>
                <w:sz w:val="28"/>
                <w:szCs w:val="28"/>
                <w:rtl/>
              </w:rPr>
              <w:t>ת"פ</w:t>
            </w:r>
            <w:r w:rsidRPr="006D7B84">
              <w:rPr>
                <w:rFonts w:cs="FrankRuehl" w:hint="cs"/>
                <w:sz w:val="28"/>
                <w:szCs w:val="28"/>
                <w:rtl/>
              </w:rPr>
              <w:t xml:space="preserve"> </w:t>
            </w:r>
            <w:r w:rsidRPr="006D7B84">
              <w:rPr>
                <w:rFonts w:cs="FrankRuehl"/>
                <w:sz w:val="28"/>
                <w:szCs w:val="28"/>
                <w:rtl/>
              </w:rPr>
              <w:t>8633-04-15</w:t>
            </w:r>
            <w:r w:rsidRPr="006D7B84">
              <w:rPr>
                <w:rFonts w:cs="FrankRuehl" w:hint="cs"/>
                <w:sz w:val="28"/>
                <w:szCs w:val="28"/>
                <w:rtl/>
              </w:rPr>
              <w:t xml:space="preserve"> </w:t>
            </w:r>
            <w:r w:rsidRPr="006D7B84">
              <w:rPr>
                <w:rFonts w:cs="FrankRuehl"/>
                <w:sz w:val="28"/>
                <w:szCs w:val="28"/>
                <w:rtl/>
              </w:rPr>
              <w:t>מדינת ישראל נ' דהן(עציר)</w:t>
            </w:r>
          </w:p>
          <w:p w14:paraId="664A6CDC" w14:textId="77777777" w:rsidR="00AD35ED" w:rsidRPr="006D7B84" w:rsidRDefault="00AD35ED" w:rsidP="006D7B84">
            <w:pPr>
              <w:pStyle w:val="a3"/>
              <w:rPr>
                <w:rFonts w:cs="FrankRuehl"/>
                <w:sz w:val="28"/>
                <w:szCs w:val="28"/>
                <w:rtl/>
              </w:rPr>
            </w:pPr>
          </w:p>
        </w:tc>
        <w:tc>
          <w:tcPr>
            <w:tcW w:w="3665" w:type="dxa"/>
          </w:tcPr>
          <w:p w14:paraId="503F2630" w14:textId="77777777" w:rsidR="00AD35ED" w:rsidRPr="006D7B84" w:rsidRDefault="00AD35ED" w:rsidP="006D7B84">
            <w:pPr>
              <w:pStyle w:val="a3"/>
              <w:jc w:val="right"/>
              <w:rPr>
                <w:rFonts w:cs="FrankRuehl"/>
                <w:sz w:val="28"/>
                <w:szCs w:val="28"/>
                <w:rtl/>
              </w:rPr>
            </w:pPr>
          </w:p>
        </w:tc>
      </w:tr>
    </w:tbl>
    <w:p w14:paraId="65A72A55" w14:textId="77777777" w:rsidR="00AD35ED" w:rsidRPr="006D7B84" w:rsidRDefault="00AD35ED" w:rsidP="00AD35ED">
      <w:pPr>
        <w:pStyle w:val="a3"/>
        <w:rPr>
          <w:rtl/>
        </w:rPr>
      </w:pPr>
      <w:r w:rsidRPr="006D7B84">
        <w:rPr>
          <w:rFonts w:hint="cs"/>
          <w:rtl/>
        </w:rPr>
        <w:t xml:space="preserve"> </w:t>
      </w:r>
    </w:p>
    <w:p w14:paraId="590FFA82" w14:textId="77777777" w:rsidR="00AD35ED" w:rsidRPr="006D7B84" w:rsidRDefault="00AD35ED" w:rsidP="00AD35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D35ED" w:rsidRPr="006D7B84" w14:paraId="05669628" w14:textId="77777777">
        <w:trPr>
          <w:trHeight w:val="295"/>
          <w:jc w:val="center"/>
        </w:trPr>
        <w:tc>
          <w:tcPr>
            <w:tcW w:w="923" w:type="dxa"/>
            <w:tcBorders>
              <w:top w:val="nil"/>
              <w:left w:val="nil"/>
              <w:bottom w:val="nil"/>
              <w:right w:val="nil"/>
            </w:tcBorders>
            <w:shd w:val="clear" w:color="auto" w:fill="auto"/>
          </w:tcPr>
          <w:p w14:paraId="550A4230" w14:textId="77777777" w:rsidR="00AD35ED" w:rsidRPr="006D7B84" w:rsidRDefault="00AD35ED" w:rsidP="006D7B84">
            <w:pPr>
              <w:jc w:val="both"/>
              <w:rPr>
                <w:rFonts w:ascii="Arial" w:hAnsi="Arial"/>
              </w:rPr>
            </w:pPr>
            <w:r w:rsidRPr="006D7B84">
              <w:rPr>
                <w:rFonts w:ascii="Arial" w:hAnsi="Arial" w:hint="cs"/>
                <w:rtl/>
              </w:rPr>
              <w:t>ב</w:t>
            </w:r>
            <w:r w:rsidRPr="006D7B84">
              <w:rPr>
                <w:rFonts w:ascii="Arial" w:hAnsi="Arial"/>
                <w:rtl/>
              </w:rPr>
              <w:t xml:space="preserve">פני </w:t>
            </w:r>
          </w:p>
        </w:tc>
        <w:tc>
          <w:tcPr>
            <w:tcW w:w="7897" w:type="dxa"/>
            <w:gridSpan w:val="2"/>
            <w:tcBorders>
              <w:top w:val="nil"/>
              <w:left w:val="nil"/>
              <w:bottom w:val="nil"/>
              <w:right w:val="nil"/>
            </w:tcBorders>
            <w:shd w:val="clear" w:color="auto" w:fill="auto"/>
          </w:tcPr>
          <w:p w14:paraId="059A1A09" w14:textId="77777777" w:rsidR="00AD35ED" w:rsidRPr="006D7B84" w:rsidRDefault="00AD35ED" w:rsidP="006D7B84">
            <w:pPr>
              <w:rPr>
                <w:rFonts w:ascii="Arial" w:hAnsi="Arial"/>
                <w:b/>
                <w:bCs/>
                <w:rtl/>
              </w:rPr>
            </w:pPr>
            <w:r w:rsidRPr="006D7B84">
              <w:rPr>
                <w:rFonts w:ascii="Arial" w:hAnsi="Arial" w:hint="cs"/>
                <w:b/>
                <w:bCs/>
                <w:rtl/>
              </w:rPr>
              <w:t>כבוד ה</w:t>
            </w:r>
            <w:r w:rsidRPr="006D7B84">
              <w:rPr>
                <w:rFonts w:hint="cs"/>
                <w:rtl/>
              </w:rPr>
              <w:t>שופט</w:t>
            </w:r>
            <w:r w:rsidRPr="006D7B84">
              <w:rPr>
                <w:rFonts w:ascii="Arial" w:hAnsi="Arial" w:hint="cs"/>
                <w:b/>
                <w:bCs/>
                <w:rtl/>
              </w:rPr>
              <w:t xml:space="preserve">  </w:t>
            </w:r>
            <w:r w:rsidRPr="006D7B84">
              <w:rPr>
                <w:rFonts w:hint="cs"/>
                <w:rtl/>
              </w:rPr>
              <w:t>אליהו ביתן</w:t>
            </w:r>
          </w:p>
          <w:p w14:paraId="03E582A5" w14:textId="77777777" w:rsidR="00AD35ED" w:rsidRPr="006D7B84" w:rsidRDefault="00AD35ED" w:rsidP="006D7B84">
            <w:pPr>
              <w:rPr>
                <w:rtl/>
              </w:rPr>
            </w:pPr>
          </w:p>
          <w:p w14:paraId="16D1B056" w14:textId="77777777" w:rsidR="00AD35ED" w:rsidRPr="006D7B84" w:rsidRDefault="00AD35ED" w:rsidP="006D7B84">
            <w:pPr>
              <w:jc w:val="both"/>
              <w:rPr>
                <w:rFonts w:ascii="Arial" w:hAnsi="Arial"/>
              </w:rPr>
            </w:pPr>
          </w:p>
        </w:tc>
      </w:tr>
      <w:tr w:rsidR="00AD35ED" w:rsidRPr="006D7B84" w14:paraId="11A9A0EF" w14:textId="77777777">
        <w:trPr>
          <w:trHeight w:val="355"/>
          <w:jc w:val="center"/>
        </w:trPr>
        <w:tc>
          <w:tcPr>
            <w:tcW w:w="923" w:type="dxa"/>
            <w:tcBorders>
              <w:top w:val="nil"/>
              <w:left w:val="nil"/>
              <w:bottom w:val="nil"/>
              <w:right w:val="nil"/>
            </w:tcBorders>
            <w:shd w:val="clear" w:color="auto" w:fill="auto"/>
          </w:tcPr>
          <w:p w14:paraId="4B9B37E0" w14:textId="77777777" w:rsidR="00AD35ED" w:rsidRPr="006D7B84" w:rsidRDefault="00AD35ED" w:rsidP="006D7B84">
            <w:pPr>
              <w:jc w:val="both"/>
              <w:rPr>
                <w:rFonts w:ascii="Arial" w:hAnsi="Arial"/>
                <w:b/>
                <w:bCs/>
              </w:rPr>
            </w:pPr>
            <w:bookmarkStart w:id="1" w:name="FirstAppellant"/>
            <w:r w:rsidRPr="006D7B84">
              <w:rPr>
                <w:rFonts w:ascii="Arial" w:hAnsi="Arial" w:hint="cs"/>
                <w:b/>
                <w:bCs/>
                <w:rtl/>
              </w:rPr>
              <w:t>בעניין:</w:t>
            </w:r>
          </w:p>
        </w:tc>
        <w:tc>
          <w:tcPr>
            <w:tcW w:w="4126" w:type="dxa"/>
            <w:tcBorders>
              <w:top w:val="nil"/>
              <w:left w:val="nil"/>
              <w:bottom w:val="nil"/>
              <w:right w:val="nil"/>
            </w:tcBorders>
            <w:shd w:val="clear" w:color="auto" w:fill="auto"/>
          </w:tcPr>
          <w:p w14:paraId="1CBB60D2" w14:textId="77777777" w:rsidR="00AD35ED" w:rsidRPr="006D7B84" w:rsidRDefault="00AD35ED" w:rsidP="006D7B84">
            <w:pPr>
              <w:rPr>
                <w:b/>
                <w:bCs/>
              </w:rPr>
            </w:pPr>
            <w:r w:rsidRPr="006D7B84">
              <w:rPr>
                <w:rFonts w:hint="cs"/>
                <w:b/>
                <w:bCs/>
                <w:rtl/>
              </w:rPr>
              <w:t>מדינת ישראל</w:t>
            </w:r>
          </w:p>
        </w:tc>
        <w:tc>
          <w:tcPr>
            <w:tcW w:w="3771" w:type="dxa"/>
            <w:tcBorders>
              <w:top w:val="nil"/>
              <w:left w:val="nil"/>
              <w:bottom w:val="nil"/>
              <w:right w:val="nil"/>
            </w:tcBorders>
            <w:shd w:val="clear" w:color="auto" w:fill="auto"/>
          </w:tcPr>
          <w:p w14:paraId="5B7E26F6" w14:textId="77777777" w:rsidR="00AD35ED" w:rsidRPr="006D7B84" w:rsidRDefault="00AD35ED" w:rsidP="006D7B84">
            <w:pPr>
              <w:jc w:val="both"/>
              <w:rPr>
                <w:rFonts w:ascii="Arial" w:hAnsi="Arial"/>
                <w:b/>
                <w:bCs/>
              </w:rPr>
            </w:pPr>
          </w:p>
        </w:tc>
      </w:tr>
      <w:bookmarkEnd w:id="1"/>
      <w:tr w:rsidR="00AD35ED" w:rsidRPr="006D7B84" w14:paraId="0DE9A880" w14:textId="77777777">
        <w:trPr>
          <w:trHeight w:val="355"/>
          <w:jc w:val="center"/>
        </w:trPr>
        <w:tc>
          <w:tcPr>
            <w:tcW w:w="923" w:type="dxa"/>
            <w:tcBorders>
              <w:top w:val="nil"/>
              <w:left w:val="nil"/>
              <w:bottom w:val="nil"/>
              <w:right w:val="nil"/>
            </w:tcBorders>
            <w:shd w:val="clear" w:color="auto" w:fill="auto"/>
          </w:tcPr>
          <w:p w14:paraId="338FA414" w14:textId="77777777" w:rsidR="00AD35ED" w:rsidRPr="006D7B84" w:rsidRDefault="00AD35ED" w:rsidP="006D7B84">
            <w:pPr>
              <w:jc w:val="both"/>
              <w:rPr>
                <w:rFonts w:ascii="Arial" w:hAnsi="Arial"/>
                <w:b/>
                <w:bCs/>
                <w:rtl/>
              </w:rPr>
            </w:pPr>
          </w:p>
        </w:tc>
        <w:tc>
          <w:tcPr>
            <w:tcW w:w="4126" w:type="dxa"/>
            <w:tcBorders>
              <w:top w:val="nil"/>
              <w:left w:val="nil"/>
              <w:bottom w:val="nil"/>
              <w:right w:val="nil"/>
            </w:tcBorders>
            <w:shd w:val="clear" w:color="auto" w:fill="auto"/>
          </w:tcPr>
          <w:p w14:paraId="28965009" w14:textId="77777777" w:rsidR="00AD35ED" w:rsidRPr="006D7B84" w:rsidRDefault="00AD35ED" w:rsidP="006D7B84">
            <w:pPr>
              <w:jc w:val="both"/>
              <w:rPr>
                <w:b/>
                <w:bCs/>
                <w:rtl/>
              </w:rPr>
            </w:pPr>
          </w:p>
        </w:tc>
        <w:tc>
          <w:tcPr>
            <w:tcW w:w="3771" w:type="dxa"/>
            <w:tcBorders>
              <w:top w:val="nil"/>
              <w:left w:val="nil"/>
              <w:bottom w:val="nil"/>
              <w:right w:val="nil"/>
            </w:tcBorders>
            <w:shd w:val="clear" w:color="auto" w:fill="auto"/>
          </w:tcPr>
          <w:p w14:paraId="298928A9" w14:textId="77777777" w:rsidR="00AD35ED" w:rsidRPr="006D7B84" w:rsidRDefault="00AD35ED" w:rsidP="006D7B84">
            <w:pPr>
              <w:jc w:val="right"/>
              <w:rPr>
                <w:rFonts w:ascii="Arial" w:hAnsi="Arial"/>
                <w:b/>
                <w:bCs/>
                <w:rtl/>
              </w:rPr>
            </w:pPr>
            <w:r w:rsidRPr="006D7B84">
              <w:rPr>
                <w:rFonts w:ascii="Arial" w:hAnsi="Arial" w:hint="cs"/>
                <w:b/>
                <w:bCs/>
                <w:rtl/>
              </w:rPr>
              <w:t>ה</w:t>
            </w:r>
            <w:r w:rsidRPr="006D7B84">
              <w:rPr>
                <w:rFonts w:hint="cs"/>
                <w:b/>
                <w:bCs/>
                <w:rtl/>
              </w:rPr>
              <w:t>מאשימה</w:t>
            </w:r>
          </w:p>
        </w:tc>
      </w:tr>
      <w:tr w:rsidR="00AD35ED" w:rsidRPr="006D7B84" w14:paraId="36B61F33" w14:textId="77777777">
        <w:trPr>
          <w:trHeight w:val="355"/>
          <w:jc w:val="center"/>
        </w:trPr>
        <w:tc>
          <w:tcPr>
            <w:tcW w:w="923" w:type="dxa"/>
            <w:tcBorders>
              <w:top w:val="nil"/>
              <w:left w:val="nil"/>
              <w:bottom w:val="nil"/>
              <w:right w:val="nil"/>
            </w:tcBorders>
            <w:shd w:val="clear" w:color="auto" w:fill="auto"/>
          </w:tcPr>
          <w:p w14:paraId="57F1E674" w14:textId="77777777" w:rsidR="00AD35ED" w:rsidRPr="006D7B84" w:rsidRDefault="00AD35ED" w:rsidP="006D7B84">
            <w:pPr>
              <w:jc w:val="both"/>
              <w:rPr>
                <w:rFonts w:ascii="Arial" w:hAnsi="Arial"/>
                <w:b/>
                <w:bCs/>
                <w:rtl/>
              </w:rPr>
            </w:pPr>
          </w:p>
        </w:tc>
        <w:tc>
          <w:tcPr>
            <w:tcW w:w="7897" w:type="dxa"/>
            <w:gridSpan w:val="2"/>
            <w:tcBorders>
              <w:top w:val="nil"/>
              <w:left w:val="nil"/>
              <w:bottom w:val="nil"/>
              <w:right w:val="nil"/>
            </w:tcBorders>
            <w:shd w:val="clear" w:color="auto" w:fill="auto"/>
          </w:tcPr>
          <w:p w14:paraId="7622D391" w14:textId="77777777" w:rsidR="00AD35ED" w:rsidRPr="006D7B84" w:rsidRDefault="00AD35ED" w:rsidP="006D7B84">
            <w:pPr>
              <w:jc w:val="center"/>
              <w:rPr>
                <w:rFonts w:ascii="Arial" w:hAnsi="Arial"/>
                <w:b/>
                <w:bCs/>
                <w:rtl/>
              </w:rPr>
            </w:pPr>
          </w:p>
          <w:p w14:paraId="311B634E" w14:textId="77777777" w:rsidR="00AD35ED" w:rsidRPr="006D7B84" w:rsidRDefault="00AD35ED" w:rsidP="006D7B84">
            <w:pPr>
              <w:jc w:val="center"/>
              <w:rPr>
                <w:rFonts w:ascii="Arial" w:hAnsi="Arial"/>
                <w:b/>
                <w:bCs/>
                <w:rtl/>
              </w:rPr>
            </w:pPr>
            <w:r w:rsidRPr="006D7B84">
              <w:rPr>
                <w:rFonts w:ascii="Arial" w:hAnsi="Arial"/>
                <w:b/>
                <w:bCs/>
                <w:rtl/>
              </w:rPr>
              <w:t>נגד</w:t>
            </w:r>
          </w:p>
          <w:p w14:paraId="02BD641B" w14:textId="77777777" w:rsidR="00AD35ED" w:rsidRPr="006D7B84" w:rsidRDefault="00AD35ED" w:rsidP="006D7B84">
            <w:pPr>
              <w:jc w:val="both"/>
              <w:rPr>
                <w:rFonts w:ascii="Arial" w:hAnsi="Arial"/>
                <w:b/>
                <w:bCs/>
              </w:rPr>
            </w:pPr>
          </w:p>
        </w:tc>
      </w:tr>
      <w:tr w:rsidR="00AD35ED" w:rsidRPr="006D7B84" w14:paraId="4EB32C66" w14:textId="77777777">
        <w:trPr>
          <w:trHeight w:val="355"/>
          <w:jc w:val="center"/>
        </w:trPr>
        <w:tc>
          <w:tcPr>
            <w:tcW w:w="923" w:type="dxa"/>
            <w:tcBorders>
              <w:top w:val="nil"/>
              <w:left w:val="nil"/>
              <w:bottom w:val="nil"/>
              <w:right w:val="nil"/>
            </w:tcBorders>
            <w:shd w:val="clear" w:color="auto" w:fill="auto"/>
          </w:tcPr>
          <w:p w14:paraId="03D7B4A3" w14:textId="77777777" w:rsidR="00AD35ED" w:rsidRPr="006D7B84" w:rsidRDefault="00AD35ED" w:rsidP="006D7B84">
            <w:pPr>
              <w:rPr>
                <w:rFonts w:ascii="Arial" w:hAnsi="Arial"/>
                <w:b/>
                <w:bCs/>
                <w:rtl/>
              </w:rPr>
            </w:pPr>
          </w:p>
        </w:tc>
        <w:tc>
          <w:tcPr>
            <w:tcW w:w="4126" w:type="dxa"/>
            <w:tcBorders>
              <w:top w:val="nil"/>
              <w:left w:val="nil"/>
              <w:bottom w:val="nil"/>
              <w:right w:val="nil"/>
            </w:tcBorders>
            <w:shd w:val="clear" w:color="auto" w:fill="auto"/>
          </w:tcPr>
          <w:p w14:paraId="053971D0" w14:textId="77777777" w:rsidR="00AD35ED" w:rsidRPr="006D7B84" w:rsidRDefault="00AD35ED" w:rsidP="006D7B84">
            <w:pPr>
              <w:rPr>
                <w:b/>
                <w:bCs/>
                <w:rtl/>
              </w:rPr>
            </w:pPr>
            <w:r w:rsidRPr="006D7B84">
              <w:rPr>
                <w:rFonts w:hint="cs"/>
                <w:b/>
                <w:bCs/>
                <w:rtl/>
              </w:rPr>
              <w:t>פנחס דהן (עציר)</w:t>
            </w:r>
          </w:p>
        </w:tc>
        <w:tc>
          <w:tcPr>
            <w:tcW w:w="3771" w:type="dxa"/>
            <w:tcBorders>
              <w:top w:val="nil"/>
              <w:left w:val="nil"/>
              <w:bottom w:val="nil"/>
              <w:right w:val="nil"/>
            </w:tcBorders>
            <w:shd w:val="clear" w:color="auto" w:fill="auto"/>
          </w:tcPr>
          <w:p w14:paraId="07CFEC91" w14:textId="77777777" w:rsidR="00AD35ED" w:rsidRPr="006D7B84" w:rsidRDefault="00AD35ED" w:rsidP="006D7B84">
            <w:pPr>
              <w:jc w:val="right"/>
              <w:rPr>
                <w:rFonts w:ascii="Arial" w:hAnsi="Arial"/>
                <w:b/>
                <w:bCs/>
              </w:rPr>
            </w:pPr>
          </w:p>
        </w:tc>
      </w:tr>
      <w:tr w:rsidR="00AD35ED" w:rsidRPr="006D7B84" w14:paraId="3DC8A69C" w14:textId="77777777">
        <w:trPr>
          <w:trHeight w:val="355"/>
          <w:jc w:val="center"/>
        </w:trPr>
        <w:tc>
          <w:tcPr>
            <w:tcW w:w="923" w:type="dxa"/>
            <w:tcBorders>
              <w:top w:val="nil"/>
              <w:left w:val="nil"/>
              <w:bottom w:val="nil"/>
              <w:right w:val="nil"/>
            </w:tcBorders>
            <w:shd w:val="clear" w:color="auto" w:fill="auto"/>
          </w:tcPr>
          <w:p w14:paraId="4ABB27F6" w14:textId="77777777" w:rsidR="00AD35ED" w:rsidRPr="006D7B84" w:rsidRDefault="00AD35ED" w:rsidP="006D7B84">
            <w:pPr>
              <w:jc w:val="both"/>
              <w:rPr>
                <w:rFonts w:ascii="Arial" w:hAnsi="Arial"/>
                <w:b/>
                <w:bCs/>
                <w:rtl/>
              </w:rPr>
            </w:pPr>
          </w:p>
        </w:tc>
        <w:tc>
          <w:tcPr>
            <w:tcW w:w="4126" w:type="dxa"/>
            <w:tcBorders>
              <w:top w:val="nil"/>
              <w:left w:val="nil"/>
              <w:bottom w:val="nil"/>
              <w:right w:val="nil"/>
            </w:tcBorders>
            <w:shd w:val="clear" w:color="auto" w:fill="auto"/>
          </w:tcPr>
          <w:p w14:paraId="08F8D938" w14:textId="77777777" w:rsidR="00AD35ED" w:rsidRPr="006D7B84" w:rsidRDefault="00AD35ED" w:rsidP="006D7B84">
            <w:pPr>
              <w:jc w:val="both"/>
              <w:rPr>
                <w:b/>
                <w:bCs/>
                <w:rtl/>
              </w:rPr>
            </w:pPr>
          </w:p>
        </w:tc>
        <w:tc>
          <w:tcPr>
            <w:tcW w:w="3771" w:type="dxa"/>
            <w:tcBorders>
              <w:top w:val="nil"/>
              <w:left w:val="nil"/>
              <w:bottom w:val="nil"/>
              <w:right w:val="nil"/>
            </w:tcBorders>
            <w:shd w:val="clear" w:color="auto" w:fill="auto"/>
          </w:tcPr>
          <w:p w14:paraId="4DB1EC72" w14:textId="77777777" w:rsidR="00AD35ED" w:rsidRPr="006D7B84" w:rsidRDefault="00AD35ED" w:rsidP="006D7B84">
            <w:pPr>
              <w:jc w:val="right"/>
              <w:rPr>
                <w:rFonts w:ascii="Arial" w:hAnsi="Arial"/>
                <w:b/>
                <w:bCs/>
              </w:rPr>
            </w:pPr>
            <w:r w:rsidRPr="006D7B84">
              <w:rPr>
                <w:rFonts w:ascii="Arial" w:hAnsi="Arial" w:hint="cs"/>
                <w:b/>
                <w:bCs/>
                <w:rtl/>
              </w:rPr>
              <w:t>ה</w:t>
            </w:r>
            <w:r w:rsidRPr="006D7B84">
              <w:rPr>
                <w:rFonts w:hint="cs"/>
                <w:b/>
                <w:bCs/>
                <w:rtl/>
              </w:rPr>
              <w:t>נאשם</w:t>
            </w:r>
          </w:p>
        </w:tc>
      </w:tr>
      <w:tr w:rsidR="00AD35ED" w:rsidRPr="009A4A98" w14:paraId="43062513" w14:textId="77777777">
        <w:trPr>
          <w:trHeight w:val="355"/>
          <w:jc w:val="center"/>
        </w:trPr>
        <w:tc>
          <w:tcPr>
            <w:tcW w:w="8820" w:type="dxa"/>
            <w:gridSpan w:val="3"/>
            <w:tcBorders>
              <w:top w:val="nil"/>
              <w:left w:val="nil"/>
              <w:bottom w:val="nil"/>
              <w:right w:val="nil"/>
            </w:tcBorders>
            <w:shd w:val="clear" w:color="auto" w:fill="auto"/>
          </w:tcPr>
          <w:p w14:paraId="55AC764D" w14:textId="77777777" w:rsidR="007438A2" w:rsidRDefault="007438A2" w:rsidP="006D7B84">
            <w:pPr>
              <w:jc w:val="center"/>
              <w:rPr>
                <w:rFonts w:ascii="Arial" w:hAnsi="Arial"/>
                <w:sz w:val="28"/>
                <w:szCs w:val="28"/>
                <w:rtl/>
              </w:rPr>
            </w:pPr>
            <w:bookmarkStart w:id="2" w:name="PsakDin" w:colFirst="0" w:colLast="0"/>
            <w:bookmarkStart w:id="3" w:name="LawTable"/>
            <w:bookmarkEnd w:id="0"/>
            <w:bookmarkEnd w:id="3"/>
          </w:p>
          <w:p w14:paraId="54435AB0" w14:textId="77777777" w:rsidR="007438A2" w:rsidRPr="007438A2" w:rsidRDefault="007438A2" w:rsidP="007438A2">
            <w:pPr>
              <w:spacing w:after="120" w:line="240" w:lineRule="exact"/>
              <w:ind w:left="283" w:hanging="283"/>
              <w:jc w:val="both"/>
              <w:rPr>
                <w:rFonts w:ascii="FrankRuehl" w:hAnsi="FrankRuehl" w:cs="FrankRuehl"/>
                <w:rtl/>
              </w:rPr>
            </w:pPr>
          </w:p>
          <w:p w14:paraId="36FAEF4D" w14:textId="77777777" w:rsidR="007438A2" w:rsidRPr="007438A2" w:rsidRDefault="007438A2" w:rsidP="007438A2">
            <w:pPr>
              <w:spacing w:after="120" w:line="240" w:lineRule="exact"/>
              <w:ind w:left="283" w:hanging="283"/>
              <w:jc w:val="both"/>
              <w:rPr>
                <w:rFonts w:ascii="FrankRuehl" w:hAnsi="FrankRuehl" w:cs="FrankRuehl"/>
                <w:rtl/>
              </w:rPr>
            </w:pPr>
            <w:r w:rsidRPr="007438A2">
              <w:rPr>
                <w:rFonts w:ascii="FrankRuehl" w:hAnsi="FrankRuehl" w:cs="FrankRuehl"/>
                <w:rtl/>
              </w:rPr>
              <w:t xml:space="preserve">חקיקה שאוזכרה: </w:t>
            </w:r>
          </w:p>
          <w:p w14:paraId="53BB1CE3" w14:textId="77777777" w:rsidR="007438A2" w:rsidRPr="007438A2" w:rsidRDefault="007438A2" w:rsidP="007438A2">
            <w:pPr>
              <w:spacing w:after="120" w:line="240" w:lineRule="exact"/>
              <w:ind w:left="283" w:hanging="283"/>
              <w:jc w:val="both"/>
              <w:rPr>
                <w:rFonts w:ascii="FrankRuehl" w:hAnsi="FrankRuehl" w:cs="FrankRuehl"/>
                <w:rtl/>
              </w:rPr>
            </w:pPr>
            <w:hyperlink r:id="rId6" w:history="1">
              <w:r w:rsidRPr="007438A2">
                <w:rPr>
                  <w:rFonts w:ascii="FrankRuehl" w:hAnsi="FrankRuehl" w:cs="FrankRuehl"/>
                  <w:color w:val="0000FF"/>
                  <w:u w:val="single"/>
                  <w:rtl/>
                </w:rPr>
                <w:t>פקודת הסמים המסוכנים [נוסח חדש], תשל"ג-1973</w:t>
              </w:r>
            </w:hyperlink>
            <w:r w:rsidRPr="007438A2">
              <w:rPr>
                <w:rFonts w:ascii="FrankRuehl" w:hAnsi="FrankRuehl" w:cs="FrankRuehl"/>
                <w:rtl/>
              </w:rPr>
              <w:t xml:space="preserve">: סע'  </w:t>
            </w:r>
            <w:hyperlink r:id="rId7" w:history="1">
              <w:r w:rsidRPr="007438A2">
                <w:rPr>
                  <w:rFonts w:ascii="FrankRuehl" w:hAnsi="FrankRuehl" w:cs="FrankRuehl"/>
                  <w:color w:val="0000FF"/>
                  <w:u w:val="single"/>
                  <w:rtl/>
                </w:rPr>
                <w:t>7.א.</w:t>
              </w:r>
            </w:hyperlink>
            <w:r w:rsidRPr="007438A2">
              <w:rPr>
                <w:rFonts w:ascii="FrankRuehl" w:hAnsi="FrankRuehl" w:cs="FrankRuehl"/>
                <w:rtl/>
              </w:rPr>
              <w:t xml:space="preserve">, </w:t>
            </w:r>
            <w:hyperlink r:id="rId8" w:history="1">
              <w:r w:rsidRPr="007438A2">
                <w:rPr>
                  <w:rFonts w:ascii="FrankRuehl" w:hAnsi="FrankRuehl" w:cs="FrankRuehl"/>
                  <w:color w:val="0000FF"/>
                  <w:u w:val="single"/>
                  <w:rtl/>
                </w:rPr>
                <w:t>7.ג</w:t>
              </w:r>
            </w:hyperlink>
            <w:r w:rsidRPr="007438A2">
              <w:rPr>
                <w:rFonts w:ascii="FrankRuehl" w:hAnsi="FrankRuehl" w:cs="FrankRuehl"/>
                <w:rtl/>
              </w:rPr>
              <w:t xml:space="preserve">, </w:t>
            </w:r>
            <w:hyperlink r:id="rId9" w:history="1">
              <w:r w:rsidRPr="007438A2">
                <w:rPr>
                  <w:rFonts w:ascii="FrankRuehl" w:hAnsi="FrankRuehl" w:cs="FrankRuehl"/>
                  <w:color w:val="0000FF"/>
                  <w:u w:val="single"/>
                  <w:rtl/>
                </w:rPr>
                <w:t>10</w:t>
              </w:r>
            </w:hyperlink>
            <w:r w:rsidRPr="007438A2">
              <w:rPr>
                <w:rFonts w:ascii="FrankRuehl" w:hAnsi="FrankRuehl" w:cs="FrankRuehl"/>
                <w:rtl/>
              </w:rPr>
              <w:t xml:space="preserve">, </w:t>
            </w:r>
            <w:hyperlink r:id="rId10" w:history="1">
              <w:r w:rsidRPr="007438A2">
                <w:rPr>
                  <w:rFonts w:ascii="FrankRuehl" w:hAnsi="FrankRuehl" w:cs="FrankRuehl"/>
                  <w:color w:val="0000FF"/>
                  <w:u w:val="single"/>
                  <w:rtl/>
                </w:rPr>
                <w:t>31(3) והתוספת השניה</w:t>
              </w:r>
            </w:hyperlink>
          </w:p>
          <w:p w14:paraId="4C5007FB" w14:textId="77777777" w:rsidR="007438A2" w:rsidRPr="007438A2" w:rsidRDefault="007438A2" w:rsidP="007438A2">
            <w:pPr>
              <w:spacing w:after="120" w:line="240" w:lineRule="exact"/>
              <w:ind w:left="283" w:hanging="283"/>
              <w:jc w:val="both"/>
              <w:rPr>
                <w:rFonts w:ascii="FrankRuehl" w:hAnsi="FrankRuehl" w:cs="FrankRuehl"/>
                <w:rtl/>
              </w:rPr>
            </w:pPr>
            <w:hyperlink r:id="rId11" w:history="1">
              <w:r w:rsidRPr="007438A2">
                <w:rPr>
                  <w:rFonts w:ascii="FrankRuehl" w:hAnsi="FrankRuehl" w:cs="FrankRuehl"/>
                  <w:color w:val="0000FF"/>
                  <w:u w:val="single"/>
                  <w:rtl/>
                </w:rPr>
                <w:t>חוק העונשין, תשל"ז-1977</w:t>
              </w:r>
            </w:hyperlink>
            <w:r w:rsidRPr="007438A2">
              <w:rPr>
                <w:rFonts w:ascii="FrankRuehl" w:hAnsi="FrankRuehl" w:cs="FrankRuehl"/>
                <w:rtl/>
              </w:rPr>
              <w:t xml:space="preserve">: סע'  </w:t>
            </w:r>
            <w:hyperlink r:id="rId12" w:history="1">
              <w:r w:rsidRPr="007438A2">
                <w:rPr>
                  <w:rFonts w:ascii="FrankRuehl" w:hAnsi="FrankRuehl" w:cs="FrankRuehl"/>
                  <w:color w:val="0000FF"/>
                  <w:u w:val="single"/>
                  <w:rtl/>
                </w:rPr>
                <w:t>40ה'</w:t>
              </w:r>
            </w:hyperlink>
          </w:p>
          <w:p w14:paraId="354F0805" w14:textId="77777777" w:rsidR="007438A2" w:rsidRPr="007438A2" w:rsidRDefault="007438A2" w:rsidP="007438A2">
            <w:pPr>
              <w:spacing w:after="120" w:line="240" w:lineRule="exact"/>
              <w:ind w:left="283" w:hanging="283"/>
              <w:jc w:val="both"/>
              <w:rPr>
                <w:rFonts w:ascii="FrankRuehl" w:hAnsi="FrankRuehl" w:cs="FrankRuehl"/>
                <w:rtl/>
              </w:rPr>
            </w:pPr>
            <w:hyperlink r:id="rId13" w:history="1">
              <w:r w:rsidRPr="007438A2">
                <w:rPr>
                  <w:rFonts w:ascii="FrankRuehl" w:hAnsi="FrankRuehl" w:cs="FrankRuehl"/>
                  <w:color w:val="0000FF"/>
                  <w:u w:val="single"/>
                  <w:rtl/>
                </w:rPr>
                <w:t>פקודת הראיות [נוסח חדש], תשל"א-1971</w:t>
              </w:r>
            </w:hyperlink>
            <w:r w:rsidRPr="007438A2">
              <w:rPr>
                <w:rFonts w:ascii="FrankRuehl" w:hAnsi="FrankRuehl" w:cs="FrankRuehl"/>
                <w:rtl/>
              </w:rPr>
              <w:t xml:space="preserve">: סע'  </w:t>
            </w:r>
            <w:hyperlink r:id="rId14" w:history="1">
              <w:r w:rsidRPr="007438A2">
                <w:rPr>
                  <w:rFonts w:ascii="FrankRuehl" w:hAnsi="FrankRuehl" w:cs="FrankRuehl"/>
                  <w:color w:val="0000FF"/>
                  <w:u w:val="single"/>
                  <w:rtl/>
                </w:rPr>
                <w:t>26(ב)</w:t>
              </w:r>
            </w:hyperlink>
          </w:p>
          <w:p w14:paraId="33F36782" w14:textId="77777777" w:rsidR="007438A2" w:rsidRPr="007438A2" w:rsidRDefault="007438A2" w:rsidP="007438A2">
            <w:pPr>
              <w:spacing w:after="120" w:line="240" w:lineRule="exact"/>
              <w:ind w:left="283" w:hanging="283"/>
              <w:jc w:val="both"/>
              <w:rPr>
                <w:rFonts w:ascii="FrankRuehl" w:hAnsi="FrankRuehl" w:cs="FrankRuehl"/>
                <w:rtl/>
              </w:rPr>
            </w:pPr>
          </w:p>
          <w:p w14:paraId="1BD6A8D7" w14:textId="77777777" w:rsidR="007438A2" w:rsidRPr="007438A2" w:rsidRDefault="007438A2" w:rsidP="006D7B84">
            <w:pPr>
              <w:jc w:val="center"/>
              <w:rPr>
                <w:rFonts w:ascii="Arial" w:hAnsi="Arial"/>
                <w:sz w:val="28"/>
                <w:szCs w:val="28"/>
                <w:rtl/>
              </w:rPr>
            </w:pPr>
            <w:bookmarkStart w:id="4" w:name="LawTable_End"/>
            <w:bookmarkEnd w:id="4"/>
          </w:p>
          <w:p w14:paraId="151805F1" w14:textId="77777777" w:rsidR="006D7B84" w:rsidRPr="006D7B84" w:rsidRDefault="006D7B84" w:rsidP="006D7B84">
            <w:pPr>
              <w:jc w:val="center"/>
              <w:rPr>
                <w:rFonts w:ascii="Arial" w:hAnsi="Arial"/>
                <w:b/>
                <w:bCs/>
                <w:sz w:val="28"/>
                <w:szCs w:val="28"/>
                <w:u w:val="single"/>
                <w:rtl/>
              </w:rPr>
            </w:pPr>
            <w:r w:rsidRPr="006D7B84">
              <w:rPr>
                <w:rFonts w:ascii="Arial" w:hAnsi="Arial"/>
                <w:b/>
                <w:bCs/>
                <w:sz w:val="28"/>
                <w:szCs w:val="28"/>
                <w:u w:val="single"/>
                <w:rtl/>
              </w:rPr>
              <w:t>גזר דין</w:t>
            </w:r>
          </w:p>
          <w:p w14:paraId="55A8AD1D" w14:textId="77777777" w:rsidR="00AD35ED" w:rsidRPr="006D7B84" w:rsidRDefault="00AD35ED" w:rsidP="006D7B84">
            <w:pPr>
              <w:jc w:val="center"/>
              <w:rPr>
                <w:rFonts w:ascii="Arial" w:hAnsi="Arial"/>
                <w:bCs/>
                <w:sz w:val="28"/>
                <w:szCs w:val="28"/>
                <w:u w:val="single"/>
                <w:rtl/>
              </w:rPr>
            </w:pPr>
          </w:p>
        </w:tc>
      </w:tr>
      <w:bookmarkEnd w:id="2"/>
    </w:tbl>
    <w:p w14:paraId="5DC92730" w14:textId="77777777" w:rsidR="00AD35ED" w:rsidRPr="009A4A98" w:rsidRDefault="00AD35ED" w:rsidP="00AD35ED">
      <w:pPr>
        <w:rPr>
          <w:rFonts w:ascii="Arial" w:hAnsi="Arial"/>
          <w:rtl/>
        </w:rPr>
      </w:pPr>
    </w:p>
    <w:p w14:paraId="08F13BC0" w14:textId="77777777" w:rsidR="00AD35ED" w:rsidRPr="009A4A98" w:rsidRDefault="00AD35ED" w:rsidP="00AD35ED">
      <w:pPr>
        <w:pStyle w:val="1"/>
        <w:spacing w:line="360" w:lineRule="auto"/>
        <w:rPr>
          <w:rFonts w:cs="David"/>
          <w:sz w:val="24"/>
          <w:szCs w:val="24"/>
          <w:u w:val="single"/>
          <w:rtl/>
        </w:rPr>
      </w:pPr>
      <w:r w:rsidRPr="009A4A98">
        <w:rPr>
          <w:rFonts w:cs="David"/>
          <w:sz w:val="24"/>
          <w:szCs w:val="24"/>
          <w:u w:val="single"/>
          <w:rtl/>
        </w:rPr>
        <w:t>כללי</w:t>
      </w:r>
    </w:p>
    <w:p w14:paraId="298DEA07" w14:textId="77777777" w:rsidR="00AD35ED" w:rsidRPr="009A4A98" w:rsidRDefault="00AD35ED" w:rsidP="00AD35ED">
      <w:pPr>
        <w:spacing w:line="360" w:lineRule="auto"/>
        <w:ind w:left="720" w:hanging="720"/>
        <w:rPr>
          <w:rtl/>
        </w:rPr>
      </w:pPr>
      <w:r w:rsidRPr="009A4A98">
        <w:rPr>
          <w:rtl/>
        </w:rPr>
        <w:t>1.</w:t>
      </w:r>
      <w:r w:rsidRPr="009A4A98">
        <w:rPr>
          <w:rtl/>
        </w:rPr>
        <w:tab/>
      </w:r>
      <w:bookmarkStart w:id="5" w:name="ABSTRACT_START"/>
      <w:bookmarkEnd w:id="5"/>
      <w:r w:rsidRPr="009A4A98">
        <w:rPr>
          <w:rtl/>
        </w:rPr>
        <w:t xml:space="preserve">לאחר שמיעת ראיות, זוכה הנאשם מעבירות תקיפת שוטר והפרעה לשוטר שיוחסו לו והורשע בעבירה של החזקת סמים שלא לצריכה עצמית, לפי </w:t>
      </w:r>
      <w:hyperlink r:id="rId15" w:history="1">
        <w:r w:rsidR="0000482F" w:rsidRPr="0000482F">
          <w:rPr>
            <w:color w:val="0000FF"/>
            <w:u w:val="single"/>
            <w:rtl/>
          </w:rPr>
          <w:t>סעיף  7 (א) ו- (ג)</w:t>
        </w:r>
      </w:hyperlink>
      <w:r w:rsidRPr="009A4A98">
        <w:rPr>
          <w:rtl/>
        </w:rPr>
        <w:t xml:space="preserve"> רישא ל</w:t>
      </w:r>
      <w:hyperlink r:id="rId16" w:history="1">
        <w:r w:rsidR="006D7B84" w:rsidRPr="006D7B84">
          <w:rPr>
            <w:color w:val="0000FF"/>
            <w:u w:val="single"/>
            <w:rtl/>
          </w:rPr>
          <w:t>פקודת הסמים המסוכנים</w:t>
        </w:r>
      </w:hyperlink>
      <w:r w:rsidRPr="009A4A98">
        <w:rPr>
          <w:rtl/>
        </w:rPr>
        <w:t xml:space="preserve"> [נוסח חדש] התשל"ג-1973 ובעבירה של החזקת כלים, לפי </w:t>
      </w:r>
      <w:hyperlink r:id="rId17" w:history="1">
        <w:r w:rsidR="0000482F" w:rsidRPr="0000482F">
          <w:rPr>
            <w:color w:val="0000FF"/>
            <w:u w:val="single"/>
            <w:rtl/>
          </w:rPr>
          <w:t>סעיף 10</w:t>
        </w:r>
      </w:hyperlink>
      <w:r w:rsidRPr="009A4A98">
        <w:rPr>
          <w:rtl/>
        </w:rPr>
        <w:t xml:space="preserve"> לפקודת הסמים המסוכנים [נוסח חדש] התשל"ג-1973.</w:t>
      </w:r>
    </w:p>
    <w:p w14:paraId="4457C7A3" w14:textId="77777777" w:rsidR="00AD35ED" w:rsidRPr="009A4A98" w:rsidRDefault="00AD35ED" w:rsidP="00AD35ED">
      <w:pPr>
        <w:spacing w:line="360" w:lineRule="auto"/>
        <w:ind w:left="720" w:hanging="720"/>
        <w:rPr>
          <w:rtl/>
        </w:rPr>
      </w:pPr>
      <w:bookmarkStart w:id="6" w:name="ABSTRACT_END"/>
      <w:bookmarkEnd w:id="6"/>
    </w:p>
    <w:p w14:paraId="7692A1C9" w14:textId="77777777" w:rsidR="00AD35ED" w:rsidRPr="009A4A98" w:rsidRDefault="00AD35ED" w:rsidP="00AD35ED">
      <w:pPr>
        <w:spacing w:line="360" w:lineRule="auto"/>
        <w:ind w:left="720" w:hanging="720"/>
        <w:rPr>
          <w:rtl/>
        </w:rPr>
      </w:pPr>
      <w:r w:rsidRPr="009A4A98">
        <w:rPr>
          <w:rtl/>
        </w:rPr>
        <w:t>2.</w:t>
      </w:r>
      <w:r w:rsidRPr="009A4A98">
        <w:rPr>
          <w:rtl/>
        </w:rPr>
        <w:tab/>
        <w:t xml:space="preserve">בהכרעת הדין נקבע, כי הנאשם החזיק קוקאין במשקל 15.98 גרם והירואין במשקל  30.91 גרם, במקום מסתור הסמוך לביתו ובביתו, שלא לצריכתו העצמית, והחזיק בביתו שני מאזניים, ככלים המשמשים להכנת סם שלא לצריכה עצמית. </w:t>
      </w:r>
    </w:p>
    <w:p w14:paraId="72559999" w14:textId="77777777" w:rsidR="00AD35ED" w:rsidRPr="009A4A98" w:rsidRDefault="00AD35ED" w:rsidP="00AD35ED">
      <w:pPr>
        <w:spacing w:line="360" w:lineRule="auto"/>
        <w:ind w:left="720" w:hanging="720"/>
        <w:rPr>
          <w:rtl/>
        </w:rPr>
      </w:pPr>
    </w:p>
    <w:p w14:paraId="58F26CE7" w14:textId="77777777" w:rsidR="00AD35ED" w:rsidRPr="009A4A98" w:rsidRDefault="00AD35ED" w:rsidP="00AD35ED">
      <w:pPr>
        <w:spacing w:line="360" w:lineRule="auto"/>
        <w:rPr>
          <w:b/>
          <w:bCs/>
          <w:u w:val="single"/>
          <w:rtl/>
        </w:rPr>
      </w:pPr>
      <w:r w:rsidRPr="009A4A98">
        <w:rPr>
          <w:b/>
          <w:bCs/>
          <w:u w:val="single"/>
          <w:rtl/>
        </w:rPr>
        <w:t>טענות הצדדים</w:t>
      </w:r>
    </w:p>
    <w:p w14:paraId="6748D087" w14:textId="77777777" w:rsidR="00AD35ED" w:rsidRPr="009A4A98" w:rsidRDefault="00AD35ED" w:rsidP="00AD35ED">
      <w:pPr>
        <w:pStyle w:val="a6"/>
        <w:rPr>
          <w:rFonts w:cs="David"/>
          <w:szCs w:val="24"/>
          <w:rtl/>
        </w:rPr>
      </w:pPr>
      <w:r w:rsidRPr="009A4A98">
        <w:rPr>
          <w:rFonts w:cs="David"/>
          <w:szCs w:val="24"/>
          <w:rtl/>
        </w:rPr>
        <w:lastRenderedPageBreak/>
        <w:t>1.</w:t>
      </w:r>
      <w:r w:rsidRPr="009A4A98">
        <w:rPr>
          <w:rFonts w:cs="David"/>
          <w:szCs w:val="24"/>
          <w:rtl/>
        </w:rPr>
        <w:tab/>
        <w:t>ב"כ המאשימה ציינה את קביעות הכרעת הדין. עמדה על הערכים החברתיים שנפגעו מביצוע העבירות ועל עוצמת הפגיעה בהם; על מדיניות הענישה הנוהגת; ועל נסיבות ביצוע העבירות; ועתרה לקבוע כי מתחם העונש ההולם לעבירות שביצע הנאשם נע בין 4 ל- 7 שנות מאסר. אשר לעונש הראוי לנאשם בתוך מתחם העונש האמור, עתרה להטיל על הנאשם מאסר ברף הגבוה של המתחם, ובנוסף, מאסר על תנאי ארוך ומשמעותי, פסילת רישיון נהיגה, פסילה על תנאי של רישיון נהיגה, וקנס גבוה. הפנתה לפסיקה, הגישה את המרשם הפלילי של הנאשם ואת גזר הדין שניתן על הנאשם ב</w:t>
      </w:r>
      <w:hyperlink r:id="rId18" w:history="1">
        <w:r w:rsidR="006D7B84" w:rsidRPr="006D7B84">
          <w:rPr>
            <w:rFonts w:cs="David"/>
            <w:color w:val="0000FF"/>
            <w:szCs w:val="24"/>
            <w:u w:val="single"/>
            <w:rtl/>
          </w:rPr>
          <w:t>ת.פ. 8780-04-13</w:t>
        </w:r>
      </w:hyperlink>
      <w:r w:rsidRPr="009A4A98">
        <w:rPr>
          <w:rFonts w:cs="David"/>
          <w:szCs w:val="24"/>
          <w:rtl/>
        </w:rPr>
        <w:t>, וציינה כי לנאשם הרשעות קודמות רבות, בין היתר בעבירות דומות.</w:t>
      </w:r>
    </w:p>
    <w:p w14:paraId="6F74B97C" w14:textId="77777777" w:rsidR="00AD35ED" w:rsidRPr="009A4A98" w:rsidRDefault="00AD35ED" w:rsidP="00AD35ED">
      <w:pPr>
        <w:pStyle w:val="a6"/>
        <w:rPr>
          <w:rFonts w:cs="David"/>
          <w:szCs w:val="24"/>
          <w:rtl/>
        </w:rPr>
      </w:pPr>
    </w:p>
    <w:p w14:paraId="6BFCC035" w14:textId="77777777" w:rsidR="00AD35ED" w:rsidRPr="009A4A98" w:rsidRDefault="00AD35ED" w:rsidP="00AD35ED">
      <w:pPr>
        <w:pStyle w:val="a6"/>
        <w:rPr>
          <w:rFonts w:cs="David"/>
          <w:szCs w:val="24"/>
          <w:rtl/>
        </w:rPr>
      </w:pPr>
      <w:r w:rsidRPr="009A4A98">
        <w:rPr>
          <w:rFonts w:cs="David"/>
          <w:szCs w:val="24"/>
          <w:rtl/>
        </w:rPr>
        <w:t>2.</w:t>
      </w:r>
      <w:r w:rsidRPr="009A4A98">
        <w:rPr>
          <w:rFonts w:cs="David"/>
          <w:szCs w:val="24"/>
          <w:rtl/>
        </w:rPr>
        <w:tab/>
        <w:t xml:space="preserve">ב"כ הנאשם טען, כי מידת הפגיעה בערכים החברתיים כאן פחותה מזו אליה טוענת המאשימה, שכן, הנאשם הורשע בעבירה של החזקת סם שלא לצריכה עצמית ולא בעבירה של סחר בסם. עוד טען, כי טענות המאשימה על ההשפעות הרחבות של הסמים על הציבור, כמפורט בטיעוניה לעונש, אינן מבוססות וכי באותה מידה הוא יכול לטעון שתופעת השימוש הנרחב בסמים עברה מן העולם, בין היתר בשל מיגורה והגברת המודעות בציבור על סכנות השימוש בסמים. הוא הוסיף וטען, כי מדיניות הענישה מקלה  מזו שהמאשימה טוענת, והפנה לפסיקה. ביקש לקבוע כי מתחם העונש ההולם את העבירות שביצע הנאשם, בנסיבותיהן, נע בין 6 ל- 24 חודשי מאסר. אשר לנסיבות ביצוע העבירות, טען, כי הסם נתפס בסמוך לביתו של הנאשם, ולא במקום הנגיש לציבור הרחב; כמות הסם איננה גדולה, והמאשימה לא הוכיחה את שווי של הסם וכוונה ממשית של הנאשם למכור אותו. בהתייחס לנסיבותיו של הנאשם, ציין כי הנאשם בן 52. גדל בתנאים קשים ומורכבים. מגיל צעיר חווה אלימות מצד אביו, נאלץ לעבור בין מסגרות חוץ ביתיות, התחבר לחברה שולית והחל להשתמש בסמים. בשנות ה- 90 הסתיימה מערכת יחסים זוגית משמעותית שניהל הנאשם, והדבר היווה אירוע משברי עבורו והעצים את התמכרותו לסמים. והנאשם החל לצרוך סמים מסוג הרואין וקוקאין. טען, כי הנאשם עייף מאורח חייו ומעוניין לערוך שינוי משמעותי. אשר לקנס, טען, כי המאשימה לא הצביעה על מתחם קנס הולם, ושמעיון בפסיקה עולה כי במקרים בהם לא עלתה תועלת או הפקת רווח כלכלי ממשי ולא הוכח שווי הסם, הוטלו קנסות בגובה של אלפי שקלים בודדים. עוד הוסיף, כי הנאשם לא עובד בעבודה קבועה והוא מתקיים מקצבת הכנסה ומעזרה של בני משפחתו ושהטלת קנס משמעותי עליו עלולה לפגוע במשפחתו או לגזור עליו מאסר לתקופה ארוכה מזו שבית המשפט התכוון להטיל עליו. </w:t>
      </w:r>
    </w:p>
    <w:p w14:paraId="5A669C53" w14:textId="77777777" w:rsidR="00AD35ED" w:rsidRPr="009A4A98" w:rsidRDefault="00AD35ED" w:rsidP="00AD35ED">
      <w:pPr>
        <w:spacing w:line="360" w:lineRule="auto"/>
        <w:ind w:left="720" w:hanging="720"/>
        <w:rPr>
          <w:rtl/>
        </w:rPr>
      </w:pPr>
    </w:p>
    <w:p w14:paraId="2D880BB9" w14:textId="77777777" w:rsidR="00AD35ED" w:rsidRPr="009A4A98" w:rsidRDefault="00AD35ED" w:rsidP="00AD35ED">
      <w:pPr>
        <w:spacing w:line="360" w:lineRule="auto"/>
        <w:ind w:left="720" w:hanging="720"/>
        <w:rPr>
          <w:rtl/>
        </w:rPr>
      </w:pPr>
      <w:r w:rsidRPr="009A4A98">
        <w:rPr>
          <w:rtl/>
        </w:rPr>
        <w:t>3.</w:t>
      </w:r>
      <w:r w:rsidRPr="009A4A98">
        <w:rPr>
          <w:rtl/>
        </w:rPr>
        <w:tab/>
        <w:t xml:space="preserve">הנאשם תיאר את קורותיו, סיפר כי ריצה שנות מאסר, שיתף כי רוצה לערוך שינוי בחייו וביקש את התחשבות בית המשפט. </w:t>
      </w:r>
    </w:p>
    <w:p w14:paraId="57367D71" w14:textId="77777777" w:rsidR="00AD35ED" w:rsidRPr="009A4A98" w:rsidRDefault="00AD35ED" w:rsidP="00AD35ED">
      <w:pPr>
        <w:spacing w:line="360" w:lineRule="auto"/>
        <w:ind w:left="720" w:hanging="720"/>
        <w:rPr>
          <w:rtl/>
        </w:rPr>
      </w:pPr>
      <w:r w:rsidRPr="009A4A98">
        <w:rPr>
          <w:rtl/>
        </w:rPr>
        <w:t xml:space="preserve"> </w:t>
      </w:r>
    </w:p>
    <w:p w14:paraId="60772B98" w14:textId="77777777" w:rsidR="00AD35ED" w:rsidRPr="009A4A98" w:rsidRDefault="00AD35ED" w:rsidP="00AD35ED">
      <w:pPr>
        <w:pStyle w:val="3"/>
        <w:rPr>
          <w:rFonts w:cs="David"/>
          <w:b/>
          <w:bCs/>
          <w:u w:val="single"/>
          <w:rtl/>
        </w:rPr>
      </w:pPr>
      <w:r w:rsidRPr="009A4A98">
        <w:rPr>
          <w:rFonts w:cs="David"/>
          <w:b/>
          <w:bCs/>
          <w:u w:val="single"/>
          <w:rtl/>
        </w:rPr>
        <w:lastRenderedPageBreak/>
        <w:t>דיון והכרעה</w:t>
      </w:r>
    </w:p>
    <w:p w14:paraId="56D0545D" w14:textId="77777777" w:rsidR="00AD35ED" w:rsidRPr="009A4A98" w:rsidRDefault="00AD35ED" w:rsidP="00AD35ED">
      <w:pPr>
        <w:spacing w:line="360" w:lineRule="auto"/>
        <w:ind w:left="720" w:hanging="720"/>
        <w:rPr>
          <w:rtl/>
        </w:rPr>
      </w:pPr>
      <w:r w:rsidRPr="009A4A98">
        <w:rPr>
          <w:rtl/>
        </w:rPr>
        <w:t>1.</w:t>
      </w:r>
      <w:r w:rsidRPr="009A4A98">
        <w:rPr>
          <w:rtl/>
        </w:rPr>
        <w:tab/>
        <w:t>הנאשם החזיק, במקום מסתור הסמוך לביתו ובביתו, 15.98 גרם קוקאין ו- 30.91 גרם הרואין, ארוזים בעשרות אריזות, שלא לצריכתו העצמית, והחזיק בביתו שני מאזניים, ככלים המשמשים להכנת סם שלא לצריכה עצמית.</w:t>
      </w:r>
    </w:p>
    <w:p w14:paraId="11414E14" w14:textId="77777777" w:rsidR="00AD35ED" w:rsidRPr="009A4A98" w:rsidRDefault="00AD35ED" w:rsidP="00AD35ED">
      <w:pPr>
        <w:spacing w:line="360" w:lineRule="auto"/>
        <w:rPr>
          <w:rtl/>
        </w:rPr>
      </w:pPr>
    </w:p>
    <w:p w14:paraId="115D0406" w14:textId="77777777" w:rsidR="00AD35ED" w:rsidRPr="009A4A98" w:rsidRDefault="00AD35ED" w:rsidP="00AD35ED">
      <w:pPr>
        <w:spacing w:line="360" w:lineRule="auto"/>
        <w:ind w:left="720" w:hanging="720"/>
        <w:rPr>
          <w:rtl/>
        </w:rPr>
      </w:pPr>
      <w:r w:rsidRPr="009A4A98">
        <w:rPr>
          <w:rtl/>
        </w:rPr>
        <w:t>2.</w:t>
      </w:r>
      <w:r w:rsidRPr="009A4A98">
        <w:rPr>
          <w:rtl/>
        </w:rPr>
        <w:tab/>
        <w:t xml:space="preserve">השימוש בסמים גורם לפגיעות מגוונות, במספר מעגלים. בראש וראשונה הוא פוגע במשתמש, בבריאותו – הפיזית והנפשית – ובתיפקודו, כאדם וכפרט במעגלי חייו השונים. הוא פוגע בסביבתו הקרובה של המשתמש, הסובלת מתיפקודו הלקוי והעומסת על גבה את הצורך לטפל בו. והוא פוגע בחברה בכללה, חושף אותה לעבירות רכוש ואלימות המתבצעות על ידי התלויים בסם, הזקוקים לכסף לצורך מימון רכישתו, חושף פרטים בחברה לסכנת ההצטרפות למעגל המשתמשים בסם ולמעגל התלויים בו, ומחייב את החברה לטפל במי שבעקבות השימוש בסם הופך לחולה או לנזקק.  </w:t>
      </w:r>
    </w:p>
    <w:p w14:paraId="38701AD8" w14:textId="77777777" w:rsidR="00AD35ED" w:rsidRPr="009A4A98" w:rsidRDefault="00AD35ED" w:rsidP="00AD35ED">
      <w:pPr>
        <w:spacing w:line="360" w:lineRule="auto"/>
        <w:ind w:left="720"/>
      </w:pPr>
      <w:r w:rsidRPr="009A4A98">
        <w:rPr>
          <w:rtl/>
        </w:rPr>
        <w:t xml:space="preserve">ממילא, מי שמחזיק סמים לשם הפצתם, תורם ליצירתן ולהתגברותן של הפגיעות המתוארות. </w:t>
      </w:r>
    </w:p>
    <w:p w14:paraId="3FC2A0F1" w14:textId="77777777" w:rsidR="00AD35ED" w:rsidRPr="009A4A98" w:rsidRDefault="00AD35ED" w:rsidP="00AD35ED">
      <w:pPr>
        <w:spacing w:line="360" w:lineRule="auto"/>
        <w:ind w:left="720" w:hanging="720"/>
        <w:rPr>
          <w:rtl/>
        </w:rPr>
      </w:pPr>
    </w:p>
    <w:p w14:paraId="28A51A8A" w14:textId="77777777" w:rsidR="00AD35ED" w:rsidRPr="009A4A98" w:rsidRDefault="00AD35ED" w:rsidP="00AD35ED">
      <w:pPr>
        <w:spacing w:line="360" w:lineRule="auto"/>
        <w:ind w:left="720" w:hanging="720"/>
        <w:rPr>
          <w:rtl/>
        </w:rPr>
      </w:pPr>
      <w:r w:rsidRPr="009A4A98">
        <w:rPr>
          <w:rtl/>
        </w:rPr>
        <w:t>3.</w:t>
      </w:r>
      <w:r w:rsidRPr="009A4A98">
        <w:rPr>
          <w:rtl/>
        </w:rPr>
        <w:tab/>
        <w:t xml:space="preserve">הערכים המוגנים בעבירות הסמים הם בין היתר שלום הציבור ובטחונו, החוסן החברתי, ובריאות הפרט והציבור. </w:t>
      </w:r>
    </w:p>
    <w:p w14:paraId="60F7E391" w14:textId="77777777" w:rsidR="00AD35ED" w:rsidRPr="009A4A98" w:rsidRDefault="00AD35ED" w:rsidP="00AD35ED">
      <w:pPr>
        <w:spacing w:line="360" w:lineRule="auto"/>
        <w:ind w:left="720" w:hanging="720"/>
        <w:rPr>
          <w:rtl/>
        </w:rPr>
      </w:pPr>
    </w:p>
    <w:p w14:paraId="20E21DCD" w14:textId="77777777" w:rsidR="00AD35ED" w:rsidRPr="009A4A98" w:rsidRDefault="00AD35ED" w:rsidP="00AD35ED">
      <w:pPr>
        <w:spacing w:line="360" w:lineRule="auto"/>
        <w:ind w:left="720" w:hanging="720"/>
        <w:rPr>
          <w:rFonts w:ascii="Calibri" w:hAnsi="Calibri"/>
          <w:rtl/>
        </w:rPr>
      </w:pPr>
      <w:r w:rsidRPr="009A4A98">
        <w:rPr>
          <w:rtl/>
        </w:rPr>
        <w:tab/>
        <w:t xml:space="preserve">ככל שהסם קשה יותר וכמותו רבה יותר, כך גדלים נזקיו וסכנתו. כאן, המדובר בכ- 16 גרם קוקאין וכ- 31 גרם הרואין. על מנת לסבר את האוזן יוזכר, כי החוק קובע חזקה שהחזקת הירואין או קוקאין במשקל העולה על 0.3 גרם, מיועדת שלא לצריכתו העצמית של המחזיק. </w:t>
      </w:r>
      <w:r w:rsidRPr="009A4A98">
        <w:rPr>
          <w:rFonts w:ascii="Calibri" w:hAnsi="Calibri"/>
          <w:rtl/>
        </w:rPr>
        <w:t>(</w:t>
      </w:r>
      <w:r w:rsidRPr="009A4A98">
        <w:rPr>
          <w:rFonts w:ascii="Calibri" w:hAnsi="Calibri" w:hint="eastAsia"/>
          <w:rtl/>
        </w:rPr>
        <w:t>ראה</w:t>
      </w:r>
      <w:r w:rsidRPr="009A4A98">
        <w:rPr>
          <w:rFonts w:ascii="Calibri" w:hAnsi="Calibri"/>
          <w:rtl/>
        </w:rPr>
        <w:t xml:space="preserve"> </w:t>
      </w:r>
      <w:r w:rsidRPr="009A4A98">
        <w:rPr>
          <w:rFonts w:ascii="Calibri" w:hAnsi="Calibri" w:hint="eastAsia"/>
          <w:rtl/>
        </w:rPr>
        <w:t>סעיף</w:t>
      </w:r>
      <w:r w:rsidRPr="009A4A98">
        <w:rPr>
          <w:rFonts w:ascii="Calibri" w:hAnsi="Calibri"/>
          <w:rtl/>
        </w:rPr>
        <w:t xml:space="preserve"> </w:t>
      </w:r>
      <w:hyperlink r:id="rId19" w:history="1">
        <w:r w:rsidR="0000482F" w:rsidRPr="0000482F">
          <w:rPr>
            <w:rFonts w:ascii="Calibri" w:hAnsi="Calibri"/>
            <w:color w:val="0000FF"/>
            <w:u w:val="single"/>
            <w:rtl/>
          </w:rPr>
          <w:t xml:space="preserve">31(3) </w:t>
        </w:r>
        <w:r w:rsidR="0000482F" w:rsidRPr="0000482F">
          <w:rPr>
            <w:rFonts w:ascii="Calibri" w:hAnsi="Calibri" w:hint="eastAsia"/>
            <w:color w:val="0000FF"/>
            <w:u w:val="single"/>
            <w:rtl/>
          </w:rPr>
          <w:t>והתוספת</w:t>
        </w:r>
        <w:r w:rsidR="0000482F" w:rsidRPr="0000482F">
          <w:rPr>
            <w:rFonts w:ascii="Calibri" w:hAnsi="Calibri"/>
            <w:color w:val="0000FF"/>
            <w:u w:val="single"/>
            <w:rtl/>
          </w:rPr>
          <w:t xml:space="preserve"> </w:t>
        </w:r>
        <w:r w:rsidR="0000482F" w:rsidRPr="0000482F">
          <w:rPr>
            <w:rFonts w:ascii="Calibri" w:hAnsi="Calibri" w:hint="eastAsia"/>
            <w:color w:val="0000FF"/>
            <w:u w:val="single"/>
            <w:rtl/>
          </w:rPr>
          <w:t>השניה</w:t>
        </w:r>
        <w:r w:rsidR="0000482F" w:rsidRPr="0000482F">
          <w:rPr>
            <w:rFonts w:ascii="Calibri" w:hAnsi="Calibri"/>
            <w:color w:val="0000FF"/>
            <w:u w:val="single"/>
            <w:rtl/>
          </w:rPr>
          <w:t>,</w:t>
        </w:r>
      </w:hyperlink>
      <w:r w:rsidRPr="009A4A98">
        <w:rPr>
          <w:rFonts w:ascii="Calibri" w:hAnsi="Calibri"/>
          <w:rtl/>
        </w:rPr>
        <w:t xml:space="preserve"> </w:t>
      </w:r>
      <w:r w:rsidRPr="009A4A98">
        <w:rPr>
          <w:rFonts w:ascii="Calibri" w:hAnsi="Calibri" w:hint="eastAsia"/>
          <w:rtl/>
        </w:rPr>
        <w:t>ל</w:t>
      </w:r>
      <w:hyperlink r:id="rId20" w:history="1">
        <w:r w:rsidR="006D7B84" w:rsidRPr="006D7B84">
          <w:rPr>
            <w:rFonts w:ascii="Calibri" w:hAnsi="Calibri" w:hint="eastAsia"/>
            <w:color w:val="0000FF"/>
            <w:u w:val="single"/>
            <w:rtl/>
          </w:rPr>
          <w:t>פקודת</w:t>
        </w:r>
        <w:r w:rsidR="006D7B84" w:rsidRPr="006D7B84">
          <w:rPr>
            <w:rFonts w:ascii="Calibri" w:hAnsi="Calibri"/>
            <w:color w:val="0000FF"/>
            <w:u w:val="single"/>
            <w:rtl/>
          </w:rPr>
          <w:t xml:space="preserve"> </w:t>
        </w:r>
        <w:r w:rsidR="006D7B84" w:rsidRPr="006D7B84">
          <w:rPr>
            <w:rFonts w:ascii="Calibri" w:hAnsi="Calibri" w:hint="eastAsia"/>
            <w:color w:val="0000FF"/>
            <w:u w:val="single"/>
            <w:rtl/>
          </w:rPr>
          <w:t>הסמים</w:t>
        </w:r>
        <w:r w:rsidR="006D7B84" w:rsidRPr="006D7B84">
          <w:rPr>
            <w:rFonts w:ascii="Calibri" w:hAnsi="Calibri"/>
            <w:color w:val="0000FF"/>
            <w:u w:val="single"/>
            <w:rtl/>
          </w:rPr>
          <w:t xml:space="preserve"> </w:t>
        </w:r>
        <w:r w:rsidR="006D7B84" w:rsidRPr="006D7B84">
          <w:rPr>
            <w:rFonts w:ascii="Calibri" w:hAnsi="Calibri" w:hint="eastAsia"/>
            <w:color w:val="0000FF"/>
            <w:u w:val="single"/>
            <w:rtl/>
          </w:rPr>
          <w:t>המסוכנים</w:t>
        </w:r>
      </w:hyperlink>
      <w:r w:rsidRPr="009A4A98">
        <w:rPr>
          <w:rFonts w:ascii="Calibri" w:hAnsi="Calibri"/>
          <w:rtl/>
        </w:rPr>
        <w:t xml:space="preserve"> (</w:t>
      </w:r>
      <w:r w:rsidRPr="009A4A98">
        <w:rPr>
          <w:rFonts w:ascii="Calibri" w:hAnsi="Calibri" w:hint="eastAsia"/>
          <w:rtl/>
        </w:rPr>
        <w:t>נוסח</w:t>
      </w:r>
      <w:r w:rsidRPr="009A4A98">
        <w:rPr>
          <w:rFonts w:ascii="Calibri" w:hAnsi="Calibri"/>
          <w:rtl/>
        </w:rPr>
        <w:t xml:space="preserve"> </w:t>
      </w:r>
      <w:r w:rsidRPr="009A4A98">
        <w:rPr>
          <w:rFonts w:ascii="Calibri" w:hAnsi="Calibri" w:hint="eastAsia"/>
          <w:rtl/>
        </w:rPr>
        <w:t>חדש</w:t>
      </w:r>
      <w:r w:rsidRPr="009A4A98">
        <w:rPr>
          <w:rFonts w:ascii="Calibri" w:hAnsi="Calibri"/>
          <w:rtl/>
        </w:rPr>
        <w:t xml:space="preserve">), </w:t>
      </w:r>
      <w:r w:rsidRPr="009A4A98">
        <w:rPr>
          <w:rFonts w:ascii="Calibri" w:hAnsi="Calibri" w:hint="eastAsia"/>
          <w:rtl/>
        </w:rPr>
        <w:t>התשל</w:t>
      </w:r>
      <w:r w:rsidRPr="009A4A98">
        <w:rPr>
          <w:rFonts w:ascii="Calibri" w:hAnsi="Calibri"/>
          <w:rtl/>
        </w:rPr>
        <w:t>"</w:t>
      </w:r>
      <w:r w:rsidRPr="009A4A98">
        <w:rPr>
          <w:rFonts w:ascii="Calibri" w:hAnsi="Calibri" w:hint="eastAsia"/>
          <w:rtl/>
        </w:rPr>
        <w:t>ג</w:t>
      </w:r>
      <w:r w:rsidRPr="009A4A98">
        <w:rPr>
          <w:rFonts w:ascii="Calibri" w:hAnsi="Calibri"/>
          <w:rtl/>
        </w:rPr>
        <w:t>-1973)</w:t>
      </w:r>
    </w:p>
    <w:p w14:paraId="1D9DF912" w14:textId="77777777" w:rsidR="00AD35ED" w:rsidRPr="009A4A98" w:rsidRDefault="00AD35ED" w:rsidP="00AD35ED">
      <w:pPr>
        <w:spacing w:line="360" w:lineRule="auto"/>
        <w:ind w:left="720" w:hanging="720"/>
        <w:rPr>
          <w:rFonts w:ascii="Calibri" w:hAnsi="Calibri"/>
          <w:rtl/>
        </w:rPr>
      </w:pPr>
    </w:p>
    <w:p w14:paraId="5068F8D6" w14:textId="77777777" w:rsidR="00AD35ED" w:rsidRPr="009A4A98" w:rsidRDefault="00AD35ED" w:rsidP="00AD35ED">
      <w:pPr>
        <w:spacing w:line="360" w:lineRule="auto"/>
        <w:ind w:left="720"/>
        <w:rPr>
          <w:rtl/>
        </w:rPr>
      </w:pPr>
      <w:r w:rsidRPr="009A4A98">
        <w:rPr>
          <w:rFonts w:ascii="Calibri" w:hAnsi="Calibri" w:hint="eastAsia"/>
          <w:rtl/>
        </w:rPr>
        <w:t>סם</w:t>
      </w:r>
      <w:r w:rsidRPr="009A4A98">
        <w:rPr>
          <w:rFonts w:ascii="Calibri" w:hAnsi="Calibri"/>
          <w:rtl/>
        </w:rPr>
        <w:t xml:space="preserve"> </w:t>
      </w:r>
      <w:r w:rsidRPr="009A4A98">
        <w:rPr>
          <w:rFonts w:ascii="Calibri" w:hAnsi="Calibri" w:hint="eastAsia"/>
          <w:rtl/>
        </w:rPr>
        <w:t>ההרואין</w:t>
      </w:r>
      <w:r w:rsidRPr="009A4A98">
        <w:rPr>
          <w:rFonts w:ascii="Calibri" w:hAnsi="Calibri"/>
          <w:rtl/>
        </w:rPr>
        <w:t xml:space="preserve"> </w:t>
      </w:r>
      <w:r w:rsidRPr="009A4A98">
        <w:rPr>
          <w:rtl/>
        </w:rPr>
        <w:t xml:space="preserve"> שייך לקבוצת האופיאטים, המשתייכת לקבוצת הסמים המדכאים את מערכת העצבים המרכזית. התמכרות להרואין פועלת במנגנונים של סבילות</w:t>
      </w:r>
      <w:r w:rsidRPr="009A4A98">
        <w:t xml:space="preserve"> (tolerance) </w:t>
      </w:r>
      <w:r w:rsidRPr="009A4A98">
        <w:rPr>
          <w:rtl/>
        </w:rPr>
        <w:t>ותלות</w:t>
      </w:r>
      <w:r w:rsidRPr="009A4A98">
        <w:t xml:space="preserve"> (dependence) </w:t>
      </w:r>
      <w:r w:rsidRPr="009A4A98">
        <w:rPr>
          <w:rtl/>
        </w:rPr>
        <w:t>ביחס</w:t>
      </w:r>
      <w:r w:rsidRPr="009A4A98">
        <w:t xml:space="preserve"> </w:t>
      </w:r>
      <w:r w:rsidRPr="009A4A98">
        <w:rPr>
          <w:rtl/>
        </w:rPr>
        <w:t>לצריכת החומר, כלומר, אותו חומר באותה כמות ישפיע על המשתמש בו פחות ופחות בשימוש</w:t>
      </w:r>
      <w:r w:rsidRPr="009A4A98">
        <w:t xml:space="preserve"> </w:t>
      </w:r>
      <w:r w:rsidRPr="009A4A98">
        <w:rPr>
          <w:rtl/>
        </w:rPr>
        <w:t>חוזר. אופיאטים גורמים לצרכני הסם סבילות חסרת גבולות, וכך ייתכן שמשתמשים יצרכו</w:t>
      </w:r>
      <w:r w:rsidRPr="009A4A98">
        <w:t xml:space="preserve"> </w:t>
      </w:r>
      <w:r w:rsidRPr="009A4A98">
        <w:rPr>
          <w:rtl/>
        </w:rPr>
        <w:t>מינון הגבוה פי 10 מהמנה הראשונה שצרכו, בתוך חודש בלבד מתחילת השימוש הקבוע</w:t>
      </w:r>
      <w:r w:rsidRPr="009A4A98">
        <w:t>.</w:t>
      </w:r>
      <w:r w:rsidRPr="009A4A98">
        <w:rPr>
          <w:rtl/>
        </w:rPr>
        <w:t xml:space="preserve"> כך, המכורים לאופיאטים צורכים הרואין תחילה לשם ההנאה, ובהמשך, לאחר ההתמכרות</w:t>
      </w:r>
      <w:r w:rsidRPr="009A4A98">
        <w:t xml:space="preserve"> </w:t>
      </w:r>
      <w:r w:rsidRPr="009A4A98">
        <w:rPr>
          <w:rtl/>
        </w:rPr>
        <w:t xml:space="preserve">והיעדר תחושת הנאה, בעיקר כדי להקל על הכאב הגופני והנפשי שבתסמונת הגמילה. אחת הסכנות החמורות בשימוש בסם ההרואין </w:t>
      </w:r>
      <w:r w:rsidRPr="009A4A98">
        <w:rPr>
          <w:rFonts w:ascii="Arial" w:hAnsi="Arial"/>
          <w:rtl/>
        </w:rPr>
        <w:t>היא צריכת מנת יתר. מנת יתר של הרואין יוצרת שיבושים חמורים במנגנוני הפיקוח של המוח, עד כדי קריסה מוחלטת של מערכת העצבים. בהיעדר טיפול חירום, אדם שצרך מנת יתר ימות עד מהרה, לרוב עקב בצקת ריאות. בנוסף, בקרב המשתמשים בהרואין בהזרקה, נשקפת סכנה גדולה להידבקות במחלות זיהומיות, שהחמורות ביותר הן דלקת כבד נגיפית לסוגיה ואיידס. שיעור הלוקים בצהבת לסוגיה בקרב מכורים להרואין גבוה בעשרות אחוזים בהשוואה לשיעורם בכלל האוכלוסייה</w:t>
      </w:r>
      <w:r w:rsidRPr="009A4A98">
        <w:rPr>
          <w:rtl/>
        </w:rPr>
        <w:t xml:space="preserve">  (מתוך אתר הרשות למלחמה בסמים)</w:t>
      </w:r>
    </w:p>
    <w:p w14:paraId="661F06A7" w14:textId="77777777" w:rsidR="00AD35ED" w:rsidRPr="009A4A98" w:rsidRDefault="00AD35ED" w:rsidP="00AD35ED">
      <w:pPr>
        <w:spacing w:line="360" w:lineRule="auto"/>
        <w:ind w:left="720" w:hanging="720"/>
        <w:rPr>
          <w:rFonts w:ascii="Calibri" w:hAnsi="Calibri"/>
          <w:rtl/>
        </w:rPr>
      </w:pPr>
    </w:p>
    <w:p w14:paraId="4F4F177F" w14:textId="77777777" w:rsidR="00AD35ED" w:rsidRPr="009A4A98" w:rsidRDefault="00AD35ED" w:rsidP="00AD35ED">
      <w:pPr>
        <w:spacing w:line="360" w:lineRule="auto"/>
        <w:ind w:left="360" w:firstLine="360"/>
        <w:rPr>
          <w:b/>
        </w:rPr>
      </w:pPr>
      <w:r w:rsidRPr="009A4A98">
        <w:rPr>
          <w:b/>
          <w:rtl/>
        </w:rPr>
        <w:t xml:space="preserve">לסם הקוקאין נודעת השפעה הרסנית במיוחד, על גופו ועל נפשו של המשתמש. </w:t>
      </w:r>
    </w:p>
    <w:p w14:paraId="28455362" w14:textId="77777777" w:rsidR="00AD35ED" w:rsidRPr="009A4A98" w:rsidRDefault="00AD35ED" w:rsidP="00AD35ED">
      <w:pPr>
        <w:pStyle w:val="ListParagraph"/>
        <w:spacing w:line="360" w:lineRule="auto"/>
        <w:rPr>
          <w:rFonts w:cs="David"/>
          <w:b/>
          <w:szCs w:val="24"/>
          <w:rtl/>
        </w:rPr>
      </w:pPr>
    </w:p>
    <w:p w14:paraId="069C8DD4" w14:textId="77777777" w:rsidR="00AD35ED" w:rsidRPr="009A4A98" w:rsidRDefault="00AD35ED" w:rsidP="00AD35ED">
      <w:pPr>
        <w:spacing w:line="360" w:lineRule="auto"/>
        <w:ind w:left="1440"/>
        <w:rPr>
          <w:b/>
          <w:rtl/>
        </w:rPr>
      </w:pPr>
      <w:r w:rsidRPr="009A4A98">
        <w:rPr>
          <w:b/>
          <w:rt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לקוקאין ולקראק השפעות מהירות על פעילות המוח והתנהגות המשתמש: ערעור מערכת העצבים המרכזית, ערנות יתר עד לכדי עצבנות וחוסר שקט נפשי, לתחושה של יכולת פיסית מוגברת. </w:t>
      </w:r>
    </w:p>
    <w:p w14:paraId="3EF9AC79" w14:textId="77777777" w:rsidR="00AD35ED" w:rsidRPr="009A4A98" w:rsidRDefault="00AD35ED" w:rsidP="00AD35ED">
      <w:pPr>
        <w:spacing w:line="360" w:lineRule="auto"/>
        <w:ind w:left="1440"/>
        <w:rPr>
          <w:b/>
          <w:rtl/>
        </w:rPr>
      </w:pPr>
      <w:r w:rsidRPr="009A4A98">
        <w:rPr>
          <w:b/>
          <w:rtl/>
        </w:rPr>
        <w:t>משתמשים בקוקאין נוטים להגדיל את המנה שהם צורכים. תופעות כמו כאבי ראש, רעד, עוויתות, תוקפנות, חרדה ופחד הולכות ומתגברות עקב הגדלה תדירה של מנות הסם...". (</w:t>
      </w:r>
      <w:hyperlink r:id="rId21" w:history="1">
        <w:r w:rsidR="006D7B84" w:rsidRPr="006D7B84">
          <w:rPr>
            <w:b/>
            <w:color w:val="0000FF"/>
            <w:u w:val="single"/>
            <w:rtl/>
          </w:rPr>
          <w:t>ע"פ 6029/03 מדינת ישראל נ' גולן שמאי, פ"ד נח</w:t>
        </w:r>
      </w:hyperlink>
      <w:r w:rsidRPr="009A4A98">
        <w:rPr>
          <w:b/>
          <w:rtl/>
        </w:rPr>
        <w:t>(2), 734 בעמ' 739)</w:t>
      </w:r>
    </w:p>
    <w:p w14:paraId="0B5A691D" w14:textId="77777777" w:rsidR="00AD35ED" w:rsidRPr="009A4A98" w:rsidRDefault="00AD35ED" w:rsidP="00AD35ED">
      <w:pPr>
        <w:spacing w:line="360" w:lineRule="auto"/>
        <w:ind w:left="720" w:hanging="720"/>
        <w:rPr>
          <w:rFonts w:ascii="Calibri" w:hAnsi="Calibri"/>
          <w:rtl/>
        </w:rPr>
      </w:pPr>
    </w:p>
    <w:p w14:paraId="267F3822" w14:textId="77777777" w:rsidR="00AD35ED" w:rsidRPr="009A4A98" w:rsidRDefault="00AD35ED" w:rsidP="00AD35ED">
      <w:pPr>
        <w:spacing w:line="360" w:lineRule="auto"/>
        <w:ind w:left="720" w:hanging="720"/>
        <w:rPr>
          <w:rtl/>
        </w:rPr>
      </w:pPr>
      <w:r w:rsidRPr="009A4A98">
        <w:rPr>
          <w:rtl/>
        </w:rPr>
        <w:t>4.</w:t>
      </w:r>
      <w:r w:rsidRPr="009A4A98">
        <w:rPr>
          <w:rtl/>
        </w:rPr>
        <w:tab/>
        <w:t xml:space="preserve">האינטרס הנגדי העיקרי העומד אל מול שלל הרעות החולות הנגרמות מצריכת הסמים, הוא תאוות הבצע של המעורבים בשרשרת הפצת הסמים, המעוניינים להרחיב ככל הניתן את מעגל צרכני הסמים ולהגדיל את כמויות הסם הנצרכות, על מנת להגדיל את רווחיהם. </w:t>
      </w:r>
    </w:p>
    <w:p w14:paraId="79992579" w14:textId="77777777" w:rsidR="00AD35ED" w:rsidRPr="009A4A98" w:rsidRDefault="00AD35ED" w:rsidP="00AD35ED">
      <w:pPr>
        <w:spacing w:line="360" w:lineRule="auto"/>
        <w:ind w:left="720" w:hanging="720"/>
        <w:rPr>
          <w:rtl/>
        </w:rPr>
      </w:pPr>
    </w:p>
    <w:p w14:paraId="033F8AD9" w14:textId="77777777" w:rsidR="00AD35ED" w:rsidRPr="009A4A98" w:rsidRDefault="00AD35ED" w:rsidP="00AD35ED">
      <w:pPr>
        <w:pStyle w:val="a8"/>
        <w:spacing w:line="360" w:lineRule="auto"/>
        <w:ind w:left="1440" w:firstLine="0"/>
        <w:rPr>
          <w:rFonts w:cs="David"/>
          <w:sz w:val="24"/>
          <w:rtl/>
        </w:rPr>
      </w:pPr>
      <w:r w:rsidRPr="009A4A98">
        <w:rPr>
          <w:rFonts w:cs="David"/>
          <w:sz w:val="24"/>
          <w:rtl/>
        </w:rPr>
        <w:t>"לעולם נזכור עבירת סמים מה היא, ומה הם ערכי</w:t>
      </w:r>
      <w:r w:rsidRPr="009A4A98">
        <w:rPr>
          <w:rFonts w:cs="David"/>
          <w:position w:val="4"/>
          <w:sz w:val="24"/>
          <w:rtl/>
        </w:rPr>
        <w:t>-</w:t>
      </w:r>
      <w:r w:rsidRPr="009A4A98">
        <w:rPr>
          <w:rFonts w:cs="David"/>
          <w:sz w:val="24"/>
          <w:rtl/>
        </w:rPr>
        <w:t>החברה שאנו נדרשים להגן עליהם. מעבר מזה עומדים המערערים – הם ואחרים שכמותם – אנשים שעיניהם אל בצע</w:t>
      </w:r>
      <w:r w:rsidRPr="009A4A98">
        <w:rPr>
          <w:rFonts w:cs="David"/>
          <w:position w:val="4"/>
          <w:sz w:val="24"/>
          <w:rtl/>
        </w:rPr>
        <w:t>-</w:t>
      </w:r>
      <w:r w:rsidRPr="009A4A98">
        <w:rPr>
          <w:rFonts w:cs="David"/>
          <w:sz w:val="24"/>
          <w:rtl/>
        </w:rPr>
        <w:t>כסף, ומעבר מזה עומדים צרכני הסם, אנשים אומללים שגופם ונפשם מכורים לסם. אותם עלובים תלו עצמם בסם, ואנשים רעים כמערערים מנצלים תלות זו עד</w:t>
      </w:r>
      <w:r w:rsidRPr="009A4A98">
        <w:rPr>
          <w:rFonts w:cs="David"/>
          <w:position w:val="4"/>
          <w:sz w:val="24"/>
          <w:rtl/>
        </w:rPr>
        <w:t>-</w:t>
      </w:r>
      <w:r w:rsidRPr="009A4A98">
        <w:rPr>
          <w:rFonts w:cs="David"/>
          <w:sz w:val="24"/>
          <w:rtl/>
        </w:rPr>
        <w:t>תום לגריפת כסף</w:t>
      </w:r>
      <w:r w:rsidRPr="009A4A98">
        <w:rPr>
          <w:rFonts w:cs="David"/>
          <w:position w:val="4"/>
          <w:sz w:val="24"/>
          <w:rtl/>
        </w:rPr>
        <w:t>-</w:t>
      </w:r>
      <w:r w:rsidRPr="009A4A98">
        <w:rPr>
          <w:rFonts w:cs="David"/>
          <w:sz w:val="24"/>
          <w:rtl/>
        </w:rPr>
        <w:t>רע לכיסיהם. המערערים מוכרים סם</w:t>
      </w:r>
      <w:r w:rsidRPr="009A4A98">
        <w:rPr>
          <w:rFonts w:cs="David"/>
          <w:position w:val="4"/>
          <w:sz w:val="24"/>
          <w:rtl/>
        </w:rPr>
        <w:t>-</w:t>
      </w:r>
      <w:r w:rsidRPr="009A4A98">
        <w:rPr>
          <w:rFonts w:cs="David"/>
          <w:sz w:val="24"/>
          <w:rtl/>
        </w:rPr>
        <w:t>מוות למי שמכרו את גופם לסם, ועל עיסקאות</w:t>
      </w:r>
      <w:r w:rsidRPr="009A4A98">
        <w:rPr>
          <w:rFonts w:cs="David"/>
          <w:position w:val="4"/>
          <w:sz w:val="24"/>
          <w:rtl/>
        </w:rPr>
        <w:t>-</w:t>
      </w:r>
      <w:r w:rsidRPr="009A4A98">
        <w:rPr>
          <w:rFonts w:cs="David"/>
          <w:sz w:val="24"/>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והכל כדי להשיג מימון לרכישתו של הסם. המערערים אינם חבים, כמובן, מבחינה משפטית בעבירות שעוברים אחרים, אך לעת גזירת העונש נביא כל אלה במניין".– השופט חשין ב</w:t>
      </w:r>
      <w:hyperlink r:id="rId22" w:history="1">
        <w:r w:rsidR="006D7B84" w:rsidRPr="006D7B84">
          <w:rPr>
            <w:rFonts w:cs="David"/>
            <w:color w:val="0000FF"/>
            <w:sz w:val="24"/>
            <w:u w:val="single"/>
            <w:rtl/>
          </w:rPr>
          <w:t>ע"פ 4998/95 מדינ"י נ' גומז קרדוסו- פ"ד נ"א</w:t>
        </w:r>
      </w:hyperlink>
      <w:r w:rsidRPr="009A4A98">
        <w:rPr>
          <w:rFonts w:cs="David"/>
          <w:sz w:val="24"/>
          <w:rtl/>
        </w:rPr>
        <w:t xml:space="preserve"> (3) 769, 787.ב</w:t>
      </w:r>
    </w:p>
    <w:p w14:paraId="37BE4BEC" w14:textId="77777777" w:rsidR="00AD35ED" w:rsidRPr="009A4A98" w:rsidRDefault="00AD35ED" w:rsidP="00AD35ED">
      <w:pPr>
        <w:spacing w:line="360" w:lineRule="auto"/>
        <w:ind w:left="720" w:hanging="720"/>
        <w:rPr>
          <w:rtl/>
        </w:rPr>
      </w:pPr>
      <w:r w:rsidRPr="009A4A98">
        <w:rPr>
          <w:rtl/>
        </w:rPr>
        <w:t>5.</w:t>
      </w:r>
      <w:r w:rsidRPr="009A4A98">
        <w:rPr>
          <w:rtl/>
        </w:rPr>
        <w:tab/>
        <w:t xml:space="preserve">בהתחשב בסוגי הסמים שהחזיק הנאשם, בכמותם, ובנזקי השימוש בהם, הרי שמידת הפגיעה בערכים החברתיים המוזכרים, משמעותית מאוד. </w:t>
      </w:r>
    </w:p>
    <w:p w14:paraId="1A737335" w14:textId="77777777" w:rsidR="00AD35ED" w:rsidRPr="009A4A98" w:rsidRDefault="00AD35ED" w:rsidP="00AD35ED">
      <w:pPr>
        <w:pStyle w:val="ListParagraph"/>
        <w:spacing w:line="360" w:lineRule="auto"/>
        <w:rPr>
          <w:rFonts w:ascii="Calibri" w:hAnsi="Calibri" w:cs="David"/>
          <w:szCs w:val="24"/>
          <w:rtl/>
        </w:rPr>
      </w:pPr>
    </w:p>
    <w:p w14:paraId="5A1773E5" w14:textId="77777777" w:rsidR="00AD35ED" w:rsidRPr="009A4A98" w:rsidRDefault="00AD35ED" w:rsidP="00AD35ED">
      <w:pPr>
        <w:pStyle w:val="ListParagraph"/>
        <w:spacing w:line="360" w:lineRule="auto"/>
        <w:ind w:hanging="778"/>
        <w:rPr>
          <w:rFonts w:ascii="Calibri" w:hAnsi="Calibri" w:cs="David"/>
          <w:szCs w:val="24"/>
          <w:rtl/>
        </w:rPr>
      </w:pPr>
      <w:r w:rsidRPr="009A4A98">
        <w:rPr>
          <w:rFonts w:ascii="Calibri" w:hAnsi="Calibri" w:cs="David"/>
          <w:szCs w:val="24"/>
          <w:rtl/>
        </w:rPr>
        <w:t xml:space="preserve"> 6.</w:t>
      </w:r>
      <w:r w:rsidRPr="009A4A98">
        <w:rPr>
          <w:rFonts w:ascii="Calibri" w:hAnsi="Calibri" w:cs="David"/>
          <w:szCs w:val="24"/>
          <w:rtl/>
        </w:rPr>
        <w:tab/>
      </w:r>
      <w:r w:rsidRPr="009A4A98">
        <w:rPr>
          <w:rFonts w:ascii="Calibri" w:hAnsi="Calibri" w:cs="David" w:hint="eastAsia"/>
          <w:szCs w:val="24"/>
          <w:rtl/>
        </w:rPr>
        <w:t>מדיניות</w:t>
      </w:r>
      <w:r w:rsidRPr="009A4A98">
        <w:rPr>
          <w:rFonts w:ascii="Calibri" w:hAnsi="Calibri" w:cs="David"/>
          <w:szCs w:val="24"/>
          <w:rtl/>
        </w:rPr>
        <w:t xml:space="preserve"> </w:t>
      </w:r>
      <w:r w:rsidRPr="009A4A98">
        <w:rPr>
          <w:rFonts w:ascii="Calibri" w:hAnsi="Calibri" w:cs="David" w:hint="eastAsia"/>
          <w:szCs w:val="24"/>
          <w:rtl/>
        </w:rPr>
        <w:t>הענישה</w:t>
      </w:r>
      <w:r w:rsidRPr="009A4A98">
        <w:rPr>
          <w:rFonts w:ascii="Calibri" w:hAnsi="Calibri" w:cs="David"/>
          <w:szCs w:val="24"/>
          <w:rtl/>
        </w:rPr>
        <w:t xml:space="preserve"> </w:t>
      </w:r>
      <w:r w:rsidRPr="009A4A98">
        <w:rPr>
          <w:rFonts w:ascii="Calibri" w:hAnsi="Calibri" w:cs="David" w:hint="eastAsia"/>
          <w:szCs w:val="24"/>
          <w:rtl/>
        </w:rPr>
        <w:t>הנוהגת</w:t>
      </w:r>
      <w:r w:rsidRPr="009A4A98">
        <w:rPr>
          <w:rFonts w:ascii="Calibri" w:hAnsi="Calibri" w:cs="David"/>
          <w:szCs w:val="24"/>
          <w:rtl/>
        </w:rPr>
        <w:t xml:space="preserve"> </w:t>
      </w:r>
      <w:r w:rsidRPr="009A4A98">
        <w:rPr>
          <w:rFonts w:ascii="Calibri" w:hAnsi="Calibri" w:cs="David" w:hint="eastAsia"/>
          <w:szCs w:val="24"/>
          <w:rtl/>
        </w:rPr>
        <w:t>מאז</w:t>
      </w:r>
      <w:r w:rsidRPr="009A4A98">
        <w:rPr>
          <w:rFonts w:ascii="Calibri" w:hAnsi="Calibri" w:cs="David"/>
          <w:szCs w:val="24"/>
          <w:rtl/>
        </w:rPr>
        <w:t xml:space="preserve"> </w:t>
      </w:r>
      <w:r w:rsidRPr="009A4A98">
        <w:rPr>
          <w:rFonts w:ascii="Calibri" w:hAnsi="Calibri" w:cs="David" w:hint="eastAsia"/>
          <w:szCs w:val="24"/>
          <w:rtl/>
        </w:rPr>
        <w:t>ומתמיד</w:t>
      </w:r>
      <w:r w:rsidRPr="009A4A98">
        <w:rPr>
          <w:rFonts w:ascii="Calibri" w:hAnsi="Calibri" w:cs="David"/>
          <w:szCs w:val="24"/>
          <w:rtl/>
        </w:rPr>
        <w:t xml:space="preserve"> </w:t>
      </w:r>
      <w:r w:rsidRPr="009A4A98">
        <w:rPr>
          <w:rFonts w:ascii="Calibri" w:hAnsi="Calibri" w:cs="David" w:hint="eastAsia"/>
          <w:szCs w:val="24"/>
          <w:rtl/>
        </w:rPr>
        <w:t>בעבירות</w:t>
      </w:r>
      <w:r w:rsidRPr="009A4A98">
        <w:rPr>
          <w:rFonts w:ascii="Calibri" w:hAnsi="Calibri" w:cs="David"/>
          <w:szCs w:val="24"/>
          <w:rtl/>
        </w:rPr>
        <w:t xml:space="preserve"> </w:t>
      </w:r>
      <w:r w:rsidRPr="009A4A98">
        <w:rPr>
          <w:rFonts w:ascii="Calibri" w:hAnsi="Calibri" w:cs="David" w:hint="eastAsia"/>
          <w:szCs w:val="24"/>
          <w:rtl/>
        </w:rPr>
        <w:t>הסמים</w:t>
      </w:r>
      <w:r w:rsidRPr="009A4A98">
        <w:rPr>
          <w:rFonts w:ascii="Calibri" w:hAnsi="Calibri" w:cs="David"/>
          <w:szCs w:val="24"/>
          <w:rtl/>
        </w:rPr>
        <w:t xml:space="preserve"> </w:t>
      </w:r>
      <w:r w:rsidRPr="009A4A98">
        <w:rPr>
          <w:rFonts w:ascii="Calibri" w:hAnsi="Calibri" w:cs="David" w:hint="eastAsia"/>
          <w:szCs w:val="24"/>
          <w:rtl/>
        </w:rPr>
        <w:t>החמורות</w:t>
      </w:r>
      <w:r w:rsidRPr="009A4A98">
        <w:rPr>
          <w:rFonts w:ascii="Calibri" w:hAnsi="Calibri" w:cs="David"/>
          <w:szCs w:val="24"/>
          <w:rtl/>
        </w:rPr>
        <w:t xml:space="preserve">, </w:t>
      </w:r>
      <w:r w:rsidRPr="009A4A98">
        <w:rPr>
          <w:rFonts w:ascii="Calibri" w:hAnsi="Calibri" w:cs="David" w:hint="eastAsia"/>
          <w:szCs w:val="24"/>
          <w:rtl/>
        </w:rPr>
        <w:t>כמו</w:t>
      </w:r>
      <w:r w:rsidRPr="009A4A98">
        <w:rPr>
          <w:rFonts w:ascii="Calibri" w:hAnsi="Calibri" w:cs="David"/>
          <w:szCs w:val="24"/>
          <w:rtl/>
        </w:rPr>
        <w:t xml:space="preserve"> </w:t>
      </w:r>
      <w:r w:rsidRPr="009A4A98">
        <w:rPr>
          <w:rFonts w:ascii="Calibri" w:hAnsi="Calibri" w:cs="David" w:hint="eastAsia"/>
          <w:szCs w:val="24"/>
          <w:rtl/>
        </w:rPr>
        <w:t>עבירת</w:t>
      </w:r>
      <w:r w:rsidRPr="009A4A98">
        <w:rPr>
          <w:rFonts w:ascii="Calibri" w:hAnsi="Calibri" w:cs="David"/>
          <w:szCs w:val="24"/>
          <w:rtl/>
        </w:rPr>
        <w:t xml:space="preserve"> </w:t>
      </w:r>
      <w:r w:rsidRPr="009A4A98">
        <w:rPr>
          <w:rFonts w:ascii="Calibri" w:hAnsi="Calibri" w:cs="David" w:hint="eastAsia"/>
          <w:szCs w:val="24"/>
          <w:rtl/>
        </w:rPr>
        <w:t>החזקת</w:t>
      </w:r>
      <w:r w:rsidRPr="009A4A98">
        <w:rPr>
          <w:rFonts w:ascii="Calibri" w:hAnsi="Calibri" w:cs="David"/>
          <w:szCs w:val="24"/>
          <w:rtl/>
        </w:rPr>
        <w:t xml:space="preserve"> </w:t>
      </w:r>
      <w:r w:rsidRPr="009A4A98">
        <w:rPr>
          <w:rFonts w:ascii="Calibri" w:hAnsi="Calibri" w:cs="David" w:hint="eastAsia"/>
          <w:szCs w:val="24"/>
          <w:rtl/>
        </w:rPr>
        <w:t>סמים</w:t>
      </w:r>
      <w:r w:rsidRPr="009A4A98">
        <w:rPr>
          <w:rFonts w:ascii="Calibri" w:hAnsi="Calibri" w:cs="David"/>
          <w:szCs w:val="24"/>
          <w:rtl/>
        </w:rPr>
        <w:t xml:space="preserve"> </w:t>
      </w:r>
      <w:r w:rsidRPr="009A4A98">
        <w:rPr>
          <w:rFonts w:ascii="Calibri" w:hAnsi="Calibri" w:cs="David" w:hint="eastAsia"/>
          <w:szCs w:val="24"/>
          <w:rtl/>
        </w:rPr>
        <w:t>שלא</w:t>
      </w:r>
      <w:r w:rsidRPr="009A4A98">
        <w:rPr>
          <w:rFonts w:ascii="Calibri" w:hAnsi="Calibri" w:cs="David"/>
          <w:szCs w:val="24"/>
          <w:rtl/>
        </w:rPr>
        <w:t xml:space="preserve"> </w:t>
      </w:r>
      <w:r w:rsidRPr="009A4A98">
        <w:rPr>
          <w:rFonts w:ascii="Calibri" w:hAnsi="Calibri" w:cs="David" w:hint="eastAsia"/>
          <w:szCs w:val="24"/>
          <w:rtl/>
        </w:rPr>
        <w:t>לצריכה</w:t>
      </w:r>
      <w:r w:rsidRPr="009A4A98">
        <w:rPr>
          <w:rFonts w:ascii="Calibri" w:hAnsi="Calibri" w:cs="David"/>
          <w:szCs w:val="24"/>
          <w:rtl/>
        </w:rPr>
        <w:t xml:space="preserve"> </w:t>
      </w:r>
      <w:r w:rsidRPr="009A4A98">
        <w:rPr>
          <w:rFonts w:ascii="Calibri" w:hAnsi="Calibri" w:cs="David" w:hint="eastAsia"/>
          <w:szCs w:val="24"/>
          <w:rtl/>
        </w:rPr>
        <w:t>עצמית</w:t>
      </w:r>
      <w:r w:rsidRPr="009A4A98">
        <w:rPr>
          <w:rFonts w:ascii="Calibri" w:hAnsi="Calibri" w:cs="David"/>
          <w:szCs w:val="24"/>
          <w:rtl/>
        </w:rPr>
        <w:t xml:space="preserve">, </w:t>
      </w:r>
      <w:r w:rsidRPr="009A4A98">
        <w:rPr>
          <w:rFonts w:ascii="Calibri" w:hAnsi="Calibri" w:cs="David" w:hint="eastAsia"/>
          <w:szCs w:val="24"/>
          <w:rtl/>
        </w:rPr>
        <w:t>הינה</w:t>
      </w:r>
      <w:r w:rsidRPr="009A4A98">
        <w:rPr>
          <w:rFonts w:ascii="Calibri" w:hAnsi="Calibri" w:cs="David"/>
          <w:szCs w:val="24"/>
          <w:rtl/>
        </w:rPr>
        <w:t xml:space="preserve"> </w:t>
      </w:r>
      <w:r w:rsidRPr="009A4A98">
        <w:rPr>
          <w:rFonts w:ascii="Calibri" w:hAnsi="Calibri" w:cs="David" w:hint="eastAsia"/>
          <w:szCs w:val="24"/>
          <w:rtl/>
        </w:rPr>
        <w:t>של</w:t>
      </w:r>
      <w:r w:rsidRPr="009A4A98">
        <w:rPr>
          <w:rFonts w:ascii="Calibri" w:hAnsi="Calibri" w:cs="David"/>
          <w:szCs w:val="24"/>
          <w:rtl/>
        </w:rPr>
        <w:t xml:space="preserve"> </w:t>
      </w:r>
      <w:r w:rsidRPr="009A4A98">
        <w:rPr>
          <w:rFonts w:ascii="Calibri" w:hAnsi="Calibri" w:cs="David" w:hint="eastAsia"/>
          <w:szCs w:val="24"/>
          <w:rtl/>
        </w:rPr>
        <w:t>החמרה</w:t>
      </w:r>
      <w:r w:rsidRPr="009A4A98">
        <w:rPr>
          <w:rFonts w:ascii="Calibri" w:hAnsi="Calibri" w:cs="David"/>
          <w:szCs w:val="24"/>
          <w:rtl/>
        </w:rPr>
        <w:t>.</w:t>
      </w:r>
    </w:p>
    <w:p w14:paraId="50C60882" w14:textId="77777777" w:rsidR="00AD35ED" w:rsidRPr="009A4A98" w:rsidRDefault="00AD35ED" w:rsidP="00AD35ED">
      <w:pPr>
        <w:spacing w:line="360" w:lineRule="auto"/>
        <w:ind w:left="720" w:right="561" w:hanging="720"/>
        <w:jc w:val="both"/>
        <w:rPr>
          <w:rFonts w:ascii="Calibri" w:hAnsi="Calibri"/>
          <w:rtl/>
        </w:rPr>
      </w:pPr>
      <w:r w:rsidRPr="009A4A98">
        <w:rPr>
          <w:rFonts w:ascii="Calibri" w:hAnsi="Calibri"/>
          <w:rtl/>
        </w:rPr>
        <w:t xml:space="preserve"> </w:t>
      </w:r>
    </w:p>
    <w:p w14:paraId="584147C7" w14:textId="77777777" w:rsidR="00AD35ED" w:rsidRPr="009A4A98" w:rsidRDefault="00AD35ED" w:rsidP="00AD35ED">
      <w:pPr>
        <w:spacing w:line="360" w:lineRule="auto"/>
        <w:ind w:left="1440" w:right="561"/>
        <w:rPr>
          <w:rFonts w:ascii="Calibri" w:hAnsi="Calibri"/>
          <w:rtl/>
        </w:rPr>
      </w:pPr>
      <w:r w:rsidRPr="009A4A98">
        <w:rPr>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r w:rsidRPr="009A4A98">
        <w:rPr>
          <w:rFonts w:ascii="Calibri" w:hAnsi="Calibri"/>
          <w:rtl/>
        </w:rPr>
        <w:t>-</w:t>
      </w:r>
      <w:r w:rsidRPr="009A4A98">
        <w:rPr>
          <w:rtl/>
        </w:rPr>
        <w:t xml:space="preserve"> </w:t>
      </w:r>
      <w:hyperlink r:id="rId23" w:history="1">
        <w:r w:rsidR="006D7B84" w:rsidRPr="006D7B84">
          <w:rPr>
            <w:color w:val="0000FF"/>
            <w:u w:val="single"/>
            <w:rtl/>
          </w:rPr>
          <w:t>ע"פ 211/09</w:t>
        </w:r>
      </w:hyperlink>
      <w:r w:rsidRPr="009A4A98">
        <w:rPr>
          <w:rtl/>
        </w:rPr>
        <w:t xml:space="preserve"> אזולאי נ' מדינת ישראל (פורסם בנבו, 22.06.2010)</w:t>
      </w:r>
    </w:p>
    <w:p w14:paraId="5B6B945A" w14:textId="77777777" w:rsidR="00AD35ED" w:rsidRPr="009A4A98" w:rsidRDefault="00AD35ED" w:rsidP="00AD35ED">
      <w:pPr>
        <w:spacing w:line="360" w:lineRule="auto"/>
        <w:ind w:left="2160"/>
        <w:rPr>
          <w:rFonts w:ascii="FrankRuehl" w:hAnsi="FrankRuehl"/>
          <w:rtl/>
        </w:rPr>
      </w:pPr>
    </w:p>
    <w:p w14:paraId="49273296" w14:textId="77777777" w:rsidR="00AD35ED" w:rsidRPr="009A4A98" w:rsidRDefault="00AD35ED" w:rsidP="00AD35ED">
      <w:pPr>
        <w:spacing w:line="360" w:lineRule="auto"/>
        <w:ind w:left="720" w:hanging="720"/>
        <w:rPr>
          <w:rtl/>
        </w:rPr>
      </w:pPr>
      <w:r w:rsidRPr="009A4A98">
        <w:rPr>
          <w:rtl/>
        </w:rPr>
        <w:t>7.</w:t>
      </w:r>
      <w:r w:rsidRPr="009A4A98">
        <w:rPr>
          <w:rtl/>
        </w:rPr>
        <w:tab/>
        <w:t xml:space="preserve">הלכה למעשה, עונשי המאסר בפועל המוטלים על החזקת עשרות גרמים של הירואין או קוקאין, נעים בטווח שבין שלוש לחמש שנים. </w:t>
      </w:r>
    </w:p>
    <w:p w14:paraId="7FCC81ED" w14:textId="77777777" w:rsidR="00AD35ED" w:rsidRPr="009A4A98" w:rsidRDefault="00AD35ED" w:rsidP="00AD35ED">
      <w:pPr>
        <w:spacing w:line="360" w:lineRule="auto"/>
        <w:ind w:left="720" w:hanging="720"/>
        <w:rPr>
          <w:rtl/>
        </w:rPr>
      </w:pPr>
    </w:p>
    <w:p w14:paraId="63A14E57" w14:textId="77777777" w:rsidR="00AD35ED" w:rsidRPr="009A4A98" w:rsidRDefault="00AD35ED" w:rsidP="00AD35ED">
      <w:pPr>
        <w:spacing w:line="360" w:lineRule="auto"/>
        <w:ind w:left="1440"/>
      </w:pPr>
      <w:r w:rsidRPr="009A4A98">
        <w:rPr>
          <w:rtl/>
        </w:rPr>
        <w:t>"</w:t>
      </w:r>
      <w:r w:rsidRPr="009A4A98">
        <w:rPr>
          <w:b/>
          <w:bCs/>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r w:rsidRPr="009A4A98">
        <w:rPr>
          <w:rtl/>
        </w:rPr>
        <w:t xml:space="preserve">"- </w:t>
      </w:r>
      <w:hyperlink r:id="rId24" w:history="1">
        <w:r w:rsidR="006D7B84" w:rsidRPr="006D7B84">
          <w:rPr>
            <w:color w:val="0000FF"/>
            <w:u w:val="single"/>
            <w:rtl/>
          </w:rPr>
          <w:t>ע"פ 4592/15</w:t>
        </w:r>
      </w:hyperlink>
      <w:r w:rsidRPr="006D7B84">
        <w:rPr>
          <w:rFonts w:hint="cs"/>
          <w:color w:val="000000"/>
          <w:rtl/>
        </w:rPr>
        <w:t xml:space="preserve"> </w:t>
      </w:r>
      <w:r w:rsidRPr="006D7B84">
        <w:rPr>
          <w:color w:val="000000"/>
          <w:rtl/>
        </w:rPr>
        <w:t xml:space="preserve"> אשר מסעוד פדידה נ' מדינת ישראל (פורסם בנבו,</w:t>
      </w:r>
      <w:r w:rsidRPr="006D7B84">
        <w:rPr>
          <w:rFonts w:hint="cs"/>
          <w:color w:val="000000"/>
          <w:rtl/>
        </w:rPr>
        <w:t xml:space="preserve"> 08.02.2016</w:t>
      </w:r>
      <w:r w:rsidRPr="006D7B84">
        <w:rPr>
          <w:color w:val="000000"/>
          <w:rtl/>
        </w:rPr>
        <w:t>)</w:t>
      </w:r>
    </w:p>
    <w:p w14:paraId="3E475984" w14:textId="77777777" w:rsidR="00AD35ED" w:rsidRPr="009A4A98" w:rsidRDefault="00AD35ED" w:rsidP="00AD35ED">
      <w:pPr>
        <w:spacing w:line="360" w:lineRule="auto"/>
        <w:ind w:left="720"/>
        <w:rPr>
          <w:b/>
          <w:bCs/>
          <w:rtl/>
        </w:rPr>
      </w:pPr>
    </w:p>
    <w:p w14:paraId="5241E4BC" w14:textId="77777777" w:rsidR="00AD35ED" w:rsidRPr="009A4A98" w:rsidRDefault="00AD35ED" w:rsidP="00AD35ED">
      <w:pPr>
        <w:spacing w:line="360" w:lineRule="auto"/>
        <w:ind w:left="720"/>
        <w:rPr>
          <w:rtl/>
        </w:rPr>
      </w:pPr>
      <w:r w:rsidRPr="009A4A98">
        <w:rPr>
          <w:b/>
          <w:bCs/>
          <w:rtl/>
        </w:rPr>
        <w:t>ב</w:t>
      </w:r>
      <w:hyperlink r:id="rId25" w:history="1">
        <w:r w:rsidR="006D7B84" w:rsidRPr="006D7B84">
          <w:rPr>
            <w:b/>
            <w:bCs/>
            <w:color w:val="0000FF"/>
            <w:u w:val="single"/>
            <w:rtl/>
          </w:rPr>
          <w:t>ע"פ 1313/14</w:t>
        </w:r>
      </w:hyperlink>
      <w:r w:rsidRPr="006D7B84">
        <w:rPr>
          <w:b/>
          <w:bCs/>
          <w:color w:val="000000"/>
          <w:rtl/>
        </w:rPr>
        <w:t xml:space="preserve"> גמאל בהתימי נ' מדינת ישראל (פורסם בנבו,</w:t>
      </w:r>
      <w:r w:rsidRPr="006D7B84">
        <w:rPr>
          <w:rFonts w:hint="cs"/>
          <w:b/>
          <w:bCs/>
          <w:color w:val="000000"/>
          <w:rtl/>
        </w:rPr>
        <w:t xml:space="preserve"> 09.06.2015</w:t>
      </w:r>
      <w:r w:rsidRPr="006D7B84">
        <w:rPr>
          <w:b/>
          <w:bCs/>
          <w:color w:val="000000"/>
          <w:rtl/>
        </w:rPr>
        <w:t>)</w:t>
      </w:r>
      <w:r w:rsidRPr="009A4A98">
        <w:rPr>
          <w:rtl/>
        </w:rPr>
        <w:t xml:space="preserve"> הורשע המערער בהחזקת סם מסוכן מסוג קוקאין במשקל של</w:t>
      </w:r>
      <w:r w:rsidRPr="009A4A98">
        <w:rPr>
          <w:b/>
          <w:bCs/>
          <w:rtl/>
        </w:rPr>
        <w:t xml:space="preserve"> 50 גרם</w:t>
      </w:r>
      <w:r w:rsidRPr="009A4A98">
        <w:rPr>
          <w:rtl/>
        </w:rPr>
        <w:t xml:space="preserve">, ונדון ל </w:t>
      </w:r>
      <w:r w:rsidRPr="009A4A98">
        <w:rPr>
          <w:b/>
          <w:bCs/>
          <w:rtl/>
        </w:rPr>
        <w:t>42 חודשי מאסר</w:t>
      </w:r>
      <w:r w:rsidRPr="009A4A98">
        <w:rPr>
          <w:rtl/>
        </w:rPr>
        <w:t xml:space="preserve">, ובנוסף </w:t>
      </w:r>
      <w:r w:rsidRPr="009A4A98">
        <w:rPr>
          <w:b/>
          <w:bCs/>
          <w:rtl/>
        </w:rPr>
        <w:t>הופעל, במצטבר, מאסר על תנאי של 10 חודשים</w:t>
      </w:r>
      <w:r w:rsidRPr="009A4A98">
        <w:rPr>
          <w:rtl/>
        </w:rPr>
        <w:t xml:space="preserve">. </w:t>
      </w:r>
    </w:p>
    <w:p w14:paraId="44F0DA96" w14:textId="77777777" w:rsidR="00AD35ED" w:rsidRPr="009A4A98" w:rsidRDefault="00AD35ED" w:rsidP="00AD35ED">
      <w:pPr>
        <w:spacing w:line="360" w:lineRule="auto"/>
        <w:ind w:firstLine="720"/>
        <w:rPr>
          <w:rtl/>
        </w:rPr>
      </w:pPr>
      <w:r w:rsidRPr="009A4A98">
        <w:rPr>
          <w:rtl/>
        </w:rPr>
        <w:t xml:space="preserve">בית המשפט העליון דחה את הערעור וקבע-  </w:t>
      </w:r>
    </w:p>
    <w:p w14:paraId="66FE819C" w14:textId="77777777" w:rsidR="00AD35ED" w:rsidRPr="009A4A98" w:rsidRDefault="00AD35ED" w:rsidP="00AD35ED">
      <w:pPr>
        <w:spacing w:line="360" w:lineRule="auto"/>
        <w:ind w:left="1440"/>
        <w:rPr>
          <w:rtl/>
        </w:rPr>
      </w:pPr>
      <w:r w:rsidRPr="009A4A98">
        <w:rPr>
          <w:rtl/>
        </w:rPr>
        <w:t>"עסקינן בסם מסוג קוקאין ובמשקל של כחמישים גרם. אלו נתונים שמצדיקים עונש חמור. המערער אף בעל עבר פלילי עשיר. הוא הורשע 13 פעמים בעבירות שונות, רבות מהן עבירות סמים, ונדון בעבר למאסרים באורכים של ממש – למשל, בתיק אחד ארבעים חודש, ובתיק אחר עשרים ושישה חודש. העבירה בתיק זה בוצעה כאשר תלוי ועומד כנגדו מאסר על תנאי בן עשרה חודשים. הוא השתחרר מעונש מאסר קודם רק כחודשיים לפני ביצוע המעשה. יש ממש בטענת בא כוח המדינה לפיה המסקנה המתבקשת היא שהעונשים שגזרו עליו עד כה לא הרתיעוהו. יוצא כי העונש חייב לשקף הן שיקולי הרתעה כללית, והן שיקולי הרתעה פרטנית. התוצאה היא שעל אף שתקופת המאסר הכולל שנגזרה על המערער איננה קצרה, אין בה כדי להצביע על סטייה מתחום שיקול הדעת הראוי באופן שמצדיק קבלת הערעור."</w:t>
      </w:r>
    </w:p>
    <w:p w14:paraId="4CBF24B3" w14:textId="77777777" w:rsidR="00AD35ED" w:rsidRPr="009A4A98" w:rsidRDefault="00AD35ED" w:rsidP="00AD35ED">
      <w:pPr>
        <w:spacing w:line="360" w:lineRule="auto"/>
        <w:ind w:left="720"/>
        <w:rPr>
          <w:b/>
          <w:bCs/>
          <w:rtl/>
        </w:rPr>
      </w:pPr>
    </w:p>
    <w:p w14:paraId="5BEFB780" w14:textId="77777777" w:rsidR="00AD35ED" w:rsidRPr="009A4A98" w:rsidRDefault="00AD35ED" w:rsidP="00AD35ED">
      <w:pPr>
        <w:spacing w:line="360" w:lineRule="auto"/>
        <w:ind w:left="720"/>
        <w:rPr>
          <w:rtl/>
        </w:rPr>
      </w:pPr>
      <w:r w:rsidRPr="009A4A98">
        <w:rPr>
          <w:b/>
          <w:bCs/>
          <w:rtl/>
        </w:rPr>
        <w:t>ב</w:t>
      </w:r>
      <w:hyperlink r:id="rId26" w:history="1">
        <w:r w:rsidR="006D7B84" w:rsidRPr="006D7B84">
          <w:rPr>
            <w:b/>
            <w:bCs/>
            <w:color w:val="0000FF"/>
            <w:u w:val="single"/>
            <w:rtl/>
          </w:rPr>
          <w:t>ע"פ 1932/15</w:t>
        </w:r>
      </w:hyperlink>
      <w:r w:rsidRPr="006D7B84">
        <w:rPr>
          <w:b/>
          <w:bCs/>
          <w:color w:val="000000"/>
          <w:rtl/>
        </w:rPr>
        <w:t xml:space="preserve"> פיליפ בן סעדון נ' מדינת ישראל (פורסם בנבו,</w:t>
      </w:r>
      <w:r w:rsidRPr="006D7B84">
        <w:rPr>
          <w:rFonts w:hint="cs"/>
          <w:b/>
          <w:bCs/>
          <w:color w:val="000000"/>
          <w:rtl/>
        </w:rPr>
        <w:t xml:space="preserve"> 17.04.2016</w:t>
      </w:r>
      <w:r w:rsidRPr="006D7B84">
        <w:rPr>
          <w:b/>
          <w:bCs/>
          <w:color w:val="000000"/>
          <w:rtl/>
        </w:rPr>
        <w:t>)</w:t>
      </w:r>
      <w:r w:rsidRPr="009A4A98">
        <w:rPr>
          <w:rtl/>
        </w:rPr>
        <w:t xml:space="preserve"> המערער </w:t>
      </w:r>
      <w:r w:rsidRPr="009A4A98">
        <w:rPr>
          <w:b/>
          <w:bCs/>
          <w:rtl/>
        </w:rPr>
        <w:t>הורשע</w:t>
      </w:r>
      <w:r w:rsidRPr="009A4A98">
        <w:rPr>
          <w:rtl/>
        </w:rPr>
        <w:t xml:space="preserve"> </w:t>
      </w:r>
      <w:r w:rsidRPr="009A4A98">
        <w:rPr>
          <w:b/>
          <w:bCs/>
          <w:rtl/>
        </w:rPr>
        <w:t>על פי הודאתו</w:t>
      </w:r>
      <w:r w:rsidRPr="009A4A98">
        <w:rPr>
          <w:rtl/>
        </w:rPr>
        <w:t xml:space="preserve"> בהחזקת כ- </w:t>
      </w:r>
      <w:r w:rsidRPr="009A4A98">
        <w:rPr>
          <w:b/>
          <w:bCs/>
          <w:rtl/>
        </w:rPr>
        <w:t>26 גרם קוקאין</w:t>
      </w:r>
      <w:r w:rsidRPr="009A4A98">
        <w:rPr>
          <w:rtl/>
        </w:rPr>
        <w:t xml:space="preserve">, </w:t>
      </w:r>
      <w:r w:rsidRPr="009A4A98">
        <w:rPr>
          <w:b/>
          <w:bCs/>
          <w:rtl/>
        </w:rPr>
        <w:t>446 כדורי אקסטזי וכ- 400 גרם חשיש</w:t>
      </w:r>
      <w:r w:rsidRPr="009A4A98">
        <w:rPr>
          <w:rtl/>
        </w:rPr>
        <w:t xml:space="preserve">. בית המשפט המחוזי גזר עליו </w:t>
      </w:r>
      <w:r w:rsidRPr="009A4A98">
        <w:rPr>
          <w:b/>
          <w:bCs/>
          <w:rtl/>
        </w:rPr>
        <w:t>42 חודשי מאסר</w:t>
      </w:r>
      <w:r w:rsidRPr="009A4A98">
        <w:rPr>
          <w:rtl/>
        </w:rPr>
        <w:t xml:space="preserve"> בפועל והוא ערער על חומרת עונשו. בית המשפט העליון דחה את הערעור וקבע – </w:t>
      </w:r>
    </w:p>
    <w:p w14:paraId="165F867D" w14:textId="77777777" w:rsidR="00AD35ED" w:rsidRPr="009A4A98" w:rsidRDefault="00AD35ED" w:rsidP="00AD35ED">
      <w:pPr>
        <w:spacing w:line="360" w:lineRule="auto"/>
        <w:ind w:left="1440"/>
        <w:rPr>
          <w:rtl/>
        </w:rPr>
      </w:pPr>
      <w:r w:rsidRPr="009A4A98">
        <w:rPr>
          <w:rtl/>
        </w:rPr>
        <w:t>"</w:t>
      </w:r>
      <w:r w:rsidRPr="009A4A98">
        <w:rPr>
          <w:b/>
          <w:bCs/>
          <w:rtl/>
        </w:rPr>
        <w:t>רמת הענישה</w:t>
      </w:r>
      <w:r w:rsidRPr="009A4A98">
        <w:rPr>
          <w:rtl/>
        </w:rPr>
        <w:t xml:space="preserve"> שנקבעה בפסקי הדין שאוזכרו לעיל ובפסקי דין אחרים, </w:t>
      </w:r>
      <w:r w:rsidRPr="009A4A98">
        <w:rPr>
          <w:b/>
          <w:bCs/>
          <w:rtl/>
        </w:rPr>
        <w:t>כשמדובר בהחזקת סמים מסוכנים, שלא לצריכה עצמית, בכמות של עשרות גרמים, נעה בין 3 ל-5 שנות מאסר</w:t>
      </w:r>
      <w:r w:rsidRPr="009A4A98">
        <w:rPr>
          <w:rtl/>
        </w:rPr>
        <w:t>, לצד הטלת קנס כספי. בנסיבות אלה, אין בעונש שהושת על המערער חריגה מרמת הענישה המקובלת בעבירות דומות, ולפיכך אין בסיס להתערבותנו בעונש כערכאת ערעור."</w:t>
      </w:r>
      <w:r w:rsidRPr="009A4A98">
        <w:rPr>
          <w:rtl/>
        </w:rPr>
        <w:br/>
      </w:r>
    </w:p>
    <w:p w14:paraId="69B72CD8" w14:textId="77777777" w:rsidR="00AD35ED" w:rsidRPr="009A4A98" w:rsidRDefault="00AD35ED" w:rsidP="00AD35ED">
      <w:pPr>
        <w:spacing w:line="360" w:lineRule="auto"/>
        <w:ind w:left="720"/>
        <w:rPr>
          <w:rtl/>
        </w:rPr>
      </w:pPr>
      <w:r w:rsidRPr="009A4A98">
        <w:rPr>
          <w:b/>
          <w:bCs/>
          <w:rtl/>
        </w:rPr>
        <w:t>ב</w:t>
      </w:r>
      <w:hyperlink r:id="rId27" w:history="1">
        <w:r w:rsidR="006D7B84" w:rsidRPr="006D7B84">
          <w:rPr>
            <w:b/>
            <w:bCs/>
            <w:color w:val="0000FF"/>
            <w:u w:val="single"/>
            <w:rtl/>
          </w:rPr>
          <w:t>ע"פ 8820/14</w:t>
        </w:r>
      </w:hyperlink>
      <w:r w:rsidRPr="006D7B84">
        <w:rPr>
          <w:b/>
          <w:bCs/>
          <w:color w:val="000000"/>
          <w:rtl/>
        </w:rPr>
        <w:t xml:space="preserve"> זהר שחר נ' מדינת ישראל (פורסם בנבו,</w:t>
      </w:r>
      <w:r w:rsidRPr="006D7B84">
        <w:rPr>
          <w:rFonts w:hint="cs"/>
          <w:b/>
          <w:bCs/>
          <w:color w:val="000000"/>
          <w:rtl/>
        </w:rPr>
        <w:t xml:space="preserve"> 17.05.2015</w:t>
      </w:r>
      <w:r w:rsidRPr="006D7B84">
        <w:rPr>
          <w:b/>
          <w:bCs/>
          <w:color w:val="000000"/>
          <w:rtl/>
        </w:rPr>
        <w:t>)</w:t>
      </w:r>
      <w:r>
        <w:rPr>
          <w:rFonts w:hint="cs"/>
          <w:rtl/>
        </w:rPr>
        <w:t xml:space="preserve"> </w:t>
      </w:r>
      <w:r w:rsidRPr="009A4A98">
        <w:rPr>
          <w:rtl/>
        </w:rPr>
        <w:t xml:space="preserve">החזיק המערער בביתו סם מסוג </w:t>
      </w:r>
      <w:r w:rsidRPr="009A4A98">
        <w:rPr>
          <w:b/>
          <w:bCs/>
          <w:rtl/>
        </w:rPr>
        <w:t>חשיש לצריכה עצמית במשקל כולל של 3.74 גרם וסם מסוג קוקאין במשקל של כ- 112 גרם, שלא לצריכתו העצמית</w:t>
      </w:r>
      <w:r w:rsidRPr="009A4A98">
        <w:rPr>
          <w:rtl/>
        </w:rPr>
        <w:t xml:space="preserve">. </w:t>
      </w:r>
      <w:r w:rsidRPr="009A4A98">
        <w:rPr>
          <w:b/>
          <w:bCs/>
          <w:rtl/>
        </w:rPr>
        <w:t>הנאשם הודה במיוחס לו</w:t>
      </w:r>
      <w:r w:rsidRPr="009A4A98">
        <w:rPr>
          <w:rtl/>
        </w:rPr>
        <w:t xml:space="preserve"> במסגרת הסדר טיעון בגדרו התביעה הגבילה עצמה לעתירה ל- 3 שנות מאסר בפועל. בית המשפט קבע שמתחם העונש ההולם נע בין 3 ל-5 שנות מאסר והטיל עליו</w:t>
      </w:r>
      <w:r w:rsidRPr="009A4A98">
        <w:rPr>
          <w:b/>
          <w:bCs/>
          <w:rtl/>
        </w:rPr>
        <w:t xml:space="preserve"> 36 חודשי מאסר בפועל</w:t>
      </w:r>
      <w:r w:rsidRPr="009A4A98">
        <w:rPr>
          <w:rtl/>
        </w:rPr>
        <w:t>.</w:t>
      </w:r>
    </w:p>
    <w:p w14:paraId="33404697" w14:textId="77777777" w:rsidR="00AD35ED" w:rsidRPr="009A4A98" w:rsidRDefault="00AD35ED" w:rsidP="00AD35ED">
      <w:pPr>
        <w:spacing w:line="360" w:lineRule="auto"/>
        <w:rPr>
          <w:rtl/>
        </w:rPr>
      </w:pPr>
    </w:p>
    <w:p w14:paraId="43E0ECD1" w14:textId="77777777" w:rsidR="00AD35ED" w:rsidRPr="009A4A98" w:rsidRDefault="00AD35ED" w:rsidP="00AD35ED">
      <w:pPr>
        <w:spacing w:line="360" w:lineRule="auto"/>
        <w:ind w:firstLine="720"/>
        <w:rPr>
          <w:rtl/>
        </w:rPr>
      </w:pPr>
      <w:r w:rsidRPr="009A4A98">
        <w:rPr>
          <w:rtl/>
        </w:rPr>
        <w:t>בית המשפט העליון דחה את הערעור וקבע-</w:t>
      </w:r>
    </w:p>
    <w:p w14:paraId="26E9DF3A" w14:textId="77777777" w:rsidR="00AD35ED" w:rsidRPr="009A4A98" w:rsidRDefault="00AD35ED" w:rsidP="00AD35ED">
      <w:pPr>
        <w:spacing w:line="360" w:lineRule="auto"/>
        <w:ind w:left="1440"/>
        <w:rPr>
          <w:rtl/>
        </w:rPr>
      </w:pPr>
      <w:r w:rsidRPr="009A4A98">
        <w:rPr>
          <w:rtl/>
        </w:rPr>
        <w:t xml:space="preserve">"אין בעונש שהושת על המערער כל חריגה מרמת הענישה המקובלת בעבירות דומות, ולפיכך אין בסיס להתערבותנו בעונש כערכאת ערעור.. </w:t>
      </w:r>
      <w:r w:rsidRPr="009A4A98">
        <w:rPr>
          <w:b/>
          <w:bCs/>
          <w:rtl/>
        </w:rPr>
        <w:t xml:space="preserve">רמת הענישה שנקבעה </w:t>
      </w:r>
      <w:r w:rsidRPr="009A4A98">
        <w:rPr>
          <w:rtl/>
        </w:rPr>
        <w:t xml:space="preserve">בפסקי הדין שאוזכרו לעיל ובפסקי דין אחרים, </w:t>
      </w:r>
      <w:r w:rsidRPr="009A4A98">
        <w:rPr>
          <w:b/>
          <w:bCs/>
          <w:rtl/>
        </w:rPr>
        <w:t>כשמדובר בהחזקת סם מסוג הירואין או קוקאין, שלא לצריכה עצמית, בכמות של עשרות גרמים, נעה בין 3 ל-5 שנות מאסר</w:t>
      </w:r>
      <w:r w:rsidRPr="009A4A98">
        <w:rPr>
          <w:rtl/>
        </w:rPr>
        <w:t>, כך שעונשו של המערער אינו סוטה לחומרה מרמת ענישה זו. לכך יש להוסיף את עברו הפלילי של המערער, אשר הורשע, בין היתר, בעבירות סמים שלא לצריכה עצמית, איומים, הפרעה לשוטר במילוי תפקידו, וכן בנשיאה והובלת נשק שלא כדין."</w:t>
      </w:r>
    </w:p>
    <w:p w14:paraId="75256A9D" w14:textId="77777777" w:rsidR="00AD35ED" w:rsidRPr="009A4A98" w:rsidRDefault="00AD35ED" w:rsidP="00AD35ED">
      <w:pPr>
        <w:spacing w:line="360" w:lineRule="auto"/>
        <w:ind w:left="720"/>
        <w:rPr>
          <w:rtl/>
        </w:rPr>
      </w:pPr>
    </w:p>
    <w:p w14:paraId="3778123B" w14:textId="77777777" w:rsidR="00AD35ED" w:rsidRPr="009A4A98" w:rsidRDefault="00AD35ED" w:rsidP="00AD35ED">
      <w:pPr>
        <w:spacing w:line="360" w:lineRule="auto"/>
        <w:ind w:left="720"/>
        <w:rPr>
          <w:rtl/>
        </w:rPr>
      </w:pPr>
      <w:r w:rsidRPr="009A4A98">
        <w:rPr>
          <w:b/>
          <w:bCs/>
          <w:rtl/>
        </w:rPr>
        <w:t>ב</w:t>
      </w:r>
      <w:hyperlink r:id="rId28" w:history="1">
        <w:r w:rsidR="006D7B84" w:rsidRPr="006D7B84">
          <w:rPr>
            <w:b/>
            <w:bCs/>
            <w:color w:val="0000FF"/>
            <w:u w:val="single"/>
            <w:rtl/>
          </w:rPr>
          <w:t>ע"פ 6277/14</w:t>
        </w:r>
      </w:hyperlink>
      <w:r w:rsidRPr="006D7B84">
        <w:rPr>
          <w:rFonts w:hint="cs"/>
          <w:b/>
          <w:bCs/>
          <w:color w:val="000000"/>
          <w:rtl/>
        </w:rPr>
        <w:t xml:space="preserve"> </w:t>
      </w:r>
      <w:r w:rsidRPr="006D7B84">
        <w:rPr>
          <w:b/>
          <w:bCs/>
          <w:color w:val="000000"/>
          <w:rtl/>
        </w:rPr>
        <w:t xml:space="preserve"> אברהם משלטי נ' מדינת ישראל (פורסם בנבו,</w:t>
      </w:r>
      <w:r w:rsidRPr="006D7B84">
        <w:rPr>
          <w:rFonts w:hint="cs"/>
          <w:b/>
          <w:bCs/>
          <w:color w:val="000000"/>
          <w:rtl/>
        </w:rPr>
        <w:t xml:space="preserve"> 02.02.2015</w:t>
      </w:r>
      <w:r w:rsidRPr="006D7B84">
        <w:rPr>
          <w:b/>
          <w:bCs/>
          <w:color w:val="000000"/>
          <w:rtl/>
        </w:rPr>
        <w:t>)</w:t>
      </w:r>
      <w:r w:rsidRPr="009A4A98">
        <w:rPr>
          <w:rtl/>
        </w:rPr>
        <w:t xml:space="preserve"> המערער </w:t>
      </w:r>
      <w:r w:rsidRPr="009A4A98">
        <w:rPr>
          <w:b/>
          <w:bCs/>
          <w:rtl/>
        </w:rPr>
        <w:t>הורשע על פי הודאתו</w:t>
      </w:r>
      <w:r w:rsidRPr="009A4A98">
        <w:rPr>
          <w:rtl/>
        </w:rPr>
        <w:t xml:space="preserve"> בהחזקת סם מסוכן מסוג </w:t>
      </w:r>
      <w:r w:rsidRPr="009A4A98">
        <w:rPr>
          <w:b/>
          <w:bCs/>
          <w:rtl/>
        </w:rPr>
        <w:t>קוקאין</w:t>
      </w:r>
      <w:r w:rsidRPr="009A4A98">
        <w:rPr>
          <w:rtl/>
        </w:rPr>
        <w:t xml:space="preserve"> במשקל של כ- </w:t>
      </w:r>
      <w:r w:rsidRPr="009A4A98">
        <w:rPr>
          <w:b/>
          <w:bCs/>
          <w:rtl/>
        </w:rPr>
        <w:t>51 גרם</w:t>
      </w:r>
      <w:r w:rsidRPr="009A4A98">
        <w:rPr>
          <w:rtl/>
        </w:rPr>
        <w:t>, שקיות ניילון קטנות גזורות ומשקל אלקטרוני. בבית המשפט המחוזי נקבע מתחם עונש של 5-3 שנות מאסר ונגזרו על המערער</w:t>
      </w:r>
      <w:r w:rsidRPr="009A4A98">
        <w:rPr>
          <w:b/>
          <w:bCs/>
          <w:rtl/>
        </w:rPr>
        <w:t xml:space="preserve"> 4 שנות מאסר בפועל</w:t>
      </w:r>
      <w:r w:rsidRPr="009A4A98">
        <w:rPr>
          <w:rtl/>
        </w:rPr>
        <w:t xml:space="preserve"> וכן שנה נצברת של מאסר על תנאי </w:t>
      </w:r>
      <w:r w:rsidRPr="009A4A98">
        <w:rPr>
          <w:b/>
          <w:bCs/>
          <w:rtl/>
        </w:rPr>
        <w:t>ובסך הכל חמש שנות מאסר</w:t>
      </w:r>
      <w:r w:rsidRPr="009A4A98">
        <w:rPr>
          <w:rtl/>
        </w:rPr>
        <w:t>, ו-12 חודשי מאסר על תנאי.</w:t>
      </w:r>
    </w:p>
    <w:p w14:paraId="14602B64" w14:textId="77777777" w:rsidR="00AD35ED" w:rsidRPr="009A4A98" w:rsidRDefault="00AD35ED" w:rsidP="00AD35ED">
      <w:pPr>
        <w:spacing w:line="360" w:lineRule="auto"/>
        <w:ind w:left="720"/>
        <w:rPr>
          <w:rtl/>
        </w:rPr>
      </w:pPr>
      <w:r w:rsidRPr="009A4A98">
        <w:rPr>
          <w:rtl/>
        </w:rPr>
        <w:t>בית המשפט העליון דחה את הערעור וקבע- "..המתחם שנקבע והעונש אינם חמורים יתר על המידה".</w:t>
      </w:r>
      <w:r w:rsidRPr="009A4A98">
        <w:rPr>
          <w:rtl/>
        </w:rPr>
        <w:br/>
      </w:r>
    </w:p>
    <w:p w14:paraId="486D5985" w14:textId="77777777" w:rsidR="00AD35ED" w:rsidRPr="009A4A98" w:rsidRDefault="00AD35ED" w:rsidP="00AD35ED">
      <w:pPr>
        <w:spacing w:line="360" w:lineRule="auto"/>
        <w:ind w:left="720"/>
        <w:rPr>
          <w:rtl/>
        </w:rPr>
      </w:pPr>
      <w:r w:rsidRPr="009A4A98">
        <w:rPr>
          <w:b/>
          <w:bCs/>
          <w:rtl/>
        </w:rPr>
        <w:t>ב</w:t>
      </w:r>
      <w:hyperlink r:id="rId29" w:history="1">
        <w:r w:rsidR="006D7B84" w:rsidRPr="006D7B84">
          <w:rPr>
            <w:b/>
            <w:bCs/>
            <w:color w:val="0000FF"/>
            <w:u w:val="single"/>
            <w:rtl/>
          </w:rPr>
          <w:t>ע"פ 5374/12</w:t>
        </w:r>
      </w:hyperlink>
      <w:r w:rsidRPr="009A4A98">
        <w:rPr>
          <w:b/>
          <w:bCs/>
          <w:rtl/>
        </w:rPr>
        <w:t xml:space="preserve"> שלמה אברג'יל נגד מדינת ישראל (פורסם בנבו, 09.01.2013</w:t>
      </w:r>
      <w:r w:rsidRPr="009A4A98">
        <w:rPr>
          <w:rtl/>
        </w:rPr>
        <w:t xml:space="preserve">), הורשע המערער, </w:t>
      </w:r>
      <w:r w:rsidRPr="009A4A98">
        <w:rPr>
          <w:b/>
          <w:bCs/>
          <w:rtl/>
        </w:rPr>
        <w:t>על פי הודאתו</w:t>
      </w:r>
      <w:r w:rsidRPr="009A4A98">
        <w:rPr>
          <w:rtl/>
        </w:rPr>
        <w:t xml:space="preserve"> במסגרת הסדר טיעון, בהחזקת סם מסוג </w:t>
      </w:r>
      <w:r w:rsidRPr="009A4A98">
        <w:rPr>
          <w:b/>
          <w:bCs/>
          <w:rtl/>
        </w:rPr>
        <w:t>קוקאין במשקל של כ- 43 גרם שלא לצריכה עצמית ונדון ל- 36 חודשי מאסר בפועל.</w:t>
      </w:r>
      <w:r w:rsidRPr="009A4A98">
        <w:rPr>
          <w:rtl/>
        </w:rPr>
        <w:t xml:space="preserve"> הוא ערער על חומרת עונשו ובית המשפט העליון דחה את ערעורו וקבע כי העונש שהוטל עליו איננו חורג ממדיניות הענישה המקובלת בעבירות דומות.</w:t>
      </w:r>
    </w:p>
    <w:p w14:paraId="26101404" w14:textId="77777777" w:rsidR="00AD35ED" w:rsidRPr="009A4A98" w:rsidRDefault="00AD35ED" w:rsidP="00AD35ED">
      <w:pPr>
        <w:spacing w:line="360" w:lineRule="auto"/>
        <w:ind w:left="720"/>
        <w:rPr>
          <w:rtl/>
        </w:rPr>
      </w:pPr>
    </w:p>
    <w:p w14:paraId="51DCA8FB" w14:textId="77777777" w:rsidR="00AD35ED" w:rsidRPr="009A4A98" w:rsidRDefault="00AD35ED" w:rsidP="00AD35ED">
      <w:pPr>
        <w:spacing w:line="360" w:lineRule="auto"/>
        <w:ind w:left="720"/>
        <w:rPr>
          <w:rtl/>
        </w:rPr>
      </w:pPr>
      <w:r w:rsidRPr="009A4A98">
        <w:rPr>
          <w:b/>
          <w:bCs/>
          <w:rtl/>
        </w:rPr>
        <w:t>ב</w:t>
      </w:r>
      <w:hyperlink r:id="rId30" w:history="1">
        <w:r w:rsidR="006D7B84" w:rsidRPr="006D7B84">
          <w:rPr>
            <w:b/>
            <w:bCs/>
            <w:color w:val="0000FF"/>
            <w:u w:val="single"/>
            <w:rtl/>
          </w:rPr>
          <w:t>ע"פ 810/11</w:t>
        </w:r>
      </w:hyperlink>
      <w:r w:rsidRPr="009A4A98">
        <w:rPr>
          <w:b/>
          <w:bCs/>
          <w:rtl/>
        </w:rPr>
        <w:t>, רועי שודגוקר בורגרקר נ' מדינת ישראל (פורסם בנבו, 19.5.2011)</w:t>
      </w:r>
      <w:r w:rsidRPr="009A4A98">
        <w:rPr>
          <w:rtl/>
        </w:rPr>
        <w:t xml:space="preserve"> נדחה ערעורו של נאשם שנדון ל- </w:t>
      </w:r>
      <w:r w:rsidRPr="009A4A98">
        <w:rPr>
          <w:b/>
          <w:bCs/>
          <w:rtl/>
        </w:rPr>
        <w:t>36 חודשי מאסר בפועל</w:t>
      </w:r>
      <w:r w:rsidRPr="009A4A98">
        <w:rPr>
          <w:rtl/>
        </w:rPr>
        <w:t xml:space="preserve">, לאחר </w:t>
      </w:r>
      <w:r w:rsidRPr="009A4A98">
        <w:rPr>
          <w:b/>
          <w:bCs/>
          <w:rtl/>
        </w:rPr>
        <w:t>שהורשע על פי הודאתו</w:t>
      </w:r>
      <w:r w:rsidRPr="009A4A98">
        <w:rPr>
          <w:rtl/>
        </w:rPr>
        <w:t xml:space="preserve"> בהחזקת סם מסוכן מסוג </w:t>
      </w:r>
      <w:r w:rsidRPr="009A4A98">
        <w:rPr>
          <w:b/>
          <w:bCs/>
          <w:rtl/>
        </w:rPr>
        <w:t>הרואין במשקל של כ 59 גרם</w:t>
      </w:r>
      <w:r w:rsidRPr="009A4A98">
        <w:rPr>
          <w:rtl/>
        </w:rPr>
        <w:t xml:space="preserve">.  </w:t>
      </w:r>
    </w:p>
    <w:p w14:paraId="194B829F" w14:textId="77777777" w:rsidR="00AD35ED" w:rsidRPr="009A4A98" w:rsidRDefault="00AD35ED" w:rsidP="00AD35ED">
      <w:pPr>
        <w:spacing w:line="360" w:lineRule="auto"/>
        <w:textAlignment w:val="top"/>
        <w:rPr>
          <w:b/>
          <w:rtl/>
        </w:rPr>
      </w:pPr>
    </w:p>
    <w:p w14:paraId="00DED4A6" w14:textId="77777777" w:rsidR="00AD35ED" w:rsidRPr="009A4A98" w:rsidRDefault="00AD35ED" w:rsidP="00AD35ED">
      <w:pPr>
        <w:spacing w:line="360" w:lineRule="auto"/>
        <w:ind w:left="720"/>
        <w:textAlignment w:val="top"/>
        <w:rPr>
          <w:b/>
          <w:rtl/>
        </w:rPr>
      </w:pPr>
      <w:r w:rsidRPr="009A4A98">
        <w:rPr>
          <w:b/>
          <w:bCs/>
          <w:rtl/>
        </w:rPr>
        <w:t>ב</w:t>
      </w:r>
      <w:hyperlink r:id="rId31" w:history="1">
        <w:r w:rsidR="006D7B84" w:rsidRPr="006D7B84">
          <w:rPr>
            <w:b/>
            <w:bCs/>
            <w:color w:val="0000FF"/>
            <w:u w:val="single"/>
            <w:rtl/>
          </w:rPr>
          <w:t>ע"פ 4938/00</w:t>
        </w:r>
      </w:hyperlink>
      <w:r w:rsidRPr="009A4A98">
        <w:rPr>
          <w:b/>
          <w:bCs/>
          <w:rtl/>
        </w:rPr>
        <w:t>, כרים זידאן נ' מדינת ישראל  (ניתן ביום 07.06.2001)</w:t>
      </w:r>
      <w:r w:rsidRPr="009A4A98">
        <w:rPr>
          <w:b/>
          <w:rtl/>
        </w:rPr>
        <w:t xml:space="preserve"> בית המשפט העליון דחה ערעור על חומרת העונש, של נאשם </w:t>
      </w:r>
      <w:r w:rsidRPr="009A4A98">
        <w:rPr>
          <w:bCs/>
          <w:rtl/>
        </w:rPr>
        <w:t>צעיר, בעל עבר נקי</w:t>
      </w:r>
      <w:r w:rsidRPr="009A4A98">
        <w:rPr>
          <w:b/>
          <w:rtl/>
        </w:rPr>
        <w:t xml:space="preserve">, שנדון ל - </w:t>
      </w:r>
      <w:r w:rsidRPr="009A4A98">
        <w:rPr>
          <w:bCs/>
          <w:rtl/>
        </w:rPr>
        <w:t>4 שנות מאסר בפועל,</w:t>
      </w:r>
      <w:r w:rsidRPr="009A4A98">
        <w:rPr>
          <w:b/>
          <w:rtl/>
        </w:rPr>
        <w:t xml:space="preserve"> על החזקת </w:t>
      </w:r>
      <w:r w:rsidRPr="009A4A98">
        <w:rPr>
          <w:bCs/>
          <w:rtl/>
        </w:rPr>
        <w:t>כ- 52 גרם הרואין ומאזניים אלקטרוניים</w:t>
      </w:r>
      <w:r w:rsidRPr="009A4A98">
        <w:rPr>
          <w:b/>
          <w:rtl/>
        </w:rPr>
        <w:t xml:space="preserve"> לשקילת סם. </w:t>
      </w:r>
    </w:p>
    <w:p w14:paraId="7F909155" w14:textId="77777777" w:rsidR="00AD35ED" w:rsidRPr="009A4A98" w:rsidRDefault="00AD35ED" w:rsidP="00AD35ED">
      <w:pPr>
        <w:spacing w:line="360" w:lineRule="auto"/>
        <w:jc w:val="both"/>
        <w:rPr>
          <w:rFonts w:ascii="Arial" w:hAnsi="Arial"/>
          <w:b/>
          <w:rtl/>
        </w:rPr>
      </w:pPr>
    </w:p>
    <w:p w14:paraId="68247073" w14:textId="77777777" w:rsidR="00AD35ED" w:rsidRPr="009A4A98" w:rsidRDefault="00AD35ED" w:rsidP="00AD35ED">
      <w:pPr>
        <w:spacing w:line="360" w:lineRule="auto"/>
        <w:ind w:left="720" w:hanging="720"/>
        <w:jc w:val="both"/>
        <w:rPr>
          <w:rFonts w:ascii="Calibri" w:hAnsi="Calibri"/>
          <w:rtl/>
        </w:rPr>
      </w:pPr>
      <w:r w:rsidRPr="009A4A98">
        <w:rPr>
          <w:rFonts w:ascii="Calibri" w:hAnsi="Calibri"/>
          <w:rtl/>
        </w:rPr>
        <w:t>8.</w:t>
      </w:r>
      <w:r w:rsidRPr="009A4A98">
        <w:rPr>
          <w:rFonts w:ascii="Calibri" w:hAnsi="Calibri"/>
          <w:rtl/>
        </w:rPr>
        <w:tab/>
      </w:r>
      <w:r w:rsidRPr="009A4A98">
        <w:rPr>
          <w:rFonts w:ascii="Calibri" w:hAnsi="Calibri" w:hint="eastAsia"/>
          <w:rtl/>
        </w:rPr>
        <w:t>סמים</w:t>
      </w:r>
      <w:r w:rsidRPr="009A4A98">
        <w:rPr>
          <w:rFonts w:ascii="Calibri" w:hAnsi="Calibri"/>
          <w:rtl/>
        </w:rPr>
        <w:t xml:space="preserve"> </w:t>
      </w:r>
      <w:r w:rsidRPr="009A4A98">
        <w:rPr>
          <w:rFonts w:ascii="Calibri" w:hAnsi="Calibri" w:hint="eastAsia"/>
          <w:rtl/>
        </w:rPr>
        <w:t>אינם</w:t>
      </w:r>
      <w:r w:rsidRPr="009A4A98">
        <w:rPr>
          <w:rFonts w:ascii="Calibri" w:hAnsi="Calibri"/>
          <w:rtl/>
        </w:rPr>
        <w:t xml:space="preserve"> </w:t>
      </w:r>
      <w:r w:rsidRPr="009A4A98">
        <w:rPr>
          <w:rFonts w:ascii="Calibri" w:hAnsi="Calibri" w:hint="eastAsia"/>
          <w:rtl/>
        </w:rPr>
        <w:t>פריט</w:t>
      </w:r>
      <w:r w:rsidRPr="009A4A98">
        <w:rPr>
          <w:rFonts w:ascii="Calibri" w:hAnsi="Calibri"/>
          <w:rtl/>
        </w:rPr>
        <w:t xml:space="preserve"> </w:t>
      </w:r>
      <w:r w:rsidRPr="009A4A98">
        <w:rPr>
          <w:rFonts w:ascii="Calibri" w:hAnsi="Calibri" w:hint="eastAsia"/>
          <w:rtl/>
        </w:rPr>
        <w:t>איסוף</w:t>
      </w:r>
      <w:r w:rsidRPr="009A4A98">
        <w:rPr>
          <w:rFonts w:ascii="Calibri" w:hAnsi="Calibri"/>
          <w:rtl/>
        </w:rPr>
        <w:t xml:space="preserve"> </w:t>
      </w:r>
      <w:r w:rsidRPr="009A4A98">
        <w:rPr>
          <w:rFonts w:ascii="Calibri" w:hAnsi="Calibri" w:hint="eastAsia"/>
          <w:rtl/>
        </w:rPr>
        <w:t>המוחזק</w:t>
      </w:r>
      <w:r w:rsidRPr="009A4A98">
        <w:rPr>
          <w:rFonts w:ascii="Calibri" w:hAnsi="Calibri"/>
          <w:rtl/>
        </w:rPr>
        <w:t xml:space="preserve"> </w:t>
      </w:r>
      <w:r w:rsidRPr="009A4A98">
        <w:rPr>
          <w:rFonts w:ascii="Calibri" w:hAnsi="Calibri" w:hint="eastAsia"/>
          <w:rtl/>
        </w:rPr>
        <w:t>להנאה</w:t>
      </w:r>
      <w:r w:rsidRPr="009A4A98">
        <w:rPr>
          <w:rFonts w:ascii="Calibri" w:hAnsi="Calibri"/>
          <w:rtl/>
        </w:rPr>
        <w:t xml:space="preserve"> </w:t>
      </w:r>
      <w:r w:rsidRPr="009A4A98">
        <w:rPr>
          <w:rFonts w:ascii="Calibri" w:hAnsi="Calibri" w:hint="eastAsia"/>
          <w:rtl/>
        </w:rPr>
        <w:t>מעצם</w:t>
      </w:r>
      <w:r w:rsidRPr="009A4A98">
        <w:rPr>
          <w:rFonts w:ascii="Calibri" w:hAnsi="Calibri"/>
          <w:rtl/>
        </w:rPr>
        <w:t xml:space="preserve"> </w:t>
      </w:r>
      <w:r w:rsidRPr="009A4A98">
        <w:rPr>
          <w:rFonts w:ascii="Calibri" w:hAnsi="Calibri" w:hint="eastAsia"/>
          <w:rtl/>
        </w:rPr>
        <w:t>החזקתו</w:t>
      </w:r>
      <w:r w:rsidRPr="009A4A98">
        <w:rPr>
          <w:rFonts w:ascii="Calibri" w:hAnsi="Calibri"/>
          <w:rtl/>
        </w:rPr>
        <w:t xml:space="preserve"> </w:t>
      </w:r>
      <w:r w:rsidRPr="009A4A98">
        <w:rPr>
          <w:rFonts w:ascii="Calibri" w:hAnsi="Calibri" w:hint="eastAsia"/>
          <w:rtl/>
        </w:rPr>
        <w:t>או</w:t>
      </w:r>
      <w:r w:rsidRPr="009A4A98">
        <w:rPr>
          <w:rFonts w:ascii="Calibri" w:hAnsi="Calibri"/>
          <w:rtl/>
        </w:rPr>
        <w:t xml:space="preserve"> </w:t>
      </w:r>
      <w:r w:rsidRPr="009A4A98">
        <w:rPr>
          <w:rFonts w:ascii="Calibri" w:hAnsi="Calibri" w:hint="eastAsia"/>
          <w:rtl/>
        </w:rPr>
        <w:t>הצגתו</w:t>
      </w:r>
      <w:r w:rsidRPr="009A4A98">
        <w:rPr>
          <w:rFonts w:ascii="Calibri" w:hAnsi="Calibri"/>
          <w:rtl/>
        </w:rPr>
        <w:t xml:space="preserve">, </w:t>
      </w:r>
      <w:r w:rsidRPr="009A4A98">
        <w:rPr>
          <w:rFonts w:ascii="Calibri" w:hAnsi="Calibri" w:hint="eastAsia"/>
          <w:rtl/>
        </w:rPr>
        <w:t>אלא</w:t>
      </w:r>
      <w:r w:rsidRPr="009A4A98">
        <w:rPr>
          <w:rFonts w:ascii="Calibri" w:hAnsi="Calibri"/>
          <w:rtl/>
        </w:rPr>
        <w:t xml:space="preserve"> </w:t>
      </w:r>
      <w:r w:rsidRPr="009A4A98">
        <w:rPr>
          <w:rFonts w:ascii="Calibri" w:hAnsi="Calibri" w:hint="eastAsia"/>
          <w:rtl/>
        </w:rPr>
        <w:t>מוצר</w:t>
      </w:r>
      <w:r w:rsidRPr="009A4A98">
        <w:rPr>
          <w:rFonts w:ascii="Calibri" w:hAnsi="Calibri"/>
          <w:rtl/>
        </w:rPr>
        <w:t xml:space="preserve"> </w:t>
      </w:r>
      <w:r w:rsidRPr="009A4A98">
        <w:rPr>
          <w:rFonts w:ascii="Calibri" w:hAnsi="Calibri" w:hint="eastAsia"/>
          <w:rtl/>
        </w:rPr>
        <w:t>צריכה</w:t>
      </w:r>
      <w:r w:rsidRPr="009A4A98">
        <w:rPr>
          <w:rFonts w:ascii="Calibri" w:hAnsi="Calibri"/>
          <w:rtl/>
        </w:rPr>
        <w:t xml:space="preserve">, </w:t>
      </w:r>
      <w:r w:rsidRPr="009A4A98">
        <w:rPr>
          <w:rFonts w:ascii="Calibri" w:hAnsi="Calibri" w:hint="eastAsia"/>
          <w:rtl/>
        </w:rPr>
        <w:t>די</w:t>
      </w:r>
      <w:r w:rsidRPr="009A4A98">
        <w:rPr>
          <w:rFonts w:ascii="Calibri" w:hAnsi="Calibri"/>
          <w:rtl/>
        </w:rPr>
        <w:t xml:space="preserve"> </w:t>
      </w:r>
      <w:r w:rsidRPr="009A4A98">
        <w:rPr>
          <w:rFonts w:ascii="Calibri" w:hAnsi="Calibri" w:hint="eastAsia"/>
          <w:rtl/>
        </w:rPr>
        <w:t>יקר</w:t>
      </w:r>
      <w:r w:rsidRPr="009A4A98">
        <w:rPr>
          <w:rFonts w:ascii="Calibri" w:hAnsi="Calibri"/>
          <w:rtl/>
        </w:rPr>
        <w:t xml:space="preserve">, </w:t>
      </w:r>
      <w:r w:rsidRPr="009A4A98">
        <w:rPr>
          <w:rFonts w:ascii="Calibri" w:hAnsi="Calibri" w:hint="eastAsia"/>
          <w:rtl/>
        </w:rPr>
        <w:t>הנסחר</w:t>
      </w:r>
      <w:r w:rsidRPr="009A4A98">
        <w:rPr>
          <w:rFonts w:ascii="Calibri" w:hAnsi="Calibri"/>
          <w:rtl/>
        </w:rPr>
        <w:t xml:space="preserve"> </w:t>
      </w:r>
      <w:r w:rsidRPr="009A4A98">
        <w:rPr>
          <w:rFonts w:ascii="Calibri" w:hAnsi="Calibri" w:hint="eastAsia"/>
          <w:rtl/>
        </w:rPr>
        <w:t>בשוק</w:t>
      </w:r>
      <w:r w:rsidRPr="009A4A98">
        <w:rPr>
          <w:rFonts w:ascii="Calibri" w:hAnsi="Calibri"/>
          <w:rtl/>
        </w:rPr>
        <w:t xml:space="preserve"> </w:t>
      </w:r>
      <w:r w:rsidRPr="009A4A98">
        <w:rPr>
          <w:rFonts w:ascii="Calibri" w:hAnsi="Calibri" w:hint="eastAsia"/>
          <w:rtl/>
        </w:rPr>
        <w:t>של</w:t>
      </w:r>
      <w:r w:rsidRPr="009A4A98">
        <w:rPr>
          <w:rFonts w:ascii="Calibri" w:hAnsi="Calibri"/>
          <w:rtl/>
        </w:rPr>
        <w:t xml:space="preserve"> </w:t>
      </w:r>
      <w:r w:rsidRPr="009A4A98">
        <w:rPr>
          <w:rFonts w:ascii="Calibri" w:hAnsi="Calibri" w:hint="eastAsia"/>
          <w:rtl/>
        </w:rPr>
        <w:t>היצע</w:t>
      </w:r>
      <w:r w:rsidRPr="009A4A98">
        <w:rPr>
          <w:rFonts w:ascii="Calibri" w:hAnsi="Calibri"/>
          <w:rtl/>
        </w:rPr>
        <w:t xml:space="preserve"> </w:t>
      </w:r>
      <w:r w:rsidRPr="009A4A98">
        <w:rPr>
          <w:rFonts w:ascii="Calibri" w:hAnsi="Calibri" w:hint="eastAsia"/>
          <w:rtl/>
        </w:rPr>
        <w:t>וביקוש</w:t>
      </w:r>
      <w:r w:rsidRPr="009A4A98">
        <w:rPr>
          <w:rFonts w:ascii="Calibri" w:hAnsi="Calibri"/>
          <w:rtl/>
        </w:rPr>
        <w:t xml:space="preserve">. </w:t>
      </w:r>
      <w:r w:rsidRPr="009A4A98">
        <w:rPr>
          <w:rFonts w:ascii="Calibri" w:hAnsi="Calibri" w:hint="eastAsia"/>
          <w:rtl/>
        </w:rPr>
        <w:t>חזקה</w:t>
      </w:r>
      <w:r w:rsidRPr="009A4A98">
        <w:rPr>
          <w:rFonts w:ascii="Calibri" w:hAnsi="Calibri"/>
          <w:rtl/>
        </w:rPr>
        <w:t xml:space="preserve"> </w:t>
      </w:r>
      <w:r w:rsidRPr="009A4A98">
        <w:rPr>
          <w:rFonts w:ascii="Calibri" w:hAnsi="Calibri" w:hint="eastAsia"/>
          <w:rtl/>
        </w:rPr>
        <w:t>על</w:t>
      </w:r>
      <w:r w:rsidRPr="009A4A98">
        <w:rPr>
          <w:rFonts w:ascii="Calibri" w:hAnsi="Calibri"/>
          <w:rtl/>
        </w:rPr>
        <w:t xml:space="preserve"> </w:t>
      </w:r>
      <w:r w:rsidRPr="009A4A98">
        <w:rPr>
          <w:rFonts w:ascii="Calibri" w:hAnsi="Calibri" w:hint="eastAsia"/>
          <w:rtl/>
        </w:rPr>
        <w:t>מי</w:t>
      </w:r>
      <w:r w:rsidRPr="009A4A98">
        <w:rPr>
          <w:rFonts w:ascii="Calibri" w:hAnsi="Calibri"/>
          <w:rtl/>
        </w:rPr>
        <w:t xml:space="preserve"> </w:t>
      </w:r>
      <w:r w:rsidRPr="009A4A98">
        <w:rPr>
          <w:rFonts w:ascii="Calibri" w:hAnsi="Calibri" w:hint="eastAsia"/>
          <w:rtl/>
        </w:rPr>
        <w:t>שמחזיק</w:t>
      </w:r>
      <w:r w:rsidRPr="009A4A98">
        <w:rPr>
          <w:rFonts w:ascii="Calibri" w:hAnsi="Calibri"/>
          <w:rtl/>
        </w:rPr>
        <w:t xml:space="preserve"> </w:t>
      </w:r>
      <w:r w:rsidRPr="009A4A98">
        <w:rPr>
          <w:rFonts w:ascii="Calibri" w:hAnsi="Calibri" w:hint="eastAsia"/>
          <w:rtl/>
        </w:rPr>
        <w:t>בו</w:t>
      </w:r>
      <w:r w:rsidRPr="009A4A98">
        <w:rPr>
          <w:rFonts w:ascii="Calibri" w:hAnsi="Calibri"/>
          <w:rtl/>
        </w:rPr>
        <w:t xml:space="preserve"> </w:t>
      </w:r>
      <w:r w:rsidRPr="009A4A98">
        <w:rPr>
          <w:rFonts w:ascii="Calibri" w:hAnsi="Calibri" w:hint="eastAsia"/>
          <w:rtl/>
        </w:rPr>
        <w:t>בכמות</w:t>
      </w:r>
      <w:r w:rsidRPr="009A4A98">
        <w:rPr>
          <w:rFonts w:ascii="Calibri" w:hAnsi="Calibri"/>
          <w:rtl/>
        </w:rPr>
        <w:t xml:space="preserve"> </w:t>
      </w:r>
      <w:r w:rsidRPr="009A4A98">
        <w:rPr>
          <w:rFonts w:ascii="Calibri" w:hAnsi="Calibri" w:hint="eastAsia"/>
          <w:rtl/>
        </w:rPr>
        <w:t>מסחרית</w:t>
      </w:r>
      <w:r w:rsidRPr="009A4A98">
        <w:rPr>
          <w:rFonts w:ascii="Calibri" w:hAnsi="Calibri"/>
          <w:rtl/>
        </w:rPr>
        <w:t xml:space="preserve">, </w:t>
      </w:r>
      <w:r w:rsidRPr="009A4A98">
        <w:rPr>
          <w:rFonts w:ascii="Calibri" w:hAnsi="Calibri" w:hint="eastAsia"/>
          <w:rtl/>
        </w:rPr>
        <w:t>שהוא</w:t>
      </w:r>
      <w:r w:rsidRPr="009A4A98">
        <w:rPr>
          <w:rFonts w:ascii="Calibri" w:hAnsi="Calibri"/>
          <w:rtl/>
        </w:rPr>
        <w:t xml:space="preserve"> </w:t>
      </w:r>
      <w:r w:rsidRPr="009A4A98">
        <w:rPr>
          <w:rFonts w:ascii="Calibri" w:hAnsi="Calibri" w:hint="eastAsia"/>
          <w:rtl/>
        </w:rPr>
        <w:t>עושה</w:t>
      </w:r>
      <w:r w:rsidRPr="009A4A98">
        <w:rPr>
          <w:rFonts w:ascii="Calibri" w:hAnsi="Calibri"/>
          <w:rtl/>
        </w:rPr>
        <w:t xml:space="preserve"> </w:t>
      </w:r>
      <w:r w:rsidRPr="009A4A98">
        <w:rPr>
          <w:rFonts w:ascii="Calibri" w:hAnsi="Calibri" w:hint="eastAsia"/>
          <w:rtl/>
        </w:rPr>
        <w:t>זאת</w:t>
      </w:r>
      <w:r w:rsidRPr="009A4A98">
        <w:rPr>
          <w:rFonts w:ascii="Calibri" w:hAnsi="Calibri"/>
          <w:rtl/>
        </w:rPr>
        <w:t xml:space="preserve"> </w:t>
      </w:r>
      <w:r w:rsidRPr="009A4A98">
        <w:rPr>
          <w:rFonts w:ascii="Calibri" w:hAnsi="Calibri" w:hint="eastAsia"/>
          <w:rtl/>
        </w:rPr>
        <w:t>לשם</w:t>
      </w:r>
      <w:r w:rsidRPr="009A4A98">
        <w:rPr>
          <w:rFonts w:ascii="Calibri" w:hAnsi="Calibri"/>
          <w:rtl/>
        </w:rPr>
        <w:t xml:space="preserve"> </w:t>
      </w:r>
      <w:r w:rsidRPr="009A4A98">
        <w:rPr>
          <w:rFonts w:ascii="Calibri" w:hAnsi="Calibri" w:hint="eastAsia"/>
          <w:rtl/>
        </w:rPr>
        <w:t>סחר</w:t>
      </w:r>
      <w:r w:rsidRPr="009A4A98">
        <w:rPr>
          <w:rFonts w:ascii="Calibri" w:hAnsi="Calibri"/>
          <w:rtl/>
        </w:rPr>
        <w:t xml:space="preserve"> </w:t>
      </w:r>
      <w:r w:rsidRPr="009A4A98">
        <w:rPr>
          <w:rFonts w:ascii="Calibri" w:hAnsi="Calibri" w:hint="eastAsia"/>
          <w:rtl/>
        </w:rPr>
        <w:t>בו</w:t>
      </w:r>
      <w:r w:rsidRPr="009A4A98">
        <w:rPr>
          <w:rFonts w:ascii="Calibri" w:hAnsi="Calibri"/>
          <w:rtl/>
        </w:rPr>
        <w:t xml:space="preserve">. </w:t>
      </w:r>
      <w:r w:rsidRPr="009A4A98">
        <w:rPr>
          <w:rFonts w:ascii="Calibri" w:hAnsi="Calibri" w:hint="eastAsia"/>
          <w:rtl/>
        </w:rPr>
        <w:t>משכך</w:t>
      </w:r>
      <w:r w:rsidRPr="009A4A98">
        <w:rPr>
          <w:rFonts w:ascii="Calibri" w:hAnsi="Calibri"/>
          <w:rtl/>
        </w:rPr>
        <w:t xml:space="preserve">, </w:t>
      </w:r>
      <w:r w:rsidRPr="009A4A98">
        <w:rPr>
          <w:rFonts w:ascii="Calibri" w:hAnsi="Calibri" w:hint="eastAsia"/>
          <w:rtl/>
        </w:rPr>
        <w:t>אין</w:t>
      </w:r>
      <w:r w:rsidRPr="009A4A98">
        <w:rPr>
          <w:rFonts w:ascii="Calibri" w:hAnsi="Calibri"/>
          <w:rtl/>
        </w:rPr>
        <w:t xml:space="preserve"> </w:t>
      </w:r>
      <w:r w:rsidRPr="009A4A98">
        <w:rPr>
          <w:rFonts w:ascii="Calibri" w:hAnsi="Calibri" w:hint="eastAsia"/>
          <w:rtl/>
        </w:rPr>
        <w:t>הבדל</w:t>
      </w:r>
      <w:r w:rsidRPr="009A4A98">
        <w:rPr>
          <w:rFonts w:ascii="Calibri" w:hAnsi="Calibri"/>
          <w:rtl/>
        </w:rPr>
        <w:t xml:space="preserve"> </w:t>
      </w:r>
      <w:r w:rsidRPr="009A4A98">
        <w:rPr>
          <w:rFonts w:ascii="Calibri" w:hAnsi="Calibri" w:hint="eastAsia"/>
          <w:rtl/>
        </w:rPr>
        <w:t>עקרוני</w:t>
      </w:r>
      <w:r w:rsidRPr="009A4A98">
        <w:rPr>
          <w:rFonts w:ascii="Calibri" w:hAnsi="Calibri"/>
          <w:rtl/>
        </w:rPr>
        <w:t xml:space="preserve"> </w:t>
      </w:r>
      <w:r w:rsidRPr="009A4A98">
        <w:rPr>
          <w:rFonts w:ascii="Calibri" w:hAnsi="Calibri" w:hint="eastAsia"/>
          <w:rtl/>
        </w:rPr>
        <w:t>מהותי</w:t>
      </w:r>
      <w:r w:rsidRPr="009A4A98">
        <w:rPr>
          <w:rFonts w:ascii="Calibri" w:hAnsi="Calibri"/>
          <w:rtl/>
        </w:rPr>
        <w:t xml:space="preserve"> </w:t>
      </w:r>
      <w:r w:rsidRPr="009A4A98">
        <w:rPr>
          <w:rFonts w:ascii="Calibri" w:hAnsi="Calibri" w:hint="eastAsia"/>
          <w:rtl/>
        </w:rPr>
        <w:t>בין</w:t>
      </w:r>
      <w:r w:rsidRPr="009A4A98">
        <w:rPr>
          <w:rFonts w:ascii="Calibri" w:hAnsi="Calibri"/>
          <w:rtl/>
        </w:rPr>
        <w:t xml:space="preserve"> </w:t>
      </w:r>
      <w:r w:rsidRPr="009A4A98">
        <w:rPr>
          <w:rFonts w:ascii="Calibri" w:hAnsi="Calibri" w:hint="eastAsia"/>
          <w:rtl/>
        </w:rPr>
        <w:t>חומרת</w:t>
      </w:r>
      <w:r w:rsidRPr="009A4A98">
        <w:rPr>
          <w:rFonts w:ascii="Calibri" w:hAnsi="Calibri"/>
          <w:rtl/>
        </w:rPr>
        <w:t xml:space="preserve"> </w:t>
      </w:r>
      <w:r w:rsidRPr="009A4A98">
        <w:rPr>
          <w:rFonts w:ascii="Calibri" w:hAnsi="Calibri" w:hint="eastAsia"/>
          <w:rtl/>
        </w:rPr>
        <w:t>מעשה</w:t>
      </w:r>
      <w:r w:rsidRPr="009A4A98">
        <w:rPr>
          <w:rFonts w:ascii="Calibri" w:hAnsi="Calibri"/>
          <w:rtl/>
        </w:rPr>
        <w:t xml:space="preserve"> </w:t>
      </w:r>
      <w:r w:rsidRPr="009A4A98">
        <w:rPr>
          <w:rFonts w:ascii="Calibri" w:hAnsi="Calibri" w:hint="eastAsia"/>
          <w:rtl/>
        </w:rPr>
        <w:t>ההחזקה</w:t>
      </w:r>
      <w:r w:rsidRPr="009A4A98">
        <w:rPr>
          <w:rFonts w:ascii="Calibri" w:hAnsi="Calibri"/>
          <w:rtl/>
        </w:rPr>
        <w:t xml:space="preserve">  </w:t>
      </w:r>
      <w:r w:rsidRPr="009A4A98">
        <w:rPr>
          <w:rFonts w:ascii="Calibri" w:hAnsi="Calibri" w:hint="eastAsia"/>
          <w:rtl/>
        </w:rPr>
        <w:t>בסם</w:t>
      </w:r>
      <w:r w:rsidRPr="009A4A98">
        <w:rPr>
          <w:rFonts w:ascii="Calibri" w:hAnsi="Calibri"/>
          <w:rtl/>
        </w:rPr>
        <w:t xml:space="preserve"> </w:t>
      </w:r>
      <w:r w:rsidRPr="009A4A98">
        <w:rPr>
          <w:rFonts w:ascii="Calibri" w:hAnsi="Calibri" w:hint="eastAsia"/>
          <w:rtl/>
        </w:rPr>
        <w:t>לשם</w:t>
      </w:r>
      <w:r w:rsidRPr="009A4A98">
        <w:rPr>
          <w:rFonts w:ascii="Calibri" w:hAnsi="Calibri"/>
          <w:rtl/>
        </w:rPr>
        <w:t xml:space="preserve"> </w:t>
      </w:r>
      <w:r w:rsidRPr="009A4A98">
        <w:rPr>
          <w:rFonts w:ascii="Calibri" w:hAnsi="Calibri" w:hint="eastAsia"/>
          <w:rtl/>
        </w:rPr>
        <w:t>סחר</w:t>
      </w:r>
      <w:r w:rsidRPr="009A4A98">
        <w:rPr>
          <w:rFonts w:ascii="Calibri" w:hAnsi="Calibri"/>
          <w:rtl/>
        </w:rPr>
        <w:t xml:space="preserve"> </w:t>
      </w:r>
      <w:r w:rsidRPr="009A4A98">
        <w:rPr>
          <w:rFonts w:ascii="Calibri" w:hAnsi="Calibri" w:hint="eastAsia"/>
          <w:rtl/>
        </w:rPr>
        <w:t>בו</w:t>
      </w:r>
      <w:r w:rsidRPr="009A4A98">
        <w:rPr>
          <w:rFonts w:ascii="Calibri" w:hAnsi="Calibri"/>
          <w:rtl/>
        </w:rPr>
        <w:t xml:space="preserve">, </w:t>
      </w:r>
      <w:r w:rsidRPr="009A4A98">
        <w:rPr>
          <w:rFonts w:ascii="Calibri" w:hAnsi="Calibri" w:hint="eastAsia"/>
          <w:rtl/>
        </w:rPr>
        <w:t>לחומרת</w:t>
      </w:r>
      <w:r w:rsidRPr="009A4A98">
        <w:rPr>
          <w:rFonts w:ascii="Calibri" w:hAnsi="Calibri"/>
          <w:rtl/>
        </w:rPr>
        <w:t xml:space="preserve"> </w:t>
      </w:r>
      <w:r w:rsidRPr="009A4A98">
        <w:rPr>
          <w:rFonts w:ascii="Calibri" w:hAnsi="Calibri" w:hint="eastAsia"/>
          <w:rtl/>
        </w:rPr>
        <w:t>מעשה</w:t>
      </w:r>
      <w:r w:rsidRPr="009A4A98">
        <w:rPr>
          <w:rFonts w:ascii="Calibri" w:hAnsi="Calibri"/>
          <w:rtl/>
        </w:rPr>
        <w:t xml:space="preserve"> </w:t>
      </w:r>
      <w:r w:rsidRPr="009A4A98">
        <w:rPr>
          <w:rFonts w:ascii="Calibri" w:hAnsi="Calibri" w:hint="eastAsia"/>
          <w:rtl/>
        </w:rPr>
        <w:t>הסחר</w:t>
      </w:r>
      <w:r w:rsidRPr="009A4A98">
        <w:rPr>
          <w:rFonts w:ascii="Calibri" w:hAnsi="Calibri"/>
          <w:rtl/>
        </w:rPr>
        <w:t xml:space="preserve"> </w:t>
      </w:r>
      <w:r w:rsidRPr="009A4A98">
        <w:rPr>
          <w:rFonts w:ascii="Calibri" w:hAnsi="Calibri" w:hint="eastAsia"/>
          <w:rtl/>
        </w:rPr>
        <w:t>בסם</w:t>
      </w:r>
      <w:r w:rsidRPr="009A4A98">
        <w:rPr>
          <w:rFonts w:ascii="Calibri" w:hAnsi="Calibri"/>
          <w:rtl/>
        </w:rPr>
        <w:t xml:space="preserve">. </w:t>
      </w:r>
      <w:r w:rsidRPr="009A4A98">
        <w:rPr>
          <w:rFonts w:ascii="Calibri" w:hAnsi="Calibri" w:hint="eastAsia"/>
          <w:rtl/>
        </w:rPr>
        <w:t>שני</w:t>
      </w:r>
      <w:r w:rsidRPr="009A4A98">
        <w:rPr>
          <w:rFonts w:ascii="Calibri" w:hAnsi="Calibri"/>
          <w:rtl/>
        </w:rPr>
        <w:t xml:space="preserve"> </w:t>
      </w:r>
      <w:r w:rsidRPr="009A4A98">
        <w:rPr>
          <w:rFonts w:ascii="Calibri" w:hAnsi="Calibri" w:hint="eastAsia"/>
          <w:rtl/>
        </w:rPr>
        <w:t>המעשים</w:t>
      </w:r>
      <w:r w:rsidRPr="009A4A98">
        <w:rPr>
          <w:rFonts w:ascii="Calibri" w:hAnsi="Calibri"/>
          <w:rtl/>
        </w:rPr>
        <w:t xml:space="preserve"> </w:t>
      </w:r>
      <w:r w:rsidRPr="009A4A98">
        <w:rPr>
          <w:rFonts w:ascii="Calibri" w:hAnsi="Calibri" w:hint="eastAsia"/>
          <w:rtl/>
        </w:rPr>
        <w:t>נועדו</w:t>
      </w:r>
      <w:r w:rsidRPr="009A4A98">
        <w:rPr>
          <w:rFonts w:ascii="Calibri" w:hAnsi="Calibri"/>
          <w:rtl/>
        </w:rPr>
        <w:t xml:space="preserve"> </w:t>
      </w:r>
      <w:r w:rsidRPr="009A4A98">
        <w:rPr>
          <w:rFonts w:ascii="Calibri" w:hAnsi="Calibri" w:hint="eastAsia"/>
          <w:rtl/>
        </w:rPr>
        <w:t>בסופו</w:t>
      </w:r>
      <w:r w:rsidRPr="009A4A98">
        <w:rPr>
          <w:rFonts w:ascii="Calibri" w:hAnsi="Calibri"/>
          <w:rtl/>
        </w:rPr>
        <w:t xml:space="preserve"> </w:t>
      </w:r>
      <w:r w:rsidRPr="009A4A98">
        <w:rPr>
          <w:rFonts w:ascii="Calibri" w:hAnsi="Calibri" w:hint="eastAsia"/>
          <w:rtl/>
        </w:rPr>
        <w:t>של</w:t>
      </w:r>
      <w:r w:rsidRPr="009A4A98">
        <w:rPr>
          <w:rFonts w:ascii="Calibri" w:hAnsi="Calibri"/>
          <w:rtl/>
        </w:rPr>
        <w:t xml:space="preserve"> </w:t>
      </w:r>
      <w:r w:rsidRPr="009A4A98">
        <w:rPr>
          <w:rFonts w:ascii="Calibri" w:hAnsi="Calibri" w:hint="eastAsia"/>
          <w:rtl/>
        </w:rPr>
        <w:t>דבר</w:t>
      </w:r>
      <w:r w:rsidRPr="009A4A98">
        <w:rPr>
          <w:rFonts w:ascii="Calibri" w:hAnsi="Calibri"/>
          <w:rtl/>
        </w:rPr>
        <w:t xml:space="preserve"> </w:t>
      </w:r>
      <w:r w:rsidRPr="009A4A98">
        <w:rPr>
          <w:rFonts w:ascii="Calibri" w:hAnsi="Calibri" w:hint="eastAsia"/>
          <w:rtl/>
        </w:rPr>
        <w:t>לסחר</w:t>
      </w:r>
      <w:r w:rsidRPr="009A4A98">
        <w:rPr>
          <w:rFonts w:ascii="Calibri" w:hAnsi="Calibri"/>
          <w:rtl/>
        </w:rPr>
        <w:t xml:space="preserve"> </w:t>
      </w:r>
      <w:r w:rsidRPr="009A4A98">
        <w:rPr>
          <w:rFonts w:ascii="Calibri" w:hAnsi="Calibri" w:hint="eastAsia"/>
          <w:rtl/>
        </w:rPr>
        <w:t>בסם</w:t>
      </w:r>
      <w:r w:rsidRPr="009A4A98">
        <w:rPr>
          <w:rFonts w:ascii="Calibri" w:hAnsi="Calibri"/>
          <w:rtl/>
        </w:rPr>
        <w:t xml:space="preserve">. </w:t>
      </w:r>
      <w:r w:rsidRPr="009A4A98">
        <w:rPr>
          <w:rFonts w:ascii="Calibri" w:hAnsi="Calibri" w:hint="eastAsia"/>
          <w:rtl/>
        </w:rPr>
        <w:t>המדובר</w:t>
      </w:r>
      <w:r w:rsidRPr="009A4A98">
        <w:rPr>
          <w:rFonts w:ascii="Calibri" w:hAnsi="Calibri"/>
          <w:rtl/>
        </w:rPr>
        <w:t xml:space="preserve"> </w:t>
      </w:r>
      <w:r w:rsidRPr="009A4A98">
        <w:rPr>
          <w:rFonts w:ascii="Calibri" w:hAnsi="Calibri" w:hint="eastAsia"/>
          <w:rtl/>
        </w:rPr>
        <w:t>בשלבים</w:t>
      </w:r>
      <w:r w:rsidRPr="009A4A98">
        <w:rPr>
          <w:rFonts w:ascii="Calibri" w:hAnsi="Calibri"/>
          <w:rtl/>
        </w:rPr>
        <w:t xml:space="preserve"> </w:t>
      </w:r>
      <w:r w:rsidRPr="009A4A98">
        <w:rPr>
          <w:rFonts w:ascii="Calibri" w:hAnsi="Calibri" w:hint="eastAsia"/>
          <w:rtl/>
        </w:rPr>
        <w:t>עוקבים</w:t>
      </w:r>
      <w:r w:rsidRPr="009A4A98">
        <w:rPr>
          <w:rFonts w:ascii="Calibri" w:hAnsi="Calibri"/>
          <w:rtl/>
        </w:rPr>
        <w:t xml:space="preserve"> </w:t>
      </w:r>
      <w:r w:rsidRPr="009A4A98">
        <w:rPr>
          <w:rFonts w:ascii="Calibri" w:hAnsi="Calibri" w:hint="eastAsia"/>
          <w:rtl/>
        </w:rPr>
        <w:t>על</w:t>
      </w:r>
      <w:r w:rsidRPr="009A4A98">
        <w:rPr>
          <w:rFonts w:ascii="Calibri" w:hAnsi="Calibri"/>
          <w:rtl/>
        </w:rPr>
        <w:t xml:space="preserve"> </w:t>
      </w:r>
      <w:r w:rsidRPr="009A4A98">
        <w:rPr>
          <w:rFonts w:ascii="Calibri" w:hAnsi="Calibri" w:hint="eastAsia"/>
          <w:rtl/>
        </w:rPr>
        <w:t>פני</w:t>
      </w:r>
      <w:r w:rsidRPr="009A4A98">
        <w:rPr>
          <w:rFonts w:ascii="Calibri" w:hAnsi="Calibri"/>
          <w:rtl/>
        </w:rPr>
        <w:t xml:space="preserve"> </w:t>
      </w:r>
      <w:r w:rsidRPr="009A4A98">
        <w:rPr>
          <w:rFonts w:ascii="Calibri" w:hAnsi="Calibri" w:hint="eastAsia"/>
          <w:rtl/>
        </w:rPr>
        <w:t>אותו</w:t>
      </w:r>
      <w:r w:rsidRPr="009A4A98">
        <w:rPr>
          <w:rFonts w:ascii="Calibri" w:hAnsi="Calibri"/>
          <w:rtl/>
        </w:rPr>
        <w:t xml:space="preserve"> </w:t>
      </w:r>
      <w:r w:rsidRPr="009A4A98">
        <w:rPr>
          <w:rFonts w:ascii="Calibri" w:hAnsi="Calibri" w:hint="eastAsia"/>
          <w:rtl/>
        </w:rPr>
        <w:t>מסלול</w:t>
      </w:r>
      <w:r w:rsidRPr="009A4A98">
        <w:rPr>
          <w:rFonts w:ascii="Calibri" w:hAnsi="Calibri"/>
          <w:rtl/>
        </w:rPr>
        <w:t xml:space="preserve">. </w:t>
      </w:r>
      <w:r w:rsidRPr="009A4A98">
        <w:rPr>
          <w:rFonts w:ascii="Calibri" w:hAnsi="Calibri" w:hint="eastAsia"/>
          <w:rtl/>
        </w:rPr>
        <w:t>כמובן</w:t>
      </w:r>
      <w:r w:rsidRPr="009A4A98">
        <w:rPr>
          <w:rFonts w:ascii="Calibri" w:hAnsi="Calibri"/>
          <w:rtl/>
        </w:rPr>
        <w:t xml:space="preserve"> </w:t>
      </w:r>
      <w:r w:rsidRPr="009A4A98">
        <w:rPr>
          <w:rFonts w:ascii="Calibri" w:hAnsi="Calibri" w:hint="eastAsia"/>
          <w:rtl/>
        </w:rPr>
        <w:t>שכאשר</w:t>
      </w:r>
      <w:r w:rsidRPr="009A4A98">
        <w:rPr>
          <w:rFonts w:ascii="Calibri" w:hAnsi="Calibri"/>
          <w:rtl/>
        </w:rPr>
        <w:t xml:space="preserve"> </w:t>
      </w:r>
      <w:r w:rsidRPr="009A4A98">
        <w:rPr>
          <w:rFonts w:ascii="Calibri" w:hAnsi="Calibri" w:hint="eastAsia"/>
          <w:rtl/>
        </w:rPr>
        <w:t>הסמים</w:t>
      </w:r>
      <w:r w:rsidRPr="009A4A98">
        <w:rPr>
          <w:rFonts w:ascii="Calibri" w:hAnsi="Calibri"/>
          <w:rtl/>
        </w:rPr>
        <w:t xml:space="preserve"> </w:t>
      </w:r>
      <w:r w:rsidRPr="009A4A98">
        <w:rPr>
          <w:rFonts w:ascii="Calibri" w:hAnsi="Calibri" w:hint="eastAsia"/>
          <w:rtl/>
        </w:rPr>
        <w:t>נתפסים</w:t>
      </w:r>
      <w:r w:rsidRPr="009A4A98">
        <w:rPr>
          <w:rFonts w:ascii="Calibri" w:hAnsi="Calibri"/>
          <w:rtl/>
        </w:rPr>
        <w:t xml:space="preserve"> </w:t>
      </w:r>
      <w:r w:rsidRPr="009A4A98">
        <w:rPr>
          <w:rFonts w:ascii="Calibri" w:hAnsi="Calibri" w:hint="eastAsia"/>
          <w:rtl/>
        </w:rPr>
        <w:t>לפני</w:t>
      </w:r>
      <w:r w:rsidRPr="009A4A98">
        <w:rPr>
          <w:rFonts w:ascii="Calibri" w:hAnsi="Calibri"/>
          <w:rtl/>
        </w:rPr>
        <w:t xml:space="preserve"> </w:t>
      </w:r>
      <w:r w:rsidRPr="009A4A98">
        <w:rPr>
          <w:rFonts w:ascii="Calibri" w:hAnsi="Calibri" w:hint="eastAsia"/>
          <w:rtl/>
        </w:rPr>
        <w:t>העברתם</w:t>
      </w:r>
      <w:r w:rsidRPr="009A4A98">
        <w:rPr>
          <w:rFonts w:ascii="Calibri" w:hAnsi="Calibri"/>
          <w:rtl/>
        </w:rPr>
        <w:t xml:space="preserve"> </w:t>
      </w:r>
      <w:r w:rsidRPr="009A4A98">
        <w:rPr>
          <w:rFonts w:ascii="Calibri" w:hAnsi="Calibri" w:hint="eastAsia"/>
          <w:rtl/>
        </w:rPr>
        <w:t>לאחר</w:t>
      </w:r>
      <w:r w:rsidRPr="009A4A98">
        <w:rPr>
          <w:rFonts w:ascii="Calibri" w:hAnsi="Calibri"/>
          <w:rtl/>
        </w:rPr>
        <w:t xml:space="preserve">, </w:t>
      </w:r>
      <w:r w:rsidRPr="009A4A98">
        <w:rPr>
          <w:rFonts w:ascii="Calibri" w:hAnsi="Calibri" w:hint="eastAsia"/>
          <w:rtl/>
        </w:rPr>
        <w:t>הנזק</w:t>
      </w:r>
      <w:r w:rsidRPr="009A4A98">
        <w:rPr>
          <w:rFonts w:ascii="Calibri" w:hAnsi="Calibri"/>
          <w:rtl/>
        </w:rPr>
        <w:t xml:space="preserve"> </w:t>
      </w:r>
      <w:r w:rsidRPr="009A4A98">
        <w:rPr>
          <w:rFonts w:ascii="Calibri" w:hAnsi="Calibri" w:hint="eastAsia"/>
          <w:rtl/>
        </w:rPr>
        <w:t>שבהגעת</w:t>
      </w:r>
      <w:r w:rsidRPr="009A4A98">
        <w:rPr>
          <w:rFonts w:ascii="Calibri" w:hAnsi="Calibri"/>
          <w:rtl/>
        </w:rPr>
        <w:t xml:space="preserve"> </w:t>
      </w:r>
      <w:r w:rsidRPr="009A4A98">
        <w:rPr>
          <w:rFonts w:ascii="Calibri" w:hAnsi="Calibri" w:hint="eastAsia"/>
          <w:rtl/>
        </w:rPr>
        <w:t>הסם</w:t>
      </w:r>
      <w:r w:rsidRPr="009A4A98">
        <w:rPr>
          <w:rFonts w:ascii="Calibri" w:hAnsi="Calibri"/>
          <w:rtl/>
        </w:rPr>
        <w:t xml:space="preserve"> </w:t>
      </w:r>
      <w:r w:rsidRPr="009A4A98">
        <w:rPr>
          <w:rFonts w:ascii="Calibri" w:hAnsi="Calibri" w:hint="eastAsia"/>
          <w:rtl/>
        </w:rPr>
        <w:t>אל</w:t>
      </w:r>
      <w:r w:rsidRPr="009A4A98">
        <w:rPr>
          <w:rFonts w:ascii="Calibri" w:hAnsi="Calibri"/>
          <w:rtl/>
        </w:rPr>
        <w:t xml:space="preserve"> </w:t>
      </w:r>
      <w:r w:rsidRPr="009A4A98">
        <w:rPr>
          <w:rFonts w:ascii="Calibri" w:hAnsi="Calibri" w:hint="eastAsia"/>
          <w:rtl/>
        </w:rPr>
        <w:t>הצרכן</w:t>
      </w:r>
      <w:r w:rsidRPr="009A4A98">
        <w:rPr>
          <w:rFonts w:ascii="Calibri" w:hAnsi="Calibri"/>
          <w:rtl/>
        </w:rPr>
        <w:t xml:space="preserve"> </w:t>
      </w:r>
      <w:r w:rsidRPr="009A4A98">
        <w:rPr>
          <w:rFonts w:ascii="Calibri" w:hAnsi="Calibri" w:hint="eastAsia"/>
          <w:rtl/>
        </w:rPr>
        <w:t>נמנע</w:t>
      </w:r>
      <w:r w:rsidRPr="009A4A98">
        <w:rPr>
          <w:rFonts w:ascii="Calibri" w:hAnsi="Calibri"/>
          <w:rtl/>
        </w:rPr>
        <w:t xml:space="preserve">, </w:t>
      </w:r>
      <w:r w:rsidRPr="009A4A98">
        <w:rPr>
          <w:rFonts w:ascii="Calibri" w:hAnsi="Calibri" w:hint="eastAsia"/>
          <w:rtl/>
        </w:rPr>
        <w:t>אך</w:t>
      </w:r>
      <w:r w:rsidRPr="009A4A98">
        <w:rPr>
          <w:rFonts w:ascii="Calibri" w:hAnsi="Calibri"/>
          <w:rtl/>
        </w:rPr>
        <w:t xml:space="preserve"> </w:t>
      </w:r>
      <w:r w:rsidRPr="009A4A98">
        <w:rPr>
          <w:rFonts w:ascii="Calibri" w:hAnsi="Calibri" w:hint="eastAsia"/>
          <w:rtl/>
        </w:rPr>
        <w:t>הדבר</w:t>
      </w:r>
      <w:r w:rsidRPr="009A4A98">
        <w:rPr>
          <w:rFonts w:ascii="Calibri" w:hAnsi="Calibri"/>
          <w:rtl/>
        </w:rPr>
        <w:t xml:space="preserve"> </w:t>
      </w:r>
      <w:r w:rsidRPr="009A4A98">
        <w:rPr>
          <w:rFonts w:ascii="Calibri" w:hAnsi="Calibri" w:hint="eastAsia"/>
          <w:rtl/>
        </w:rPr>
        <w:t>איננו</w:t>
      </w:r>
      <w:r w:rsidRPr="009A4A98">
        <w:rPr>
          <w:rFonts w:ascii="Calibri" w:hAnsi="Calibri"/>
          <w:rtl/>
        </w:rPr>
        <w:t xml:space="preserve"> </w:t>
      </w:r>
      <w:r w:rsidRPr="009A4A98">
        <w:rPr>
          <w:rFonts w:ascii="Calibri" w:hAnsi="Calibri" w:hint="eastAsia"/>
          <w:rtl/>
        </w:rPr>
        <w:t>מפחית</w:t>
      </w:r>
      <w:r w:rsidRPr="009A4A98">
        <w:rPr>
          <w:rFonts w:ascii="Calibri" w:hAnsi="Calibri"/>
          <w:rtl/>
        </w:rPr>
        <w:t xml:space="preserve"> </w:t>
      </w:r>
      <w:r w:rsidRPr="009A4A98">
        <w:rPr>
          <w:rFonts w:ascii="Calibri" w:hAnsi="Calibri" w:hint="eastAsia"/>
          <w:rtl/>
        </w:rPr>
        <w:t>מחומרת</w:t>
      </w:r>
      <w:r w:rsidRPr="009A4A98">
        <w:rPr>
          <w:rFonts w:ascii="Calibri" w:hAnsi="Calibri"/>
          <w:rtl/>
        </w:rPr>
        <w:t xml:space="preserve"> </w:t>
      </w:r>
      <w:r w:rsidRPr="009A4A98">
        <w:rPr>
          <w:rFonts w:ascii="Calibri" w:hAnsi="Calibri" w:hint="eastAsia"/>
          <w:rtl/>
        </w:rPr>
        <w:t>מעשה</w:t>
      </w:r>
      <w:r w:rsidRPr="009A4A98">
        <w:rPr>
          <w:rFonts w:ascii="Calibri" w:hAnsi="Calibri"/>
          <w:rtl/>
        </w:rPr>
        <w:t xml:space="preserve"> </w:t>
      </w:r>
      <w:r w:rsidRPr="009A4A98">
        <w:rPr>
          <w:rFonts w:ascii="Calibri" w:hAnsi="Calibri" w:hint="eastAsia"/>
          <w:rtl/>
        </w:rPr>
        <w:t>המחזיק</w:t>
      </w:r>
      <w:r w:rsidRPr="009A4A98">
        <w:rPr>
          <w:rFonts w:ascii="Calibri" w:hAnsi="Calibri"/>
          <w:rtl/>
        </w:rPr>
        <w:t xml:space="preserve">, </w:t>
      </w:r>
      <w:r w:rsidRPr="009A4A98">
        <w:rPr>
          <w:rFonts w:ascii="Calibri" w:hAnsi="Calibri" w:hint="eastAsia"/>
          <w:rtl/>
        </w:rPr>
        <w:t>שתפיסת</w:t>
      </w:r>
      <w:r w:rsidRPr="009A4A98">
        <w:rPr>
          <w:rFonts w:ascii="Calibri" w:hAnsi="Calibri"/>
          <w:rtl/>
        </w:rPr>
        <w:t xml:space="preserve"> </w:t>
      </w:r>
      <w:r w:rsidRPr="009A4A98">
        <w:rPr>
          <w:rFonts w:ascii="Calibri" w:hAnsi="Calibri" w:hint="eastAsia"/>
          <w:rtl/>
        </w:rPr>
        <w:t>הסם</w:t>
      </w:r>
      <w:r w:rsidRPr="009A4A98">
        <w:rPr>
          <w:rFonts w:ascii="Calibri" w:hAnsi="Calibri"/>
          <w:rtl/>
        </w:rPr>
        <w:t xml:space="preserve"> </w:t>
      </w:r>
      <w:r w:rsidRPr="009A4A98">
        <w:rPr>
          <w:rFonts w:ascii="Calibri" w:hAnsi="Calibri" w:hint="eastAsia"/>
          <w:rtl/>
        </w:rPr>
        <w:t>שהוא</w:t>
      </w:r>
      <w:r w:rsidRPr="009A4A98">
        <w:rPr>
          <w:rFonts w:ascii="Calibri" w:hAnsi="Calibri"/>
          <w:rtl/>
        </w:rPr>
        <w:t xml:space="preserve"> </w:t>
      </w:r>
      <w:r w:rsidRPr="009A4A98">
        <w:rPr>
          <w:rFonts w:ascii="Calibri" w:hAnsi="Calibri" w:hint="eastAsia"/>
          <w:rtl/>
        </w:rPr>
        <w:t>החזיק</w:t>
      </w:r>
      <w:r w:rsidRPr="009A4A98">
        <w:rPr>
          <w:rFonts w:ascii="Calibri" w:hAnsi="Calibri"/>
          <w:rtl/>
        </w:rPr>
        <w:t xml:space="preserve"> </w:t>
      </w:r>
      <w:r w:rsidRPr="009A4A98">
        <w:rPr>
          <w:rFonts w:ascii="Calibri" w:hAnsi="Calibri" w:hint="eastAsia"/>
          <w:rtl/>
        </w:rPr>
        <w:t>נכפתה</w:t>
      </w:r>
      <w:r w:rsidRPr="009A4A98">
        <w:rPr>
          <w:rFonts w:ascii="Calibri" w:hAnsi="Calibri"/>
          <w:rtl/>
        </w:rPr>
        <w:t xml:space="preserve"> </w:t>
      </w:r>
      <w:r w:rsidRPr="009A4A98">
        <w:rPr>
          <w:rFonts w:ascii="Calibri" w:hAnsi="Calibri" w:hint="eastAsia"/>
          <w:rtl/>
        </w:rPr>
        <w:t>עליו</w:t>
      </w:r>
      <w:r w:rsidRPr="009A4A98">
        <w:rPr>
          <w:rFonts w:ascii="Calibri" w:hAnsi="Calibri"/>
          <w:rtl/>
        </w:rPr>
        <w:t xml:space="preserve"> </w:t>
      </w:r>
      <w:r w:rsidRPr="009A4A98">
        <w:rPr>
          <w:rFonts w:ascii="Calibri" w:hAnsi="Calibri" w:hint="eastAsia"/>
          <w:rtl/>
        </w:rPr>
        <w:t>ולא</w:t>
      </w:r>
      <w:r w:rsidRPr="009A4A98">
        <w:rPr>
          <w:rFonts w:ascii="Calibri" w:hAnsi="Calibri"/>
          <w:rtl/>
        </w:rPr>
        <w:t xml:space="preserve"> </w:t>
      </w:r>
      <w:r w:rsidRPr="009A4A98">
        <w:rPr>
          <w:rFonts w:ascii="Calibri" w:hAnsi="Calibri" w:hint="eastAsia"/>
          <w:rtl/>
        </w:rPr>
        <w:t>ניזומה</w:t>
      </w:r>
      <w:r w:rsidRPr="009A4A98">
        <w:rPr>
          <w:rFonts w:ascii="Calibri" w:hAnsi="Calibri"/>
          <w:rtl/>
        </w:rPr>
        <w:t xml:space="preserve"> </w:t>
      </w:r>
      <w:r w:rsidRPr="009A4A98">
        <w:rPr>
          <w:rFonts w:ascii="Calibri" w:hAnsi="Calibri" w:hint="eastAsia"/>
          <w:rtl/>
        </w:rPr>
        <w:t>על</w:t>
      </w:r>
      <w:r w:rsidRPr="009A4A98">
        <w:rPr>
          <w:rFonts w:ascii="Calibri" w:hAnsi="Calibri"/>
          <w:rtl/>
        </w:rPr>
        <w:t xml:space="preserve"> </w:t>
      </w:r>
      <w:r w:rsidRPr="009A4A98">
        <w:rPr>
          <w:rFonts w:ascii="Calibri" w:hAnsi="Calibri" w:hint="eastAsia"/>
          <w:rtl/>
        </w:rPr>
        <w:t>ידו</w:t>
      </w:r>
      <w:r w:rsidRPr="009A4A98">
        <w:rPr>
          <w:rFonts w:ascii="Calibri" w:hAnsi="Calibri"/>
          <w:rtl/>
        </w:rPr>
        <w:t xml:space="preserve">. </w:t>
      </w:r>
      <w:r w:rsidRPr="009A4A98">
        <w:rPr>
          <w:rFonts w:ascii="Calibri" w:hAnsi="Calibri" w:hint="eastAsia"/>
          <w:rtl/>
        </w:rPr>
        <w:t>העונש</w:t>
      </w:r>
      <w:r w:rsidRPr="009A4A98">
        <w:rPr>
          <w:rFonts w:ascii="Calibri" w:hAnsi="Calibri"/>
          <w:rtl/>
        </w:rPr>
        <w:t xml:space="preserve"> </w:t>
      </w:r>
      <w:r w:rsidRPr="009A4A98">
        <w:rPr>
          <w:rFonts w:ascii="Calibri" w:hAnsi="Calibri" w:hint="eastAsia"/>
          <w:rtl/>
        </w:rPr>
        <w:t>הקבוע</w:t>
      </w:r>
      <w:r w:rsidRPr="009A4A98">
        <w:rPr>
          <w:rFonts w:ascii="Calibri" w:hAnsi="Calibri"/>
          <w:rtl/>
        </w:rPr>
        <w:t xml:space="preserve"> </w:t>
      </w:r>
      <w:r w:rsidRPr="009A4A98">
        <w:rPr>
          <w:rFonts w:ascii="Calibri" w:hAnsi="Calibri" w:hint="eastAsia"/>
          <w:rtl/>
        </w:rPr>
        <w:t>לצד</w:t>
      </w:r>
      <w:r w:rsidRPr="009A4A98">
        <w:rPr>
          <w:rFonts w:ascii="Calibri" w:hAnsi="Calibri"/>
          <w:rtl/>
        </w:rPr>
        <w:t xml:space="preserve"> </w:t>
      </w:r>
      <w:r w:rsidRPr="009A4A98">
        <w:rPr>
          <w:rFonts w:ascii="Calibri" w:hAnsi="Calibri" w:hint="eastAsia"/>
          <w:rtl/>
        </w:rPr>
        <w:t>עבירת</w:t>
      </w:r>
      <w:r w:rsidRPr="009A4A98">
        <w:rPr>
          <w:rFonts w:ascii="Calibri" w:hAnsi="Calibri"/>
          <w:rtl/>
        </w:rPr>
        <w:t xml:space="preserve"> </w:t>
      </w:r>
      <w:r w:rsidRPr="009A4A98">
        <w:rPr>
          <w:rFonts w:ascii="Calibri" w:hAnsi="Calibri" w:hint="eastAsia"/>
          <w:rtl/>
        </w:rPr>
        <w:t>הסחר</w:t>
      </w:r>
      <w:r w:rsidRPr="009A4A98">
        <w:rPr>
          <w:rFonts w:ascii="Calibri" w:hAnsi="Calibri"/>
          <w:rtl/>
        </w:rPr>
        <w:t xml:space="preserve"> </w:t>
      </w:r>
      <w:r w:rsidRPr="009A4A98">
        <w:rPr>
          <w:rFonts w:ascii="Calibri" w:hAnsi="Calibri" w:hint="eastAsia"/>
          <w:rtl/>
        </w:rPr>
        <w:t>בסמים</w:t>
      </w:r>
      <w:r w:rsidRPr="009A4A98">
        <w:rPr>
          <w:rFonts w:ascii="Calibri" w:hAnsi="Calibri"/>
          <w:rtl/>
        </w:rPr>
        <w:t xml:space="preserve">, </w:t>
      </w:r>
      <w:r w:rsidRPr="009A4A98">
        <w:rPr>
          <w:rFonts w:ascii="Calibri" w:hAnsi="Calibri" w:hint="eastAsia"/>
          <w:rtl/>
        </w:rPr>
        <w:t>הוא</w:t>
      </w:r>
      <w:r w:rsidRPr="009A4A98">
        <w:rPr>
          <w:rFonts w:ascii="Calibri" w:hAnsi="Calibri"/>
          <w:rtl/>
        </w:rPr>
        <w:t xml:space="preserve"> </w:t>
      </w:r>
      <w:r w:rsidRPr="009A4A98">
        <w:rPr>
          <w:rFonts w:ascii="Calibri" w:hAnsi="Calibri" w:hint="eastAsia"/>
          <w:rtl/>
        </w:rPr>
        <w:t>אותו</w:t>
      </w:r>
      <w:r w:rsidRPr="009A4A98">
        <w:rPr>
          <w:rFonts w:ascii="Calibri" w:hAnsi="Calibri"/>
          <w:rtl/>
        </w:rPr>
        <w:t xml:space="preserve"> </w:t>
      </w:r>
      <w:r w:rsidRPr="009A4A98">
        <w:rPr>
          <w:rFonts w:ascii="Calibri" w:hAnsi="Calibri" w:hint="eastAsia"/>
          <w:rtl/>
        </w:rPr>
        <w:t>עונש</w:t>
      </w:r>
      <w:r w:rsidRPr="009A4A98">
        <w:rPr>
          <w:rFonts w:ascii="Calibri" w:hAnsi="Calibri"/>
          <w:rtl/>
        </w:rPr>
        <w:t xml:space="preserve"> </w:t>
      </w:r>
      <w:r w:rsidRPr="009A4A98">
        <w:rPr>
          <w:rFonts w:ascii="Calibri" w:hAnsi="Calibri" w:hint="eastAsia"/>
          <w:rtl/>
        </w:rPr>
        <w:t>הקבוע</w:t>
      </w:r>
      <w:r w:rsidRPr="009A4A98">
        <w:rPr>
          <w:rFonts w:ascii="Calibri" w:hAnsi="Calibri"/>
          <w:rtl/>
        </w:rPr>
        <w:t xml:space="preserve"> </w:t>
      </w:r>
      <w:r w:rsidRPr="009A4A98">
        <w:rPr>
          <w:rFonts w:ascii="Calibri" w:hAnsi="Calibri" w:hint="eastAsia"/>
          <w:rtl/>
        </w:rPr>
        <w:t>לצד</w:t>
      </w:r>
      <w:r w:rsidRPr="009A4A98">
        <w:rPr>
          <w:rFonts w:ascii="Calibri" w:hAnsi="Calibri"/>
          <w:rtl/>
        </w:rPr>
        <w:t xml:space="preserve"> </w:t>
      </w:r>
      <w:r w:rsidRPr="009A4A98">
        <w:rPr>
          <w:rFonts w:ascii="Calibri" w:hAnsi="Calibri" w:hint="eastAsia"/>
          <w:rtl/>
        </w:rPr>
        <w:t>החזקתם</w:t>
      </w:r>
      <w:r w:rsidRPr="009A4A98">
        <w:rPr>
          <w:rFonts w:ascii="Calibri" w:hAnsi="Calibri"/>
          <w:rtl/>
        </w:rPr>
        <w:t xml:space="preserve"> </w:t>
      </w:r>
      <w:r w:rsidRPr="009A4A98">
        <w:rPr>
          <w:rFonts w:ascii="Calibri" w:hAnsi="Calibri" w:hint="eastAsia"/>
          <w:rtl/>
        </w:rPr>
        <w:t>שלא</w:t>
      </w:r>
      <w:r w:rsidRPr="009A4A98">
        <w:rPr>
          <w:rFonts w:ascii="Calibri" w:hAnsi="Calibri"/>
          <w:rtl/>
        </w:rPr>
        <w:t xml:space="preserve"> </w:t>
      </w:r>
      <w:r w:rsidRPr="009A4A98">
        <w:rPr>
          <w:rFonts w:ascii="Calibri" w:hAnsi="Calibri" w:hint="eastAsia"/>
          <w:rtl/>
        </w:rPr>
        <w:t>לצריכה</w:t>
      </w:r>
      <w:r w:rsidRPr="009A4A98">
        <w:rPr>
          <w:rFonts w:ascii="Calibri" w:hAnsi="Calibri"/>
          <w:rtl/>
        </w:rPr>
        <w:t xml:space="preserve"> </w:t>
      </w:r>
      <w:r w:rsidRPr="009A4A98">
        <w:rPr>
          <w:rFonts w:ascii="Calibri" w:hAnsi="Calibri" w:hint="eastAsia"/>
          <w:rtl/>
        </w:rPr>
        <w:t>עצמית</w:t>
      </w:r>
      <w:r w:rsidRPr="009A4A98">
        <w:rPr>
          <w:rFonts w:ascii="Calibri" w:hAnsi="Calibri"/>
          <w:rtl/>
        </w:rPr>
        <w:t xml:space="preserve">. </w:t>
      </w:r>
      <w:r w:rsidRPr="009A4A98">
        <w:rPr>
          <w:rFonts w:ascii="Calibri" w:hAnsi="Calibri" w:hint="eastAsia"/>
          <w:rtl/>
        </w:rPr>
        <w:t>והענישה</w:t>
      </w:r>
      <w:r w:rsidRPr="009A4A98">
        <w:rPr>
          <w:rFonts w:ascii="Calibri" w:hAnsi="Calibri"/>
          <w:rtl/>
        </w:rPr>
        <w:t xml:space="preserve"> </w:t>
      </w:r>
      <w:r w:rsidRPr="009A4A98">
        <w:rPr>
          <w:rFonts w:ascii="Calibri" w:hAnsi="Calibri" w:hint="eastAsia"/>
          <w:rtl/>
        </w:rPr>
        <w:t>המוטלת</w:t>
      </w:r>
      <w:r w:rsidRPr="009A4A98">
        <w:rPr>
          <w:rFonts w:ascii="Calibri" w:hAnsi="Calibri"/>
          <w:rtl/>
        </w:rPr>
        <w:t xml:space="preserve"> </w:t>
      </w:r>
      <w:r w:rsidRPr="009A4A98">
        <w:rPr>
          <w:rFonts w:ascii="Calibri" w:hAnsi="Calibri" w:hint="eastAsia"/>
          <w:rtl/>
        </w:rPr>
        <w:t>על</w:t>
      </w:r>
      <w:r w:rsidRPr="009A4A98">
        <w:rPr>
          <w:rFonts w:ascii="Calibri" w:hAnsi="Calibri"/>
          <w:rtl/>
        </w:rPr>
        <w:t xml:space="preserve"> </w:t>
      </w:r>
      <w:r w:rsidRPr="009A4A98">
        <w:rPr>
          <w:rFonts w:ascii="Calibri" w:hAnsi="Calibri" w:hint="eastAsia"/>
          <w:rtl/>
        </w:rPr>
        <w:t>עבירות</w:t>
      </w:r>
      <w:r w:rsidRPr="009A4A98">
        <w:rPr>
          <w:rFonts w:ascii="Calibri" w:hAnsi="Calibri"/>
          <w:rtl/>
        </w:rPr>
        <w:t xml:space="preserve"> </w:t>
      </w:r>
      <w:r w:rsidRPr="009A4A98">
        <w:rPr>
          <w:rFonts w:ascii="Calibri" w:hAnsi="Calibri" w:hint="eastAsia"/>
          <w:rtl/>
        </w:rPr>
        <w:t>החזקת</w:t>
      </w:r>
      <w:r w:rsidRPr="009A4A98">
        <w:rPr>
          <w:rFonts w:ascii="Calibri" w:hAnsi="Calibri"/>
          <w:rtl/>
        </w:rPr>
        <w:t xml:space="preserve"> </w:t>
      </w:r>
      <w:r w:rsidRPr="009A4A98">
        <w:rPr>
          <w:rFonts w:ascii="Calibri" w:hAnsi="Calibri" w:hint="eastAsia"/>
          <w:rtl/>
        </w:rPr>
        <w:t>סם</w:t>
      </w:r>
      <w:r w:rsidRPr="009A4A98">
        <w:rPr>
          <w:rFonts w:ascii="Calibri" w:hAnsi="Calibri"/>
          <w:rtl/>
        </w:rPr>
        <w:t xml:space="preserve"> </w:t>
      </w:r>
      <w:r w:rsidRPr="009A4A98">
        <w:rPr>
          <w:rFonts w:ascii="Calibri" w:hAnsi="Calibri" w:hint="eastAsia"/>
          <w:rtl/>
        </w:rPr>
        <w:t>שלא</w:t>
      </w:r>
      <w:r w:rsidRPr="009A4A98">
        <w:rPr>
          <w:rFonts w:ascii="Calibri" w:hAnsi="Calibri"/>
          <w:rtl/>
        </w:rPr>
        <w:t xml:space="preserve"> </w:t>
      </w:r>
      <w:r w:rsidRPr="009A4A98">
        <w:rPr>
          <w:rFonts w:ascii="Calibri" w:hAnsi="Calibri" w:hint="eastAsia"/>
          <w:rtl/>
        </w:rPr>
        <w:t>לצריכה</w:t>
      </w:r>
      <w:r w:rsidRPr="009A4A98">
        <w:rPr>
          <w:rFonts w:ascii="Calibri" w:hAnsi="Calibri"/>
          <w:rtl/>
        </w:rPr>
        <w:t xml:space="preserve"> </w:t>
      </w:r>
      <w:r w:rsidRPr="009A4A98">
        <w:rPr>
          <w:rFonts w:ascii="Calibri" w:hAnsi="Calibri" w:hint="eastAsia"/>
          <w:rtl/>
        </w:rPr>
        <w:t>עצמית</w:t>
      </w:r>
      <w:r w:rsidRPr="009A4A98">
        <w:rPr>
          <w:rFonts w:ascii="Calibri" w:hAnsi="Calibri"/>
          <w:rtl/>
        </w:rPr>
        <w:t xml:space="preserve"> </w:t>
      </w:r>
      <w:r w:rsidRPr="009A4A98">
        <w:rPr>
          <w:rFonts w:ascii="Calibri" w:hAnsi="Calibri" w:hint="eastAsia"/>
          <w:rtl/>
        </w:rPr>
        <w:t>אינה</w:t>
      </w:r>
      <w:r w:rsidRPr="009A4A98">
        <w:rPr>
          <w:rFonts w:ascii="Calibri" w:hAnsi="Calibri"/>
          <w:rtl/>
        </w:rPr>
        <w:t xml:space="preserve"> </w:t>
      </w:r>
      <w:r w:rsidRPr="009A4A98">
        <w:rPr>
          <w:rFonts w:ascii="Calibri" w:hAnsi="Calibri" w:hint="eastAsia"/>
          <w:rtl/>
        </w:rPr>
        <w:t>שונה</w:t>
      </w:r>
      <w:r w:rsidRPr="009A4A98">
        <w:rPr>
          <w:rFonts w:ascii="Calibri" w:hAnsi="Calibri"/>
          <w:rtl/>
        </w:rPr>
        <w:t xml:space="preserve"> </w:t>
      </w:r>
      <w:r w:rsidRPr="009A4A98">
        <w:rPr>
          <w:rFonts w:ascii="Calibri" w:hAnsi="Calibri" w:hint="eastAsia"/>
          <w:rtl/>
        </w:rPr>
        <w:t>מזו</w:t>
      </w:r>
      <w:r w:rsidRPr="009A4A98">
        <w:rPr>
          <w:rFonts w:ascii="Calibri" w:hAnsi="Calibri"/>
          <w:rtl/>
        </w:rPr>
        <w:t xml:space="preserve"> </w:t>
      </w:r>
      <w:r w:rsidRPr="009A4A98">
        <w:rPr>
          <w:rFonts w:ascii="Calibri" w:hAnsi="Calibri" w:hint="eastAsia"/>
          <w:rtl/>
        </w:rPr>
        <w:t>המוטלת</w:t>
      </w:r>
      <w:r w:rsidRPr="009A4A98">
        <w:rPr>
          <w:rFonts w:ascii="Calibri" w:hAnsi="Calibri"/>
          <w:rtl/>
        </w:rPr>
        <w:t xml:space="preserve"> </w:t>
      </w:r>
      <w:r w:rsidRPr="009A4A98">
        <w:rPr>
          <w:rFonts w:ascii="Calibri" w:hAnsi="Calibri" w:hint="eastAsia"/>
          <w:rtl/>
        </w:rPr>
        <w:t>על</w:t>
      </w:r>
      <w:r w:rsidRPr="009A4A98">
        <w:rPr>
          <w:rFonts w:ascii="Calibri" w:hAnsi="Calibri"/>
          <w:rtl/>
        </w:rPr>
        <w:t xml:space="preserve"> </w:t>
      </w:r>
      <w:r w:rsidRPr="009A4A98">
        <w:rPr>
          <w:rFonts w:ascii="Calibri" w:hAnsi="Calibri" w:hint="eastAsia"/>
          <w:rtl/>
        </w:rPr>
        <w:t>סחר</w:t>
      </w:r>
      <w:r w:rsidRPr="009A4A98">
        <w:rPr>
          <w:rFonts w:ascii="Calibri" w:hAnsi="Calibri"/>
          <w:rtl/>
        </w:rPr>
        <w:t xml:space="preserve"> </w:t>
      </w:r>
      <w:r w:rsidRPr="009A4A98">
        <w:rPr>
          <w:rFonts w:ascii="Calibri" w:hAnsi="Calibri" w:hint="eastAsia"/>
          <w:rtl/>
        </w:rPr>
        <w:t>בסם</w:t>
      </w:r>
      <w:r w:rsidRPr="009A4A98">
        <w:rPr>
          <w:rFonts w:ascii="Calibri" w:hAnsi="Calibri"/>
          <w:rtl/>
        </w:rPr>
        <w:t xml:space="preserve">. </w:t>
      </w:r>
    </w:p>
    <w:p w14:paraId="58FAD9D9" w14:textId="77777777" w:rsidR="00AD35ED" w:rsidRPr="009A4A98" w:rsidRDefault="00AD35ED" w:rsidP="00AD35ED">
      <w:pPr>
        <w:spacing w:line="360" w:lineRule="auto"/>
        <w:ind w:left="720" w:hanging="720"/>
        <w:jc w:val="both"/>
        <w:rPr>
          <w:rFonts w:ascii="Calibri" w:hAnsi="Calibri"/>
          <w:rtl/>
        </w:rPr>
      </w:pPr>
      <w:r w:rsidRPr="009A4A98">
        <w:rPr>
          <w:rFonts w:ascii="Calibri" w:hAnsi="Calibri"/>
          <w:rtl/>
        </w:rPr>
        <w:tab/>
      </w:r>
    </w:p>
    <w:p w14:paraId="2A842D27" w14:textId="77777777" w:rsidR="00AD35ED" w:rsidRPr="009A4A98" w:rsidRDefault="00AD35ED" w:rsidP="00AD35ED">
      <w:pPr>
        <w:spacing w:line="360" w:lineRule="auto"/>
        <w:ind w:left="720" w:hanging="720"/>
        <w:jc w:val="both"/>
        <w:rPr>
          <w:rFonts w:ascii="Calibri" w:hAnsi="Calibri"/>
          <w:rtl/>
        </w:rPr>
      </w:pPr>
      <w:r w:rsidRPr="009A4A98">
        <w:rPr>
          <w:rFonts w:ascii="Calibri" w:hAnsi="Calibri"/>
          <w:rtl/>
        </w:rPr>
        <w:tab/>
      </w:r>
      <w:r w:rsidRPr="009A4A98">
        <w:rPr>
          <w:rFonts w:ascii="Calibri" w:hAnsi="Calibri" w:hint="eastAsia"/>
          <w:rtl/>
        </w:rPr>
        <w:t>לחיזוק</w:t>
      </w:r>
      <w:r w:rsidRPr="009A4A98">
        <w:rPr>
          <w:rFonts w:ascii="Calibri" w:hAnsi="Calibri"/>
          <w:rtl/>
        </w:rPr>
        <w:t xml:space="preserve"> </w:t>
      </w:r>
      <w:r w:rsidRPr="009A4A98">
        <w:rPr>
          <w:rFonts w:ascii="Calibri" w:hAnsi="Calibri" w:hint="eastAsia"/>
          <w:rtl/>
        </w:rPr>
        <w:t>הדברים</w:t>
      </w:r>
      <w:r w:rsidRPr="009A4A98">
        <w:rPr>
          <w:rFonts w:ascii="Calibri" w:hAnsi="Calibri"/>
          <w:rtl/>
        </w:rPr>
        <w:t xml:space="preserve">, </w:t>
      </w:r>
      <w:r w:rsidRPr="009A4A98">
        <w:rPr>
          <w:rFonts w:ascii="Calibri" w:hAnsi="Calibri" w:hint="eastAsia"/>
          <w:rtl/>
        </w:rPr>
        <w:t>אתלה</w:t>
      </w:r>
      <w:r w:rsidRPr="009A4A98">
        <w:rPr>
          <w:rFonts w:ascii="Calibri" w:hAnsi="Calibri"/>
          <w:rtl/>
        </w:rPr>
        <w:t xml:space="preserve"> </w:t>
      </w:r>
      <w:r w:rsidRPr="009A4A98">
        <w:rPr>
          <w:rFonts w:ascii="Calibri" w:hAnsi="Calibri" w:hint="eastAsia"/>
          <w:rtl/>
        </w:rPr>
        <w:t>באילן</w:t>
      </w:r>
      <w:r w:rsidRPr="009A4A98">
        <w:rPr>
          <w:rFonts w:ascii="Calibri" w:hAnsi="Calibri"/>
          <w:rtl/>
        </w:rPr>
        <w:t xml:space="preserve"> </w:t>
      </w:r>
      <w:r w:rsidRPr="009A4A98">
        <w:rPr>
          <w:rFonts w:ascii="Calibri" w:hAnsi="Calibri" w:hint="eastAsia"/>
          <w:rtl/>
        </w:rPr>
        <w:t>גבוה</w:t>
      </w:r>
      <w:r w:rsidRPr="009A4A98">
        <w:rPr>
          <w:rFonts w:ascii="Calibri" w:hAnsi="Calibri"/>
          <w:rtl/>
        </w:rPr>
        <w:t xml:space="preserve"> </w:t>
      </w:r>
      <w:r w:rsidRPr="009A4A98">
        <w:rPr>
          <w:rFonts w:ascii="Calibri" w:hAnsi="Calibri" w:hint="eastAsia"/>
          <w:rtl/>
        </w:rPr>
        <w:t>ואביא</w:t>
      </w:r>
      <w:r w:rsidRPr="009A4A98">
        <w:rPr>
          <w:rFonts w:ascii="Calibri" w:hAnsi="Calibri"/>
          <w:rtl/>
        </w:rPr>
        <w:t xml:space="preserve"> </w:t>
      </w:r>
      <w:r w:rsidRPr="009A4A98">
        <w:rPr>
          <w:rFonts w:ascii="Calibri" w:hAnsi="Calibri" w:hint="eastAsia"/>
          <w:rtl/>
        </w:rPr>
        <w:t>את</w:t>
      </w:r>
      <w:r w:rsidRPr="009A4A98">
        <w:rPr>
          <w:rFonts w:ascii="Calibri" w:hAnsi="Calibri"/>
          <w:rtl/>
        </w:rPr>
        <w:t xml:space="preserve"> </w:t>
      </w:r>
      <w:r w:rsidRPr="009A4A98">
        <w:rPr>
          <w:rFonts w:ascii="Calibri" w:hAnsi="Calibri" w:hint="eastAsia"/>
          <w:rtl/>
        </w:rPr>
        <w:t>דבריו</w:t>
      </w:r>
      <w:r w:rsidRPr="009A4A98">
        <w:rPr>
          <w:rFonts w:ascii="Calibri" w:hAnsi="Calibri"/>
          <w:rtl/>
        </w:rPr>
        <w:t xml:space="preserve"> </w:t>
      </w:r>
      <w:r w:rsidRPr="009A4A98">
        <w:rPr>
          <w:rFonts w:ascii="Calibri" w:hAnsi="Calibri" w:hint="eastAsia"/>
          <w:rtl/>
        </w:rPr>
        <w:t>הקולעים</w:t>
      </w:r>
      <w:r w:rsidRPr="009A4A98">
        <w:rPr>
          <w:rFonts w:ascii="Calibri" w:hAnsi="Calibri"/>
          <w:rtl/>
        </w:rPr>
        <w:t xml:space="preserve"> </w:t>
      </w:r>
      <w:r w:rsidRPr="009A4A98">
        <w:rPr>
          <w:rFonts w:ascii="Calibri" w:hAnsi="Calibri" w:hint="eastAsia"/>
          <w:rtl/>
        </w:rPr>
        <w:t>של</w:t>
      </w:r>
      <w:r w:rsidRPr="009A4A98">
        <w:rPr>
          <w:rFonts w:ascii="Calibri" w:hAnsi="Calibri"/>
          <w:rtl/>
        </w:rPr>
        <w:t xml:space="preserve"> </w:t>
      </w:r>
      <w:r w:rsidRPr="009A4A98">
        <w:rPr>
          <w:rFonts w:ascii="Calibri" w:hAnsi="Calibri" w:hint="eastAsia"/>
          <w:rtl/>
        </w:rPr>
        <w:t>כב</w:t>
      </w:r>
      <w:r w:rsidRPr="009A4A98">
        <w:rPr>
          <w:rFonts w:ascii="Calibri" w:hAnsi="Calibri"/>
          <w:rtl/>
        </w:rPr>
        <w:t xml:space="preserve">' </w:t>
      </w:r>
      <w:r w:rsidRPr="009A4A98">
        <w:rPr>
          <w:rFonts w:ascii="Calibri" w:hAnsi="Calibri" w:hint="eastAsia"/>
          <w:rtl/>
        </w:rPr>
        <w:t>המשנה</w:t>
      </w:r>
      <w:r w:rsidRPr="009A4A98">
        <w:rPr>
          <w:rFonts w:ascii="Calibri" w:hAnsi="Calibri"/>
          <w:rtl/>
        </w:rPr>
        <w:t xml:space="preserve"> </w:t>
      </w:r>
      <w:r w:rsidRPr="009A4A98">
        <w:rPr>
          <w:rFonts w:ascii="Calibri" w:hAnsi="Calibri" w:hint="eastAsia"/>
          <w:rtl/>
        </w:rPr>
        <w:t>לנשיאה</w:t>
      </w:r>
      <w:r w:rsidRPr="009A4A98">
        <w:rPr>
          <w:rFonts w:ascii="Calibri" w:hAnsi="Calibri"/>
          <w:rtl/>
        </w:rPr>
        <w:t xml:space="preserve">, </w:t>
      </w:r>
      <w:r w:rsidRPr="009A4A98">
        <w:rPr>
          <w:rFonts w:ascii="Calibri" w:hAnsi="Calibri" w:hint="eastAsia"/>
          <w:rtl/>
        </w:rPr>
        <w:t>השופט</w:t>
      </w:r>
      <w:r w:rsidRPr="009A4A98">
        <w:rPr>
          <w:rFonts w:ascii="Calibri" w:hAnsi="Calibri"/>
          <w:rtl/>
        </w:rPr>
        <w:t xml:space="preserve"> </w:t>
      </w:r>
      <w:r w:rsidRPr="009A4A98">
        <w:rPr>
          <w:rFonts w:ascii="Calibri" w:hAnsi="Calibri" w:hint="eastAsia"/>
          <w:rtl/>
        </w:rPr>
        <w:t>רובינשטיין</w:t>
      </w:r>
      <w:r w:rsidRPr="009A4A98">
        <w:rPr>
          <w:rFonts w:ascii="Calibri" w:hAnsi="Calibri"/>
          <w:rtl/>
        </w:rPr>
        <w:t xml:space="preserve">, </w:t>
      </w:r>
      <w:r w:rsidRPr="009A4A98">
        <w:rPr>
          <w:rFonts w:ascii="Calibri" w:hAnsi="Calibri" w:hint="eastAsia"/>
          <w:rtl/>
        </w:rPr>
        <w:t>ב</w:t>
      </w:r>
      <w:hyperlink r:id="rId32" w:history="1">
        <w:r w:rsidR="006D7B84" w:rsidRPr="006D7B84">
          <w:rPr>
            <w:rFonts w:ascii="Calibri" w:hAnsi="Calibri" w:hint="eastAsia"/>
            <w:color w:val="0000FF"/>
            <w:u w:val="single"/>
            <w:rtl/>
          </w:rPr>
          <w:t>ע</w:t>
        </w:r>
        <w:r w:rsidR="006D7B84" w:rsidRPr="006D7B84">
          <w:rPr>
            <w:rFonts w:ascii="Calibri" w:hAnsi="Calibri"/>
            <w:color w:val="0000FF"/>
            <w:u w:val="single"/>
            <w:rtl/>
          </w:rPr>
          <w:t>"</w:t>
        </w:r>
        <w:r w:rsidR="006D7B84" w:rsidRPr="006D7B84">
          <w:rPr>
            <w:rFonts w:ascii="Calibri" w:hAnsi="Calibri" w:hint="eastAsia"/>
            <w:color w:val="0000FF"/>
            <w:u w:val="single"/>
            <w:rtl/>
          </w:rPr>
          <w:t>פ</w:t>
        </w:r>
        <w:r w:rsidR="006D7B84" w:rsidRPr="006D7B84">
          <w:rPr>
            <w:rFonts w:ascii="Calibri" w:hAnsi="Calibri"/>
            <w:color w:val="0000FF"/>
            <w:u w:val="single"/>
            <w:rtl/>
          </w:rPr>
          <w:t xml:space="preserve"> 6277/14</w:t>
        </w:r>
      </w:hyperlink>
      <w:r w:rsidRPr="009A4A98">
        <w:rPr>
          <w:rFonts w:ascii="Calibri" w:hAnsi="Calibri"/>
          <w:rtl/>
        </w:rPr>
        <w:t xml:space="preserve"> </w:t>
      </w:r>
      <w:r w:rsidRPr="009A4A98">
        <w:rPr>
          <w:rFonts w:ascii="Calibri" w:hAnsi="Calibri" w:hint="eastAsia"/>
          <w:rtl/>
        </w:rPr>
        <w:t>שהובא</w:t>
      </w:r>
      <w:r w:rsidRPr="009A4A98">
        <w:rPr>
          <w:rFonts w:ascii="Calibri" w:hAnsi="Calibri"/>
          <w:rtl/>
        </w:rPr>
        <w:t xml:space="preserve"> </w:t>
      </w:r>
      <w:r w:rsidRPr="009A4A98">
        <w:rPr>
          <w:rFonts w:ascii="Calibri" w:hAnsi="Calibri" w:hint="eastAsia"/>
          <w:rtl/>
        </w:rPr>
        <w:t>לעיל</w:t>
      </w:r>
      <w:r w:rsidRPr="009A4A98">
        <w:rPr>
          <w:rFonts w:ascii="Calibri" w:hAnsi="Calibri"/>
          <w:rtl/>
        </w:rPr>
        <w:t xml:space="preserve">, </w:t>
      </w:r>
      <w:r w:rsidRPr="009A4A98">
        <w:rPr>
          <w:rFonts w:ascii="Calibri" w:hAnsi="Calibri" w:hint="eastAsia"/>
          <w:rtl/>
        </w:rPr>
        <w:t>המדברים</w:t>
      </w:r>
      <w:r w:rsidRPr="009A4A98">
        <w:rPr>
          <w:rFonts w:ascii="Calibri" w:hAnsi="Calibri"/>
          <w:rtl/>
        </w:rPr>
        <w:t xml:space="preserve"> </w:t>
      </w:r>
      <w:r w:rsidRPr="009A4A98">
        <w:rPr>
          <w:rFonts w:ascii="Calibri" w:hAnsi="Calibri" w:hint="eastAsia"/>
          <w:rtl/>
        </w:rPr>
        <w:t>בעדם</w:t>
      </w:r>
      <w:r w:rsidRPr="009A4A98">
        <w:rPr>
          <w:rFonts w:ascii="Calibri" w:hAnsi="Calibri"/>
          <w:rtl/>
        </w:rPr>
        <w:t xml:space="preserve"> - </w:t>
      </w:r>
    </w:p>
    <w:p w14:paraId="2BC50A69" w14:textId="77777777" w:rsidR="00AD35ED" w:rsidRPr="009A4A98" w:rsidRDefault="00AD35ED" w:rsidP="00AD35ED">
      <w:pPr>
        <w:spacing w:line="360" w:lineRule="auto"/>
        <w:ind w:left="2160"/>
        <w:jc w:val="both"/>
        <w:rPr>
          <w:rFonts w:ascii="Calibri" w:hAnsi="Calibri"/>
          <w:rtl/>
        </w:rPr>
      </w:pPr>
      <w:r w:rsidRPr="009A4A98">
        <w:rPr>
          <w:rtl/>
        </w:rPr>
        <w:t>"אין צורך בניחוש יתר כדי להניח כי הקוקאין שנתפס ולצדו שקיות הוכן למטרות מסחריות, להרעיל את הזולת, וזו גישת המחוקק בדברו בהחזקת סמים שלא לצריכה עצמית, אשר העונש המירבי עליה הושוה לשל סחר."</w:t>
      </w:r>
    </w:p>
    <w:p w14:paraId="412D1E6F" w14:textId="77777777" w:rsidR="00AD35ED" w:rsidRDefault="00AD35ED" w:rsidP="00AD35ED">
      <w:pPr>
        <w:spacing w:line="360" w:lineRule="auto"/>
        <w:ind w:left="720" w:hanging="720"/>
        <w:jc w:val="both"/>
        <w:rPr>
          <w:rFonts w:ascii="Calibri" w:hAnsi="Calibri"/>
          <w:rtl/>
        </w:rPr>
      </w:pPr>
      <w:r w:rsidRPr="009A4A98">
        <w:rPr>
          <w:rFonts w:ascii="Calibri" w:hAnsi="Calibri"/>
          <w:rtl/>
        </w:rPr>
        <w:t xml:space="preserve">   </w:t>
      </w:r>
    </w:p>
    <w:p w14:paraId="7AF55C51" w14:textId="77777777" w:rsidR="00AD35ED" w:rsidRPr="009A4A98" w:rsidRDefault="00AD35ED" w:rsidP="00AD35ED">
      <w:pPr>
        <w:spacing w:line="360" w:lineRule="auto"/>
        <w:ind w:left="720" w:hanging="720"/>
        <w:jc w:val="both"/>
        <w:rPr>
          <w:rFonts w:ascii="Calibri" w:hAnsi="Calibri"/>
          <w:rtl/>
        </w:rPr>
      </w:pPr>
    </w:p>
    <w:p w14:paraId="31E38105" w14:textId="77777777" w:rsidR="00AD35ED" w:rsidRPr="009A4A98" w:rsidRDefault="00AD35ED" w:rsidP="00AD35ED">
      <w:pPr>
        <w:spacing w:line="360" w:lineRule="auto"/>
        <w:ind w:left="720" w:hanging="720"/>
        <w:jc w:val="both"/>
        <w:rPr>
          <w:rFonts w:ascii="Arial" w:hAnsi="Arial"/>
          <w:rtl/>
        </w:rPr>
      </w:pPr>
      <w:r w:rsidRPr="009A4A98">
        <w:rPr>
          <w:rFonts w:ascii="Arial" w:hAnsi="Arial"/>
          <w:rtl/>
        </w:rPr>
        <w:t>9.</w:t>
      </w:r>
      <w:r w:rsidRPr="009A4A98">
        <w:rPr>
          <w:rFonts w:ascii="Arial" w:hAnsi="Arial"/>
          <w:rtl/>
        </w:rPr>
        <w:tab/>
        <w:t xml:space="preserve">באשר לנסיבות ביצוע העבירות – </w:t>
      </w:r>
    </w:p>
    <w:p w14:paraId="7FD95E60" w14:textId="77777777" w:rsidR="00AD35ED" w:rsidRPr="009A4A98" w:rsidRDefault="00AD35ED" w:rsidP="00AD35ED">
      <w:pPr>
        <w:spacing w:line="360" w:lineRule="auto"/>
        <w:ind w:left="720"/>
        <w:jc w:val="both"/>
        <w:rPr>
          <w:rFonts w:ascii="Arial" w:hAnsi="Arial"/>
          <w:rtl/>
        </w:rPr>
      </w:pPr>
      <w:r w:rsidRPr="009A4A98">
        <w:rPr>
          <w:rFonts w:ascii="Arial" w:hAnsi="Arial"/>
          <w:rtl/>
        </w:rPr>
        <w:t xml:space="preserve">החזקת הסמים והמאזניים בנסיבות, מחייבות פעולות מקדימות ומבחינה זו יש לראות בהן כעבירות מתוכננות; בהתחשב בסוג הסם ובכמותו ובמטרת החזקת המאזניים, הרי שהנזק שהיה צפוי להיגרם ממעשי הנאשם בהתפתחות הרגילה של הדברים, הינו משמעותי; בפועל, הסם והמאזניים נתפסו על ידי המשטרה וממילא הסמים לא הגיעו לצרכנים; הנאשם ביצע את העבירות בעצמו, לבדו; הנאשם ביצע את העבירות לשם הפקת רווח כספי. </w:t>
      </w:r>
    </w:p>
    <w:p w14:paraId="5106869B" w14:textId="77777777" w:rsidR="00AD35ED" w:rsidRPr="009A4A98" w:rsidRDefault="00AD35ED" w:rsidP="00AD35ED">
      <w:pPr>
        <w:spacing w:line="360" w:lineRule="auto"/>
        <w:ind w:left="720" w:hanging="720"/>
        <w:rPr>
          <w:rtl/>
        </w:rPr>
      </w:pPr>
      <w:r w:rsidRPr="009A4A98">
        <w:rPr>
          <w:rtl/>
        </w:rPr>
        <w:tab/>
        <w:t xml:space="preserve"> </w:t>
      </w:r>
    </w:p>
    <w:p w14:paraId="0266BA5C" w14:textId="77777777" w:rsidR="00AD35ED" w:rsidRPr="009A4A98" w:rsidRDefault="00AD35ED" w:rsidP="00AD35ED">
      <w:pPr>
        <w:spacing w:line="360" w:lineRule="auto"/>
        <w:ind w:left="720" w:hanging="720"/>
        <w:rPr>
          <w:rtl/>
        </w:rPr>
      </w:pPr>
      <w:r w:rsidRPr="009A4A98">
        <w:rPr>
          <w:rtl/>
        </w:rPr>
        <w:t>10.</w:t>
      </w:r>
      <w:r w:rsidRPr="009A4A98">
        <w:rPr>
          <w:rtl/>
        </w:rPr>
        <w:tab/>
        <w:t xml:space="preserve">ב"כ הנאשם הפנה למספר רב של פסקי דין וטען, שיש ללמוד מהם, כי מדיניות הענישה הנהוגה בנסיבות דומות ואף חמורות יותר מענייננו הינה של ענישה קלה בהרבה מזו הנטענת על ידי התביעה, וכי מתחם העונש ההולם למעשי הנאשם נע בין 6 ל- 24 חודשי מאסר. </w:t>
      </w:r>
    </w:p>
    <w:p w14:paraId="3A080AED" w14:textId="77777777" w:rsidR="00AD35ED" w:rsidRPr="009A4A98" w:rsidRDefault="00AD35ED" w:rsidP="00AD35ED">
      <w:pPr>
        <w:spacing w:line="360" w:lineRule="auto"/>
        <w:ind w:left="720"/>
        <w:rPr>
          <w:rtl/>
        </w:rPr>
      </w:pPr>
    </w:p>
    <w:p w14:paraId="61980615" w14:textId="77777777" w:rsidR="00AD35ED" w:rsidRPr="009A4A98" w:rsidRDefault="00AD35ED" w:rsidP="00AD35ED">
      <w:pPr>
        <w:spacing w:line="360" w:lineRule="auto"/>
        <w:ind w:left="720"/>
        <w:rPr>
          <w:rtl/>
        </w:rPr>
      </w:pPr>
      <w:r w:rsidRPr="009A4A98">
        <w:rPr>
          <w:rtl/>
        </w:rPr>
        <w:t xml:space="preserve">עיון בפסקי הדין מלמד, כצפוי, שהעונשים שהוטלו במסגרתם הושפעו מנתונים ונסיבות קונקרטיים. </w:t>
      </w:r>
    </w:p>
    <w:p w14:paraId="202E3843" w14:textId="77777777" w:rsidR="00AD35ED" w:rsidRPr="009A4A98" w:rsidRDefault="00AD35ED" w:rsidP="00AD35ED">
      <w:pPr>
        <w:spacing w:line="360" w:lineRule="auto"/>
        <w:ind w:left="720"/>
        <w:rPr>
          <w:rtl/>
        </w:rPr>
      </w:pPr>
      <w:r w:rsidRPr="009A4A98">
        <w:rPr>
          <w:rtl/>
        </w:rPr>
        <w:t>כך למשל, בחלק מהמקרים דובר בנאשמים נעדרי עבר פלילי (</w:t>
      </w:r>
      <w:hyperlink r:id="rId33" w:history="1">
        <w:r w:rsidR="006D7B84" w:rsidRPr="006D7B84">
          <w:rPr>
            <w:color w:val="0000FF"/>
            <w:u w:val="single"/>
            <w:rtl/>
          </w:rPr>
          <w:t>ע"פ 5065/15;</w:t>
        </w:r>
      </w:hyperlink>
      <w:r w:rsidRPr="009A4A98">
        <w:rPr>
          <w:rtl/>
        </w:rPr>
        <w:t xml:space="preserve"> </w:t>
      </w:r>
      <w:hyperlink r:id="rId34" w:history="1">
        <w:r w:rsidR="007438A2" w:rsidRPr="007438A2">
          <w:rPr>
            <w:color w:val="0000FF"/>
            <w:u w:val="single"/>
            <w:rtl/>
          </w:rPr>
          <w:t>2646/15</w:t>
        </w:r>
      </w:hyperlink>
      <w:r w:rsidRPr="009A4A98">
        <w:rPr>
          <w:rtl/>
        </w:rPr>
        <w:t>;</w:t>
      </w:r>
      <w:r w:rsidRPr="009A4A98">
        <w:t xml:space="preserve"> </w:t>
      </w:r>
      <w:hyperlink r:id="rId35" w:history="1">
        <w:r w:rsidR="007438A2" w:rsidRPr="007438A2">
          <w:rPr>
            <w:color w:val="0000FF"/>
            <w:u w:val="single"/>
            <w:rtl/>
          </w:rPr>
          <w:t>4592/15</w:t>
        </w:r>
      </w:hyperlink>
      <w:r w:rsidRPr="009A4A98">
        <w:rPr>
          <w:rtl/>
        </w:rPr>
        <w:t xml:space="preserve">; </w:t>
      </w:r>
      <w:hyperlink r:id="rId36" w:history="1">
        <w:r w:rsidR="006D7B84" w:rsidRPr="006D7B84">
          <w:rPr>
            <w:color w:val="0000FF"/>
            <w:u w:val="single"/>
            <w:rtl/>
          </w:rPr>
          <w:t>רע"פ  1424/15</w:t>
        </w:r>
      </w:hyperlink>
      <w:r w:rsidRPr="009A4A98">
        <w:rPr>
          <w:rtl/>
        </w:rPr>
        <w:t xml:space="preserve"> ועוד)</w:t>
      </w:r>
      <w:r w:rsidRPr="009A4A98">
        <w:t xml:space="preserve"> </w:t>
      </w:r>
      <w:r w:rsidRPr="009A4A98">
        <w:rPr>
          <w:rtl/>
        </w:rPr>
        <w:t>, בחלק מהמקרים דובר בנאשמים שהיו מכורים לסמים שעברו הליכי שיקום (</w:t>
      </w:r>
      <w:hyperlink r:id="rId37" w:history="1">
        <w:r w:rsidR="006D7B84" w:rsidRPr="006D7B84">
          <w:rPr>
            <w:color w:val="0000FF"/>
            <w:u w:val="single"/>
            <w:rtl/>
          </w:rPr>
          <w:t>רע"פ 894/16;</w:t>
        </w:r>
      </w:hyperlink>
      <w:r w:rsidRPr="009A4A98">
        <w:rPr>
          <w:rtl/>
        </w:rPr>
        <w:t xml:space="preserve"> </w:t>
      </w:r>
      <w:hyperlink r:id="rId38" w:history="1">
        <w:r w:rsidR="006D7B84" w:rsidRPr="006D7B84">
          <w:rPr>
            <w:color w:val="0000FF"/>
            <w:u w:val="single"/>
            <w:rtl/>
          </w:rPr>
          <w:t>רע"פ 5354/12</w:t>
        </w:r>
      </w:hyperlink>
      <w:r w:rsidRPr="009A4A98">
        <w:rPr>
          <w:rtl/>
        </w:rPr>
        <w:t xml:space="preserve">), בחלקם צוין כי העונשים שהושתו קלים אך לא מצדיקים החמרה של ערכאת הערעור </w:t>
      </w:r>
      <w:r>
        <w:rPr>
          <w:rFonts w:hint="cs"/>
          <w:rtl/>
        </w:rPr>
        <w:t xml:space="preserve">או שהעונש הוחמר באופן מתון בשל שיקולים שונים ואי מיצוי הדין בערכאות ערעור </w:t>
      </w:r>
      <w:r w:rsidRPr="009A4A98">
        <w:rPr>
          <w:rtl/>
        </w:rPr>
        <w:t xml:space="preserve">(עפ"ג 42315-05-13) וכו'. </w:t>
      </w:r>
    </w:p>
    <w:p w14:paraId="283113A5" w14:textId="77777777" w:rsidR="00AD35ED" w:rsidRPr="009A4A98" w:rsidRDefault="00AD35ED" w:rsidP="00AD35ED">
      <w:pPr>
        <w:spacing w:line="360" w:lineRule="auto"/>
        <w:ind w:left="720"/>
        <w:rPr>
          <w:rtl/>
        </w:rPr>
      </w:pPr>
    </w:p>
    <w:p w14:paraId="7DCB6858" w14:textId="77777777" w:rsidR="00AD35ED" w:rsidRPr="009A4A98" w:rsidRDefault="00AD35ED" w:rsidP="00AD35ED">
      <w:pPr>
        <w:spacing w:line="360" w:lineRule="auto"/>
        <w:ind w:left="720"/>
        <w:rPr>
          <w:rtl/>
        </w:rPr>
      </w:pPr>
      <w:r w:rsidRPr="009A4A98">
        <w:rPr>
          <w:rtl/>
        </w:rPr>
        <w:t>הסניגור ציין כי ב</w:t>
      </w:r>
      <w:hyperlink r:id="rId39" w:history="1">
        <w:r w:rsidR="006D7B84" w:rsidRPr="006D7B84">
          <w:rPr>
            <w:color w:val="0000FF"/>
            <w:u w:val="single"/>
            <w:rtl/>
          </w:rPr>
          <w:t>עפ"ג 23389-07-13</w:t>
        </w:r>
      </w:hyperlink>
      <w:r w:rsidRPr="009A4A98">
        <w:rPr>
          <w:rtl/>
        </w:rPr>
        <w:t xml:space="preserve"> סיאח נ' מדינת ישראל, הוטלו 30 חודשי מאסר על  החזקת 39 גרם הירואין. עיון בפסק הדין של בית המשפט המחוזי מלמד, כי הנאשם החזיק בשתי שקיות שבכל אחת מהן היתה אבקה במשקל של כ- 20 גרם. התביעה הצהירה בבית משפט השלום כי ריכוז הסם באחת משתי השקיות היה נמוך ובית המשפט הטיל על הנאשם את העונש שהטיל בהנחה שהוא החזיק רק כ- 20 גרם הירואין. עוד יש לציין, כי עונש המאסר הכולל שהוטל על הנאשם עמד על 42 חודשים.</w:t>
      </w:r>
    </w:p>
    <w:p w14:paraId="7F6EFC24" w14:textId="77777777" w:rsidR="00AD35ED" w:rsidRPr="009A4A98" w:rsidRDefault="00AD35ED" w:rsidP="00AD35ED">
      <w:pPr>
        <w:spacing w:line="360" w:lineRule="auto"/>
        <w:ind w:left="720"/>
        <w:rPr>
          <w:rtl/>
        </w:rPr>
      </w:pPr>
      <w:r w:rsidRPr="009A4A98">
        <w:rPr>
          <w:rtl/>
        </w:rPr>
        <w:t xml:space="preserve"> </w:t>
      </w:r>
    </w:p>
    <w:p w14:paraId="5FCBDACD" w14:textId="77777777" w:rsidR="00AD35ED" w:rsidRPr="009A4A98" w:rsidRDefault="00AD35ED" w:rsidP="00AD35ED">
      <w:pPr>
        <w:spacing w:line="360" w:lineRule="auto"/>
        <w:ind w:left="720"/>
        <w:rPr>
          <w:rtl/>
        </w:rPr>
      </w:pPr>
      <w:r w:rsidRPr="009A4A98">
        <w:rPr>
          <w:rtl/>
        </w:rPr>
        <w:t>הסניגור ציין כי ב</w:t>
      </w:r>
      <w:hyperlink r:id="rId40" w:history="1">
        <w:r w:rsidR="006D7B84" w:rsidRPr="006D7B84">
          <w:rPr>
            <w:color w:val="0000FF"/>
            <w:u w:val="single"/>
            <w:rtl/>
          </w:rPr>
          <w:t>ע"פ 4757-09-12</w:t>
        </w:r>
      </w:hyperlink>
      <w:r w:rsidRPr="009A4A98">
        <w:rPr>
          <w:rtl/>
        </w:rPr>
        <w:t xml:space="preserve"> דהן נ' מדינת ישראל, המערער נדון ל- 12 חודשי מאסר "בגין החזקה של כ- 40 גרם קוקאין ב- 3 מקומות שונים". עיון בפסק הדין מלמד שתיאורו של הסנגור איננו מדויק. בפועל, המערער שם הורשע בהחזקת קוקאין, במקום אחד, במשקל של 14.2 גרם ברוטו שהמשקל נטו שלו עמד על כ- 3 גרם בלבד.  </w:t>
      </w:r>
    </w:p>
    <w:p w14:paraId="2A95CFB4" w14:textId="77777777" w:rsidR="00AD35ED" w:rsidRPr="009A4A98" w:rsidRDefault="00AD35ED" w:rsidP="00AD35ED">
      <w:pPr>
        <w:spacing w:line="360" w:lineRule="auto"/>
        <w:ind w:left="720" w:hanging="720"/>
        <w:rPr>
          <w:rtl/>
        </w:rPr>
      </w:pPr>
      <w:r w:rsidRPr="009A4A98">
        <w:rPr>
          <w:rtl/>
        </w:rPr>
        <w:tab/>
      </w:r>
    </w:p>
    <w:p w14:paraId="504DEF13" w14:textId="77777777" w:rsidR="00AD35ED" w:rsidRPr="009A4A98" w:rsidRDefault="00AD35ED" w:rsidP="00AD35ED">
      <w:pPr>
        <w:spacing w:line="360" w:lineRule="auto"/>
        <w:ind w:left="720" w:hanging="720"/>
        <w:rPr>
          <w:rtl/>
        </w:rPr>
      </w:pPr>
      <w:r w:rsidRPr="009A4A98">
        <w:rPr>
          <w:rtl/>
        </w:rPr>
        <w:t>11.</w:t>
      </w:r>
      <w:r w:rsidRPr="009A4A98">
        <w:rPr>
          <w:rtl/>
        </w:rPr>
        <w:tab/>
        <w:t>המניע לביצוע עבירות הסחר בסמים והחזקת הסמים שלא לצריכה עצמית הינו הפקת רווח כספי. משכך, ראוי להטיל על מבצעיהם גם ענישה כספית.</w:t>
      </w:r>
    </w:p>
    <w:p w14:paraId="58D99F11" w14:textId="77777777" w:rsidR="00AD35ED" w:rsidRPr="009A4A98" w:rsidRDefault="00AD35ED" w:rsidP="00AD35ED">
      <w:pPr>
        <w:spacing w:line="360" w:lineRule="auto"/>
        <w:rPr>
          <w:rtl/>
        </w:rPr>
      </w:pPr>
    </w:p>
    <w:p w14:paraId="2FB82FFC" w14:textId="77777777" w:rsidR="00AD35ED" w:rsidRPr="00B61E74" w:rsidRDefault="00AD35ED" w:rsidP="00AD35ED">
      <w:pPr>
        <w:spacing w:line="360" w:lineRule="auto"/>
        <w:ind w:left="1440"/>
        <w:rPr>
          <w:rtl/>
        </w:rPr>
      </w:pPr>
      <w:r w:rsidRPr="009A4A98">
        <w:rPr>
          <w:rtl/>
        </w:rPr>
        <w:t xml:space="preserve">"אשר לעונש הקנס - צודקת התובעת המלומדת בטענתה, כי בעבירות הקשורות בסחר בסמים, מן הראוי הוא כי יוטלו עונשים כספיים, אשר יש בהם כדי לסכל את כוונת הרווח הכרוכה בעבירות הסמים. עבירות הסחר בסמים מבוצעות לשם השגת רווחים, תוך התעלמות אכזרית מהסיכון הרב לציבור הטמון בהפצת הסם. לפיכך, הנהיג המחוקק אמצעים לפגיעה ברכושם של סוחרי סמים, ואלה הם חילוט הרכוש, וכמובן הטלת קנסות כספיים גבוהים. כך ראוי להעניש בגין סחר בסמים ובגין החזקת סמים שלא לצריכה עצמית בדרך-כלל."-  </w:t>
      </w:r>
      <w:hyperlink r:id="rId41" w:history="1">
        <w:r w:rsidR="006D7B84" w:rsidRPr="006D7B84">
          <w:rPr>
            <w:color w:val="0000FF"/>
            <w:u w:val="single"/>
            <w:rtl/>
          </w:rPr>
          <w:t>ע"פ 1872/98</w:t>
        </w:r>
      </w:hyperlink>
      <w:r w:rsidRPr="006D7B84">
        <w:rPr>
          <w:color w:val="000000"/>
          <w:rtl/>
        </w:rPr>
        <w:t xml:space="preserve"> מוחמד אבו-טאלב נ' מדינת ישראל (פורסם בנבו,</w:t>
      </w:r>
      <w:r w:rsidRPr="006D7B84">
        <w:rPr>
          <w:rFonts w:hint="cs"/>
          <w:color w:val="000000"/>
          <w:rtl/>
        </w:rPr>
        <w:t xml:space="preserve"> 03.06.1999</w:t>
      </w:r>
      <w:r w:rsidRPr="00B61E74">
        <w:rPr>
          <w:rFonts w:hint="cs"/>
          <w:rtl/>
        </w:rPr>
        <w:t>)</w:t>
      </w:r>
    </w:p>
    <w:p w14:paraId="4815A419" w14:textId="77777777" w:rsidR="00AD35ED" w:rsidRPr="009A4A98" w:rsidRDefault="00AD35ED" w:rsidP="00AD35ED">
      <w:pPr>
        <w:spacing w:line="360" w:lineRule="auto"/>
        <w:rPr>
          <w:rtl/>
        </w:rPr>
      </w:pPr>
    </w:p>
    <w:p w14:paraId="01452CDA" w14:textId="77777777" w:rsidR="00AD35ED" w:rsidRPr="009A4A98" w:rsidRDefault="00AD35ED" w:rsidP="00AD35ED">
      <w:pPr>
        <w:spacing w:line="360" w:lineRule="auto"/>
        <w:rPr>
          <w:b/>
          <w:bCs/>
        </w:rPr>
      </w:pPr>
    </w:p>
    <w:p w14:paraId="55D64B89" w14:textId="77777777" w:rsidR="00AD35ED" w:rsidRPr="009A4A98" w:rsidRDefault="00AD35ED" w:rsidP="00AD35ED">
      <w:pPr>
        <w:spacing w:line="360" w:lineRule="auto"/>
        <w:ind w:left="1440"/>
      </w:pPr>
      <w:r w:rsidRPr="009A4A98">
        <w:rPr>
          <w:rtl/>
        </w:rPr>
        <w:t xml:space="preserve">"ככלל, בעת ענישתם של העוסקים בסחר בסמים, יש ליתן משקל גדול לשאלת הרווח הכלכלי שנצמח מהעבירות. הסיבה לכך היא אופיין של עבירות אלה – הסחר בסם ולא השימוש של האדם הבודד – שכל כולן סובבות סביב בצע כסף. ענישה כלכלית מחמירה תורמת להרתעה של העבריין הספציפי ולהרתעת הרבים, והיא מהווה את תשובת המשקל ההולמת לעבירות כגון דא (ראו </w:t>
      </w:r>
      <w:hyperlink r:id="rId42" w:history="1">
        <w:r w:rsidR="006D7B84" w:rsidRPr="006D7B84">
          <w:rPr>
            <w:color w:val="0000FF"/>
            <w:u w:val="single"/>
            <w:rtl/>
          </w:rPr>
          <w:t>ע"פ 2996/09</w:t>
        </w:r>
      </w:hyperlink>
      <w:r w:rsidRPr="009A4A98">
        <w:rPr>
          <w:rtl/>
        </w:rPr>
        <w:t xml:space="preserve"> פלוני נ' מדינת ישראל, [פורסם בנבו] פסקה שח (11.05.2011); </w:t>
      </w:r>
      <w:hyperlink r:id="rId43" w:history="1">
        <w:r w:rsidR="006D7B84" w:rsidRPr="006D7B84">
          <w:rPr>
            <w:color w:val="0000FF"/>
            <w:u w:val="single"/>
            <w:rtl/>
          </w:rPr>
          <w:t>ע"פ 5104/06</w:t>
        </w:r>
      </w:hyperlink>
      <w:r w:rsidRPr="009A4A98">
        <w:rPr>
          <w:rtl/>
        </w:rPr>
        <w:t xml:space="preserve"> אנזור בנייורישלויל נ' מדינת ישראל, [פורסם בנבו] פסקה 14 (21.5.2007)). לכן יש הגיון, על פי אמת המידה של הלימת העונש, בהטלת קנס ובחילוט, גם אם נגזר על נאשם מאסר של מספר שנים." - </w:t>
      </w:r>
      <w:hyperlink r:id="rId44" w:history="1">
        <w:r w:rsidR="006D7B84" w:rsidRPr="006D7B84">
          <w:rPr>
            <w:rFonts w:cs="Times New Roman"/>
            <w:color w:val="0000FF"/>
            <w:u w:val="single"/>
            <w:rtl/>
          </w:rPr>
          <w:t>ע"פ 100/14</w:t>
        </w:r>
      </w:hyperlink>
      <w:r w:rsidRPr="006D7B84">
        <w:rPr>
          <w:rFonts w:cs="Times New Roman"/>
          <w:color w:val="000000"/>
          <w:rtl/>
        </w:rPr>
        <w:t xml:space="preserve"> מדינת ישראל נ' סימנטוב מחטייב (פורסם בנבו,</w:t>
      </w:r>
      <w:r w:rsidRPr="006D7B84">
        <w:rPr>
          <w:rFonts w:cs="Times New Roman" w:hint="cs"/>
          <w:color w:val="000000"/>
          <w:rtl/>
        </w:rPr>
        <w:t xml:space="preserve"> 10.12.2014</w:t>
      </w:r>
      <w:r w:rsidRPr="006D7B84">
        <w:rPr>
          <w:rFonts w:cs="Times New Roman"/>
          <w:color w:val="000000"/>
          <w:rtl/>
        </w:rPr>
        <w:t>)</w:t>
      </w:r>
      <w:r w:rsidRPr="00B61E74">
        <w:rPr>
          <w:rtl/>
        </w:rPr>
        <w:br/>
      </w:r>
    </w:p>
    <w:p w14:paraId="191CA449" w14:textId="77777777" w:rsidR="00AD35ED" w:rsidRPr="009A4A98" w:rsidRDefault="00AD35ED" w:rsidP="00AD35ED">
      <w:pPr>
        <w:spacing w:line="360" w:lineRule="auto"/>
        <w:ind w:left="720" w:hanging="720"/>
        <w:rPr>
          <w:rtl/>
        </w:rPr>
      </w:pPr>
      <w:r w:rsidRPr="009A4A98">
        <w:rPr>
          <w:rtl/>
        </w:rPr>
        <w:t>12.</w:t>
      </w:r>
      <w:r w:rsidRPr="009A4A98">
        <w:rPr>
          <w:rtl/>
        </w:rPr>
        <w:tab/>
        <w:t xml:space="preserve">גובה הקנס מושפע משיקולים שונים ובהם, סוג הסם וכמותו, שוויו הכספי, הרווח שניתן להפיק ממכירתו, ועוד, ובסופו של דבר הקנס אינו עומד בפני עצמו אלא הוא מרכיב בעונש הכולל - האמור לשמור על יחס הולם לחומרת מעשה העבירה ולמידת אשמו של הנאשם – שביחס אליו יש לתת את הדעת גם ליכולתו של הנאשם לעמוד בו. </w:t>
      </w:r>
    </w:p>
    <w:p w14:paraId="7AD73778" w14:textId="77777777" w:rsidR="00AD35ED" w:rsidRPr="009A4A98" w:rsidRDefault="00AD35ED" w:rsidP="00AD35ED">
      <w:pPr>
        <w:spacing w:line="360" w:lineRule="auto"/>
        <w:ind w:left="720" w:hanging="720"/>
        <w:rPr>
          <w:rtl/>
        </w:rPr>
      </w:pPr>
      <w:r w:rsidRPr="009A4A98">
        <w:rPr>
          <w:rtl/>
        </w:rPr>
        <w:tab/>
      </w:r>
    </w:p>
    <w:p w14:paraId="2D77E437" w14:textId="77777777" w:rsidR="00AD35ED" w:rsidRPr="009A4A98" w:rsidRDefault="00AD35ED" w:rsidP="00AD35ED">
      <w:pPr>
        <w:spacing w:line="360" w:lineRule="auto"/>
        <w:ind w:left="720"/>
        <w:rPr>
          <w:rtl/>
        </w:rPr>
      </w:pPr>
      <w:r w:rsidRPr="009A4A98">
        <w:rPr>
          <w:rtl/>
        </w:rPr>
        <w:t xml:space="preserve">באופן מעשי, הקנסות המוטלים על החזקת עשרות גרם הרואין או קוקאין שלא לצריכה עצמית, הם בסדרי גודל של עשרות אלפי שקלים.    </w:t>
      </w:r>
    </w:p>
    <w:p w14:paraId="6B7AE1ED" w14:textId="77777777" w:rsidR="00AD35ED" w:rsidRPr="009A4A98" w:rsidRDefault="00AD35ED" w:rsidP="00AD35ED">
      <w:pPr>
        <w:spacing w:line="360" w:lineRule="auto"/>
        <w:ind w:left="720" w:hanging="720"/>
        <w:rPr>
          <w:rtl/>
        </w:rPr>
      </w:pPr>
    </w:p>
    <w:p w14:paraId="643A3A08" w14:textId="77777777" w:rsidR="00AD35ED" w:rsidRPr="009A4A98" w:rsidRDefault="00AD35ED" w:rsidP="00AD35ED">
      <w:pPr>
        <w:spacing w:line="360" w:lineRule="auto"/>
        <w:ind w:left="720" w:hanging="720"/>
        <w:rPr>
          <w:rtl/>
        </w:rPr>
      </w:pPr>
      <w:r w:rsidRPr="009A4A98">
        <w:rPr>
          <w:rtl/>
        </w:rPr>
        <w:t xml:space="preserve">13. </w:t>
      </w:r>
      <w:r w:rsidRPr="009A4A98">
        <w:rPr>
          <w:rtl/>
        </w:rPr>
        <w:tab/>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שביצע הנאשם הוא מאסר בפועל בין 3 ל- 5 שנים וקנס בטווח שבין 10,000 ל – 50,000 ₪.</w:t>
      </w:r>
    </w:p>
    <w:p w14:paraId="28D12557" w14:textId="77777777" w:rsidR="00AD35ED" w:rsidRPr="009A4A98" w:rsidRDefault="00AD35ED" w:rsidP="00AD35ED">
      <w:pPr>
        <w:spacing w:line="360" w:lineRule="auto"/>
        <w:ind w:left="720" w:hanging="720"/>
        <w:rPr>
          <w:rtl/>
        </w:rPr>
      </w:pPr>
    </w:p>
    <w:p w14:paraId="7A924BAD" w14:textId="77777777" w:rsidR="00AD35ED" w:rsidRPr="009A4A98" w:rsidRDefault="00AD35ED" w:rsidP="00AD35ED">
      <w:pPr>
        <w:spacing w:line="360" w:lineRule="auto"/>
        <w:ind w:left="720" w:hanging="720"/>
      </w:pPr>
      <w:r w:rsidRPr="009A4A98">
        <w:rPr>
          <w:rtl/>
        </w:rPr>
        <w:t>14.</w:t>
      </w:r>
      <w:r w:rsidRPr="009A4A98">
        <w:rPr>
          <w:rtl/>
        </w:rPr>
        <w:tab/>
        <w:t xml:space="preserve">הנאשם בן 53. עברו הפלילי יוצא דופן בחומרתו. לחובתו עשרות הרשעות קודמות בעבירות רכוש, סמים, סחיטה, אלימות נגד שוטרים ועוד. 18 פעמים הוא נדון לעונשי מאסר ותקופות המאסר שנגזרו עליו מצטברות ללמעלה מ 27 שנים (!). לא אחת רואים שעם השנים עבריינים מתעייפים מדרכם וממתנים את פעילותם העבריינית ואולם גיליון הרשעותיו של הנאשם מעיד כי הוא מתמיד בעבריינותו גם בשנותיו המבוגרות. ב 19 השנים האחרונות, מאז 1997, הנאשם הורשע 8 פעמים בעבירות סמים חמורות ותקופות המאסר שנגזרו עליו בגינן מצטברות לכדי 17 שנים. את העבירות כאן הוא ביצע שלושה חודשים בלבד לאחר שחרורו מ- 22 חודשי מאסר על עבירות של החזקת סמים שלא לצריכה עצמית ושיבוש מהלכי משפט, שנסיבותיהן דומות מאוד לנסיבות ענייננו. גם שם הוא החזיק סמים קשים בחצר האחורית של ביתו וגם שם שוטרים שהיו בתצפית עליו ראו את מעשיו ותפסו אותו בכף והוא ניסה להשליך את הסם. </w:t>
      </w:r>
    </w:p>
    <w:p w14:paraId="596E1A37" w14:textId="77777777" w:rsidR="00AD35ED" w:rsidRPr="009A4A98" w:rsidRDefault="00AD35ED" w:rsidP="00AD35ED">
      <w:pPr>
        <w:spacing w:line="360" w:lineRule="auto"/>
        <w:ind w:left="720"/>
        <w:rPr>
          <w:rtl/>
        </w:rPr>
      </w:pPr>
    </w:p>
    <w:p w14:paraId="6FF09F3F" w14:textId="77777777" w:rsidR="00AD35ED" w:rsidRPr="009A4A98" w:rsidRDefault="00AD35ED" w:rsidP="00AD35ED">
      <w:pPr>
        <w:spacing w:line="360" w:lineRule="auto"/>
        <w:ind w:left="720"/>
        <w:rPr>
          <w:rtl/>
        </w:rPr>
      </w:pPr>
      <w:r w:rsidRPr="009A4A98">
        <w:rPr>
          <w:rtl/>
        </w:rPr>
        <w:t xml:space="preserve">העובדות המתוארות מדברות בעד עצמן ומלמדות שהנאשם בחר בעבריינות, ובמיוחד בעיסוק בסמים, כמשלח יד וכדרך חיים. </w:t>
      </w:r>
    </w:p>
    <w:p w14:paraId="7D1A29F8" w14:textId="77777777" w:rsidR="00AD35ED" w:rsidRPr="009A4A98" w:rsidRDefault="00AD35ED" w:rsidP="00AD35ED">
      <w:pPr>
        <w:spacing w:line="360" w:lineRule="auto"/>
        <w:ind w:left="720"/>
        <w:rPr>
          <w:rtl/>
        </w:rPr>
      </w:pPr>
    </w:p>
    <w:p w14:paraId="6FC9197C" w14:textId="77777777" w:rsidR="00AD35ED" w:rsidRPr="009A4A98" w:rsidRDefault="00AD35ED" w:rsidP="00AD35ED">
      <w:pPr>
        <w:pStyle w:val="P00"/>
        <w:spacing w:before="72" w:line="360" w:lineRule="auto"/>
        <w:ind w:left="720" w:hanging="778"/>
        <w:jc w:val="left"/>
        <w:rPr>
          <w:rFonts w:cs="David"/>
          <w:noProof w:val="0"/>
          <w:sz w:val="24"/>
          <w:szCs w:val="24"/>
          <w:rtl/>
        </w:rPr>
      </w:pPr>
      <w:r w:rsidRPr="009A4A98">
        <w:rPr>
          <w:rFonts w:cs="David"/>
          <w:noProof w:val="0"/>
          <w:sz w:val="24"/>
          <w:szCs w:val="24"/>
          <w:rtl/>
        </w:rPr>
        <w:t>15.</w:t>
      </w:r>
      <w:r w:rsidRPr="009A4A98">
        <w:rPr>
          <w:rFonts w:cs="David"/>
          <w:noProof w:val="0"/>
          <w:sz w:val="24"/>
          <w:szCs w:val="24"/>
          <w:rtl/>
        </w:rPr>
        <w:tab/>
      </w:r>
      <w:r w:rsidRPr="009A4A98">
        <w:rPr>
          <w:rFonts w:cs="David"/>
          <w:noProof w:val="0"/>
          <w:sz w:val="24"/>
          <w:szCs w:val="24"/>
          <w:rtl/>
        </w:rPr>
        <w:tab/>
        <w:t xml:space="preserve">החזרתיות רבת הפעמים, לאורך שנים ארוכות, פעם אחר פעם, על עבירות סמים חמורות, מעמידה את הנאשם כאדם מסוכן לחברה. דומני כי נתוני העבריינות של הנאשם בתחום עבירות הסמים הקשות, מצדיקים עקרונית לקבוע לגביו כי יש חשש ממשי שהוא יחזור ויבצע עבירות ושהחמרה בעונשו והרחקתו מהציבור נדרשות כדי להגן על שלום הציבור - המצדיק חריגה לחומרה ממתחם העונש ההולם, כפי שניתן לעשות על יסוד הוראת </w:t>
      </w:r>
      <w:hyperlink r:id="rId45" w:history="1">
        <w:r w:rsidR="0000482F" w:rsidRPr="0000482F">
          <w:rPr>
            <w:rFonts w:cs="David"/>
            <w:noProof w:val="0"/>
            <w:color w:val="0000FF"/>
            <w:sz w:val="24"/>
            <w:szCs w:val="24"/>
            <w:u w:val="single"/>
            <w:rtl/>
          </w:rPr>
          <w:t>סעיף 40ה'</w:t>
        </w:r>
      </w:hyperlink>
      <w:r w:rsidRPr="009A4A98">
        <w:rPr>
          <w:rFonts w:cs="David"/>
          <w:noProof w:val="0"/>
          <w:sz w:val="24"/>
          <w:szCs w:val="24"/>
          <w:rtl/>
        </w:rPr>
        <w:t xml:space="preserve"> ל</w:t>
      </w:r>
      <w:hyperlink r:id="rId46" w:history="1">
        <w:r w:rsidR="006D7B84" w:rsidRPr="006D7B84">
          <w:rPr>
            <w:rFonts w:cs="David"/>
            <w:noProof w:val="0"/>
            <w:color w:val="0000FF"/>
            <w:sz w:val="24"/>
            <w:szCs w:val="24"/>
            <w:u w:val="single"/>
            <w:rtl/>
          </w:rPr>
          <w:t>חוק העונשין</w:t>
        </w:r>
      </w:hyperlink>
      <w:r w:rsidRPr="009A4A98">
        <w:rPr>
          <w:rFonts w:cs="David"/>
          <w:noProof w:val="0"/>
          <w:sz w:val="24"/>
          <w:szCs w:val="24"/>
          <w:rtl/>
        </w:rPr>
        <w:t xml:space="preserve">. אולם, התביעה נמנעה מלבקש זאת ובנסיבות אינני מוצא לנכון לנקוט בצעד זה. מכל מקום, נתונים אלה הם בעלי משמעות בקביעת העונש הראוי לנאשם בתוך מתחם העונש ההולם. </w:t>
      </w:r>
    </w:p>
    <w:p w14:paraId="10E396C5" w14:textId="77777777" w:rsidR="00AD35ED" w:rsidRPr="009A4A98" w:rsidRDefault="00AD35ED" w:rsidP="00AD35ED">
      <w:pPr>
        <w:pStyle w:val="P00"/>
        <w:spacing w:before="72" w:line="360" w:lineRule="auto"/>
        <w:ind w:left="624" w:right="1134" w:hanging="624"/>
        <w:rPr>
          <w:rFonts w:cs="David"/>
          <w:noProof w:val="0"/>
          <w:sz w:val="24"/>
          <w:szCs w:val="24"/>
          <w:rtl/>
        </w:rPr>
      </w:pPr>
    </w:p>
    <w:p w14:paraId="061BCCA0" w14:textId="77777777" w:rsidR="00AD35ED" w:rsidRPr="009A4A98" w:rsidRDefault="00AD35ED" w:rsidP="00AD35ED">
      <w:pPr>
        <w:spacing w:line="360" w:lineRule="auto"/>
        <w:ind w:left="720" w:hanging="720"/>
        <w:rPr>
          <w:rtl/>
        </w:rPr>
      </w:pPr>
      <w:r w:rsidRPr="009A4A98">
        <w:rPr>
          <w:rtl/>
        </w:rPr>
        <w:t>16.</w:t>
      </w:r>
      <w:r w:rsidRPr="009A4A98">
        <w:rPr>
          <w:rtl/>
        </w:rPr>
        <w:tab/>
        <w:t xml:space="preserve">הכלל הוא שבעבירות החמורות, ובכללן עבירות הסמים הקשות, הבכורה נתונה לשיקולי הגמול וההרתעה והמשקל הניתן לנסיבות האישיות של הנאשם, קטן אם בכלל. </w:t>
      </w:r>
    </w:p>
    <w:p w14:paraId="7385CD6B" w14:textId="77777777" w:rsidR="00AD35ED" w:rsidRPr="009A4A98" w:rsidRDefault="00AD35ED" w:rsidP="00AD35ED">
      <w:pPr>
        <w:spacing w:line="360" w:lineRule="auto"/>
        <w:ind w:left="720" w:hanging="720"/>
        <w:rPr>
          <w:rtl/>
        </w:rPr>
      </w:pPr>
    </w:p>
    <w:p w14:paraId="6F268405" w14:textId="77777777" w:rsidR="00AD35ED" w:rsidRPr="009A4A98" w:rsidRDefault="00AD35ED" w:rsidP="00AD35ED">
      <w:pPr>
        <w:spacing w:line="360" w:lineRule="auto"/>
        <w:ind w:left="720" w:hanging="720"/>
        <w:rPr>
          <w:rtl/>
        </w:rPr>
      </w:pPr>
      <w:r w:rsidRPr="009A4A98">
        <w:rPr>
          <w:rtl/>
        </w:rPr>
        <w:t>17.</w:t>
      </w:r>
      <w:r w:rsidRPr="009A4A98">
        <w:rPr>
          <w:rtl/>
        </w:rPr>
        <w:tab/>
        <w:t>בנסיבות המקרה ובהתחשב בעבריינותו רבת השנים של הנאשם ובעונשי המאסר שנגזרו עליו, אינני סבור שיש לתת משקל לפגיעת עונש המאסר בנאשם בכלל ובפרט בהתחשב בגילו. אדרבא, הנאשם אדם מבוגר, שקול ומנוסה, הוא בוחר את בחירותיו ונושא באחריות עליהן. המעשים עליהם הוא נותן את הדין אינם מעשי רשלנות או כאלה שנעשו מתוך רתחת רגש ספונטנית, אלא מעשים מתוכננים ומכוונים, הנעשים מתוך מודעות ובחירה.</w:t>
      </w:r>
    </w:p>
    <w:p w14:paraId="33A3A14A" w14:textId="77777777" w:rsidR="00AD35ED" w:rsidRPr="009A4A98" w:rsidRDefault="00AD35ED" w:rsidP="00AD35ED">
      <w:pPr>
        <w:spacing w:line="360" w:lineRule="auto"/>
        <w:ind w:left="720" w:hanging="720"/>
        <w:rPr>
          <w:rtl/>
        </w:rPr>
      </w:pPr>
      <w:r w:rsidRPr="009A4A98">
        <w:rPr>
          <w:rtl/>
        </w:rPr>
        <w:tab/>
      </w:r>
    </w:p>
    <w:p w14:paraId="276F55E5" w14:textId="77777777" w:rsidR="00AD35ED" w:rsidRPr="009A4A98" w:rsidRDefault="00AD35ED" w:rsidP="00AD35ED">
      <w:pPr>
        <w:spacing w:line="360" w:lineRule="auto"/>
        <w:ind w:left="720"/>
        <w:rPr>
          <w:rtl/>
        </w:rPr>
      </w:pPr>
      <w:r w:rsidRPr="009A4A98">
        <w:rPr>
          <w:rtl/>
        </w:rPr>
        <w:t>הנאשם לא נטל אחריות על מעשיו ולא רק שהוא לא שיתף פעולה עם רשויות החוק אלא שהוא גם האשים את המשטרה בכך שהיא זו שהניחה את הסמים במקום בו הם נמצאו, או שהיא ידעה על כך שהסמים הושתלו שם על ידי אחר. טענה זו כמו הגנתו בכלל, חסרות יסוד. אמנם, זכותו המלאה של נאשם לנהל משפט ודבר זה לא נזקף בשום אופן לחובתו, אך בנסיבות כאלה הוא איננו יכול ליהנות מההתחשבות הניתנת למי שנטל אחריות על מעשיו ולמי ששיתף פעולה עם רשויות החוק.</w:t>
      </w:r>
    </w:p>
    <w:p w14:paraId="753F0D00" w14:textId="77777777" w:rsidR="00AD35ED" w:rsidRPr="009A4A98" w:rsidRDefault="00AD35ED" w:rsidP="00AD35ED">
      <w:pPr>
        <w:spacing w:line="360" w:lineRule="auto"/>
        <w:ind w:left="720" w:hanging="720"/>
        <w:rPr>
          <w:rtl/>
        </w:rPr>
      </w:pPr>
      <w:r w:rsidRPr="009A4A98">
        <w:rPr>
          <w:rtl/>
        </w:rPr>
        <w:tab/>
      </w:r>
    </w:p>
    <w:p w14:paraId="0EE2BEE6" w14:textId="77777777" w:rsidR="00AD35ED" w:rsidRPr="009A4A98" w:rsidRDefault="00AD35ED" w:rsidP="00AD35ED">
      <w:pPr>
        <w:spacing w:line="360" w:lineRule="auto"/>
        <w:ind w:left="720"/>
        <w:rPr>
          <w:rtl/>
        </w:rPr>
      </w:pPr>
      <w:r w:rsidRPr="009A4A98">
        <w:rPr>
          <w:rtl/>
        </w:rPr>
        <w:t xml:space="preserve">אורח חייו העברייני של הנאשם נמשך לאורך שנים רבות ופוגע בחברה. </w:t>
      </w:r>
    </w:p>
    <w:p w14:paraId="2BC247CF" w14:textId="77777777" w:rsidR="00AD35ED" w:rsidRPr="009A4A98" w:rsidRDefault="00AD35ED" w:rsidP="00AD35ED">
      <w:pPr>
        <w:spacing w:line="360" w:lineRule="auto"/>
        <w:ind w:left="720" w:hanging="720"/>
        <w:rPr>
          <w:rtl/>
        </w:rPr>
      </w:pPr>
      <w:r w:rsidRPr="009A4A98">
        <w:rPr>
          <w:rtl/>
        </w:rPr>
        <w:tab/>
      </w:r>
    </w:p>
    <w:p w14:paraId="5749AA43" w14:textId="77777777" w:rsidR="00AD35ED" w:rsidRPr="009A4A98" w:rsidRDefault="00AD35ED" w:rsidP="00AD35ED">
      <w:pPr>
        <w:spacing w:line="360" w:lineRule="auto"/>
        <w:ind w:left="720"/>
        <w:rPr>
          <w:rtl/>
        </w:rPr>
      </w:pPr>
      <w:r w:rsidRPr="009A4A98">
        <w:rPr>
          <w:rtl/>
        </w:rPr>
        <w:t xml:space="preserve">נסיבות חייו של הנאשם לא היו קלות והוא גדל בתנאים לא פשוטים ובעזובה, אולם, במשך שנים הוא קיבל הזדמנויות חוזרות ונשנות מבתי המשפט בפניהם הוא נדון, אשר נמנעו מלהטיל עליו עונשי מאסר, וגם במשפטו האחרון – </w:t>
      </w:r>
      <w:hyperlink r:id="rId47" w:history="1">
        <w:r w:rsidR="006D7B84" w:rsidRPr="006D7B84">
          <w:rPr>
            <w:color w:val="0000FF"/>
            <w:u w:val="single"/>
            <w:rtl/>
          </w:rPr>
          <w:t>ת.פ. 8780-04-13</w:t>
        </w:r>
      </w:hyperlink>
      <w:r w:rsidRPr="009A4A98">
        <w:rPr>
          <w:rtl/>
        </w:rPr>
        <w:t xml:space="preserve"> – ההגנה טענה את נסיבות חייו ובית המשפט התחשב בהן להקלת עונשו של הנאשם. יש גבול כמה ניתן למחזר טיעון מסוג זה, במיוחד כשמדובר בנאשם הנמצא בעשור השישי של חייו וכשהנסיבות הנטענות לקולה התרחשו לפני שנים רבות מאוד. </w:t>
      </w:r>
    </w:p>
    <w:p w14:paraId="4015B2EB" w14:textId="77777777" w:rsidR="00AD35ED" w:rsidRPr="009A4A98" w:rsidRDefault="00AD35ED" w:rsidP="00AD35ED">
      <w:pPr>
        <w:spacing w:line="360" w:lineRule="auto"/>
        <w:ind w:left="720"/>
        <w:rPr>
          <w:rtl/>
        </w:rPr>
      </w:pPr>
    </w:p>
    <w:p w14:paraId="1B7DAE66" w14:textId="77777777" w:rsidR="00AD35ED" w:rsidRPr="009A4A98" w:rsidRDefault="00AD35ED" w:rsidP="00AD35ED">
      <w:pPr>
        <w:spacing w:line="360" w:lineRule="auto"/>
        <w:ind w:left="720"/>
        <w:rPr>
          <w:rtl/>
        </w:rPr>
      </w:pPr>
      <w:r w:rsidRPr="009A4A98">
        <w:rPr>
          <w:rtl/>
        </w:rPr>
        <w:t>הנאשם אמר בדבריו לעונש "היה לי מספיק זמן לחשוב מה אני הולך לעשות עם החיים שלי. המוטו שהפנמתי הוא שהפשע לא משתלם והמוטו הזה הולך להיות נר לרגליי".</w:t>
      </w:r>
    </w:p>
    <w:p w14:paraId="3F984E67" w14:textId="77777777" w:rsidR="00AD35ED" w:rsidRPr="009A4A98" w:rsidRDefault="00AD35ED" w:rsidP="00AD35ED">
      <w:pPr>
        <w:spacing w:line="360" w:lineRule="auto"/>
        <w:ind w:left="720"/>
        <w:rPr>
          <w:rtl/>
        </w:rPr>
      </w:pPr>
      <w:r w:rsidRPr="009A4A98">
        <w:rPr>
          <w:rtl/>
        </w:rPr>
        <w:t xml:space="preserve">אינני סבור שיש לתת משקל ממשי להצהרות הנאשם. בעניינים אלה העיקר הוא המעשה ולא ההצהרה המילולית. </w:t>
      </w:r>
    </w:p>
    <w:p w14:paraId="5104ACF8" w14:textId="77777777" w:rsidR="00AD35ED" w:rsidRPr="009A4A98" w:rsidRDefault="00AD35ED" w:rsidP="00AD35ED">
      <w:pPr>
        <w:spacing w:line="360" w:lineRule="auto"/>
        <w:ind w:left="720"/>
        <w:rPr>
          <w:rtl/>
        </w:rPr>
      </w:pPr>
      <w:r w:rsidRPr="009A4A98">
        <w:rPr>
          <w:rtl/>
        </w:rPr>
        <w:t>במשפטו הקודם, בו הורשע בהחזקת קוקאין שלא לצריכה עצמית ונדון ל- 22 חודשי מאסר בפועל (</w:t>
      </w:r>
      <w:hyperlink r:id="rId48" w:history="1">
        <w:r w:rsidR="006D7B84" w:rsidRPr="006D7B84">
          <w:rPr>
            <w:color w:val="0000FF"/>
            <w:u w:val="single"/>
            <w:rtl/>
          </w:rPr>
          <w:t>ת.פ. 8780-04-13</w:t>
        </w:r>
      </w:hyperlink>
      <w:r w:rsidRPr="009A4A98">
        <w:rPr>
          <w:rtl/>
        </w:rPr>
        <w:t xml:space="preserve">) הנאשם אמר דברים דומים - "...אני מקווה שזה מאסרי האחרון. הפעם הגעתי לתובנות אחרות. המאסר הזה נתן לי לשנות את צורת החשיבה שלי... ההודאה שלי מצביעה על תובנות חדשות... מבקש הזדמנות אחרונה שאני אנצל אותה" – והנה, לא עברו שלושה חודשים מאז שחרורו מהמאסר והוא שב וביצע עבירות סמים חמורות.  </w:t>
      </w:r>
    </w:p>
    <w:p w14:paraId="3B6C80FB" w14:textId="77777777" w:rsidR="00AD35ED" w:rsidRPr="009A4A98" w:rsidRDefault="00AD35ED" w:rsidP="00AD35ED">
      <w:pPr>
        <w:spacing w:line="360" w:lineRule="auto"/>
        <w:rPr>
          <w:rtl/>
        </w:rPr>
      </w:pPr>
      <w:r w:rsidRPr="009A4A98">
        <w:rPr>
          <w:rtl/>
        </w:rPr>
        <w:tab/>
      </w:r>
    </w:p>
    <w:p w14:paraId="4C9D03AF" w14:textId="77777777" w:rsidR="00AD35ED" w:rsidRPr="009A4A98" w:rsidRDefault="00AD35ED" w:rsidP="00AD35ED">
      <w:pPr>
        <w:spacing w:line="360" w:lineRule="auto"/>
        <w:ind w:left="720" w:hanging="720"/>
        <w:rPr>
          <w:rtl/>
        </w:rPr>
      </w:pPr>
      <w:r w:rsidRPr="009A4A98">
        <w:rPr>
          <w:rtl/>
        </w:rPr>
        <w:t>18.</w:t>
      </w:r>
      <w:r w:rsidRPr="009A4A98">
        <w:rPr>
          <w:rtl/>
        </w:rPr>
        <w:tab/>
        <w:t xml:space="preserve">משמעות הקביעה שמתחם העונש ההולם למעשי העבירות שביצע הנאשם נע בין 3 ל- 5 שנות מאסר הינה בין היתר, שעקרונית, מעשי העבירות של הנאשם כשלעצמם, יכולים לסבול כל עונש הנמצא בתחום המתחם האמור. </w:t>
      </w:r>
    </w:p>
    <w:p w14:paraId="3EA33CFF" w14:textId="77777777" w:rsidR="00AD35ED" w:rsidRPr="009A4A98" w:rsidRDefault="00AD35ED" w:rsidP="00AD35ED">
      <w:pPr>
        <w:spacing w:line="360" w:lineRule="auto"/>
        <w:ind w:left="720"/>
        <w:rPr>
          <w:rtl/>
        </w:rPr>
      </w:pPr>
      <w:r w:rsidRPr="009A4A98">
        <w:rPr>
          <w:rtl/>
        </w:rPr>
        <w:t xml:space="preserve">קביעת העונש המתאים לנאשם בתוך מתחם העונש ההולם, מושפעת מנסיבות שאינן קשורות בביצוע העבירות ובסופו של דבר העונש צריך להלום את המעשה בנסיבותיו ואת מידת אשמו של הנאשם. </w:t>
      </w:r>
    </w:p>
    <w:p w14:paraId="1767D61C" w14:textId="77777777" w:rsidR="00AD35ED" w:rsidRPr="009A4A98" w:rsidRDefault="00AD35ED" w:rsidP="00AD35ED">
      <w:pPr>
        <w:spacing w:line="360" w:lineRule="auto"/>
        <w:ind w:left="720"/>
        <w:rPr>
          <w:rtl/>
        </w:rPr>
      </w:pPr>
      <w:r w:rsidRPr="009A4A98">
        <w:rPr>
          <w:rtl/>
        </w:rPr>
        <w:t xml:space="preserve">כאן, מעשי הנאשם בנסיבותיהם, חמורים, ואשמו של הנאשם רב. עברו הפלילי יוצא דופן בחומרתו. הוא יכול להצדיק עקרונית סטיה לחומרה ממתחם העונש ההולם ובוודאי שהוא יכול להצדיק קביעת עונשו של הנאשם ברף הגבוה של מתחם העונש ההולם. ואין לזכות הנאשם נתונים ונסיבות שבכוחם להצדיק, למרות זאת, הקלה של ממש בעונשו. </w:t>
      </w:r>
    </w:p>
    <w:p w14:paraId="058DB0FD" w14:textId="77777777" w:rsidR="00AD35ED" w:rsidRPr="009A4A98" w:rsidRDefault="00AD35ED" w:rsidP="00AD35ED">
      <w:pPr>
        <w:spacing w:line="360" w:lineRule="auto"/>
        <w:ind w:left="720"/>
        <w:rPr>
          <w:rtl/>
        </w:rPr>
      </w:pPr>
    </w:p>
    <w:p w14:paraId="27CB91F5" w14:textId="77777777" w:rsidR="00AD35ED" w:rsidRPr="009A4A98" w:rsidRDefault="00AD35ED" w:rsidP="00AD35ED">
      <w:pPr>
        <w:spacing w:line="360" w:lineRule="auto"/>
        <w:ind w:left="720"/>
        <w:rPr>
          <w:rtl/>
        </w:rPr>
      </w:pPr>
      <w:r w:rsidRPr="009A4A98">
        <w:rPr>
          <w:rtl/>
        </w:rPr>
        <w:t xml:space="preserve">לא למותר לשוב ולהזכיר, שהעונש המירבי הקבוע לכל אחת מעבירות הסמים בהן הורשע הנאשם - החזקת סם שלא לצריכה עצמית והחזקת כלים המשמשים להכנת סם שלא לצריכה עצמית – הינו 20 שנות מאסר. </w:t>
      </w:r>
    </w:p>
    <w:p w14:paraId="47AB38BF" w14:textId="77777777" w:rsidR="00AD35ED" w:rsidRPr="009A4A98" w:rsidRDefault="00AD35ED" w:rsidP="00AD35ED">
      <w:pPr>
        <w:spacing w:line="360" w:lineRule="auto"/>
        <w:ind w:left="720" w:hanging="720"/>
        <w:rPr>
          <w:rtl/>
        </w:rPr>
      </w:pPr>
      <w:r w:rsidRPr="009A4A98">
        <w:rPr>
          <w:rtl/>
        </w:rPr>
        <w:tab/>
        <w:t xml:space="preserve"> </w:t>
      </w:r>
    </w:p>
    <w:p w14:paraId="0EACE1F0" w14:textId="77777777" w:rsidR="00AD35ED" w:rsidRPr="009A4A98" w:rsidRDefault="00AD35ED" w:rsidP="00AD35ED">
      <w:pPr>
        <w:spacing w:line="360" w:lineRule="auto"/>
        <w:ind w:left="720" w:hanging="720"/>
        <w:rPr>
          <w:rtl/>
        </w:rPr>
      </w:pPr>
      <w:r w:rsidRPr="009A4A98">
        <w:rPr>
          <w:rtl/>
        </w:rPr>
        <w:t>19.</w:t>
      </w:r>
      <w:r w:rsidRPr="009A4A98">
        <w:rPr>
          <w:rtl/>
        </w:rPr>
        <w:tab/>
        <w:t xml:space="preserve">נראה לי שיש מקום להקל במידת מה בתקופת המאסר של הנאשם, בהתחשב בכך שהוא נתון במעצר, שתנאיו קשים משל מאסר, מזה כ- 16 חודשים. </w:t>
      </w:r>
    </w:p>
    <w:p w14:paraId="196472E8" w14:textId="77777777" w:rsidR="00AD35ED" w:rsidRPr="009A4A98" w:rsidRDefault="00AD35ED" w:rsidP="00AD35ED">
      <w:pPr>
        <w:spacing w:line="360" w:lineRule="auto"/>
        <w:rPr>
          <w:rtl/>
        </w:rPr>
      </w:pPr>
    </w:p>
    <w:p w14:paraId="3D98E308" w14:textId="77777777" w:rsidR="00AD35ED" w:rsidRPr="009A4A98" w:rsidRDefault="00AD35ED" w:rsidP="00AD35ED">
      <w:pPr>
        <w:spacing w:line="360" w:lineRule="auto"/>
        <w:ind w:left="720" w:hanging="720"/>
        <w:rPr>
          <w:rFonts w:ascii="FrankRuehl" w:hAnsi="FrankRuehl"/>
          <w:rtl/>
        </w:rPr>
      </w:pPr>
      <w:r w:rsidRPr="009A4A98">
        <w:rPr>
          <w:rtl/>
        </w:rPr>
        <w:t>20.</w:t>
      </w:r>
      <w:r w:rsidRPr="009A4A98">
        <w:rPr>
          <w:rtl/>
        </w:rPr>
        <w:tab/>
        <w:t xml:space="preserve">נוכח כל האמור, </w:t>
      </w:r>
      <w:r w:rsidRPr="009A4A98">
        <w:rPr>
          <w:rFonts w:ascii="FrankRuehl" w:hAnsi="FrankRuehl" w:hint="eastAsia"/>
          <w:rtl/>
        </w:rPr>
        <w:t>אני</w:t>
      </w:r>
      <w:r w:rsidRPr="009A4A98">
        <w:rPr>
          <w:rFonts w:ascii="FrankRuehl" w:hAnsi="FrankRuehl"/>
          <w:rtl/>
        </w:rPr>
        <w:t xml:space="preserve"> </w:t>
      </w:r>
      <w:r w:rsidRPr="009A4A98">
        <w:rPr>
          <w:rFonts w:ascii="FrankRuehl" w:hAnsi="FrankRuehl" w:hint="eastAsia"/>
          <w:rtl/>
        </w:rPr>
        <w:t>דן</w:t>
      </w:r>
      <w:r w:rsidRPr="009A4A98">
        <w:rPr>
          <w:rFonts w:ascii="FrankRuehl" w:hAnsi="FrankRuehl"/>
          <w:rtl/>
        </w:rPr>
        <w:t xml:space="preserve"> </w:t>
      </w:r>
      <w:r w:rsidRPr="009A4A98">
        <w:rPr>
          <w:rFonts w:ascii="FrankRuehl" w:hAnsi="FrankRuehl" w:hint="eastAsia"/>
          <w:rtl/>
        </w:rPr>
        <w:t>את</w:t>
      </w:r>
      <w:r w:rsidRPr="009A4A98">
        <w:rPr>
          <w:rFonts w:ascii="FrankRuehl" w:hAnsi="FrankRuehl"/>
          <w:rtl/>
        </w:rPr>
        <w:t xml:space="preserve"> </w:t>
      </w:r>
      <w:r w:rsidRPr="009A4A98">
        <w:rPr>
          <w:rFonts w:ascii="FrankRuehl" w:hAnsi="FrankRuehl" w:hint="eastAsia"/>
          <w:rtl/>
        </w:rPr>
        <w:t>הנאשם</w:t>
      </w:r>
      <w:r w:rsidRPr="009A4A98">
        <w:rPr>
          <w:rFonts w:ascii="FrankRuehl" w:hAnsi="FrankRuehl"/>
          <w:rtl/>
        </w:rPr>
        <w:t xml:space="preserve"> </w:t>
      </w:r>
      <w:r w:rsidRPr="009A4A98">
        <w:rPr>
          <w:rFonts w:ascii="FrankRuehl" w:hAnsi="FrankRuehl" w:hint="eastAsia"/>
          <w:rtl/>
        </w:rPr>
        <w:t>לעונשים</w:t>
      </w:r>
      <w:r w:rsidRPr="009A4A98">
        <w:rPr>
          <w:rFonts w:ascii="FrankRuehl" w:hAnsi="FrankRuehl"/>
          <w:rtl/>
        </w:rPr>
        <w:t xml:space="preserve"> </w:t>
      </w:r>
      <w:r w:rsidRPr="009A4A98">
        <w:rPr>
          <w:rFonts w:ascii="FrankRuehl" w:hAnsi="FrankRuehl" w:hint="eastAsia"/>
          <w:rtl/>
        </w:rPr>
        <w:t>הבאים</w:t>
      </w:r>
      <w:r w:rsidRPr="009A4A98">
        <w:rPr>
          <w:rFonts w:ascii="FrankRuehl" w:hAnsi="FrankRuehl"/>
          <w:rtl/>
        </w:rPr>
        <w:t>:</w:t>
      </w:r>
    </w:p>
    <w:p w14:paraId="2D4A7EF4" w14:textId="77777777" w:rsidR="00AD35ED" w:rsidRPr="009A4A98" w:rsidRDefault="00AD35ED" w:rsidP="00AD35ED">
      <w:pPr>
        <w:spacing w:line="360" w:lineRule="auto"/>
        <w:ind w:left="1440"/>
        <w:rPr>
          <w:rFonts w:ascii="FrankRuehl" w:hAnsi="FrankRuehl"/>
          <w:rtl/>
        </w:rPr>
      </w:pPr>
      <w:r w:rsidRPr="009A4A98">
        <w:rPr>
          <w:rFonts w:ascii="FrankRuehl" w:hAnsi="FrankRuehl" w:hint="eastAsia"/>
          <w:rtl/>
        </w:rPr>
        <w:t>א</w:t>
      </w:r>
      <w:r w:rsidRPr="009A4A98">
        <w:rPr>
          <w:rFonts w:ascii="FrankRuehl" w:hAnsi="FrankRuehl"/>
          <w:rtl/>
        </w:rPr>
        <w:t>.</w:t>
      </w:r>
      <w:r w:rsidRPr="009A4A98">
        <w:rPr>
          <w:rFonts w:ascii="FrankRuehl" w:hAnsi="FrankRuehl"/>
          <w:rtl/>
        </w:rPr>
        <w:tab/>
        <w:t xml:space="preserve">57 </w:t>
      </w:r>
      <w:r w:rsidRPr="009A4A98">
        <w:rPr>
          <w:rFonts w:ascii="FrankRuehl" w:hAnsi="FrankRuehl" w:hint="eastAsia"/>
          <w:rtl/>
        </w:rPr>
        <w:t>חודשי</w:t>
      </w:r>
      <w:r w:rsidRPr="009A4A98">
        <w:rPr>
          <w:rFonts w:ascii="FrankRuehl" w:hAnsi="FrankRuehl"/>
          <w:rtl/>
        </w:rPr>
        <w:t xml:space="preserve"> </w:t>
      </w:r>
      <w:r w:rsidRPr="009A4A98">
        <w:rPr>
          <w:rFonts w:ascii="FrankRuehl" w:hAnsi="FrankRuehl" w:hint="eastAsia"/>
          <w:rtl/>
        </w:rPr>
        <w:t>מאסר</w:t>
      </w:r>
      <w:r w:rsidRPr="009A4A98">
        <w:rPr>
          <w:rFonts w:ascii="FrankRuehl" w:hAnsi="FrankRuehl"/>
          <w:rtl/>
        </w:rPr>
        <w:t xml:space="preserve"> </w:t>
      </w:r>
      <w:r w:rsidRPr="009A4A98">
        <w:rPr>
          <w:rFonts w:ascii="FrankRuehl" w:hAnsi="FrankRuehl" w:hint="eastAsia"/>
          <w:rtl/>
        </w:rPr>
        <w:t>בפועל</w:t>
      </w:r>
      <w:r w:rsidRPr="009A4A98">
        <w:rPr>
          <w:rFonts w:ascii="FrankRuehl" w:hAnsi="FrankRuehl"/>
          <w:rtl/>
        </w:rPr>
        <w:t xml:space="preserve">, </w:t>
      </w:r>
      <w:r w:rsidRPr="009A4A98">
        <w:rPr>
          <w:rFonts w:ascii="FrankRuehl" w:hAnsi="FrankRuehl" w:hint="eastAsia"/>
          <w:rtl/>
        </w:rPr>
        <w:t>מיום</w:t>
      </w:r>
      <w:r w:rsidRPr="009A4A98">
        <w:rPr>
          <w:rFonts w:ascii="FrankRuehl" w:hAnsi="FrankRuehl"/>
          <w:rtl/>
        </w:rPr>
        <w:t xml:space="preserve"> </w:t>
      </w:r>
      <w:r w:rsidRPr="009A4A98">
        <w:rPr>
          <w:rFonts w:ascii="FrankRuehl" w:hAnsi="FrankRuehl" w:hint="eastAsia"/>
          <w:rtl/>
        </w:rPr>
        <w:t>מעצרו</w:t>
      </w:r>
      <w:r w:rsidRPr="009A4A98">
        <w:rPr>
          <w:rFonts w:ascii="FrankRuehl" w:hAnsi="FrankRuehl"/>
          <w:rtl/>
        </w:rPr>
        <w:t xml:space="preserve"> 29.03.15.</w:t>
      </w:r>
    </w:p>
    <w:p w14:paraId="1DF51056" w14:textId="77777777" w:rsidR="00AD35ED" w:rsidRPr="009A4A98" w:rsidRDefault="00AD35ED" w:rsidP="00AD35ED">
      <w:pPr>
        <w:spacing w:line="360" w:lineRule="auto"/>
        <w:ind w:left="2160" w:hanging="720"/>
        <w:rPr>
          <w:rFonts w:ascii="FrankRuehl" w:hAnsi="FrankRuehl"/>
          <w:rtl/>
        </w:rPr>
      </w:pPr>
      <w:r w:rsidRPr="009A4A98">
        <w:rPr>
          <w:rFonts w:ascii="FrankRuehl" w:hAnsi="FrankRuehl" w:hint="eastAsia"/>
          <w:rtl/>
        </w:rPr>
        <w:t>ב</w:t>
      </w:r>
      <w:r w:rsidRPr="009A4A98">
        <w:rPr>
          <w:rFonts w:ascii="FrankRuehl" w:hAnsi="FrankRuehl"/>
          <w:rtl/>
        </w:rPr>
        <w:t xml:space="preserve">. </w:t>
      </w:r>
      <w:r w:rsidRPr="009A4A98">
        <w:rPr>
          <w:rFonts w:ascii="FrankRuehl" w:hAnsi="FrankRuehl"/>
          <w:rtl/>
        </w:rPr>
        <w:tab/>
        <w:t xml:space="preserve">18 </w:t>
      </w:r>
      <w:r w:rsidRPr="009A4A98">
        <w:rPr>
          <w:rFonts w:ascii="FrankRuehl" w:hAnsi="FrankRuehl" w:hint="eastAsia"/>
          <w:rtl/>
        </w:rPr>
        <w:t>חודשי</w:t>
      </w:r>
      <w:r w:rsidRPr="009A4A98">
        <w:rPr>
          <w:rFonts w:ascii="FrankRuehl" w:hAnsi="FrankRuehl"/>
          <w:rtl/>
        </w:rPr>
        <w:t xml:space="preserve"> </w:t>
      </w:r>
      <w:r w:rsidRPr="009A4A98">
        <w:rPr>
          <w:rFonts w:ascii="FrankRuehl" w:hAnsi="FrankRuehl" w:hint="eastAsia"/>
          <w:rtl/>
        </w:rPr>
        <w:t>מאסר</w:t>
      </w:r>
      <w:r w:rsidRPr="009A4A98">
        <w:rPr>
          <w:rFonts w:ascii="FrankRuehl" w:hAnsi="FrankRuehl"/>
          <w:rtl/>
        </w:rPr>
        <w:t xml:space="preserve"> </w:t>
      </w:r>
      <w:r w:rsidRPr="009A4A98">
        <w:rPr>
          <w:rFonts w:ascii="FrankRuehl" w:hAnsi="FrankRuehl" w:hint="eastAsia"/>
          <w:rtl/>
        </w:rPr>
        <w:t>על</w:t>
      </w:r>
      <w:r w:rsidRPr="009A4A98">
        <w:rPr>
          <w:rFonts w:ascii="FrankRuehl" w:hAnsi="FrankRuehl"/>
          <w:rtl/>
        </w:rPr>
        <w:t xml:space="preserve"> </w:t>
      </w:r>
      <w:r w:rsidRPr="009A4A98">
        <w:rPr>
          <w:rFonts w:ascii="FrankRuehl" w:hAnsi="FrankRuehl" w:hint="eastAsia"/>
          <w:rtl/>
        </w:rPr>
        <w:t>תנאי</w:t>
      </w:r>
      <w:r w:rsidRPr="009A4A98">
        <w:rPr>
          <w:rFonts w:ascii="FrankRuehl" w:hAnsi="FrankRuehl"/>
          <w:rtl/>
        </w:rPr>
        <w:t xml:space="preserve"> </w:t>
      </w:r>
      <w:r w:rsidRPr="009A4A98">
        <w:rPr>
          <w:rFonts w:ascii="FrankRuehl" w:hAnsi="FrankRuehl" w:hint="eastAsia"/>
          <w:rtl/>
        </w:rPr>
        <w:t>למשך</w:t>
      </w:r>
      <w:r w:rsidRPr="009A4A98">
        <w:rPr>
          <w:rFonts w:ascii="FrankRuehl" w:hAnsi="FrankRuehl"/>
          <w:rtl/>
        </w:rPr>
        <w:t xml:space="preserve"> 3 </w:t>
      </w:r>
      <w:r w:rsidRPr="009A4A98">
        <w:rPr>
          <w:rFonts w:ascii="FrankRuehl" w:hAnsi="FrankRuehl" w:hint="eastAsia"/>
          <w:rtl/>
        </w:rPr>
        <w:t>שנים</w:t>
      </w:r>
      <w:r w:rsidRPr="009A4A98">
        <w:rPr>
          <w:rFonts w:ascii="FrankRuehl" w:hAnsi="FrankRuehl"/>
          <w:rtl/>
        </w:rPr>
        <w:t xml:space="preserve"> </w:t>
      </w:r>
      <w:r w:rsidRPr="009A4A98">
        <w:rPr>
          <w:rFonts w:ascii="FrankRuehl" w:hAnsi="FrankRuehl" w:hint="eastAsia"/>
          <w:rtl/>
        </w:rPr>
        <w:t>מיום</w:t>
      </w:r>
      <w:r w:rsidRPr="009A4A98">
        <w:rPr>
          <w:rFonts w:ascii="FrankRuehl" w:hAnsi="FrankRuehl"/>
          <w:rtl/>
        </w:rPr>
        <w:t xml:space="preserve"> </w:t>
      </w:r>
      <w:r w:rsidRPr="009A4A98">
        <w:rPr>
          <w:rFonts w:ascii="FrankRuehl" w:hAnsi="FrankRuehl" w:hint="eastAsia"/>
          <w:rtl/>
        </w:rPr>
        <w:t>שחרורו</w:t>
      </w:r>
      <w:r w:rsidRPr="009A4A98">
        <w:rPr>
          <w:rFonts w:ascii="FrankRuehl" w:hAnsi="FrankRuehl"/>
          <w:rtl/>
        </w:rPr>
        <w:t xml:space="preserve"> </w:t>
      </w:r>
      <w:r w:rsidRPr="009A4A98">
        <w:rPr>
          <w:rFonts w:ascii="FrankRuehl" w:hAnsi="FrankRuehl" w:hint="eastAsia"/>
          <w:rtl/>
        </w:rPr>
        <w:t>מהמאסר</w:t>
      </w:r>
      <w:r w:rsidRPr="009A4A98">
        <w:rPr>
          <w:rFonts w:ascii="FrankRuehl" w:hAnsi="FrankRuehl"/>
          <w:rtl/>
        </w:rPr>
        <w:t xml:space="preserve">, </w:t>
      </w:r>
      <w:r w:rsidRPr="009A4A98">
        <w:rPr>
          <w:rFonts w:ascii="FrankRuehl" w:hAnsi="FrankRuehl" w:hint="eastAsia"/>
          <w:rtl/>
        </w:rPr>
        <w:t>שלא</w:t>
      </w:r>
      <w:r w:rsidRPr="009A4A98">
        <w:rPr>
          <w:rFonts w:ascii="FrankRuehl" w:hAnsi="FrankRuehl"/>
          <w:rtl/>
        </w:rPr>
        <w:t xml:space="preserve"> </w:t>
      </w:r>
      <w:r w:rsidRPr="009A4A98">
        <w:rPr>
          <w:rFonts w:ascii="FrankRuehl" w:hAnsi="FrankRuehl" w:hint="eastAsia"/>
          <w:rtl/>
        </w:rPr>
        <w:t>יעבור</w:t>
      </w:r>
      <w:r w:rsidRPr="009A4A98">
        <w:rPr>
          <w:rFonts w:ascii="FrankRuehl" w:hAnsi="FrankRuehl"/>
          <w:rtl/>
        </w:rPr>
        <w:t xml:space="preserve"> </w:t>
      </w:r>
      <w:r w:rsidRPr="009A4A98">
        <w:rPr>
          <w:rFonts w:ascii="FrankRuehl" w:hAnsi="FrankRuehl" w:hint="eastAsia"/>
          <w:rtl/>
        </w:rPr>
        <w:t>עבירת</w:t>
      </w:r>
      <w:r w:rsidRPr="009A4A98">
        <w:rPr>
          <w:rFonts w:ascii="FrankRuehl" w:hAnsi="FrankRuehl"/>
          <w:rtl/>
        </w:rPr>
        <w:t xml:space="preserve"> </w:t>
      </w:r>
      <w:r w:rsidRPr="009A4A98">
        <w:rPr>
          <w:rFonts w:ascii="FrankRuehl" w:hAnsi="FrankRuehl" w:hint="eastAsia"/>
          <w:rtl/>
        </w:rPr>
        <w:t>סמים</w:t>
      </w:r>
      <w:r w:rsidRPr="009A4A98">
        <w:rPr>
          <w:rFonts w:ascii="FrankRuehl" w:hAnsi="FrankRuehl"/>
          <w:rtl/>
        </w:rPr>
        <w:t xml:space="preserve"> </w:t>
      </w:r>
      <w:r w:rsidRPr="009A4A98">
        <w:rPr>
          <w:rFonts w:ascii="FrankRuehl" w:hAnsi="FrankRuehl" w:hint="eastAsia"/>
          <w:rtl/>
        </w:rPr>
        <w:t>שהיא</w:t>
      </w:r>
      <w:r w:rsidRPr="009A4A98">
        <w:rPr>
          <w:rFonts w:ascii="FrankRuehl" w:hAnsi="FrankRuehl"/>
          <w:rtl/>
        </w:rPr>
        <w:t xml:space="preserve"> </w:t>
      </w:r>
      <w:r w:rsidRPr="009A4A98">
        <w:rPr>
          <w:rFonts w:ascii="FrankRuehl" w:hAnsi="FrankRuehl" w:hint="eastAsia"/>
          <w:rtl/>
        </w:rPr>
        <w:t>פשע</w:t>
      </w:r>
      <w:r w:rsidRPr="009A4A98">
        <w:rPr>
          <w:rFonts w:ascii="FrankRuehl" w:hAnsi="FrankRuehl"/>
          <w:rtl/>
        </w:rPr>
        <w:t xml:space="preserve">. </w:t>
      </w:r>
    </w:p>
    <w:p w14:paraId="5D8087D6" w14:textId="77777777" w:rsidR="00AD35ED" w:rsidRPr="009A4A98" w:rsidRDefault="00AD35ED" w:rsidP="00AD35ED">
      <w:pPr>
        <w:spacing w:line="360" w:lineRule="auto"/>
        <w:ind w:left="2160" w:hanging="720"/>
        <w:rPr>
          <w:rtl/>
        </w:rPr>
      </w:pPr>
      <w:r w:rsidRPr="009A4A98">
        <w:rPr>
          <w:rFonts w:ascii="FrankRuehl" w:hAnsi="FrankRuehl" w:hint="eastAsia"/>
          <w:rtl/>
        </w:rPr>
        <w:t>ג</w:t>
      </w:r>
      <w:r w:rsidRPr="009A4A98">
        <w:rPr>
          <w:rFonts w:ascii="FrankRuehl" w:hAnsi="FrankRuehl"/>
          <w:rtl/>
        </w:rPr>
        <w:t>.</w:t>
      </w:r>
      <w:r w:rsidRPr="009A4A98">
        <w:rPr>
          <w:rFonts w:ascii="FrankRuehl" w:hAnsi="FrankRuehl"/>
          <w:rtl/>
        </w:rPr>
        <w:tab/>
      </w:r>
      <w:r w:rsidRPr="009A4A98">
        <w:rPr>
          <w:rtl/>
        </w:rPr>
        <w:t>קנס בסך 15,000 ש"ח או 45 ימי מאסר תחתיו.</w:t>
      </w:r>
    </w:p>
    <w:p w14:paraId="26E7F95B" w14:textId="77777777" w:rsidR="00AD35ED" w:rsidRPr="009A4A98" w:rsidRDefault="00AD35ED" w:rsidP="00AD35ED">
      <w:pPr>
        <w:spacing w:line="360" w:lineRule="auto"/>
        <w:ind w:left="2160" w:hanging="720"/>
        <w:rPr>
          <w:rFonts w:ascii="FrankRuehl" w:hAnsi="FrankRuehl"/>
          <w:rtl/>
        </w:rPr>
      </w:pPr>
    </w:p>
    <w:p w14:paraId="2C55DF04" w14:textId="77777777" w:rsidR="00AD35ED" w:rsidRPr="009A4A98" w:rsidRDefault="00AD35ED" w:rsidP="00AD35ED">
      <w:pPr>
        <w:spacing w:line="360" w:lineRule="auto"/>
        <w:ind w:left="720" w:hanging="720"/>
        <w:rPr>
          <w:rtl/>
        </w:rPr>
      </w:pPr>
      <w:r w:rsidRPr="009A4A98">
        <w:rPr>
          <w:rtl/>
        </w:rPr>
        <w:t>21.</w:t>
      </w:r>
      <w:r w:rsidRPr="009A4A98">
        <w:rPr>
          <w:rtl/>
        </w:rPr>
        <w:tab/>
        <w:t xml:space="preserve">במסגרת הכרעת הדין, התייחסתי בין היתר לזימון המומחית המשטרתית שנתנה חוות דעת לגבי הסמים שנתפסו, לחקירה בבית המשפט על ידי ההגנה, וציינתי כי הדבר היה בלתי מוצדק ושבנסיבות נראה כי מוצדק להטיל בשל כך הוצאות על ההגנה, על פי </w:t>
      </w:r>
      <w:hyperlink r:id="rId49" w:history="1">
        <w:r w:rsidR="0000482F" w:rsidRPr="0000482F">
          <w:rPr>
            <w:color w:val="0000FF"/>
            <w:u w:val="single"/>
            <w:rtl/>
          </w:rPr>
          <w:t>סעיף 26(ב)</w:t>
        </w:r>
      </w:hyperlink>
      <w:r w:rsidRPr="009A4A98">
        <w:rPr>
          <w:rtl/>
        </w:rPr>
        <w:t xml:space="preserve"> ל</w:t>
      </w:r>
      <w:hyperlink r:id="rId50" w:history="1">
        <w:r w:rsidR="006D7B84" w:rsidRPr="006D7B84">
          <w:rPr>
            <w:color w:val="0000FF"/>
            <w:u w:val="single"/>
            <w:rtl/>
          </w:rPr>
          <w:t>פקודת הראיות</w:t>
        </w:r>
      </w:hyperlink>
      <w:r w:rsidRPr="009A4A98">
        <w:rPr>
          <w:rtl/>
        </w:rPr>
        <w:t xml:space="preserve">. הסנגוריה הציבורית המחוזית והסנגור שייצג את הנאשם התבקשו להתייחס לכך בכתב במסגרת טיעוני הצדדים לעונש והם עשו זאת. בין יתר טענותיהם, עלתה הטענה כי האפשרות להטיל הוצאות בנסיבות כאלה מופנית כלפי "בעל דין" ולא כלפי הסנגור המייצג אותו ובודאי שלא כלפי הסנגוריה הציבורית כגוף, והסנגור טען בין היתר כי "כל פעולה בהגנתו של הנאשם, לרבות זימונה של המומחית והשאלות שזו נשאלה, וכל קו ההגנה נוהל באופן ישיר על ידי הנאשם.." וטען, כי הנאשם עצמו לא הוזהר אודות ההשלכות האפשריות של זימון המומחית לחקירה בבית המשפט. אינני סבור שזה המקום המתאים להעמיק בסוגיה ולקבוע בה מסמרות, אולם על רקע טענתו העובדתית של הסנגור בדבר מעורבותו הרבה של הנאשם בניהול המעשי של ההגנה, הטענה כי במקרה זה יש לקבל את עמדת הנאשם קודם ההכרעה בנושא ההוצאות, מתקבלת על הדעת. בנסיבות הענין לא מצאתי לנכון לעכב את מתן גזר הדין על מנת לאפשר לנאשם להגיב בכתב לאפשרות שיוטלו עליו הוצאות, בסופו של דבר לב העניין אינו ההוצאות עצמן אלא ההתנהלות שברקע הדברים. הדברים המהותיים צויינו בהכרעת הדין ואיני מוצא צורך לחזור עליהם ולהתייחס על רקעם לטענות הסנגור והסנגוריה הציבורית. יש לקוות שהסנגור והסנגוריה הציבורית יקחו את ההערות לתשומת לבם ושבעתיד לא יהיה צורך לשוב ולהעלות את הסוגיה.  </w:t>
      </w:r>
    </w:p>
    <w:p w14:paraId="755976D0" w14:textId="77777777" w:rsidR="00AD35ED" w:rsidRPr="009A4A98" w:rsidRDefault="00AD35ED" w:rsidP="00AD35ED">
      <w:pPr>
        <w:spacing w:line="360" w:lineRule="auto"/>
        <w:ind w:left="720" w:hanging="720"/>
        <w:rPr>
          <w:rtl/>
        </w:rPr>
      </w:pPr>
    </w:p>
    <w:p w14:paraId="04300C04" w14:textId="77777777" w:rsidR="00AD35ED" w:rsidRPr="009A4A98" w:rsidRDefault="00AD35ED" w:rsidP="00AD35ED">
      <w:pPr>
        <w:spacing w:line="360" w:lineRule="auto"/>
        <w:ind w:left="720" w:hanging="720"/>
        <w:rPr>
          <w:rtl/>
        </w:rPr>
      </w:pPr>
    </w:p>
    <w:p w14:paraId="4249B212" w14:textId="77777777" w:rsidR="00AD35ED" w:rsidRPr="009A4A98" w:rsidRDefault="00AD35ED" w:rsidP="00AD35ED">
      <w:pPr>
        <w:spacing w:line="360" w:lineRule="auto"/>
        <w:ind w:left="720" w:hanging="720"/>
        <w:rPr>
          <w:rtl/>
        </w:rPr>
      </w:pPr>
      <w:r w:rsidRPr="009A4A98">
        <w:rPr>
          <w:rtl/>
        </w:rPr>
        <w:t xml:space="preserve">זכות ערעור תוך 45 יום מהיום. </w:t>
      </w:r>
    </w:p>
    <w:p w14:paraId="2041345B" w14:textId="77777777" w:rsidR="00AD35ED" w:rsidRPr="006D7B84" w:rsidRDefault="006D7B84" w:rsidP="00AD35ED">
      <w:pPr>
        <w:spacing w:line="360" w:lineRule="auto"/>
        <w:ind w:left="720" w:hanging="720"/>
        <w:rPr>
          <w:color w:val="FFFFFF"/>
          <w:sz w:val="2"/>
          <w:szCs w:val="2"/>
          <w:rtl/>
        </w:rPr>
      </w:pPr>
      <w:r w:rsidRPr="006D7B84">
        <w:rPr>
          <w:color w:val="FFFFFF"/>
          <w:sz w:val="2"/>
          <w:szCs w:val="2"/>
          <w:rtl/>
        </w:rPr>
        <w:t>5129371</w:t>
      </w:r>
    </w:p>
    <w:p w14:paraId="00825C68" w14:textId="77777777" w:rsidR="00AD35ED" w:rsidRPr="009A4A98" w:rsidRDefault="006D7B84" w:rsidP="00AD35ED">
      <w:pPr>
        <w:rPr>
          <w:rtl/>
        </w:rPr>
      </w:pPr>
      <w:r w:rsidRPr="006D7B84">
        <w:rPr>
          <w:rFonts w:ascii="Arial" w:hAnsi="Arial"/>
          <w:color w:val="FFFFFF"/>
          <w:sz w:val="2"/>
          <w:szCs w:val="2"/>
          <w:rtl/>
        </w:rPr>
        <w:t>54678313</w:t>
      </w:r>
      <w:r>
        <w:rPr>
          <w:rFonts w:ascii="Arial" w:hAnsi="Arial"/>
          <w:rtl/>
        </w:rPr>
        <w:t xml:space="preserve">ניתן היום,  י"ד תמוז תשע"ו, 20 יולי 2016, בנוכחות הצדדים. </w:t>
      </w:r>
    </w:p>
    <w:p w14:paraId="241FB0FD" w14:textId="77777777" w:rsidR="00AD35ED" w:rsidRPr="009A4A98" w:rsidRDefault="00AD35ED" w:rsidP="00AD35ED">
      <w:pPr>
        <w:jc w:val="center"/>
      </w:pPr>
      <w:r w:rsidRPr="009A4A98">
        <w:rPr>
          <w:rFonts w:hint="cs"/>
          <w:rtl/>
        </w:rPr>
        <w:t xml:space="preserve">   </w:t>
      </w:r>
      <w:r w:rsidRPr="009A4A98">
        <w:rPr>
          <w:rFonts w:hint="cs"/>
          <w:rtl/>
        </w:rPr>
        <w:tab/>
      </w:r>
      <w:r w:rsidRPr="009A4A98">
        <w:rPr>
          <w:rFonts w:hint="cs"/>
          <w:rtl/>
        </w:rPr>
        <w:tab/>
      </w:r>
      <w:r w:rsidRPr="009A4A98">
        <w:rPr>
          <w:rFonts w:hint="cs"/>
          <w:rtl/>
        </w:rPr>
        <w:tab/>
      </w:r>
      <w:r w:rsidRPr="009A4A98">
        <w:rPr>
          <w:rFonts w:hint="cs"/>
          <w:rtl/>
        </w:rPr>
        <w:tab/>
      </w:r>
      <w:r w:rsidRPr="009A4A98">
        <w:rPr>
          <w:rFonts w:hint="cs"/>
          <w:rtl/>
        </w:rPr>
        <w:tab/>
      </w:r>
    </w:p>
    <w:p w14:paraId="6ED59E05" w14:textId="77777777" w:rsidR="00AD35ED" w:rsidRPr="009A4A98" w:rsidRDefault="00AD35ED" w:rsidP="00AD35ED">
      <w:pPr>
        <w:jc w:val="center"/>
        <w:rPr>
          <w:rFonts w:ascii="Arial" w:hAnsi="Arial"/>
          <w:rtl/>
        </w:rPr>
      </w:pPr>
    </w:p>
    <w:p w14:paraId="141C0F6E" w14:textId="77777777" w:rsidR="00AD35ED" w:rsidRPr="009A4A98" w:rsidRDefault="00AD35ED" w:rsidP="00AD35ED">
      <w:pPr>
        <w:rPr>
          <w:rtl/>
        </w:rPr>
      </w:pPr>
    </w:p>
    <w:p w14:paraId="1388B685" w14:textId="77777777" w:rsidR="00AD35ED" w:rsidRPr="009A4A98" w:rsidRDefault="00AD35ED" w:rsidP="00AD35ED">
      <w:pPr>
        <w:pStyle w:val="a3"/>
        <w:jc w:val="center"/>
        <w:rPr>
          <w:rtl/>
        </w:rPr>
      </w:pPr>
    </w:p>
    <w:p w14:paraId="7ECED1B2" w14:textId="77777777" w:rsidR="006D7B84" w:rsidRPr="006D7B84" w:rsidRDefault="006D7B84" w:rsidP="006D7B84">
      <w:pPr>
        <w:keepNext/>
        <w:rPr>
          <w:rFonts w:ascii="David" w:hAnsi="David"/>
          <w:color w:val="000000"/>
          <w:sz w:val="22"/>
          <w:szCs w:val="22"/>
          <w:rtl/>
        </w:rPr>
      </w:pPr>
    </w:p>
    <w:p w14:paraId="5F4FA182" w14:textId="77777777" w:rsidR="006D7B84" w:rsidRPr="006D7B84" w:rsidRDefault="006D7B84" w:rsidP="006D7B84">
      <w:pPr>
        <w:keepNext/>
        <w:rPr>
          <w:rFonts w:ascii="David" w:hAnsi="David"/>
          <w:color w:val="000000"/>
          <w:sz w:val="22"/>
          <w:szCs w:val="22"/>
          <w:rtl/>
        </w:rPr>
      </w:pPr>
      <w:r w:rsidRPr="006D7B84">
        <w:rPr>
          <w:rFonts w:ascii="David" w:hAnsi="David"/>
          <w:color w:val="000000"/>
          <w:sz w:val="22"/>
          <w:szCs w:val="22"/>
          <w:rtl/>
        </w:rPr>
        <w:t>אליהו ביתן 54678313</w:t>
      </w:r>
    </w:p>
    <w:p w14:paraId="0CF3DE35" w14:textId="77777777" w:rsidR="006D7B84" w:rsidRDefault="006D7B84" w:rsidP="006D7B84">
      <w:r w:rsidRPr="006D7B84">
        <w:rPr>
          <w:color w:val="000000"/>
          <w:rtl/>
        </w:rPr>
        <w:t>נוסח מסמך זה כפוף לשינויי ניסוח ועריכה</w:t>
      </w:r>
    </w:p>
    <w:p w14:paraId="02A052E7" w14:textId="77777777" w:rsidR="006D7B84" w:rsidRDefault="006D7B84" w:rsidP="006D7B84">
      <w:pPr>
        <w:rPr>
          <w:rtl/>
        </w:rPr>
      </w:pPr>
    </w:p>
    <w:p w14:paraId="5B990B82" w14:textId="77777777" w:rsidR="006D7B84" w:rsidRDefault="006D7B84" w:rsidP="006D7B84">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r w:rsidR="007438A2">
        <w:rPr>
          <w:rFonts w:hint="cs"/>
          <w:color w:val="0000FF"/>
          <w:u w:val="single"/>
          <w:rtl/>
        </w:rPr>
        <w:t xml:space="preserve"> </w:t>
      </w:r>
    </w:p>
    <w:p w14:paraId="195B5EC9" w14:textId="77777777" w:rsidR="00B1215F" w:rsidRPr="006D7B84" w:rsidRDefault="00B1215F" w:rsidP="006D7B84">
      <w:pPr>
        <w:jc w:val="center"/>
        <w:rPr>
          <w:color w:val="0000FF"/>
          <w:u w:val="single"/>
        </w:rPr>
      </w:pPr>
    </w:p>
    <w:sectPr w:rsidR="00B1215F" w:rsidRPr="006D7B84" w:rsidSect="006D7B84">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AA046" w14:textId="77777777" w:rsidR="00D204FE" w:rsidRDefault="00D204FE">
      <w:r>
        <w:separator/>
      </w:r>
    </w:p>
  </w:endnote>
  <w:endnote w:type="continuationSeparator" w:id="0">
    <w:p w14:paraId="5802B799" w14:textId="77777777" w:rsidR="00D204FE" w:rsidRDefault="00D2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C1D25" w14:textId="77777777" w:rsidR="00F905F0" w:rsidRDefault="00F905F0" w:rsidP="006D7B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C6F135" w14:textId="77777777" w:rsidR="00F905F0" w:rsidRPr="006D7B84" w:rsidRDefault="00F905F0" w:rsidP="006D7B84">
    <w:pPr>
      <w:pStyle w:val="a4"/>
      <w:pBdr>
        <w:top w:val="single" w:sz="4" w:space="1" w:color="auto"/>
        <w:between w:val="single" w:sz="4" w:space="0" w:color="auto"/>
      </w:pBdr>
      <w:spacing w:after="60"/>
      <w:jc w:val="center"/>
      <w:rPr>
        <w:rFonts w:ascii="FrankRuehl" w:hAnsi="FrankRuehl" w:cs="FrankRuehl"/>
        <w:color w:val="000000"/>
      </w:rPr>
    </w:pPr>
    <w:r w:rsidRPr="006D7B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2ED24" w14:textId="77777777" w:rsidR="00F905F0" w:rsidRDefault="00F905F0" w:rsidP="006D7B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32C6">
      <w:rPr>
        <w:rFonts w:ascii="FrankRuehl" w:hAnsi="FrankRuehl" w:cs="FrankRuehl"/>
        <w:noProof/>
        <w:rtl/>
      </w:rPr>
      <w:t>1</w:t>
    </w:r>
    <w:r>
      <w:rPr>
        <w:rFonts w:ascii="FrankRuehl" w:hAnsi="FrankRuehl" w:cs="FrankRuehl"/>
        <w:rtl/>
      </w:rPr>
      <w:fldChar w:fldCharType="end"/>
    </w:r>
  </w:p>
  <w:p w14:paraId="23305AEB" w14:textId="77777777" w:rsidR="00F905F0" w:rsidRPr="006D7B84" w:rsidRDefault="00F905F0" w:rsidP="006D7B84">
    <w:pPr>
      <w:pStyle w:val="a4"/>
      <w:pBdr>
        <w:top w:val="single" w:sz="4" w:space="1" w:color="auto"/>
        <w:between w:val="single" w:sz="4" w:space="0" w:color="auto"/>
      </w:pBdr>
      <w:spacing w:after="60"/>
      <w:jc w:val="center"/>
      <w:rPr>
        <w:rFonts w:ascii="FrankRuehl" w:hAnsi="FrankRuehl" w:cs="FrankRuehl"/>
        <w:color w:val="000000"/>
      </w:rPr>
    </w:pPr>
    <w:r w:rsidRPr="006D7B84">
      <w:rPr>
        <w:rFonts w:ascii="FrankRuehl" w:hAnsi="FrankRuehl" w:cs="FrankRuehl"/>
        <w:color w:val="000000"/>
      </w:rPr>
      <w:pict w14:anchorId="496C1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0B9E2" w14:textId="77777777" w:rsidR="00D204FE" w:rsidRDefault="00D204FE">
      <w:r>
        <w:separator/>
      </w:r>
    </w:p>
  </w:footnote>
  <w:footnote w:type="continuationSeparator" w:id="0">
    <w:p w14:paraId="5DB34397" w14:textId="77777777" w:rsidR="00D204FE" w:rsidRDefault="00D20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1D6A3" w14:textId="77777777" w:rsidR="00F905F0" w:rsidRPr="006D7B84" w:rsidRDefault="00F905F0" w:rsidP="006D7B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8633-04-15</w:t>
    </w:r>
    <w:r>
      <w:rPr>
        <w:rFonts w:ascii="David" w:hAnsi="David"/>
        <w:color w:val="000000"/>
        <w:sz w:val="22"/>
        <w:szCs w:val="22"/>
        <w:rtl/>
      </w:rPr>
      <w:tab/>
      <w:t xml:space="preserve"> מדינת ישראל נ' פנחס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21E58" w14:textId="77777777" w:rsidR="00F905F0" w:rsidRPr="006D7B84" w:rsidRDefault="00F905F0" w:rsidP="006D7B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8633-04-15</w:t>
    </w:r>
    <w:r>
      <w:rPr>
        <w:rFonts w:ascii="David" w:hAnsi="David"/>
        <w:color w:val="000000"/>
        <w:sz w:val="22"/>
        <w:szCs w:val="22"/>
        <w:rtl/>
      </w:rPr>
      <w:tab/>
      <w:t xml:space="preserve"> מדינת ישראל נ' פנחס דהן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35ED"/>
    <w:rsid w:val="0000482F"/>
    <w:rsid w:val="00174FB2"/>
    <w:rsid w:val="00200449"/>
    <w:rsid w:val="0030223E"/>
    <w:rsid w:val="005350B1"/>
    <w:rsid w:val="006D7B84"/>
    <w:rsid w:val="007307C3"/>
    <w:rsid w:val="007438A2"/>
    <w:rsid w:val="00AD35ED"/>
    <w:rsid w:val="00B1215F"/>
    <w:rsid w:val="00BC14E2"/>
    <w:rsid w:val="00C4479C"/>
    <w:rsid w:val="00D204FE"/>
    <w:rsid w:val="00DE32C6"/>
    <w:rsid w:val="00F905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6261D2"/>
  <w15:chartTrackingRefBased/>
  <w15:docId w15:val="{AC490A33-95D4-40D1-98BF-8F0AF695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35ED"/>
    <w:pPr>
      <w:bidi/>
    </w:pPr>
    <w:rPr>
      <w:rFonts w:cs="David"/>
      <w:sz w:val="24"/>
      <w:szCs w:val="24"/>
    </w:rPr>
  </w:style>
  <w:style w:type="paragraph" w:styleId="1">
    <w:name w:val="heading 1"/>
    <w:basedOn w:val="a"/>
    <w:next w:val="a"/>
    <w:qFormat/>
    <w:rsid w:val="00AD35ED"/>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AD35ED"/>
    <w:pPr>
      <w:keepNext/>
      <w:keepLines/>
      <w:spacing w:before="40"/>
      <w:outlineLvl w:val="2"/>
    </w:pPr>
    <w:rPr>
      <w:rFonts w:ascii="Cambria" w:hAnsi="Cambria" w:cs="Times New Roman"/>
      <w:color w:val="243F6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D35ED"/>
    <w:pPr>
      <w:tabs>
        <w:tab w:val="center" w:pos="4153"/>
        <w:tab w:val="right" w:pos="8306"/>
      </w:tabs>
    </w:pPr>
  </w:style>
  <w:style w:type="paragraph" w:styleId="a4">
    <w:name w:val="footer"/>
    <w:basedOn w:val="a"/>
    <w:rsid w:val="00AD35ED"/>
    <w:pPr>
      <w:tabs>
        <w:tab w:val="center" w:pos="4153"/>
        <w:tab w:val="right" w:pos="8306"/>
      </w:tabs>
    </w:pPr>
  </w:style>
  <w:style w:type="character" w:styleId="a5">
    <w:name w:val="page number"/>
    <w:basedOn w:val="a0"/>
    <w:rsid w:val="00AD35ED"/>
  </w:style>
  <w:style w:type="character" w:customStyle="1" w:styleId="30">
    <w:name w:val="כותרת 3 תו"/>
    <w:link w:val="3"/>
    <w:rsid w:val="00AD35ED"/>
    <w:rPr>
      <w:rFonts w:ascii="Cambria" w:hAnsi="Cambria"/>
      <w:color w:val="243F60"/>
      <w:sz w:val="24"/>
      <w:szCs w:val="24"/>
      <w:lang w:val="en-US" w:eastAsia="en-US" w:bidi="he-IL"/>
    </w:rPr>
  </w:style>
  <w:style w:type="paragraph" w:styleId="a6">
    <w:name w:val="Body Text Indent"/>
    <w:basedOn w:val="a"/>
    <w:link w:val="a7"/>
    <w:rsid w:val="00AD35ED"/>
    <w:pPr>
      <w:spacing w:line="360" w:lineRule="auto"/>
      <w:ind w:left="720" w:hanging="720"/>
    </w:pPr>
    <w:rPr>
      <w:rFonts w:cs="FrankRuehl"/>
      <w:szCs w:val="28"/>
      <w:lang w:eastAsia="he-IL"/>
    </w:rPr>
  </w:style>
  <w:style w:type="character" w:customStyle="1" w:styleId="a7">
    <w:name w:val="כניסה בגוף טקסט תו"/>
    <w:link w:val="a6"/>
    <w:rsid w:val="00AD35ED"/>
    <w:rPr>
      <w:rFonts w:cs="FrankRuehl"/>
      <w:sz w:val="24"/>
      <w:szCs w:val="28"/>
      <w:lang w:val="en-US" w:eastAsia="he-IL" w:bidi="he-IL"/>
    </w:rPr>
  </w:style>
  <w:style w:type="paragraph" w:customStyle="1" w:styleId="P00">
    <w:name w:val="P00"/>
    <w:rsid w:val="00AD35E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a8">
    <w:name w:val="כללי"/>
    <w:basedOn w:val="a"/>
    <w:rsid w:val="00AD35ED"/>
    <w:pPr>
      <w:overflowPunct w:val="0"/>
      <w:autoSpaceDE w:val="0"/>
      <w:autoSpaceDN w:val="0"/>
      <w:adjustRightInd w:val="0"/>
      <w:spacing w:after="240" w:line="284" w:lineRule="exact"/>
      <w:ind w:firstLine="284"/>
      <w:jc w:val="both"/>
      <w:textAlignment w:val="baseline"/>
    </w:pPr>
    <w:rPr>
      <w:rFonts w:cs="FrankRuehl"/>
      <w:sz w:val="20"/>
      <w:lang w:eastAsia="he-IL"/>
    </w:rPr>
  </w:style>
  <w:style w:type="paragraph" w:customStyle="1" w:styleId="ListParagraph">
    <w:name w:val="List Paragraph"/>
    <w:basedOn w:val="a"/>
    <w:rsid w:val="00AD35ED"/>
    <w:pPr>
      <w:ind w:left="720"/>
    </w:pPr>
    <w:rPr>
      <w:rFonts w:cs="FrankRuehl"/>
      <w:szCs w:val="28"/>
      <w:lang w:eastAsia="he-IL"/>
    </w:rPr>
  </w:style>
  <w:style w:type="character" w:styleId="Hyperlink">
    <w:name w:val="Hyperlink"/>
    <w:rsid w:val="00AD35E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case/6870013" TargetMode="External"/><Relationship Id="rId26" Type="http://schemas.openxmlformats.org/officeDocument/2006/relationships/hyperlink" Target="http://www.nevo.co.il/case/20118363" TargetMode="External"/><Relationship Id="rId39" Type="http://schemas.openxmlformats.org/officeDocument/2006/relationships/hyperlink" Target="http://www.nevo.co.il/case/7786137" TargetMode="External"/><Relationship Id="rId21" Type="http://schemas.openxmlformats.org/officeDocument/2006/relationships/hyperlink" Target="http://www.nevo.co.il/case/5786821" TargetMode="External"/><Relationship Id="rId34" Type="http://schemas.openxmlformats.org/officeDocument/2006/relationships/hyperlink" Target="http://www.nevo.co.il/case/20450155" TargetMode="External"/><Relationship Id="rId42" Type="http://schemas.openxmlformats.org/officeDocument/2006/relationships/hyperlink" Target="http://www.nevo.co.il/case/5734189" TargetMode="External"/><Relationship Id="rId47" Type="http://schemas.openxmlformats.org/officeDocument/2006/relationships/hyperlink" Target="http://www.nevo.co.il/case/6870013" TargetMode="External"/><Relationship Id="rId50" Type="http://schemas.openxmlformats.org/officeDocument/2006/relationships/hyperlink" Target="http://www.nevo.co.il/law/98569" TargetMode="External"/><Relationship Id="rId55"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5590128"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412551" TargetMode="External"/><Relationship Id="rId32" Type="http://schemas.openxmlformats.org/officeDocument/2006/relationships/hyperlink" Target="http://www.nevo.co.il/case/17947582" TargetMode="External"/><Relationship Id="rId37" Type="http://schemas.openxmlformats.org/officeDocument/2006/relationships/hyperlink" Target="http://www.nevo.co.il/case/20956295" TargetMode="External"/><Relationship Id="rId40" Type="http://schemas.openxmlformats.org/officeDocument/2006/relationships/hyperlink" Target="http://www.nevo.co.il/case/4140033" TargetMode="External"/><Relationship Id="rId45" Type="http://schemas.openxmlformats.org/officeDocument/2006/relationships/hyperlink" Target="http://www.nevo.co.il/law/70301/40e"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4216/2T31.3"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98569/26.b" TargetMode="External"/><Relationship Id="rId22" Type="http://schemas.openxmlformats.org/officeDocument/2006/relationships/hyperlink" Target="http://www.nevo.co.il/case/5988308" TargetMode="External"/><Relationship Id="rId27" Type="http://schemas.openxmlformats.org/officeDocument/2006/relationships/hyperlink" Target="http://www.nevo.co.il/case/18753213" TargetMode="External"/><Relationship Id="rId30" Type="http://schemas.openxmlformats.org/officeDocument/2006/relationships/hyperlink" Target="http://www.nevo.co.il/case/5727295" TargetMode="External"/><Relationship Id="rId35" Type="http://schemas.openxmlformats.org/officeDocument/2006/relationships/hyperlink" Target="http://www.nevo.co.il/case/20412551" TargetMode="External"/><Relationship Id="rId43" Type="http://schemas.openxmlformats.org/officeDocument/2006/relationships/hyperlink" Target="http://www.nevo.co.il/case/5993550" TargetMode="External"/><Relationship Id="rId48" Type="http://schemas.openxmlformats.org/officeDocument/2006/relationships/hyperlink" Target="http://www.nevo.co.il/case/6870013" TargetMode="External"/><Relationship Id="rId56" Type="http://schemas.openxmlformats.org/officeDocument/2006/relationships/fontTable" Target="fontTable.xml"/><Relationship Id="rId8" Type="http://schemas.openxmlformats.org/officeDocument/2006/relationships/hyperlink" Target="http://www.nevo.co.il/law/4216/7.c"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0e"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12063973" TargetMode="External"/><Relationship Id="rId33" Type="http://schemas.openxmlformats.org/officeDocument/2006/relationships/hyperlink" Target="http://www.nevo.co.il/case/20455788" TargetMode="External"/><Relationship Id="rId38" Type="http://schemas.openxmlformats.org/officeDocument/2006/relationships/hyperlink" Target="http://www.nevo.co.il/case/5590169"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797106"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7.a.;7.c"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17947582" TargetMode="External"/><Relationship Id="rId36" Type="http://schemas.openxmlformats.org/officeDocument/2006/relationships/hyperlink" Target="http://www.nevo.co.il/case/20559685" TargetMode="External"/><Relationship Id="rId49" Type="http://schemas.openxmlformats.org/officeDocument/2006/relationships/hyperlink" Target="http://www.nevo.co.il/law/98569/26.b" TargetMode="External"/><Relationship Id="rId57" Type="http://schemas.openxmlformats.org/officeDocument/2006/relationships/theme" Target="theme/theme1.xml"/><Relationship Id="rId10" Type="http://schemas.openxmlformats.org/officeDocument/2006/relationships/hyperlink" Target="http://www.nevo.co.il/law/4216/2T31.3" TargetMode="External"/><Relationship Id="rId31" Type="http://schemas.openxmlformats.org/officeDocument/2006/relationships/hyperlink" Target="http://www.nevo.co.il/case/5984454" TargetMode="External"/><Relationship Id="rId44" Type="http://schemas.openxmlformats.org/officeDocument/2006/relationships/hyperlink" Target="http://www.nevo.co.il/case/11204005"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4257</Words>
  <Characters>21290</Characters>
  <Application>Microsoft Office Word</Application>
  <DocSecurity>0</DocSecurity>
  <Lines>177</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25497</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7602284</vt:i4>
      </vt:variant>
      <vt:variant>
        <vt:i4>132</vt:i4>
      </vt:variant>
      <vt:variant>
        <vt:i4>0</vt:i4>
      </vt:variant>
      <vt:variant>
        <vt:i4>5</vt:i4>
      </vt:variant>
      <vt:variant>
        <vt:lpwstr>http://www.nevo.co.il/law/98569</vt:lpwstr>
      </vt:variant>
      <vt:variant>
        <vt:lpwstr/>
      </vt:variant>
      <vt:variant>
        <vt:i4>983113</vt:i4>
      </vt:variant>
      <vt:variant>
        <vt:i4>129</vt:i4>
      </vt:variant>
      <vt:variant>
        <vt:i4>0</vt:i4>
      </vt:variant>
      <vt:variant>
        <vt:i4>5</vt:i4>
      </vt:variant>
      <vt:variant>
        <vt:lpwstr>http://www.nevo.co.il/law/98569/26.b</vt:lpwstr>
      </vt:variant>
      <vt:variant>
        <vt:lpwstr/>
      </vt:variant>
      <vt:variant>
        <vt:i4>3276925</vt:i4>
      </vt:variant>
      <vt:variant>
        <vt:i4>126</vt:i4>
      </vt:variant>
      <vt:variant>
        <vt:i4>0</vt:i4>
      </vt:variant>
      <vt:variant>
        <vt:i4>5</vt:i4>
      </vt:variant>
      <vt:variant>
        <vt:lpwstr>http://www.nevo.co.il/case/6870013</vt:lpwstr>
      </vt:variant>
      <vt:variant>
        <vt:lpwstr/>
      </vt:variant>
      <vt:variant>
        <vt:i4>3276925</vt:i4>
      </vt:variant>
      <vt:variant>
        <vt:i4>123</vt:i4>
      </vt:variant>
      <vt:variant>
        <vt:i4>0</vt:i4>
      </vt:variant>
      <vt:variant>
        <vt:i4>5</vt:i4>
      </vt:variant>
      <vt:variant>
        <vt:lpwstr>http://www.nevo.co.il/case/6870013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http://www.nevo.co.il/law/70301/40e</vt:lpwstr>
      </vt:variant>
      <vt:variant>
        <vt:lpwstr/>
      </vt:variant>
      <vt:variant>
        <vt:i4>3604597</vt:i4>
      </vt:variant>
      <vt:variant>
        <vt:i4>114</vt:i4>
      </vt:variant>
      <vt:variant>
        <vt:i4>0</vt:i4>
      </vt:variant>
      <vt:variant>
        <vt:i4>5</vt:i4>
      </vt:variant>
      <vt:variant>
        <vt:lpwstr>http://www.nevo.co.il/case/11204005</vt:lpwstr>
      </vt:variant>
      <vt:variant>
        <vt:lpwstr/>
      </vt:variant>
      <vt:variant>
        <vt:i4>3735675</vt:i4>
      </vt:variant>
      <vt:variant>
        <vt:i4>111</vt:i4>
      </vt:variant>
      <vt:variant>
        <vt:i4>0</vt:i4>
      </vt:variant>
      <vt:variant>
        <vt:i4>5</vt:i4>
      </vt:variant>
      <vt:variant>
        <vt:lpwstr>http://www.nevo.co.il/case/5993550</vt:lpwstr>
      </vt:variant>
      <vt:variant>
        <vt:lpwstr/>
      </vt:variant>
      <vt:variant>
        <vt:i4>4063359</vt:i4>
      </vt:variant>
      <vt:variant>
        <vt:i4>108</vt:i4>
      </vt:variant>
      <vt:variant>
        <vt:i4>0</vt:i4>
      </vt:variant>
      <vt:variant>
        <vt:i4>5</vt:i4>
      </vt:variant>
      <vt:variant>
        <vt:lpwstr>http://www.nevo.co.il/case/5734189</vt:lpwstr>
      </vt:variant>
      <vt:variant>
        <vt:lpwstr/>
      </vt:variant>
      <vt:variant>
        <vt:i4>3866740</vt:i4>
      </vt:variant>
      <vt:variant>
        <vt:i4>105</vt:i4>
      </vt:variant>
      <vt:variant>
        <vt:i4>0</vt:i4>
      </vt:variant>
      <vt:variant>
        <vt:i4>5</vt:i4>
      </vt:variant>
      <vt:variant>
        <vt:lpwstr>http://www.nevo.co.il/case/5797106</vt:lpwstr>
      </vt:variant>
      <vt:variant>
        <vt:lpwstr/>
      </vt:variant>
      <vt:variant>
        <vt:i4>3342454</vt:i4>
      </vt:variant>
      <vt:variant>
        <vt:i4>102</vt:i4>
      </vt:variant>
      <vt:variant>
        <vt:i4>0</vt:i4>
      </vt:variant>
      <vt:variant>
        <vt:i4>5</vt:i4>
      </vt:variant>
      <vt:variant>
        <vt:lpwstr>http://www.nevo.co.il/case/4140033</vt:lpwstr>
      </vt:variant>
      <vt:variant>
        <vt:lpwstr/>
      </vt:variant>
      <vt:variant>
        <vt:i4>3735670</vt:i4>
      </vt:variant>
      <vt:variant>
        <vt:i4>99</vt:i4>
      </vt:variant>
      <vt:variant>
        <vt:i4>0</vt:i4>
      </vt:variant>
      <vt:variant>
        <vt:i4>5</vt:i4>
      </vt:variant>
      <vt:variant>
        <vt:lpwstr>http://www.nevo.co.il/case/7786137</vt:lpwstr>
      </vt:variant>
      <vt:variant>
        <vt:lpwstr/>
      </vt:variant>
      <vt:variant>
        <vt:i4>3407991</vt:i4>
      </vt:variant>
      <vt:variant>
        <vt:i4>96</vt:i4>
      </vt:variant>
      <vt:variant>
        <vt:i4>0</vt:i4>
      </vt:variant>
      <vt:variant>
        <vt:i4>5</vt:i4>
      </vt:variant>
      <vt:variant>
        <vt:lpwstr>http://www.nevo.co.il/case/5590169</vt:lpwstr>
      </vt:variant>
      <vt:variant>
        <vt:lpwstr/>
      </vt:variant>
      <vt:variant>
        <vt:i4>3407987</vt:i4>
      </vt:variant>
      <vt:variant>
        <vt:i4>93</vt:i4>
      </vt:variant>
      <vt:variant>
        <vt:i4>0</vt:i4>
      </vt:variant>
      <vt:variant>
        <vt:i4>5</vt:i4>
      </vt:variant>
      <vt:variant>
        <vt:lpwstr>http://www.nevo.co.il/case/20956295</vt:lpwstr>
      </vt:variant>
      <vt:variant>
        <vt:lpwstr/>
      </vt:variant>
      <vt:variant>
        <vt:i4>3539063</vt:i4>
      </vt:variant>
      <vt:variant>
        <vt:i4>90</vt:i4>
      </vt:variant>
      <vt:variant>
        <vt:i4>0</vt:i4>
      </vt:variant>
      <vt:variant>
        <vt:i4>5</vt:i4>
      </vt:variant>
      <vt:variant>
        <vt:lpwstr>http://www.nevo.co.il/case/20559685</vt:lpwstr>
      </vt:variant>
      <vt:variant>
        <vt:lpwstr/>
      </vt:variant>
      <vt:variant>
        <vt:i4>3211376</vt:i4>
      </vt:variant>
      <vt:variant>
        <vt:i4>87</vt:i4>
      </vt:variant>
      <vt:variant>
        <vt:i4>0</vt:i4>
      </vt:variant>
      <vt:variant>
        <vt:i4>5</vt:i4>
      </vt:variant>
      <vt:variant>
        <vt:lpwstr>http://www.nevo.co.il/case/20412551</vt:lpwstr>
      </vt:variant>
      <vt:variant>
        <vt:lpwstr/>
      </vt:variant>
      <vt:variant>
        <vt:i4>3342448</vt:i4>
      </vt:variant>
      <vt:variant>
        <vt:i4>84</vt:i4>
      </vt:variant>
      <vt:variant>
        <vt:i4>0</vt:i4>
      </vt:variant>
      <vt:variant>
        <vt:i4>5</vt:i4>
      </vt:variant>
      <vt:variant>
        <vt:lpwstr>http://www.nevo.co.il/case/20450155</vt:lpwstr>
      </vt:variant>
      <vt:variant>
        <vt:lpwstr/>
      </vt:variant>
      <vt:variant>
        <vt:i4>3866742</vt:i4>
      </vt:variant>
      <vt:variant>
        <vt:i4>81</vt:i4>
      </vt:variant>
      <vt:variant>
        <vt:i4>0</vt:i4>
      </vt:variant>
      <vt:variant>
        <vt:i4>5</vt:i4>
      </vt:variant>
      <vt:variant>
        <vt:lpwstr>http://www.nevo.co.il/case/20455788</vt:lpwstr>
      </vt:variant>
      <vt:variant>
        <vt:lpwstr/>
      </vt:variant>
      <vt:variant>
        <vt:i4>3604594</vt:i4>
      </vt:variant>
      <vt:variant>
        <vt:i4>78</vt:i4>
      </vt:variant>
      <vt:variant>
        <vt:i4>0</vt:i4>
      </vt:variant>
      <vt:variant>
        <vt:i4>5</vt:i4>
      </vt:variant>
      <vt:variant>
        <vt:lpwstr>http://www.nevo.co.il/case/17947582</vt:lpwstr>
      </vt:variant>
      <vt:variant>
        <vt:lpwstr/>
      </vt:variant>
      <vt:variant>
        <vt:i4>3997820</vt:i4>
      </vt:variant>
      <vt:variant>
        <vt:i4>75</vt:i4>
      </vt:variant>
      <vt:variant>
        <vt:i4>0</vt:i4>
      </vt:variant>
      <vt:variant>
        <vt:i4>5</vt:i4>
      </vt:variant>
      <vt:variant>
        <vt:lpwstr>http://www.nevo.co.il/case/5984454</vt:lpwstr>
      </vt:variant>
      <vt:variant>
        <vt:lpwstr/>
      </vt:variant>
      <vt:variant>
        <vt:i4>3145853</vt:i4>
      </vt:variant>
      <vt:variant>
        <vt:i4>72</vt:i4>
      </vt:variant>
      <vt:variant>
        <vt:i4>0</vt:i4>
      </vt:variant>
      <vt:variant>
        <vt:i4>5</vt:i4>
      </vt:variant>
      <vt:variant>
        <vt:lpwstr>http://www.nevo.co.il/case/5727295</vt:lpwstr>
      </vt:variant>
      <vt:variant>
        <vt:lpwstr/>
      </vt:variant>
      <vt:variant>
        <vt:i4>3473523</vt:i4>
      </vt:variant>
      <vt:variant>
        <vt:i4>69</vt:i4>
      </vt:variant>
      <vt:variant>
        <vt:i4>0</vt:i4>
      </vt:variant>
      <vt:variant>
        <vt:i4>5</vt:i4>
      </vt:variant>
      <vt:variant>
        <vt:lpwstr>http://www.nevo.co.il/case/5590128</vt:lpwstr>
      </vt:variant>
      <vt:variant>
        <vt:lpwstr/>
      </vt:variant>
      <vt:variant>
        <vt:i4>3604594</vt:i4>
      </vt:variant>
      <vt:variant>
        <vt:i4>66</vt:i4>
      </vt:variant>
      <vt:variant>
        <vt:i4>0</vt:i4>
      </vt:variant>
      <vt:variant>
        <vt:i4>5</vt:i4>
      </vt:variant>
      <vt:variant>
        <vt:lpwstr>http://www.nevo.co.il/case/17947582</vt:lpwstr>
      </vt:variant>
      <vt:variant>
        <vt:lpwstr/>
      </vt:variant>
      <vt:variant>
        <vt:i4>3407995</vt:i4>
      </vt:variant>
      <vt:variant>
        <vt:i4>63</vt:i4>
      </vt:variant>
      <vt:variant>
        <vt:i4>0</vt:i4>
      </vt:variant>
      <vt:variant>
        <vt:i4>5</vt:i4>
      </vt:variant>
      <vt:variant>
        <vt:lpwstr>http://www.nevo.co.il/case/18753213</vt:lpwstr>
      </vt:variant>
      <vt:variant>
        <vt:lpwstr/>
      </vt:variant>
      <vt:variant>
        <vt:i4>3997814</vt:i4>
      </vt:variant>
      <vt:variant>
        <vt:i4>60</vt:i4>
      </vt:variant>
      <vt:variant>
        <vt:i4>0</vt:i4>
      </vt:variant>
      <vt:variant>
        <vt:i4>5</vt:i4>
      </vt:variant>
      <vt:variant>
        <vt:lpwstr>http://www.nevo.co.il/case/20118363</vt:lpwstr>
      </vt:variant>
      <vt:variant>
        <vt:lpwstr/>
      </vt:variant>
      <vt:variant>
        <vt:i4>3473529</vt:i4>
      </vt:variant>
      <vt:variant>
        <vt:i4>57</vt:i4>
      </vt:variant>
      <vt:variant>
        <vt:i4>0</vt:i4>
      </vt:variant>
      <vt:variant>
        <vt:i4>5</vt:i4>
      </vt:variant>
      <vt:variant>
        <vt:lpwstr>http://www.nevo.co.il/case/12063973</vt:lpwstr>
      </vt:variant>
      <vt:variant>
        <vt:lpwstr/>
      </vt:variant>
      <vt:variant>
        <vt:i4>3211376</vt:i4>
      </vt:variant>
      <vt:variant>
        <vt:i4>54</vt:i4>
      </vt:variant>
      <vt:variant>
        <vt:i4>0</vt:i4>
      </vt:variant>
      <vt:variant>
        <vt:i4>5</vt:i4>
      </vt:variant>
      <vt:variant>
        <vt:lpwstr>http://www.nevo.co.il/case/20412551</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3539061</vt:i4>
      </vt:variant>
      <vt:variant>
        <vt:i4>48</vt:i4>
      </vt:variant>
      <vt:variant>
        <vt:i4>0</vt:i4>
      </vt:variant>
      <vt:variant>
        <vt:i4>5</vt:i4>
      </vt:variant>
      <vt:variant>
        <vt:lpwstr>http://www.nevo.co.il/case/5988308</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8257637</vt:i4>
      </vt:variant>
      <vt:variant>
        <vt:i4>42</vt:i4>
      </vt:variant>
      <vt:variant>
        <vt:i4>0</vt:i4>
      </vt:variant>
      <vt:variant>
        <vt:i4>5</vt:i4>
      </vt:variant>
      <vt:variant>
        <vt:lpwstr>http://www.nevo.co.il/law/4216</vt:lpwstr>
      </vt:variant>
      <vt:variant>
        <vt:lpwstr/>
      </vt:variant>
      <vt:variant>
        <vt:i4>5308431</vt:i4>
      </vt:variant>
      <vt:variant>
        <vt:i4>39</vt:i4>
      </vt:variant>
      <vt:variant>
        <vt:i4>0</vt:i4>
      </vt:variant>
      <vt:variant>
        <vt:i4>5</vt:i4>
      </vt:variant>
      <vt:variant>
        <vt:lpwstr>http://www.nevo.co.il/law/4216/2T31.3</vt:lpwstr>
      </vt:variant>
      <vt:variant>
        <vt:lpwstr/>
      </vt:variant>
      <vt:variant>
        <vt:i4>3276925</vt:i4>
      </vt:variant>
      <vt:variant>
        <vt:i4>36</vt:i4>
      </vt:variant>
      <vt:variant>
        <vt:i4>0</vt:i4>
      </vt:variant>
      <vt:variant>
        <vt:i4>5</vt:i4>
      </vt:variant>
      <vt:variant>
        <vt:lpwstr>http://www.nevo.co.il/case/6870013</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983113</vt:i4>
      </vt:variant>
      <vt:variant>
        <vt:i4>24</vt:i4>
      </vt:variant>
      <vt:variant>
        <vt:i4>0</vt:i4>
      </vt:variant>
      <vt:variant>
        <vt:i4>5</vt:i4>
      </vt:variant>
      <vt:variant>
        <vt:lpwstr>http://www.nevo.co.il/law/98569/26.b</vt:lpwstr>
      </vt:variant>
      <vt:variant>
        <vt:lpwstr/>
      </vt:variant>
      <vt:variant>
        <vt:i4>7602284</vt:i4>
      </vt:variant>
      <vt:variant>
        <vt:i4>21</vt:i4>
      </vt:variant>
      <vt:variant>
        <vt:i4>0</vt:i4>
      </vt:variant>
      <vt:variant>
        <vt:i4>5</vt:i4>
      </vt:variant>
      <vt:variant>
        <vt:lpwstr>http://www.nevo.co.il/law/98569</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5308431</vt:i4>
      </vt:variant>
      <vt:variant>
        <vt:i4>12</vt:i4>
      </vt:variant>
      <vt:variant>
        <vt:i4>0</vt:i4>
      </vt:variant>
      <vt:variant>
        <vt:i4>5</vt:i4>
      </vt:variant>
      <vt:variant>
        <vt:lpwstr>http://www.nevo.co.il/law/4216/2T31.3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2025-04-22T20:37:00Z</dcterms:created>
  <dcterms:modified xsi:type="dcterms:W3CDTF">2025-04-22T20:37:00Z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8633</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פנחס דהן</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20160720</vt:lpwstr>
  </property>
  <property fmtid="{D5CDD505-2E9C-101B-9397-08002B2CF9AE}" pid="13" name="TYPE_N_DATE">
    <vt:lpwstr>39020160720</vt:lpwstr>
  </property>
  <property fmtid="{D5CDD505-2E9C-101B-9397-08002B2CF9AE}" pid="14" name="WORDNUMPAGES">
    <vt:lpwstr>13</vt:lpwstr>
  </property>
  <property fmtid="{D5CDD505-2E9C-101B-9397-08002B2CF9AE}" pid="15" name="TYPE_ABS_DATE">
    <vt:lpwstr>390020160720</vt:lpwstr>
  </property>
  <property fmtid="{D5CDD505-2E9C-101B-9397-08002B2CF9AE}" pid="16" name="ISABSTRACT">
    <vt:lpwstr>Y</vt:lpwstr>
  </property>
  <property fmtid="{D5CDD505-2E9C-101B-9397-08002B2CF9AE}" pid="17" name="CASESLISTTMP1">
    <vt:lpwstr>6870013:3;5786821;5988308;5698919;20412551:2;12063973;20118363;18753213;17947582:2;5590128;5727295;5984454;20455788;20450155;20559685;20956295;5590169;7786137;4140033;5797106;5734189;5993550;11204005</vt:lpwstr>
  </property>
  <property fmtid="{D5CDD505-2E9C-101B-9397-08002B2CF9AE}" pid="18" name="LAWLISTTMP1">
    <vt:lpwstr>4216/007.a;007.c;010;2T31.3</vt:lpwstr>
  </property>
  <property fmtid="{D5CDD505-2E9C-101B-9397-08002B2CF9AE}" pid="19" name="LAWLISTTMP2">
    <vt:lpwstr>70301/040e</vt:lpwstr>
  </property>
  <property fmtid="{D5CDD505-2E9C-101B-9397-08002B2CF9AE}" pid="20" name="LAWLISTTMP3">
    <vt:lpwstr>98569/026.b</vt:lpwstr>
  </property>
</Properties>
</file>