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6918C7" w:rsidRPr="00881C2F" w14:paraId="1CBAEE78" w14:textId="77777777">
        <w:trPr>
          <w:trHeight w:hRule="exact" w:val="418"/>
          <w:jc w:val="center"/>
        </w:trPr>
        <w:tc>
          <w:tcPr>
            <w:tcW w:w="8721" w:type="dxa"/>
            <w:gridSpan w:val="2"/>
          </w:tcPr>
          <w:p w14:paraId="77308DC0" w14:textId="77777777" w:rsidR="006918C7" w:rsidRPr="00881C2F" w:rsidRDefault="00881C2F">
            <w:pPr>
              <w:pStyle w:val="a3"/>
              <w:jc w:val="center"/>
              <w:rPr>
                <w:rFonts w:ascii="Tahoma" w:hAnsi="Tahoma" w:cs="Tahoma"/>
                <w:color w:val="000080"/>
                <w:rtl/>
              </w:rPr>
            </w:pPr>
            <w:bookmarkStart w:id="0" w:name="LastJudge"/>
            <w:r w:rsidRPr="00881C2F">
              <w:rPr>
                <w:rFonts w:ascii="Tahoma" w:hAnsi="Tahoma" w:cs="Tahoma"/>
                <w:b/>
                <w:bCs/>
                <w:color w:val="000080"/>
                <w:rtl/>
              </w:rPr>
              <w:t>בית המשפט המחוזי בחיפה</w:t>
            </w:r>
          </w:p>
        </w:tc>
      </w:tr>
      <w:tr w:rsidR="006918C7" w:rsidRPr="00881C2F" w14:paraId="5B25DAEC" w14:textId="77777777">
        <w:trPr>
          <w:trHeight w:val="337"/>
          <w:jc w:val="center"/>
        </w:trPr>
        <w:tc>
          <w:tcPr>
            <w:tcW w:w="5057" w:type="dxa"/>
          </w:tcPr>
          <w:p w14:paraId="4A5B44D7" w14:textId="77777777" w:rsidR="006918C7" w:rsidRPr="00881C2F" w:rsidRDefault="00881C2F">
            <w:pPr>
              <w:rPr>
                <w:b/>
                <w:bCs/>
                <w:rtl/>
              </w:rPr>
            </w:pPr>
            <w:r w:rsidRPr="00881C2F">
              <w:rPr>
                <w:b/>
                <w:bCs/>
                <w:rtl/>
              </w:rPr>
              <w:t>ת"פ</w:t>
            </w:r>
            <w:r w:rsidRPr="00881C2F">
              <w:rPr>
                <w:rFonts w:hint="cs"/>
                <w:b/>
                <w:bCs/>
                <w:rtl/>
              </w:rPr>
              <w:t xml:space="preserve"> </w:t>
            </w:r>
            <w:r w:rsidRPr="00881C2F">
              <w:rPr>
                <w:b/>
                <w:bCs/>
                <w:rtl/>
              </w:rPr>
              <w:t>1108-05-15</w:t>
            </w:r>
            <w:r w:rsidRPr="00881C2F">
              <w:rPr>
                <w:rFonts w:hint="cs"/>
                <w:b/>
                <w:bCs/>
                <w:rtl/>
              </w:rPr>
              <w:t xml:space="preserve"> </w:t>
            </w:r>
            <w:r w:rsidRPr="00881C2F">
              <w:rPr>
                <w:b/>
                <w:bCs/>
                <w:rtl/>
              </w:rPr>
              <w:t>מדינת ישראל נ' בן יאיר(עציר)</w:t>
            </w:r>
          </w:p>
          <w:p w14:paraId="2A6CBE61" w14:textId="77777777" w:rsidR="006918C7" w:rsidRPr="00881C2F" w:rsidRDefault="006918C7">
            <w:pPr>
              <w:pStyle w:val="a3"/>
              <w:rPr>
                <w:rFonts w:cs="FrankRuehl"/>
                <w:sz w:val="28"/>
                <w:szCs w:val="28"/>
                <w:rtl/>
              </w:rPr>
            </w:pPr>
          </w:p>
        </w:tc>
        <w:tc>
          <w:tcPr>
            <w:tcW w:w="3664" w:type="dxa"/>
          </w:tcPr>
          <w:p w14:paraId="28D053A6" w14:textId="77777777" w:rsidR="006918C7" w:rsidRPr="00881C2F" w:rsidRDefault="006918C7">
            <w:pPr>
              <w:pStyle w:val="a3"/>
              <w:jc w:val="right"/>
              <w:rPr>
                <w:rFonts w:cs="FrankRuehl"/>
                <w:sz w:val="28"/>
                <w:szCs w:val="28"/>
                <w:rtl/>
              </w:rPr>
            </w:pPr>
          </w:p>
        </w:tc>
      </w:tr>
    </w:tbl>
    <w:p w14:paraId="564C84D9" w14:textId="77777777" w:rsidR="006918C7" w:rsidRPr="00881C2F" w:rsidRDefault="00881C2F">
      <w:pPr>
        <w:pStyle w:val="a3"/>
        <w:rPr>
          <w:rtl/>
        </w:rPr>
      </w:pPr>
      <w:r w:rsidRPr="00881C2F">
        <w:rPr>
          <w:rFonts w:hint="cs"/>
          <w:rtl/>
        </w:rPr>
        <w:t xml:space="preserve"> </w:t>
      </w:r>
    </w:p>
    <w:p w14:paraId="50914F00" w14:textId="77777777" w:rsidR="006918C7" w:rsidRPr="00881C2F" w:rsidRDefault="006918C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918C7" w:rsidRPr="00881C2F" w14:paraId="2DF0FFD3" w14:textId="77777777">
        <w:trPr>
          <w:trHeight w:val="295"/>
          <w:jc w:val="center"/>
        </w:trPr>
        <w:tc>
          <w:tcPr>
            <w:tcW w:w="923" w:type="dxa"/>
            <w:tcBorders>
              <w:top w:val="nil"/>
              <w:left w:val="nil"/>
              <w:bottom w:val="nil"/>
              <w:right w:val="nil"/>
            </w:tcBorders>
            <w:shd w:val="clear" w:color="auto" w:fill="auto"/>
          </w:tcPr>
          <w:p w14:paraId="7190887E" w14:textId="77777777" w:rsidR="006918C7" w:rsidRPr="00881C2F" w:rsidRDefault="00881C2F">
            <w:pPr>
              <w:jc w:val="both"/>
              <w:rPr>
                <w:rFonts w:ascii="Arial" w:hAnsi="Arial"/>
                <w:b/>
                <w:bCs/>
              </w:rPr>
            </w:pPr>
            <w:r w:rsidRPr="00881C2F">
              <w:rPr>
                <w:rFonts w:ascii="Arial" w:hAnsi="Arial" w:hint="cs"/>
                <w:b/>
                <w:bCs/>
                <w:rtl/>
              </w:rPr>
              <w:t>ב</w:t>
            </w:r>
            <w:r w:rsidRPr="00881C2F">
              <w:rPr>
                <w:rFonts w:ascii="Arial" w:hAnsi="Arial"/>
                <w:b/>
                <w:bCs/>
                <w:rtl/>
              </w:rPr>
              <w:t xml:space="preserve">פני </w:t>
            </w:r>
          </w:p>
        </w:tc>
        <w:tc>
          <w:tcPr>
            <w:tcW w:w="7897" w:type="dxa"/>
            <w:gridSpan w:val="2"/>
            <w:tcBorders>
              <w:top w:val="nil"/>
              <w:left w:val="nil"/>
              <w:bottom w:val="nil"/>
              <w:right w:val="nil"/>
            </w:tcBorders>
            <w:shd w:val="clear" w:color="auto" w:fill="auto"/>
          </w:tcPr>
          <w:p w14:paraId="50D12D47" w14:textId="77777777" w:rsidR="006918C7" w:rsidRPr="00881C2F" w:rsidRDefault="00881C2F">
            <w:pPr>
              <w:rPr>
                <w:rFonts w:ascii="Arial" w:hAnsi="Arial"/>
                <w:b/>
                <w:bCs/>
                <w:rtl/>
              </w:rPr>
            </w:pPr>
            <w:r w:rsidRPr="00881C2F">
              <w:rPr>
                <w:rFonts w:ascii="Arial" w:hAnsi="Arial" w:hint="cs"/>
                <w:b/>
                <w:bCs/>
                <w:rtl/>
              </w:rPr>
              <w:t>כבוד ה</w:t>
            </w:r>
            <w:r w:rsidRPr="00881C2F">
              <w:rPr>
                <w:rFonts w:hint="cs"/>
                <w:rtl/>
              </w:rPr>
              <w:t>שופטת</w:t>
            </w:r>
            <w:r w:rsidRPr="00881C2F">
              <w:rPr>
                <w:rFonts w:ascii="Arial" w:hAnsi="Arial" w:hint="cs"/>
                <w:b/>
                <w:bCs/>
                <w:rtl/>
              </w:rPr>
              <w:t xml:space="preserve">  </w:t>
            </w:r>
            <w:r w:rsidRPr="00881C2F">
              <w:rPr>
                <w:rFonts w:hint="cs"/>
                <w:rtl/>
              </w:rPr>
              <w:t>אורית וינשטיין</w:t>
            </w:r>
          </w:p>
          <w:p w14:paraId="03C2DF07" w14:textId="77777777" w:rsidR="006918C7" w:rsidRPr="00881C2F" w:rsidRDefault="006918C7">
            <w:pPr>
              <w:rPr>
                <w:rtl/>
              </w:rPr>
            </w:pPr>
          </w:p>
          <w:p w14:paraId="65F2C809" w14:textId="77777777" w:rsidR="006918C7" w:rsidRPr="00881C2F" w:rsidRDefault="006918C7">
            <w:pPr>
              <w:jc w:val="both"/>
              <w:rPr>
                <w:rFonts w:ascii="Arial" w:hAnsi="Arial" w:cs="FrankRuehl"/>
                <w:sz w:val="28"/>
                <w:szCs w:val="28"/>
              </w:rPr>
            </w:pPr>
          </w:p>
        </w:tc>
      </w:tr>
      <w:tr w:rsidR="006918C7" w:rsidRPr="00881C2F" w14:paraId="4B7BAF5D" w14:textId="77777777">
        <w:trPr>
          <w:trHeight w:val="355"/>
          <w:jc w:val="center"/>
        </w:trPr>
        <w:tc>
          <w:tcPr>
            <w:tcW w:w="923" w:type="dxa"/>
            <w:tcBorders>
              <w:top w:val="nil"/>
              <w:left w:val="nil"/>
              <w:bottom w:val="nil"/>
              <w:right w:val="nil"/>
            </w:tcBorders>
            <w:shd w:val="clear" w:color="auto" w:fill="auto"/>
          </w:tcPr>
          <w:p w14:paraId="1193137A" w14:textId="77777777" w:rsidR="006918C7" w:rsidRPr="00881C2F" w:rsidRDefault="00881C2F">
            <w:pPr>
              <w:jc w:val="both"/>
              <w:rPr>
                <w:rFonts w:ascii="Arial" w:hAnsi="Arial"/>
                <w:b/>
                <w:bCs/>
              </w:rPr>
            </w:pPr>
            <w:bookmarkStart w:id="1" w:name="FirstAppellant"/>
            <w:r w:rsidRPr="00881C2F">
              <w:rPr>
                <w:rFonts w:ascii="Arial" w:hAnsi="Arial" w:hint="cs"/>
                <w:b/>
                <w:bCs/>
                <w:rtl/>
              </w:rPr>
              <w:t>בעניין:</w:t>
            </w:r>
          </w:p>
        </w:tc>
        <w:tc>
          <w:tcPr>
            <w:tcW w:w="4126" w:type="dxa"/>
            <w:tcBorders>
              <w:top w:val="nil"/>
              <w:left w:val="nil"/>
              <w:bottom w:val="nil"/>
              <w:right w:val="nil"/>
            </w:tcBorders>
            <w:shd w:val="clear" w:color="auto" w:fill="auto"/>
          </w:tcPr>
          <w:p w14:paraId="525EF048" w14:textId="77777777" w:rsidR="006918C7" w:rsidRPr="00881C2F" w:rsidRDefault="00881C2F">
            <w:pPr>
              <w:rPr>
                <w:b/>
                <w:bCs/>
              </w:rPr>
            </w:pPr>
            <w:r w:rsidRPr="00881C2F">
              <w:rPr>
                <w:rFonts w:hint="cs"/>
                <w:b/>
                <w:bCs/>
                <w:rtl/>
              </w:rPr>
              <w:t>מדינת ישראל</w:t>
            </w:r>
          </w:p>
        </w:tc>
        <w:tc>
          <w:tcPr>
            <w:tcW w:w="3771" w:type="dxa"/>
            <w:tcBorders>
              <w:top w:val="nil"/>
              <w:left w:val="nil"/>
              <w:bottom w:val="nil"/>
              <w:right w:val="nil"/>
            </w:tcBorders>
            <w:shd w:val="clear" w:color="auto" w:fill="auto"/>
          </w:tcPr>
          <w:p w14:paraId="1F34E681" w14:textId="77777777" w:rsidR="006918C7" w:rsidRPr="00881C2F" w:rsidRDefault="006918C7">
            <w:pPr>
              <w:jc w:val="both"/>
              <w:rPr>
                <w:rFonts w:ascii="Arial" w:hAnsi="Arial"/>
                <w:b/>
                <w:bCs/>
              </w:rPr>
            </w:pPr>
          </w:p>
        </w:tc>
      </w:tr>
      <w:bookmarkEnd w:id="1"/>
      <w:tr w:rsidR="006918C7" w:rsidRPr="00881C2F" w14:paraId="3DF009F8" w14:textId="77777777">
        <w:trPr>
          <w:trHeight w:val="355"/>
          <w:jc w:val="center"/>
        </w:trPr>
        <w:tc>
          <w:tcPr>
            <w:tcW w:w="923" w:type="dxa"/>
            <w:tcBorders>
              <w:top w:val="nil"/>
              <w:left w:val="nil"/>
              <w:bottom w:val="nil"/>
              <w:right w:val="nil"/>
            </w:tcBorders>
            <w:shd w:val="clear" w:color="auto" w:fill="auto"/>
          </w:tcPr>
          <w:p w14:paraId="63036E15" w14:textId="77777777" w:rsidR="006918C7" w:rsidRPr="00881C2F" w:rsidRDefault="006918C7">
            <w:pPr>
              <w:jc w:val="both"/>
              <w:rPr>
                <w:rFonts w:ascii="Arial" w:hAnsi="Arial"/>
                <w:b/>
                <w:bCs/>
                <w:rtl/>
              </w:rPr>
            </w:pPr>
          </w:p>
        </w:tc>
        <w:tc>
          <w:tcPr>
            <w:tcW w:w="4126" w:type="dxa"/>
            <w:tcBorders>
              <w:top w:val="nil"/>
              <w:left w:val="nil"/>
              <w:bottom w:val="nil"/>
              <w:right w:val="nil"/>
            </w:tcBorders>
            <w:shd w:val="clear" w:color="auto" w:fill="auto"/>
          </w:tcPr>
          <w:p w14:paraId="15A2F9AB" w14:textId="77777777" w:rsidR="006918C7" w:rsidRPr="00881C2F" w:rsidRDefault="006918C7">
            <w:pPr>
              <w:jc w:val="both"/>
              <w:rPr>
                <w:b/>
                <w:bCs/>
                <w:rtl/>
              </w:rPr>
            </w:pPr>
          </w:p>
        </w:tc>
        <w:tc>
          <w:tcPr>
            <w:tcW w:w="3771" w:type="dxa"/>
            <w:tcBorders>
              <w:top w:val="nil"/>
              <w:left w:val="nil"/>
              <w:bottom w:val="nil"/>
              <w:right w:val="nil"/>
            </w:tcBorders>
            <w:shd w:val="clear" w:color="auto" w:fill="auto"/>
          </w:tcPr>
          <w:p w14:paraId="2850C706" w14:textId="77777777" w:rsidR="006918C7" w:rsidRPr="00881C2F" w:rsidRDefault="00881C2F">
            <w:pPr>
              <w:jc w:val="right"/>
              <w:rPr>
                <w:rFonts w:ascii="Arial" w:hAnsi="Arial"/>
                <w:b/>
                <w:bCs/>
                <w:rtl/>
              </w:rPr>
            </w:pPr>
            <w:r w:rsidRPr="00881C2F">
              <w:rPr>
                <w:rFonts w:ascii="Arial" w:hAnsi="Arial" w:hint="cs"/>
                <w:b/>
                <w:bCs/>
                <w:rtl/>
              </w:rPr>
              <w:t>ה</w:t>
            </w:r>
            <w:r w:rsidRPr="00881C2F">
              <w:rPr>
                <w:rFonts w:hint="cs"/>
                <w:b/>
                <w:bCs/>
                <w:rtl/>
              </w:rPr>
              <w:t>מאשימה</w:t>
            </w:r>
          </w:p>
        </w:tc>
      </w:tr>
      <w:tr w:rsidR="006918C7" w:rsidRPr="00881C2F" w14:paraId="4981EBAF" w14:textId="77777777">
        <w:trPr>
          <w:trHeight w:val="355"/>
          <w:jc w:val="center"/>
        </w:trPr>
        <w:tc>
          <w:tcPr>
            <w:tcW w:w="923" w:type="dxa"/>
            <w:tcBorders>
              <w:top w:val="nil"/>
              <w:left w:val="nil"/>
              <w:bottom w:val="nil"/>
              <w:right w:val="nil"/>
            </w:tcBorders>
            <w:shd w:val="clear" w:color="auto" w:fill="auto"/>
          </w:tcPr>
          <w:p w14:paraId="3CBB524D" w14:textId="77777777" w:rsidR="006918C7" w:rsidRPr="00881C2F" w:rsidRDefault="006918C7">
            <w:pPr>
              <w:jc w:val="both"/>
              <w:rPr>
                <w:rFonts w:ascii="Arial" w:hAnsi="Arial"/>
                <w:b/>
                <w:bCs/>
                <w:rtl/>
              </w:rPr>
            </w:pPr>
          </w:p>
        </w:tc>
        <w:tc>
          <w:tcPr>
            <w:tcW w:w="7897" w:type="dxa"/>
            <w:gridSpan w:val="2"/>
            <w:tcBorders>
              <w:top w:val="nil"/>
              <w:left w:val="nil"/>
              <w:bottom w:val="nil"/>
              <w:right w:val="nil"/>
            </w:tcBorders>
            <w:shd w:val="clear" w:color="auto" w:fill="auto"/>
          </w:tcPr>
          <w:p w14:paraId="79511A54" w14:textId="77777777" w:rsidR="006918C7" w:rsidRPr="00881C2F" w:rsidRDefault="006918C7">
            <w:pPr>
              <w:jc w:val="center"/>
              <w:rPr>
                <w:rFonts w:ascii="Arial" w:hAnsi="Arial"/>
                <w:b/>
                <w:bCs/>
                <w:rtl/>
              </w:rPr>
            </w:pPr>
          </w:p>
          <w:p w14:paraId="376BF7DC" w14:textId="77777777" w:rsidR="006918C7" w:rsidRPr="00881C2F" w:rsidRDefault="00881C2F">
            <w:pPr>
              <w:jc w:val="center"/>
              <w:rPr>
                <w:rFonts w:ascii="Arial" w:hAnsi="Arial"/>
                <w:b/>
                <w:bCs/>
                <w:rtl/>
              </w:rPr>
            </w:pPr>
            <w:r w:rsidRPr="00881C2F">
              <w:rPr>
                <w:rFonts w:ascii="Arial" w:hAnsi="Arial"/>
                <w:b/>
                <w:bCs/>
                <w:rtl/>
              </w:rPr>
              <w:t>נגד</w:t>
            </w:r>
          </w:p>
          <w:p w14:paraId="441089C4" w14:textId="77777777" w:rsidR="006918C7" w:rsidRPr="00881C2F" w:rsidRDefault="006918C7">
            <w:pPr>
              <w:jc w:val="both"/>
              <w:rPr>
                <w:rFonts w:ascii="Arial" w:hAnsi="Arial"/>
                <w:b/>
                <w:bCs/>
              </w:rPr>
            </w:pPr>
          </w:p>
        </w:tc>
      </w:tr>
      <w:tr w:rsidR="006918C7" w:rsidRPr="00881C2F" w14:paraId="679D0546" w14:textId="77777777">
        <w:trPr>
          <w:trHeight w:val="355"/>
          <w:jc w:val="center"/>
        </w:trPr>
        <w:tc>
          <w:tcPr>
            <w:tcW w:w="923" w:type="dxa"/>
            <w:tcBorders>
              <w:top w:val="nil"/>
              <w:left w:val="nil"/>
              <w:bottom w:val="nil"/>
              <w:right w:val="nil"/>
            </w:tcBorders>
            <w:shd w:val="clear" w:color="auto" w:fill="auto"/>
          </w:tcPr>
          <w:p w14:paraId="183B7D5B" w14:textId="77777777" w:rsidR="006918C7" w:rsidRPr="00881C2F" w:rsidRDefault="006918C7">
            <w:pPr>
              <w:rPr>
                <w:rFonts w:ascii="Arial" w:hAnsi="Arial"/>
                <w:b/>
                <w:bCs/>
                <w:rtl/>
              </w:rPr>
            </w:pPr>
          </w:p>
        </w:tc>
        <w:tc>
          <w:tcPr>
            <w:tcW w:w="4126" w:type="dxa"/>
            <w:tcBorders>
              <w:top w:val="nil"/>
              <w:left w:val="nil"/>
              <w:bottom w:val="nil"/>
              <w:right w:val="nil"/>
            </w:tcBorders>
            <w:shd w:val="clear" w:color="auto" w:fill="auto"/>
          </w:tcPr>
          <w:p w14:paraId="3D44CB4C" w14:textId="77777777" w:rsidR="006918C7" w:rsidRPr="00881C2F" w:rsidRDefault="00881C2F">
            <w:pPr>
              <w:rPr>
                <w:b/>
                <w:bCs/>
                <w:rtl/>
              </w:rPr>
            </w:pPr>
            <w:r w:rsidRPr="00881C2F">
              <w:rPr>
                <w:rFonts w:hint="cs"/>
                <w:b/>
                <w:bCs/>
                <w:rtl/>
              </w:rPr>
              <w:t>שמואל בן יאיר (עציר)</w:t>
            </w:r>
          </w:p>
        </w:tc>
        <w:tc>
          <w:tcPr>
            <w:tcW w:w="3771" w:type="dxa"/>
            <w:tcBorders>
              <w:top w:val="nil"/>
              <w:left w:val="nil"/>
              <w:bottom w:val="nil"/>
              <w:right w:val="nil"/>
            </w:tcBorders>
            <w:shd w:val="clear" w:color="auto" w:fill="auto"/>
          </w:tcPr>
          <w:p w14:paraId="13380824" w14:textId="77777777" w:rsidR="006918C7" w:rsidRPr="00881C2F" w:rsidRDefault="006918C7">
            <w:pPr>
              <w:jc w:val="right"/>
              <w:rPr>
                <w:rFonts w:ascii="Arial" w:hAnsi="Arial"/>
                <w:b/>
                <w:bCs/>
              </w:rPr>
            </w:pPr>
          </w:p>
        </w:tc>
      </w:tr>
      <w:tr w:rsidR="006918C7" w:rsidRPr="00881C2F" w14:paraId="2D0FE4F3" w14:textId="77777777">
        <w:trPr>
          <w:trHeight w:val="355"/>
          <w:jc w:val="center"/>
        </w:trPr>
        <w:tc>
          <w:tcPr>
            <w:tcW w:w="923" w:type="dxa"/>
            <w:tcBorders>
              <w:top w:val="nil"/>
              <w:left w:val="nil"/>
              <w:bottom w:val="nil"/>
              <w:right w:val="nil"/>
            </w:tcBorders>
            <w:shd w:val="clear" w:color="auto" w:fill="auto"/>
          </w:tcPr>
          <w:p w14:paraId="0DE0311D" w14:textId="77777777" w:rsidR="006918C7" w:rsidRPr="00881C2F" w:rsidRDefault="006918C7">
            <w:pPr>
              <w:jc w:val="both"/>
              <w:rPr>
                <w:rFonts w:ascii="Arial" w:hAnsi="Arial"/>
                <w:b/>
                <w:bCs/>
                <w:rtl/>
              </w:rPr>
            </w:pPr>
          </w:p>
        </w:tc>
        <w:tc>
          <w:tcPr>
            <w:tcW w:w="4126" w:type="dxa"/>
            <w:tcBorders>
              <w:top w:val="nil"/>
              <w:left w:val="nil"/>
              <w:bottom w:val="nil"/>
              <w:right w:val="nil"/>
            </w:tcBorders>
            <w:shd w:val="clear" w:color="auto" w:fill="auto"/>
          </w:tcPr>
          <w:p w14:paraId="6CC8E17A" w14:textId="77777777" w:rsidR="006918C7" w:rsidRPr="00881C2F" w:rsidRDefault="006918C7">
            <w:pPr>
              <w:jc w:val="both"/>
              <w:rPr>
                <w:b/>
                <w:bCs/>
                <w:rtl/>
              </w:rPr>
            </w:pPr>
          </w:p>
        </w:tc>
        <w:tc>
          <w:tcPr>
            <w:tcW w:w="3771" w:type="dxa"/>
            <w:tcBorders>
              <w:top w:val="nil"/>
              <w:left w:val="nil"/>
              <w:bottom w:val="nil"/>
              <w:right w:val="nil"/>
            </w:tcBorders>
            <w:shd w:val="clear" w:color="auto" w:fill="auto"/>
          </w:tcPr>
          <w:p w14:paraId="717EEB25" w14:textId="77777777" w:rsidR="006918C7" w:rsidRPr="00881C2F" w:rsidRDefault="00881C2F">
            <w:pPr>
              <w:jc w:val="right"/>
              <w:rPr>
                <w:rFonts w:ascii="Arial" w:hAnsi="Arial"/>
                <w:b/>
                <w:bCs/>
              </w:rPr>
            </w:pPr>
            <w:r w:rsidRPr="00881C2F">
              <w:rPr>
                <w:rFonts w:ascii="Arial" w:hAnsi="Arial" w:hint="cs"/>
                <w:b/>
                <w:bCs/>
                <w:rtl/>
              </w:rPr>
              <w:t>ה</w:t>
            </w:r>
            <w:r w:rsidRPr="00881C2F">
              <w:rPr>
                <w:rFonts w:hint="cs"/>
                <w:b/>
                <w:bCs/>
                <w:rtl/>
              </w:rPr>
              <w:t>נאשם</w:t>
            </w:r>
          </w:p>
        </w:tc>
      </w:tr>
      <w:tr w:rsidR="006918C7" w14:paraId="401B5EE4" w14:textId="77777777">
        <w:trPr>
          <w:trHeight w:val="355"/>
          <w:jc w:val="center"/>
        </w:trPr>
        <w:tc>
          <w:tcPr>
            <w:tcW w:w="8820" w:type="dxa"/>
            <w:gridSpan w:val="3"/>
            <w:tcBorders>
              <w:top w:val="nil"/>
              <w:left w:val="nil"/>
              <w:bottom w:val="nil"/>
              <w:right w:val="nil"/>
            </w:tcBorders>
            <w:shd w:val="clear" w:color="auto" w:fill="auto"/>
          </w:tcPr>
          <w:p w14:paraId="55CF1784" w14:textId="77777777" w:rsidR="00D44BD3" w:rsidRDefault="00D44BD3" w:rsidP="00B30B01">
            <w:pPr>
              <w:bidi w:val="0"/>
              <w:jc w:val="center"/>
              <w:rPr>
                <w:rFonts w:ascii="Arial" w:hAnsi="Arial"/>
              </w:rPr>
            </w:pPr>
            <w:bookmarkStart w:id="2" w:name="PsakDin" w:colFirst="0" w:colLast="0"/>
            <w:bookmarkStart w:id="3" w:name="LawTable"/>
            <w:bookmarkEnd w:id="0"/>
            <w:bookmarkEnd w:id="3"/>
          </w:p>
          <w:p w14:paraId="04C6099C" w14:textId="77777777" w:rsidR="00D44BD3" w:rsidRPr="00D44BD3" w:rsidRDefault="00D44BD3" w:rsidP="00D44BD3">
            <w:pPr>
              <w:bidi w:val="0"/>
              <w:spacing w:after="120" w:line="240" w:lineRule="exact"/>
              <w:ind w:left="283" w:hanging="283"/>
              <w:jc w:val="both"/>
              <w:rPr>
                <w:rFonts w:ascii="FrankRuehl" w:hAnsi="FrankRuehl" w:cs="FrankRuehl"/>
              </w:rPr>
            </w:pPr>
          </w:p>
          <w:p w14:paraId="3C6B534E" w14:textId="77777777" w:rsidR="00D44BD3" w:rsidRPr="00D44BD3" w:rsidRDefault="00D44BD3" w:rsidP="00D44BD3">
            <w:pPr>
              <w:bidi w:val="0"/>
              <w:spacing w:after="120" w:line="240" w:lineRule="exact"/>
              <w:ind w:left="283" w:hanging="283"/>
              <w:jc w:val="both"/>
              <w:rPr>
                <w:rFonts w:ascii="FrankRuehl" w:hAnsi="FrankRuehl" w:cs="FrankRuehl"/>
              </w:rPr>
            </w:pPr>
            <w:r w:rsidRPr="00D44BD3">
              <w:rPr>
                <w:rFonts w:ascii="FrankRuehl" w:hAnsi="FrankRuehl" w:cs="FrankRuehl"/>
                <w:rtl/>
              </w:rPr>
              <w:t>חקיקה שאוזכרה</w:t>
            </w:r>
            <w:r w:rsidRPr="00D44BD3">
              <w:rPr>
                <w:rFonts w:ascii="FrankRuehl" w:hAnsi="FrankRuehl" w:cs="FrankRuehl"/>
              </w:rPr>
              <w:t xml:space="preserve">: </w:t>
            </w:r>
          </w:p>
          <w:p w14:paraId="7C67A290" w14:textId="77777777" w:rsidR="00D44BD3" w:rsidRPr="00D44BD3" w:rsidRDefault="00D44BD3" w:rsidP="00D44BD3">
            <w:pPr>
              <w:bidi w:val="0"/>
              <w:spacing w:after="120" w:line="240" w:lineRule="exact"/>
              <w:ind w:left="283" w:hanging="283"/>
              <w:jc w:val="both"/>
              <w:rPr>
                <w:rFonts w:ascii="FrankRuehl" w:hAnsi="FrankRuehl" w:cs="FrankRuehl"/>
              </w:rPr>
            </w:pPr>
            <w:hyperlink r:id="rId7" w:history="1">
              <w:r w:rsidRPr="00D44BD3">
                <w:rPr>
                  <w:rFonts w:ascii="FrankRuehl" w:hAnsi="FrankRuehl" w:cs="FrankRuehl"/>
                  <w:color w:val="0000FF"/>
                  <w:u w:val="single"/>
                  <w:rtl/>
                </w:rPr>
                <w:t>פקודת הסמים המסוכנים [נוסח חדש], תשל"ג-1973</w:t>
              </w:r>
            </w:hyperlink>
            <w:r w:rsidRPr="00D44BD3">
              <w:rPr>
                <w:rFonts w:ascii="FrankRuehl" w:hAnsi="FrankRuehl" w:cs="FrankRuehl"/>
              </w:rPr>
              <w:t xml:space="preserve">: </w:t>
            </w:r>
            <w:r w:rsidRPr="00D44BD3">
              <w:rPr>
                <w:rFonts w:ascii="FrankRuehl" w:hAnsi="FrankRuehl" w:cs="FrankRuehl"/>
                <w:rtl/>
              </w:rPr>
              <w:t>סע</w:t>
            </w:r>
            <w:r w:rsidRPr="00D44BD3">
              <w:rPr>
                <w:rFonts w:ascii="FrankRuehl" w:hAnsi="FrankRuehl" w:cs="FrankRuehl"/>
              </w:rPr>
              <w:t xml:space="preserve">'  </w:t>
            </w:r>
            <w:hyperlink r:id="rId8" w:history="1">
              <w:r w:rsidRPr="00D44BD3">
                <w:rPr>
                  <w:rFonts w:ascii="FrankRuehl" w:hAnsi="FrankRuehl" w:cs="FrankRuehl"/>
                  <w:color w:val="0000FF"/>
                  <w:u w:val="single"/>
                </w:rPr>
                <w:t>13</w:t>
              </w:r>
            </w:hyperlink>
            <w:r w:rsidRPr="00D44BD3">
              <w:rPr>
                <w:rFonts w:ascii="FrankRuehl" w:hAnsi="FrankRuehl" w:cs="FrankRuehl"/>
              </w:rPr>
              <w:t xml:space="preserve">, </w:t>
            </w:r>
            <w:hyperlink r:id="rId9" w:history="1">
              <w:r w:rsidRPr="00D44BD3">
                <w:rPr>
                  <w:rFonts w:ascii="FrankRuehl" w:hAnsi="FrankRuehl" w:cs="FrankRuehl"/>
                  <w:color w:val="0000FF"/>
                  <w:u w:val="single"/>
                </w:rPr>
                <w:t>19</w:t>
              </w:r>
              <w:r w:rsidRPr="00D44BD3">
                <w:rPr>
                  <w:rFonts w:ascii="FrankRuehl" w:hAnsi="FrankRuehl" w:cs="FrankRuehl"/>
                  <w:color w:val="0000FF"/>
                  <w:u w:val="single"/>
                  <w:rtl/>
                </w:rPr>
                <w:t>א</w:t>
              </w:r>
            </w:hyperlink>
            <w:r w:rsidRPr="00D44BD3">
              <w:rPr>
                <w:rFonts w:ascii="FrankRuehl" w:hAnsi="FrankRuehl" w:cs="FrankRuehl"/>
              </w:rPr>
              <w:t xml:space="preserve">, </w:t>
            </w:r>
            <w:hyperlink r:id="rId10" w:history="1">
              <w:r w:rsidRPr="00D44BD3">
                <w:rPr>
                  <w:rFonts w:ascii="FrankRuehl" w:hAnsi="FrankRuehl" w:cs="FrankRuehl"/>
                  <w:color w:val="0000FF"/>
                  <w:u w:val="single"/>
                </w:rPr>
                <w:t>31(6)</w:t>
              </w:r>
            </w:hyperlink>
          </w:p>
          <w:p w14:paraId="2ED4563D" w14:textId="77777777" w:rsidR="00D44BD3" w:rsidRPr="00D44BD3" w:rsidRDefault="00D44BD3" w:rsidP="00D44BD3">
            <w:pPr>
              <w:bidi w:val="0"/>
              <w:spacing w:after="120" w:line="240" w:lineRule="exact"/>
              <w:ind w:left="283" w:hanging="283"/>
              <w:jc w:val="both"/>
              <w:rPr>
                <w:rFonts w:ascii="FrankRuehl" w:hAnsi="FrankRuehl" w:cs="FrankRuehl"/>
              </w:rPr>
            </w:pPr>
            <w:hyperlink r:id="rId11" w:history="1">
              <w:r w:rsidRPr="00D44BD3">
                <w:rPr>
                  <w:rFonts w:ascii="FrankRuehl" w:hAnsi="FrankRuehl" w:cs="FrankRuehl"/>
                  <w:color w:val="0000FF"/>
                  <w:u w:val="single"/>
                  <w:rtl/>
                </w:rPr>
                <w:t>חוק העונשין, תשל"ז-1977</w:t>
              </w:r>
            </w:hyperlink>
            <w:r w:rsidRPr="00D44BD3">
              <w:rPr>
                <w:rFonts w:ascii="FrankRuehl" w:hAnsi="FrankRuehl" w:cs="FrankRuehl"/>
              </w:rPr>
              <w:t xml:space="preserve">: </w:t>
            </w:r>
            <w:r w:rsidRPr="00D44BD3">
              <w:rPr>
                <w:rFonts w:ascii="FrankRuehl" w:hAnsi="FrankRuehl" w:cs="FrankRuehl"/>
                <w:rtl/>
              </w:rPr>
              <w:t>סע</w:t>
            </w:r>
            <w:r w:rsidRPr="00D44BD3">
              <w:rPr>
                <w:rFonts w:ascii="FrankRuehl" w:hAnsi="FrankRuehl" w:cs="FrankRuehl"/>
              </w:rPr>
              <w:t xml:space="preserve">'  </w:t>
            </w:r>
            <w:hyperlink r:id="rId12" w:history="1">
              <w:r w:rsidRPr="00D44BD3">
                <w:rPr>
                  <w:rFonts w:ascii="FrankRuehl" w:hAnsi="FrankRuehl" w:cs="FrankRuehl"/>
                  <w:color w:val="0000FF"/>
                  <w:u w:val="single"/>
                </w:rPr>
                <w:t>40</w:t>
              </w:r>
              <w:r w:rsidRPr="00D44BD3">
                <w:rPr>
                  <w:rFonts w:ascii="FrankRuehl" w:hAnsi="FrankRuehl" w:cs="FrankRuehl"/>
                  <w:color w:val="0000FF"/>
                  <w:u w:val="single"/>
                  <w:rtl/>
                </w:rPr>
                <w:t>ב</w:t>
              </w:r>
            </w:hyperlink>
            <w:r w:rsidRPr="00D44BD3">
              <w:rPr>
                <w:rFonts w:ascii="FrankRuehl" w:hAnsi="FrankRuehl" w:cs="FrankRuehl"/>
              </w:rPr>
              <w:t xml:space="preserve">, </w:t>
            </w:r>
            <w:hyperlink r:id="rId13" w:history="1">
              <w:r w:rsidRPr="00D44BD3">
                <w:rPr>
                  <w:rFonts w:ascii="FrankRuehl" w:hAnsi="FrankRuehl" w:cs="FrankRuehl"/>
                  <w:color w:val="0000FF"/>
                  <w:u w:val="single"/>
                </w:rPr>
                <w:t>40</w:t>
              </w:r>
              <w:r w:rsidRPr="00D44BD3">
                <w:rPr>
                  <w:rFonts w:ascii="FrankRuehl" w:hAnsi="FrankRuehl" w:cs="FrankRuehl"/>
                  <w:color w:val="0000FF"/>
                  <w:u w:val="single"/>
                  <w:rtl/>
                </w:rPr>
                <w:t>ג</w:t>
              </w:r>
            </w:hyperlink>
            <w:r w:rsidRPr="00D44BD3">
              <w:rPr>
                <w:rFonts w:ascii="FrankRuehl" w:hAnsi="FrankRuehl" w:cs="FrankRuehl"/>
              </w:rPr>
              <w:t xml:space="preserve">, </w:t>
            </w:r>
            <w:hyperlink r:id="rId14" w:history="1">
              <w:r w:rsidRPr="00D44BD3">
                <w:rPr>
                  <w:rFonts w:ascii="FrankRuehl" w:hAnsi="FrankRuehl" w:cs="FrankRuehl"/>
                  <w:color w:val="0000FF"/>
                  <w:u w:val="single"/>
                </w:rPr>
                <w:t>40</w:t>
              </w:r>
              <w:r w:rsidRPr="00D44BD3">
                <w:rPr>
                  <w:rFonts w:ascii="FrankRuehl" w:hAnsi="FrankRuehl" w:cs="FrankRuehl"/>
                  <w:color w:val="0000FF"/>
                  <w:u w:val="single"/>
                  <w:rtl/>
                </w:rPr>
                <w:t>ד</w:t>
              </w:r>
            </w:hyperlink>
            <w:r w:rsidRPr="00D44BD3">
              <w:rPr>
                <w:rFonts w:ascii="FrankRuehl" w:hAnsi="FrankRuehl" w:cs="FrankRuehl"/>
              </w:rPr>
              <w:t xml:space="preserve">, </w:t>
            </w:r>
            <w:hyperlink r:id="rId15" w:history="1">
              <w:r w:rsidRPr="00D44BD3">
                <w:rPr>
                  <w:rFonts w:ascii="FrankRuehl" w:hAnsi="FrankRuehl" w:cs="FrankRuehl"/>
                  <w:color w:val="0000FF"/>
                  <w:u w:val="single"/>
                </w:rPr>
                <w:t>40</w:t>
              </w:r>
              <w:r w:rsidRPr="00D44BD3">
                <w:rPr>
                  <w:rFonts w:ascii="FrankRuehl" w:hAnsi="FrankRuehl" w:cs="FrankRuehl"/>
                  <w:color w:val="0000FF"/>
                  <w:u w:val="single"/>
                  <w:rtl/>
                </w:rPr>
                <w:t>ט</w:t>
              </w:r>
            </w:hyperlink>
            <w:r w:rsidRPr="00D44BD3">
              <w:rPr>
                <w:rFonts w:ascii="FrankRuehl" w:hAnsi="FrankRuehl" w:cs="FrankRuehl"/>
              </w:rPr>
              <w:t xml:space="preserve">, </w:t>
            </w:r>
            <w:hyperlink r:id="rId16" w:history="1">
              <w:r w:rsidRPr="00D44BD3">
                <w:rPr>
                  <w:rFonts w:ascii="FrankRuehl" w:hAnsi="FrankRuehl" w:cs="FrankRuehl"/>
                  <w:color w:val="0000FF"/>
                  <w:u w:val="single"/>
                </w:rPr>
                <w:t>55</w:t>
              </w:r>
            </w:hyperlink>
            <w:r w:rsidRPr="00D44BD3">
              <w:rPr>
                <w:rFonts w:ascii="FrankRuehl" w:hAnsi="FrankRuehl" w:cs="FrankRuehl"/>
              </w:rPr>
              <w:t xml:space="preserve">, </w:t>
            </w:r>
            <w:hyperlink r:id="rId17" w:history="1">
              <w:r w:rsidRPr="00D44BD3">
                <w:rPr>
                  <w:rFonts w:ascii="FrankRuehl" w:hAnsi="FrankRuehl" w:cs="FrankRuehl"/>
                  <w:color w:val="0000FF"/>
                  <w:u w:val="single"/>
                </w:rPr>
                <w:t>56(</w:t>
              </w:r>
              <w:r w:rsidRPr="00D44BD3">
                <w:rPr>
                  <w:rFonts w:ascii="FrankRuehl" w:hAnsi="FrankRuehl" w:cs="FrankRuehl"/>
                  <w:color w:val="0000FF"/>
                  <w:u w:val="single"/>
                  <w:rtl/>
                </w:rPr>
                <w:t>ב</w:t>
              </w:r>
              <w:r w:rsidRPr="00D44BD3">
                <w:rPr>
                  <w:rFonts w:ascii="FrankRuehl" w:hAnsi="FrankRuehl" w:cs="FrankRuehl"/>
                  <w:color w:val="0000FF"/>
                  <w:u w:val="single"/>
                </w:rPr>
                <w:t>)</w:t>
              </w:r>
            </w:hyperlink>
            <w:r w:rsidRPr="00D44BD3">
              <w:rPr>
                <w:rFonts w:ascii="FrankRuehl" w:hAnsi="FrankRuehl" w:cs="FrankRuehl"/>
              </w:rPr>
              <w:t xml:space="preserve">, </w:t>
            </w:r>
            <w:hyperlink r:id="rId18" w:history="1">
              <w:r w:rsidRPr="00D44BD3">
                <w:rPr>
                  <w:rFonts w:ascii="FrankRuehl" w:hAnsi="FrankRuehl" w:cs="FrankRuehl"/>
                  <w:color w:val="0000FF"/>
                  <w:u w:val="single"/>
                </w:rPr>
                <w:t>40</w:t>
              </w:r>
              <w:r w:rsidRPr="00D44BD3">
                <w:rPr>
                  <w:rFonts w:ascii="FrankRuehl" w:hAnsi="FrankRuehl" w:cs="FrankRuehl"/>
                  <w:color w:val="0000FF"/>
                  <w:u w:val="single"/>
                  <w:rtl/>
                </w:rPr>
                <w:t>יא</w:t>
              </w:r>
            </w:hyperlink>
            <w:r w:rsidRPr="00D44BD3">
              <w:rPr>
                <w:rFonts w:ascii="FrankRuehl" w:hAnsi="FrankRuehl" w:cs="FrankRuehl"/>
              </w:rPr>
              <w:t xml:space="preserve">, </w:t>
            </w:r>
            <w:hyperlink r:id="rId19" w:history="1">
              <w:r w:rsidRPr="00D44BD3">
                <w:rPr>
                  <w:rFonts w:ascii="FrankRuehl" w:hAnsi="FrankRuehl" w:cs="FrankRuehl"/>
                  <w:color w:val="0000FF"/>
                  <w:u w:val="single"/>
                </w:rPr>
                <w:t>40</w:t>
              </w:r>
              <w:r w:rsidRPr="00D44BD3">
                <w:rPr>
                  <w:rFonts w:ascii="FrankRuehl" w:hAnsi="FrankRuehl" w:cs="FrankRuehl"/>
                  <w:color w:val="0000FF"/>
                  <w:u w:val="single"/>
                  <w:rtl/>
                </w:rPr>
                <w:t>יג</w:t>
              </w:r>
            </w:hyperlink>
            <w:r w:rsidRPr="00D44BD3">
              <w:rPr>
                <w:rFonts w:ascii="FrankRuehl" w:hAnsi="FrankRuehl" w:cs="FrankRuehl"/>
              </w:rPr>
              <w:t xml:space="preserve">, </w:t>
            </w:r>
            <w:hyperlink r:id="rId20" w:history="1">
              <w:r w:rsidRPr="00D44BD3">
                <w:rPr>
                  <w:rFonts w:ascii="FrankRuehl" w:hAnsi="FrankRuehl" w:cs="FrankRuehl"/>
                  <w:color w:val="0000FF"/>
                  <w:u w:val="single"/>
                </w:rPr>
                <w:t>40</w:t>
              </w:r>
              <w:r w:rsidRPr="00D44BD3">
                <w:rPr>
                  <w:rFonts w:ascii="FrankRuehl" w:hAnsi="FrankRuehl" w:cs="FrankRuehl"/>
                  <w:color w:val="0000FF"/>
                  <w:u w:val="single"/>
                  <w:rtl/>
                </w:rPr>
                <w:t>יג(א</w:t>
              </w:r>
              <w:r w:rsidRPr="00D44BD3">
                <w:rPr>
                  <w:rFonts w:ascii="FrankRuehl" w:hAnsi="FrankRuehl" w:cs="FrankRuehl"/>
                  <w:color w:val="0000FF"/>
                  <w:u w:val="single"/>
                </w:rPr>
                <w:t>)</w:t>
              </w:r>
            </w:hyperlink>
            <w:r w:rsidRPr="00D44BD3">
              <w:rPr>
                <w:rFonts w:ascii="FrankRuehl" w:hAnsi="FrankRuehl" w:cs="FrankRuehl"/>
              </w:rPr>
              <w:t xml:space="preserve">, </w:t>
            </w:r>
            <w:hyperlink r:id="rId21" w:history="1">
              <w:r w:rsidRPr="00D44BD3">
                <w:rPr>
                  <w:rFonts w:ascii="FrankRuehl" w:hAnsi="FrankRuehl" w:cs="FrankRuehl"/>
                  <w:color w:val="0000FF"/>
                  <w:u w:val="single"/>
                </w:rPr>
                <w:t>40</w:t>
              </w:r>
              <w:r w:rsidRPr="00D44BD3">
                <w:rPr>
                  <w:rFonts w:ascii="FrankRuehl" w:hAnsi="FrankRuehl" w:cs="FrankRuehl"/>
                  <w:color w:val="0000FF"/>
                  <w:u w:val="single"/>
                  <w:rtl/>
                </w:rPr>
                <w:t>יג(ב</w:t>
              </w:r>
              <w:r w:rsidRPr="00D44BD3">
                <w:rPr>
                  <w:rFonts w:ascii="FrankRuehl" w:hAnsi="FrankRuehl" w:cs="FrankRuehl"/>
                  <w:color w:val="0000FF"/>
                  <w:u w:val="single"/>
                </w:rPr>
                <w:t>)</w:t>
              </w:r>
            </w:hyperlink>
            <w:r w:rsidRPr="00D44BD3">
              <w:rPr>
                <w:rFonts w:ascii="FrankRuehl" w:hAnsi="FrankRuehl" w:cs="FrankRuehl"/>
              </w:rPr>
              <w:t xml:space="preserve">, </w:t>
            </w:r>
            <w:hyperlink r:id="rId22" w:history="1">
              <w:r w:rsidRPr="00D44BD3">
                <w:rPr>
                  <w:rFonts w:ascii="FrankRuehl" w:hAnsi="FrankRuehl" w:cs="FrankRuehl"/>
                  <w:color w:val="0000FF"/>
                  <w:u w:val="single"/>
                  <w:rtl/>
                </w:rPr>
                <w:t>ו 40ה</w:t>
              </w:r>
            </w:hyperlink>
          </w:p>
          <w:p w14:paraId="22FD399B" w14:textId="77777777" w:rsidR="00D44BD3" w:rsidRPr="00D44BD3" w:rsidRDefault="00D44BD3" w:rsidP="00D44BD3">
            <w:pPr>
              <w:bidi w:val="0"/>
              <w:spacing w:after="120" w:line="240" w:lineRule="exact"/>
              <w:ind w:left="283" w:hanging="283"/>
              <w:jc w:val="both"/>
              <w:rPr>
                <w:rFonts w:ascii="FrankRuehl" w:hAnsi="FrankRuehl" w:cs="FrankRuehl"/>
              </w:rPr>
            </w:pPr>
          </w:p>
          <w:p w14:paraId="6797A1CF" w14:textId="77777777" w:rsidR="00D44BD3" w:rsidRPr="00D44BD3" w:rsidRDefault="00D44BD3" w:rsidP="00B30B01">
            <w:pPr>
              <w:bidi w:val="0"/>
              <w:jc w:val="center"/>
              <w:rPr>
                <w:rFonts w:ascii="Arial" w:hAnsi="Arial" w:hint="cs"/>
                <w:rtl/>
              </w:rPr>
            </w:pPr>
            <w:bookmarkStart w:id="4" w:name="LawTable_End"/>
            <w:bookmarkEnd w:id="4"/>
          </w:p>
          <w:p w14:paraId="3F276C5F" w14:textId="77777777" w:rsidR="00881C2F" w:rsidRPr="00881C2F" w:rsidRDefault="00881C2F" w:rsidP="00B30B01">
            <w:pPr>
              <w:bidi w:val="0"/>
              <w:jc w:val="center"/>
              <w:rPr>
                <w:rFonts w:ascii="Arial" w:hAnsi="Arial"/>
                <w:b/>
                <w:bCs/>
                <w:u w:val="single"/>
                <w:rtl/>
              </w:rPr>
            </w:pPr>
            <w:r w:rsidRPr="00881C2F">
              <w:rPr>
                <w:rFonts w:ascii="Arial" w:hAnsi="Arial"/>
                <w:b/>
                <w:bCs/>
                <w:u w:val="single"/>
                <w:rtl/>
              </w:rPr>
              <w:t>גזר דין</w:t>
            </w:r>
          </w:p>
          <w:p w14:paraId="6675611C" w14:textId="77777777" w:rsidR="006918C7" w:rsidRPr="00881C2F" w:rsidRDefault="006918C7" w:rsidP="00881C2F">
            <w:pPr>
              <w:jc w:val="center"/>
              <w:rPr>
                <w:rFonts w:ascii="Arial" w:hAnsi="Arial"/>
                <w:b/>
                <w:bCs/>
                <w:u w:val="single"/>
                <w:rtl/>
              </w:rPr>
            </w:pPr>
          </w:p>
        </w:tc>
      </w:tr>
    </w:tbl>
    <w:bookmarkEnd w:id="2"/>
    <w:p w14:paraId="751423FF" w14:textId="77777777" w:rsidR="006918C7" w:rsidRDefault="00881C2F">
      <w:pPr>
        <w:spacing w:before="240" w:line="360" w:lineRule="auto"/>
        <w:jc w:val="both"/>
        <w:rPr>
          <w:rFonts w:ascii="Arial" w:hAnsi="Arial"/>
          <w:b/>
          <w:bCs/>
          <w:u w:val="single"/>
          <w:rtl/>
        </w:rPr>
      </w:pPr>
      <w:r>
        <w:rPr>
          <w:rFonts w:ascii="Arial" w:hAnsi="Arial" w:hint="cs"/>
          <w:b/>
          <w:bCs/>
          <w:u w:val="single"/>
          <w:rtl/>
        </w:rPr>
        <w:t>פתח דבר:</w:t>
      </w:r>
    </w:p>
    <w:p w14:paraId="20B5DF4E" w14:textId="77777777" w:rsidR="006918C7" w:rsidRDefault="00881C2F">
      <w:pPr>
        <w:spacing w:before="240" w:line="360" w:lineRule="auto"/>
        <w:ind w:left="720" w:hanging="720"/>
        <w:jc w:val="both"/>
        <w:rPr>
          <w:rFonts w:ascii="Arial" w:hAnsi="Arial"/>
          <w:rtl/>
        </w:rPr>
      </w:pPr>
      <w:r>
        <w:rPr>
          <w:rFonts w:ascii="Arial" w:hAnsi="Arial" w:hint="cs"/>
          <w:rtl/>
        </w:rPr>
        <w:t>1.</w:t>
      </w:r>
      <w:r>
        <w:rPr>
          <w:rFonts w:ascii="Arial" w:hAnsi="Arial" w:hint="cs"/>
          <w:rtl/>
        </w:rPr>
        <w:tab/>
      </w:r>
      <w:bookmarkStart w:id="5" w:name="ABSTRACT_START"/>
      <w:bookmarkEnd w:id="5"/>
      <w:r>
        <w:rPr>
          <w:rFonts w:ascii="Arial" w:hAnsi="Arial" w:hint="cs"/>
          <w:rtl/>
        </w:rPr>
        <w:t xml:space="preserve">הנאשם, יליד 22.9.1985, חזר בו ביום 27.10.15 מכפירתו בעקבות הסדר טיעון אליו הגיעו הצדדים, והודה בעובדות כתב האישום המתוקן. בהתאם לכך הורשע הנאשם בשתי עבירות של סחר בסם מסוכן, לפי </w:t>
      </w:r>
      <w:hyperlink r:id="rId23" w:history="1">
        <w:r w:rsidR="00B30B01" w:rsidRPr="00B30B01">
          <w:rPr>
            <w:rFonts w:ascii="Arial" w:hAnsi="Arial"/>
            <w:color w:val="0000FF"/>
            <w:u w:val="single"/>
            <w:rtl/>
          </w:rPr>
          <w:t>סעיפים 13</w:t>
        </w:r>
      </w:hyperlink>
      <w:r>
        <w:rPr>
          <w:rFonts w:ascii="Arial" w:hAnsi="Arial" w:hint="cs"/>
          <w:rtl/>
        </w:rPr>
        <w:t xml:space="preserve"> + </w:t>
      </w:r>
      <w:hyperlink r:id="rId24" w:history="1">
        <w:r w:rsidR="00B30B01" w:rsidRPr="00B30B01">
          <w:rPr>
            <w:rFonts w:ascii="Arial" w:hAnsi="Arial"/>
            <w:color w:val="0000FF"/>
            <w:u w:val="single"/>
            <w:rtl/>
          </w:rPr>
          <w:t>19א</w:t>
        </w:r>
      </w:hyperlink>
      <w:r>
        <w:rPr>
          <w:rFonts w:ascii="Arial" w:hAnsi="Arial" w:hint="cs"/>
          <w:rtl/>
        </w:rPr>
        <w:t xml:space="preserve"> ל</w:t>
      </w:r>
      <w:hyperlink r:id="rId25" w:history="1">
        <w:r w:rsidRPr="00881C2F">
          <w:rPr>
            <w:rFonts w:ascii="Arial" w:hAnsi="Arial"/>
            <w:color w:val="0000FF"/>
            <w:u w:val="single"/>
            <w:rtl/>
          </w:rPr>
          <w:t>פקודת הסמים המסוכנים</w:t>
        </w:r>
      </w:hyperlink>
      <w:r>
        <w:rPr>
          <w:rFonts w:ascii="Arial" w:hAnsi="Arial" w:hint="cs"/>
          <w:rtl/>
        </w:rPr>
        <w:t xml:space="preserve"> [נוסח חדש] תשל"ג – 1973 (להלן – </w:t>
      </w:r>
      <w:r>
        <w:rPr>
          <w:rFonts w:ascii="Arial" w:hAnsi="Arial" w:hint="cs"/>
          <w:b/>
          <w:bCs/>
          <w:rtl/>
        </w:rPr>
        <w:t>פקודת הסמים המסוכנים</w:t>
      </w:r>
      <w:r>
        <w:rPr>
          <w:rFonts w:ascii="Arial" w:hAnsi="Arial" w:hint="cs"/>
          <w:rtl/>
        </w:rPr>
        <w:t xml:space="preserve">). המאשימה עתרה במסגרת כתב האישום המתוקן להכריז על הנאשם כסוחר סמים ולהורות על חילוט מזומנים בסך של 10,025 ₪, 140$ ו- 50 </w:t>
      </w:r>
      <w:r>
        <w:rPr>
          <w:rFonts w:ascii="Arial" w:hAnsi="Arial"/>
        </w:rPr>
        <w:t>Euro</w:t>
      </w:r>
      <w:r>
        <w:rPr>
          <w:rFonts w:ascii="Arial" w:hAnsi="Arial" w:hint="cs"/>
          <w:rtl/>
        </w:rPr>
        <w:t>, וכן סך של 3,001 ₪ המופקדים בבנק הפועלים בחשבון מס' 687253 על שם הנאשם.</w:t>
      </w:r>
    </w:p>
    <w:p w14:paraId="7C447BF0" w14:textId="77777777" w:rsidR="006918C7" w:rsidRDefault="00881C2F">
      <w:pPr>
        <w:spacing w:before="240" w:line="360" w:lineRule="auto"/>
        <w:ind w:left="720"/>
        <w:jc w:val="both"/>
        <w:rPr>
          <w:rFonts w:ascii="Arial" w:hAnsi="Arial"/>
          <w:rtl/>
        </w:rPr>
      </w:pPr>
      <w:bookmarkStart w:id="6" w:name="ABSTRACT_END"/>
      <w:bookmarkEnd w:id="6"/>
      <w:r>
        <w:rPr>
          <w:rFonts w:ascii="Arial" w:hAnsi="Arial" w:hint="cs"/>
          <w:rtl/>
        </w:rPr>
        <w:t xml:space="preserve">הצדדים לא הגיעו להסדר ביניהם לעניין העונש, אך הוסכם כי הנאשם לא היה ברשימת היעדים של הסוכן, כהגדרתו להלן, וכי הסוכן הוא זה שיצר את הקשר הראשוני עם הנאשם. עוד הוסכם כי טיעונים לעניין הכרזת הנאשם כסוחר סמים ולעניין חילוט הכספים הנ"ל יישמעו במסגרת הטיעון לעונש. </w:t>
      </w:r>
    </w:p>
    <w:p w14:paraId="6A53A6C3" w14:textId="77777777" w:rsidR="006918C7" w:rsidRDefault="00881C2F">
      <w:pPr>
        <w:spacing w:before="240" w:line="360" w:lineRule="auto"/>
        <w:ind w:left="720" w:hanging="720"/>
        <w:jc w:val="both"/>
        <w:rPr>
          <w:rFonts w:ascii="Arial" w:hAnsi="Arial"/>
          <w:rtl/>
        </w:rPr>
      </w:pPr>
      <w:r>
        <w:rPr>
          <w:rFonts w:ascii="Arial" w:hAnsi="Arial" w:hint="cs"/>
          <w:rtl/>
        </w:rPr>
        <w:lastRenderedPageBreak/>
        <w:t>2.</w:t>
      </w:r>
      <w:r>
        <w:rPr>
          <w:rFonts w:ascii="Arial" w:hAnsi="Arial" w:hint="cs"/>
          <w:rtl/>
        </w:rPr>
        <w:tab/>
        <w:t xml:space="preserve">לא התבקש בעניינו של הנאשם תסקיר שירות המבחן, וטיעוני באי כוח הצדדים לעניין העונש ולעניין הכרזת הנאשם כסוחר סמים וחילוט הכספים נשמעו ביום 19.11.15. </w:t>
      </w:r>
    </w:p>
    <w:p w14:paraId="26317B5B" w14:textId="77777777" w:rsidR="006918C7" w:rsidRDefault="00881C2F">
      <w:pPr>
        <w:spacing w:before="240" w:after="240" w:line="360" w:lineRule="auto"/>
        <w:jc w:val="both"/>
        <w:rPr>
          <w:rFonts w:ascii="Arial" w:hAnsi="Arial"/>
          <w:b/>
          <w:bCs/>
          <w:u w:val="single"/>
          <w:rtl/>
        </w:rPr>
      </w:pPr>
      <w:r>
        <w:rPr>
          <w:rFonts w:ascii="Arial" w:hAnsi="Arial" w:hint="cs"/>
          <w:b/>
          <w:bCs/>
          <w:u w:val="single"/>
          <w:rtl/>
        </w:rPr>
        <w:t>כתב האישום המתוקן:</w:t>
      </w:r>
    </w:p>
    <w:p w14:paraId="535616D8" w14:textId="77777777" w:rsidR="006918C7" w:rsidRDefault="00881C2F">
      <w:pPr>
        <w:spacing w:after="240" w:line="360" w:lineRule="auto"/>
        <w:ind w:left="720" w:hanging="720"/>
        <w:jc w:val="both"/>
        <w:rPr>
          <w:rFonts w:ascii="Arial" w:hAnsi="Arial"/>
          <w:rtl/>
        </w:rPr>
      </w:pPr>
      <w:r>
        <w:rPr>
          <w:rFonts w:ascii="Arial" w:hAnsi="Arial" w:hint="cs"/>
          <w:rtl/>
        </w:rPr>
        <w:t>3.</w:t>
      </w:r>
      <w:r>
        <w:rPr>
          <w:rFonts w:ascii="Arial" w:hAnsi="Arial" w:hint="cs"/>
          <w:rtl/>
        </w:rPr>
        <w:tab/>
        <w:t xml:space="preserve">על פי עובדות כתב האישום המתוקן, במועדים הרלבנטיים הופעל אדהאם סאלם (להלן – </w:t>
      </w:r>
      <w:r>
        <w:rPr>
          <w:rFonts w:ascii="Arial" w:hAnsi="Arial" w:hint="cs"/>
          <w:b/>
          <w:bCs/>
          <w:rtl/>
        </w:rPr>
        <w:t>הסוכן</w:t>
      </w:r>
      <w:r>
        <w:rPr>
          <w:rFonts w:ascii="Arial" w:hAnsi="Arial" w:hint="cs"/>
          <w:rtl/>
        </w:rPr>
        <w:t xml:space="preserve">) בשליחות משטרת ישראל ורכש בהוראתה, באישורה ובכספה כלי נשק, תחמושת וסמים. </w:t>
      </w:r>
    </w:p>
    <w:p w14:paraId="28B72C92" w14:textId="77777777" w:rsidR="006918C7" w:rsidRDefault="00881C2F">
      <w:pPr>
        <w:spacing w:line="360" w:lineRule="auto"/>
        <w:ind w:left="720" w:hanging="720"/>
        <w:jc w:val="both"/>
        <w:rPr>
          <w:rFonts w:ascii="Calibri" w:hAnsi="Calibri"/>
          <w:rtl/>
        </w:rPr>
      </w:pPr>
      <w:r>
        <w:rPr>
          <w:rFonts w:ascii="Arial" w:hAnsi="Arial" w:hint="cs"/>
          <w:rtl/>
        </w:rPr>
        <w:t>4.</w:t>
      </w:r>
      <w:r>
        <w:rPr>
          <w:rFonts w:ascii="Arial" w:hAnsi="Arial" w:hint="cs"/>
          <w:rtl/>
        </w:rPr>
        <w:tab/>
        <w:t xml:space="preserve">ביום 4.12.14 בין השעות 13:28-13:57 או בסמוך </w:t>
      </w:r>
      <w:r>
        <w:rPr>
          <w:rFonts w:hint="cs"/>
          <w:rtl/>
        </w:rPr>
        <w:t xml:space="preserve">לכך, שוחחו הסוכן והנאשם בטלפון וקבעו להיפגש בבית קפה "אולה" בקריית אתא (להלן – </w:t>
      </w:r>
      <w:r>
        <w:rPr>
          <w:rFonts w:hint="cs"/>
          <w:b/>
          <w:bCs/>
          <w:rtl/>
        </w:rPr>
        <w:t>מקום המפגש</w:t>
      </w:r>
      <w:r>
        <w:rPr>
          <w:rFonts w:hint="cs"/>
          <w:rtl/>
        </w:rPr>
        <w:t xml:space="preserve">). </w:t>
      </w:r>
    </w:p>
    <w:p w14:paraId="16359730" w14:textId="77777777" w:rsidR="006918C7" w:rsidRDefault="006918C7">
      <w:pPr>
        <w:spacing w:line="360" w:lineRule="auto"/>
        <w:ind w:left="720" w:hanging="720"/>
        <w:jc w:val="both"/>
        <w:rPr>
          <w:rtl/>
        </w:rPr>
      </w:pPr>
    </w:p>
    <w:p w14:paraId="20F5BE1E" w14:textId="77777777" w:rsidR="006918C7" w:rsidRDefault="00881C2F">
      <w:pPr>
        <w:spacing w:line="360" w:lineRule="auto"/>
        <w:ind w:left="720" w:hanging="720"/>
        <w:jc w:val="both"/>
        <w:rPr>
          <w:rtl/>
        </w:rPr>
      </w:pPr>
      <w:r>
        <w:rPr>
          <w:rFonts w:hint="cs"/>
          <w:rtl/>
        </w:rPr>
        <w:tab/>
        <w:t xml:space="preserve">בשעה 14:25 נפגשו הנאשם והסוכן במקום המפגש וסיכמו כי הנאשם ימכור לסוכן 300 כדורים של סם מסוכן מסוג </w:t>
      </w:r>
      <w:r>
        <w:t xml:space="preserve">MDMA </w:t>
      </w:r>
      <w:r>
        <w:rPr>
          <w:rFonts w:hint="cs"/>
          <w:rtl/>
        </w:rPr>
        <w:t xml:space="preserve">– אקסטזי במחיר של 30 ₪ לכדור (להלן – </w:t>
      </w:r>
      <w:r>
        <w:rPr>
          <w:rFonts w:hint="cs"/>
          <w:b/>
          <w:bCs/>
          <w:rtl/>
        </w:rPr>
        <w:t>עסקת הסם</w:t>
      </w:r>
      <w:r>
        <w:rPr>
          <w:rFonts w:hint="cs"/>
          <w:rtl/>
        </w:rPr>
        <w:t xml:space="preserve">). במהלך המפגש הציע הנאשם לסוכן כי יפנה אותו באופן ישיר לאדם אחר שיספק לו את הסמים מאחר והוא אינו רוצה להרוויח כסף מהסוכן, אולם הסוכן אמר לו שאינו מעוניין בכך. </w:t>
      </w:r>
    </w:p>
    <w:p w14:paraId="0E8B48C9" w14:textId="77777777" w:rsidR="006918C7" w:rsidRDefault="006918C7">
      <w:pPr>
        <w:spacing w:line="360" w:lineRule="auto"/>
        <w:ind w:left="720" w:hanging="720"/>
        <w:jc w:val="both"/>
        <w:rPr>
          <w:rtl/>
        </w:rPr>
      </w:pPr>
    </w:p>
    <w:p w14:paraId="1074103A" w14:textId="77777777" w:rsidR="006918C7" w:rsidRDefault="00881C2F">
      <w:pPr>
        <w:spacing w:line="360" w:lineRule="auto"/>
        <w:ind w:left="720" w:hanging="720"/>
        <w:jc w:val="both"/>
        <w:rPr>
          <w:rtl/>
        </w:rPr>
      </w:pPr>
      <w:r>
        <w:rPr>
          <w:rFonts w:hint="cs"/>
          <w:rtl/>
        </w:rPr>
        <w:t>5.</w:t>
      </w:r>
      <w:r>
        <w:rPr>
          <w:rFonts w:hint="cs"/>
          <w:rtl/>
        </w:rPr>
        <w:tab/>
        <w:t xml:space="preserve">ביום 6.12.14 בשעה 16:10 התקשר הנאשם אל הסוכן, שוחח עימו על עסקת הסם וסוכם ביניהם לבצעה למחרת היום. </w:t>
      </w:r>
    </w:p>
    <w:p w14:paraId="4F9F464E" w14:textId="77777777" w:rsidR="006918C7" w:rsidRDefault="006918C7">
      <w:pPr>
        <w:spacing w:line="360" w:lineRule="auto"/>
        <w:ind w:left="720" w:hanging="720"/>
        <w:jc w:val="both"/>
        <w:rPr>
          <w:rtl/>
        </w:rPr>
      </w:pPr>
    </w:p>
    <w:p w14:paraId="2C58F1E2" w14:textId="77777777" w:rsidR="006918C7" w:rsidRDefault="00881C2F">
      <w:pPr>
        <w:spacing w:line="360" w:lineRule="auto"/>
        <w:ind w:left="720" w:hanging="720"/>
        <w:jc w:val="both"/>
        <w:rPr>
          <w:rtl/>
        </w:rPr>
      </w:pPr>
      <w:r>
        <w:rPr>
          <w:rFonts w:hint="cs"/>
          <w:rtl/>
        </w:rPr>
        <w:tab/>
        <w:t xml:space="preserve">ביום 7.12.14 בין השעות 13:27-14:21 שוחחו הנאשם והסוכן בטלפון וקבעו להיפגש במקום המפגש. בשעה 14:31 הגיע הנאשם למקום המפגש מלווה באדם נוסף, ובמעמד זה עדכן הנאשם את הסוכן כי ביצוע עסקת הסם מתעכב וסיכם איתו כי יפגשו מאוחר יותר בסמוך לביתו של הסוכן ברחוב שבטי ישראל 54 בקריית חיים. בשעה 19:52 של אותו יום נפגשו הנאשם והסוכן בכתובת האמורה. הנאשם הגיע למקום ברכב מסחרי נהוג בידי אותו אדם נוסף שנלווה אליו. </w:t>
      </w:r>
    </w:p>
    <w:p w14:paraId="6B4432E1" w14:textId="77777777" w:rsidR="006918C7" w:rsidRDefault="006918C7">
      <w:pPr>
        <w:spacing w:line="360" w:lineRule="auto"/>
        <w:ind w:left="720" w:hanging="720"/>
        <w:jc w:val="both"/>
        <w:rPr>
          <w:rtl/>
        </w:rPr>
      </w:pPr>
    </w:p>
    <w:p w14:paraId="3260E264" w14:textId="77777777" w:rsidR="006918C7" w:rsidRDefault="00881C2F">
      <w:pPr>
        <w:spacing w:line="360" w:lineRule="auto"/>
        <w:ind w:left="720" w:hanging="720"/>
        <w:jc w:val="both"/>
        <w:rPr>
          <w:rtl/>
        </w:rPr>
      </w:pPr>
      <w:r>
        <w:rPr>
          <w:rFonts w:hint="cs"/>
          <w:rtl/>
        </w:rPr>
        <w:tab/>
        <w:t xml:space="preserve">הסוכן מסר לידי הנאשם סך של 9,000 ₪ תמורת הסמים והנאשם מסר לו את הסמים ארוזים בשקית ניילון. הנאשם החזיק בסמים שלא לצריכתו העצמית וללא היתר על פי דין. </w:t>
      </w:r>
    </w:p>
    <w:p w14:paraId="49D9EB85" w14:textId="77777777" w:rsidR="006918C7" w:rsidRDefault="006918C7">
      <w:pPr>
        <w:spacing w:line="360" w:lineRule="auto"/>
        <w:ind w:left="720" w:hanging="720"/>
        <w:jc w:val="both"/>
        <w:rPr>
          <w:rtl/>
        </w:rPr>
      </w:pPr>
    </w:p>
    <w:p w14:paraId="482D3B50" w14:textId="77777777" w:rsidR="006918C7" w:rsidRDefault="00881C2F">
      <w:pPr>
        <w:spacing w:line="360" w:lineRule="auto"/>
        <w:ind w:left="720" w:hanging="720"/>
        <w:jc w:val="both"/>
        <w:rPr>
          <w:rtl/>
        </w:rPr>
      </w:pPr>
      <w:r>
        <w:rPr>
          <w:rFonts w:hint="cs"/>
          <w:rtl/>
        </w:rPr>
        <w:t>6.</w:t>
      </w:r>
      <w:r>
        <w:rPr>
          <w:rFonts w:hint="cs"/>
          <w:rtl/>
        </w:rPr>
        <w:tab/>
        <w:t xml:space="preserve">הסמים נשלחו לבדיקת מעבדה אשר קבעה כי מדובר בסם מסוכן מסוג </w:t>
      </w:r>
      <w:r>
        <w:t>MDMA</w:t>
      </w:r>
      <w:r>
        <w:rPr>
          <w:rFonts w:hint="cs"/>
          <w:rtl/>
        </w:rPr>
        <w:t xml:space="preserve">, בכמות של 292 כדורים. </w:t>
      </w:r>
    </w:p>
    <w:p w14:paraId="0A49386B" w14:textId="77777777" w:rsidR="006918C7" w:rsidRDefault="006918C7">
      <w:pPr>
        <w:spacing w:line="360" w:lineRule="auto"/>
        <w:ind w:left="720" w:hanging="720"/>
        <w:jc w:val="both"/>
        <w:rPr>
          <w:rtl/>
        </w:rPr>
      </w:pPr>
    </w:p>
    <w:p w14:paraId="360617DF" w14:textId="77777777" w:rsidR="006918C7" w:rsidRDefault="00881C2F">
      <w:pPr>
        <w:spacing w:line="360" w:lineRule="auto"/>
        <w:ind w:left="720" w:hanging="720"/>
        <w:jc w:val="both"/>
        <w:rPr>
          <w:rtl/>
        </w:rPr>
      </w:pPr>
      <w:r>
        <w:rPr>
          <w:rFonts w:hint="cs"/>
          <w:rtl/>
        </w:rPr>
        <w:lastRenderedPageBreak/>
        <w:t>7.</w:t>
      </w:r>
      <w:r>
        <w:rPr>
          <w:rFonts w:hint="cs"/>
          <w:rtl/>
        </w:rPr>
        <w:tab/>
        <w:t xml:space="preserve">ביום 22.12.14 בשעה 14:19 שוחחו הסוכן והנאשם בטלפון וסיכמו כי הנאשם ימכור לסוכן 300 כדורים של סם מסוכן מסוג </w:t>
      </w:r>
      <w:r>
        <w:t>MDMA</w:t>
      </w:r>
      <w:r>
        <w:rPr>
          <w:rFonts w:hint="cs"/>
          <w:rtl/>
        </w:rPr>
        <w:t xml:space="preserve"> – אקסטזי תמורת סך של 9,000 ₪ (להלן – </w:t>
      </w:r>
      <w:r>
        <w:rPr>
          <w:rFonts w:hint="cs"/>
          <w:b/>
          <w:bCs/>
          <w:rtl/>
        </w:rPr>
        <w:t>עסקת הסם</w:t>
      </w:r>
      <w:r>
        <w:rPr>
          <w:rFonts w:hint="cs"/>
          <w:rtl/>
        </w:rPr>
        <w:t xml:space="preserve">). </w:t>
      </w:r>
    </w:p>
    <w:p w14:paraId="22CE85ED" w14:textId="77777777" w:rsidR="006918C7" w:rsidRDefault="006918C7">
      <w:pPr>
        <w:spacing w:line="360" w:lineRule="auto"/>
        <w:ind w:left="720" w:hanging="720"/>
        <w:jc w:val="both"/>
        <w:rPr>
          <w:rtl/>
        </w:rPr>
      </w:pPr>
    </w:p>
    <w:p w14:paraId="67F4AC9D" w14:textId="77777777" w:rsidR="006918C7" w:rsidRDefault="00881C2F">
      <w:pPr>
        <w:spacing w:line="360" w:lineRule="auto"/>
        <w:ind w:left="720" w:hanging="720"/>
        <w:jc w:val="both"/>
        <w:rPr>
          <w:rtl/>
        </w:rPr>
      </w:pPr>
      <w:r>
        <w:rPr>
          <w:rFonts w:hint="cs"/>
          <w:rtl/>
        </w:rPr>
        <w:tab/>
        <w:t xml:space="preserve">ביום 23.12.14 בין השעות 12:47-20:39 שוחחו הנאשם והסוכן מספר פעמים בטלפון וקבעו להיפגש בסמוך לרחוב משה שרת 55 בקריית חיים (להלן – </w:t>
      </w:r>
      <w:r>
        <w:rPr>
          <w:rFonts w:hint="cs"/>
          <w:b/>
          <w:bCs/>
          <w:rtl/>
        </w:rPr>
        <w:t>מקום המפגש</w:t>
      </w:r>
      <w:r>
        <w:rPr>
          <w:rFonts w:hint="cs"/>
          <w:rtl/>
        </w:rPr>
        <w:t xml:space="preserve">). </w:t>
      </w:r>
    </w:p>
    <w:p w14:paraId="308EE2DF" w14:textId="77777777" w:rsidR="006918C7" w:rsidRDefault="006918C7">
      <w:pPr>
        <w:spacing w:line="360" w:lineRule="auto"/>
        <w:ind w:left="720" w:hanging="720"/>
        <w:jc w:val="both"/>
        <w:rPr>
          <w:rtl/>
        </w:rPr>
      </w:pPr>
    </w:p>
    <w:p w14:paraId="74A244B3" w14:textId="77777777" w:rsidR="006918C7" w:rsidRDefault="00881C2F">
      <w:pPr>
        <w:spacing w:line="360" w:lineRule="auto"/>
        <w:ind w:left="720" w:hanging="720"/>
        <w:jc w:val="both"/>
        <w:rPr>
          <w:rtl/>
        </w:rPr>
      </w:pPr>
      <w:r>
        <w:rPr>
          <w:rFonts w:hint="cs"/>
          <w:rtl/>
        </w:rPr>
        <w:t>8.</w:t>
      </w:r>
      <w:r>
        <w:rPr>
          <w:rFonts w:hint="cs"/>
          <w:rtl/>
        </w:rPr>
        <w:tab/>
        <w:t xml:space="preserve">בשעה 20:40 נפגש הנאשם עם הסוכן במקום המפגש. הסוכן מסר לנאשם סך של 9,000 ₪ תמורת הסמים והנאשם מסר לסוכן 296 כדורים של סם מסוכן מסוג </w:t>
      </w:r>
      <w:r>
        <w:t>MDMA</w:t>
      </w:r>
      <w:r>
        <w:rPr>
          <w:rFonts w:hint="cs"/>
          <w:rtl/>
        </w:rPr>
        <w:t xml:space="preserve"> – אקסטזי, כאשר שלושה מבין הכדורים היו שבורים. הנאשם מסר לסוכן את הסמים כשהם ארוזים במפית נייר ובשקית ניילון קשורה. הנאשם החזיק בסמים שלא לצריכתו העצמית וללא היתר על פי דין. </w:t>
      </w:r>
    </w:p>
    <w:p w14:paraId="10327001" w14:textId="77777777" w:rsidR="006918C7" w:rsidRDefault="006918C7">
      <w:pPr>
        <w:spacing w:line="360" w:lineRule="auto"/>
        <w:ind w:left="720" w:hanging="720"/>
        <w:jc w:val="both"/>
        <w:rPr>
          <w:rtl/>
        </w:rPr>
      </w:pPr>
    </w:p>
    <w:p w14:paraId="79FF9C45" w14:textId="77777777" w:rsidR="006918C7" w:rsidRDefault="00881C2F">
      <w:pPr>
        <w:spacing w:line="360" w:lineRule="auto"/>
        <w:ind w:left="720" w:hanging="720"/>
        <w:jc w:val="both"/>
        <w:rPr>
          <w:rtl/>
        </w:rPr>
      </w:pPr>
      <w:r>
        <w:rPr>
          <w:rFonts w:hint="cs"/>
          <w:rtl/>
        </w:rPr>
        <w:t>9.</w:t>
      </w:r>
      <w:r>
        <w:rPr>
          <w:rFonts w:hint="cs"/>
          <w:rtl/>
        </w:rPr>
        <w:tab/>
        <w:t xml:space="preserve">הסמים נשלחו לבדיקת מעבדה אשר קבעה כי מדובר בסם מסוכן מסוג </w:t>
      </w:r>
      <w:r>
        <w:t>MDMA</w:t>
      </w:r>
      <w:r>
        <w:rPr>
          <w:rFonts w:hint="cs"/>
          <w:rtl/>
        </w:rPr>
        <w:t xml:space="preserve">, בכמות של 293 כדורים וכן שברי כדורים נוספים. </w:t>
      </w:r>
    </w:p>
    <w:p w14:paraId="5E1AEEF6" w14:textId="77777777" w:rsidR="006918C7" w:rsidRDefault="006918C7">
      <w:pPr>
        <w:spacing w:line="360" w:lineRule="auto"/>
        <w:ind w:left="720" w:hanging="720"/>
        <w:jc w:val="both"/>
        <w:rPr>
          <w:rtl/>
        </w:rPr>
      </w:pPr>
    </w:p>
    <w:p w14:paraId="4A4E42C9" w14:textId="77777777" w:rsidR="006918C7" w:rsidRDefault="00881C2F">
      <w:pPr>
        <w:spacing w:line="360" w:lineRule="auto"/>
        <w:ind w:left="720" w:hanging="720"/>
        <w:jc w:val="both"/>
        <w:rPr>
          <w:rtl/>
        </w:rPr>
      </w:pPr>
      <w:r>
        <w:rPr>
          <w:rFonts w:hint="cs"/>
          <w:rtl/>
        </w:rPr>
        <w:t>10.</w:t>
      </w:r>
      <w:r>
        <w:rPr>
          <w:rFonts w:hint="cs"/>
          <w:rtl/>
        </w:rPr>
        <w:tab/>
        <w:t xml:space="preserve">במעשים המתוארים לעיל החזיק הנאשם וסחר בסם מסוכן מסוג </w:t>
      </w:r>
      <w:r>
        <w:t>MDMA</w:t>
      </w:r>
      <w:r>
        <w:rPr>
          <w:rFonts w:hint="cs"/>
          <w:rtl/>
        </w:rPr>
        <w:t xml:space="preserve">, בכמות של 292 כדורים שלא לצריכתו העצמית וללא היתר על פי דין, וכן החזיק וסחר בסם מסוכן מסוג </w:t>
      </w:r>
      <w:r>
        <w:t>MDMA</w:t>
      </w:r>
      <w:r>
        <w:rPr>
          <w:rFonts w:hint="cs"/>
          <w:rtl/>
        </w:rPr>
        <w:t xml:space="preserve">, בכמות של 293 כדורים + שברי כדורים נוספים, שלא לצריכתו העצמית וללא היתר על פי דין. </w:t>
      </w:r>
    </w:p>
    <w:p w14:paraId="3764F6AE" w14:textId="77777777" w:rsidR="006918C7" w:rsidRDefault="006918C7">
      <w:pPr>
        <w:spacing w:line="360" w:lineRule="auto"/>
        <w:ind w:left="720" w:hanging="720"/>
        <w:jc w:val="both"/>
        <w:rPr>
          <w:b/>
          <w:bCs/>
          <w:u w:val="single"/>
          <w:rtl/>
        </w:rPr>
      </w:pPr>
    </w:p>
    <w:p w14:paraId="37584D00" w14:textId="77777777" w:rsidR="006918C7" w:rsidRDefault="00881C2F">
      <w:pPr>
        <w:spacing w:line="360" w:lineRule="auto"/>
        <w:ind w:left="720" w:hanging="720"/>
        <w:jc w:val="both"/>
        <w:rPr>
          <w:rtl/>
        </w:rPr>
      </w:pPr>
      <w:r>
        <w:rPr>
          <w:rFonts w:hint="cs"/>
          <w:b/>
          <w:bCs/>
          <w:u w:val="single"/>
          <w:rtl/>
        </w:rPr>
        <w:t>טיעוני המאשימה:</w:t>
      </w:r>
    </w:p>
    <w:p w14:paraId="518EC008" w14:textId="77777777" w:rsidR="006918C7" w:rsidRDefault="006918C7">
      <w:pPr>
        <w:spacing w:line="360" w:lineRule="auto"/>
        <w:ind w:left="720" w:hanging="720"/>
        <w:jc w:val="both"/>
        <w:rPr>
          <w:rtl/>
        </w:rPr>
      </w:pPr>
    </w:p>
    <w:p w14:paraId="6C69D43C" w14:textId="77777777" w:rsidR="006918C7" w:rsidRDefault="00881C2F">
      <w:pPr>
        <w:spacing w:line="360" w:lineRule="auto"/>
        <w:ind w:left="720" w:hanging="720"/>
        <w:jc w:val="both"/>
        <w:rPr>
          <w:rtl/>
        </w:rPr>
      </w:pPr>
      <w:r>
        <w:rPr>
          <w:rFonts w:hint="cs"/>
          <w:rtl/>
        </w:rPr>
        <w:t>11.</w:t>
      </w:r>
      <w:r>
        <w:rPr>
          <w:rtl/>
        </w:rPr>
        <w:tab/>
      </w:r>
      <w:r>
        <w:rPr>
          <w:rFonts w:hint="cs"/>
          <w:rtl/>
        </w:rPr>
        <w:t xml:space="preserve">עבירות הסמים חמורות הן ונזקיהן קשים וארוכי הטווח, ולפיכך  יש להחמיר בהן, תוך שימת דגש לשיקולי הרתעה, גמול ומניעה ולהעדיפם על פני השיקולים הנוגעים לנסיבותיו האישיות של הנאשם. </w:t>
      </w:r>
    </w:p>
    <w:p w14:paraId="33000021" w14:textId="77777777" w:rsidR="006918C7" w:rsidRDefault="006918C7">
      <w:pPr>
        <w:pStyle w:val="a7"/>
        <w:ind w:left="720" w:hanging="720"/>
        <w:rPr>
          <w:sz w:val="24"/>
          <w:szCs w:val="24"/>
          <w:rtl/>
        </w:rPr>
      </w:pPr>
    </w:p>
    <w:p w14:paraId="2211AF0F" w14:textId="77777777" w:rsidR="006918C7" w:rsidRDefault="00881C2F">
      <w:pPr>
        <w:pStyle w:val="a7"/>
        <w:ind w:left="720" w:hanging="720"/>
        <w:rPr>
          <w:sz w:val="24"/>
          <w:szCs w:val="24"/>
          <w:rtl/>
        </w:rPr>
      </w:pPr>
      <w:r>
        <w:rPr>
          <w:rFonts w:hint="cs"/>
          <w:sz w:val="24"/>
          <w:szCs w:val="24"/>
          <w:rtl/>
        </w:rPr>
        <w:tab/>
        <w:t xml:space="preserve">כך הדבר במיוחד ובאופן ספציפי באשר לסם האקסטזי ונזקיו, השימוש הנפוץ בו בעיקר בקרב צעירים ופוטנציאל הנזק הרב הגלום בשימוש בו, כפי שאף עולה ממאמרה של יפה צוברי, מידענית הרשות למלחמה בסמים ואסופת מאמרים מתוך אתר הרשות למלחמה בסמים. </w:t>
      </w:r>
    </w:p>
    <w:p w14:paraId="1B75875A" w14:textId="77777777" w:rsidR="006918C7" w:rsidRDefault="006918C7">
      <w:pPr>
        <w:pStyle w:val="a7"/>
        <w:ind w:left="720" w:hanging="720"/>
        <w:rPr>
          <w:sz w:val="24"/>
          <w:szCs w:val="24"/>
          <w:rtl/>
        </w:rPr>
      </w:pPr>
    </w:p>
    <w:p w14:paraId="06D64451" w14:textId="77777777" w:rsidR="006918C7" w:rsidRDefault="00881C2F">
      <w:pPr>
        <w:pStyle w:val="a7"/>
        <w:ind w:left="720" w:hanging="720"/>
        <w:rPr>
          <w:sz w:val="24"/>
          <w:szCs w:val="24"/>
          <w:rtl/>
        </w:rPr>
      </w:pPr>
      <w:r>
        <w:rPr>
          <w:rFonts w:hint="cs"/>
          <w:sz w:val="24"/>
          <w:szCs w:val="24"/>
          <w:rtl/>
        </w:rPr>
        <w:t>12.</w:t>
      </w:r>
      <w:r>
        <w:rPr>
          <w:rFonts w:hint="cs"/>
          <w:sz w:val="24"/>
          <w:szCs w:val="24"/>
          <w:rtl/>
        </w:rPr>
        <w:tab/>
        <w:t xml:space="preserve"> במקרה הנדון מדובר בשתי עבירות ובכמות גדולה של סם אקסטזי – סך הכל 585 כדורים, המחייבת הטלת ענישה מחמירה.</w:t>
      </w:r>
    </w:p>
    <w:p w14:paraId="650788E0" w14:textId="77777777" w:rsidR="006918C7" w:rsidRDefault="006918C7">
      <w:pPr>
        <w:pStyle w:val="a7"/>
        <w:ind w:left="720" w:hanging="720"/>
        <w:rPr>
          <w:sz w:val="24"/>
          <w:szCs w:val="24"/>
          <w:rtl/>
        </w:rPr>
      </w:pPr>
    </w:p>
    <w:p w14:paraId="6D1AF514" w14:textId="77777777" w:rsidR="006918C7" w:rsidRDefault="00881C2F">
      <w:pPr>
        <w:pStyle w:val="a7"/>
        <w:ind w:left="720" w:hanging="720"/>
        <w:rPr>
          <w:sz w:val="24"/>
          <w:szCs w:val="24"/>
          <w:rtl/>
        </w:rPr>
      </w:pPr>
      <w:r>
        <w:rPr>
          <w:rFonts w:hint="cs"/>
          <w:sz w:val="24"/>
          <w:szCs w:val="24"/>
          <w:rtl/>
        </w:rPr>
        <w:t>13.</w:t>
      </w:r>
      <w:r>
        <w:rPr>
          <w:rFonts w:hint="cs"/>
          <w:sz w:val="24"/>
          <w:szCs w:val="24"/>
          <w:rtl/>
        </w:rPr>
        <w:tab/>
        <w:t xml:space="preserve">חלקו של הנאשם בביצוע העבירות הינו דומיננטי ביותר, הגם שתחילה ניסה הנאשם לקשר את הסוכן לאדם אחר שיספק לו את הסם, אולם בסופו של דבר תיאם את הפגישות עם הסוכן, נכח במעמד ביצוע העסקה, נשא על גופו את הסמים וקיבל לידיו את הסכום עליו הוסכם. </w:t>
      </w:r>
    </w:p>
    <w:p w14:paraId="3E38FC33" w14:textId="77777777" w:rsidR="006918C7" w:rsidRDefault="006918C7">
      <w:pPr>
        <w:pStyle w:val="a7"/>
        <w:ind w:left="720" w:hanging="720"/>
        <w:rPr>
          <w:sz w:val="24"/>
          <w:szCs w:val="24"/>
          <w:rtl/>
        </w:rPr>
      </w:pPr>
    </w:p>
    <w:p w14:paraId="2B2FF4CA" w14:textId="77777777" w:rsidR="006918C7" w:rsidRDefault="00881C2F">
      <w:pPr>
        <w:pStyle w:val="a7"/>
        <w:ind w:left="720" w:hanging="720"/>
        <w:rPr>
          <w:sz w:val="24"/>
          <w:szCs w:val="24"/>
          <w:rtl/>
        </w:rPr>
      </w:pPr>
      <w:r>
        <w:rPr>
          <w:rFonts w:hint="cs"/>
          <w:sz w:val="24"/>
          <w:szCs w:val="24"/>
          <w:rtl/>
        </w:rPr>
        <w:t>14.</w:t>
      </w:r>
      <w:r>
        <w:rPr>
          <w:rFonts w:hint="cs"/>
          <w:sz w:val="24"/>
          <w:szCs w:val="24"/>
          <w:rtl/>
        </w:rPr>
        <w:tab/>
        <w:t>טבען של עבירות סמים הוא שקשה לחשוף אותן והפיתוי לעבור אותן הוא גדול – על כן יש להשית עונשים מרתיעים.</w:t>
      </w:r>
    </w:p>
    <w:p w14:paraId="69CEAF10" w14:textId="77777777" w:rsidR="006918C7" w:rsidRDefault="00881C2F">
      <w:pPr>
        <w:pStyle w:val="a7"/>
        <w:ind w:left="720" w:hanging="720"/>
        <w:rPr>
          <w:sz w:val="24"/>
          <w:szCs w:val="24"/>
          <w:rtl/>
        </w:rPr>
      </w:pPr>
      <w:r>
        <w:rPr>
          <w:rFonts w:hint="cs"/>
          <w:sz w:val="24"/>
          <w:szCs w:val="24"/>
          <w:rtl/>
        </w:rPr>
        <w:t xml:space="preserve"> </w:t>
      </w:r>
    </w:p>
    <w:p w14:paraId="391EF62B" w14:textId="77777777" w:rsidR="006918C7" w:rsidRDefault="00881C2F">
      <w:pPr>
        <w:pStyle w:val="a7"/>
        <w:ind w:left="720" w:hanging="720"/>
        <w:rPr>
          <w:sz w:val="24"/>
          <w:szCs w:val="24"/>
          <w:rtl/>
        </w:rPr>
      </w:pPr>
      <w:r>
        <w:rPr>
          <w:rFonts w:hint="cs"/>
          <w:sz w:val="24"/>
          <w:szCs w:val="24"/>
          <w:rtl/>
        </w:rPr>
        <w:t>15.</w:t>
      </w:r>
      <w:r>
        <w:rPr>
          <w:rFonts w:hint="cs"/>
          <w:sz w:val="24"/>
          <w:szCs w:val="24"/>
          <w:rtl/>
        </w:rPr>
        <w:tab/>
        <w:t>מדובר בשני מעשים נפרדים, בשני מועדים שונים ואף מרוחקים זה מזה, כשבכל אחד משתי העסקאות מתאם הנאשם מועד אחר ודרך להעברת הסם. על כן, מוצדק להשית עונשים נפרדים ומצטברים בגין כל אירוע. ואף אם יקבע כי מדובר באירוע אחד, הרי שאין מניעה מלקבוע מתחם כולל גבוה מהמתחם שהיה נקבע לעבירה אחת, כפי שנקבע ב</w:t>
      </w:r>
      <w:hyperlink r:id="rId26" w:history="1">
        <w:r w:rsidRPr="00881C2F">
          <w:rPr>
            <w:color w:val="0000FF"/>
            <w:sz w:val="24"/>
            <w:szCs w:val="24"/>
            <w:u w:val="single"/>
            <w:rtl/>
          </w:rPr>
          <w:t>ע"פ 1082/14</w:t>
        </w:r>
      </w:hyperlink>
      <w:r>
        <w:rPr>
          <w:rFonts w:hint="cs"/>
          <w:sz w:val="24"/>
          <w:szCs w:val="24"/>
          <w:rtl/>
        </w:rPr>
        <w:t xml:space="preserve"> </w:t>
      </w:r>
      <w:r>
        <w:rPr>
          <w:rFonts w:hint="cs"/>
          <w:b/>
          <w:bCs/>
          <w:sz w:val="24"/>
          <w:szCs w:val="24"/>
          <w:u w:val="single"/>
          <w:rtl/>
        </w:rPr>
        <w:t>אשרף ג'סאר נ' מדינת ישראל</w:t>
      </w:r>
      <w:r>
        <w:rPr>
          <w:rFonts w:hint="cs"/>
          <w:sz w:val="24"/>
          <w:szCs w:val="24"/>
          <w:rtl/>
        </w:rPr>
        <w:t xml:space="preserve"> (ניתן ביום 23.7.15), אשר דן בשאלה מהו "אירוע" צורך גזירת עונש בגין מספר עבירות. </w:t>
      </w:r>
    </w:p>
    <w:p w14:paraId="73D6A509" w14:textId="77777777" w:rsidR="006918C7" w:rsidRDefault="006918C7">
      <w:pPr>
        <w:pStyle w:val="a7"/>
        <w:ind w:left="720" w:hanging="720"/>
        <w:rPr>
          <w:sz w:val="24"/>
          <w:szCs w:val="24"/>
          <w:rtl/>
        </w:rPr>
      </w:pPr>
    </w:p>
    <w:p w14:paraId="0C864D2C" w14:textId="77777777" w:rsidR="006918C7" w:rsidRDefault="00881C2F">
      <w:pPr>
        <w:pStyle w:val="a7"/>
        <w:ind w:left="720" w:hanging="720"/>
        <w:rPr>
          <w:sz w:val="24"/>
          <w:szCs w:val="24"/>
          <w:rtl/>
        </w:rPr>
      </w:pPr>
      <w:r>
        <w:rPr>
          <w:rFonts w:hint="cs"/>
          <w:sz w:val="24"/>
          <w:szCs w:val="24"/>
          <w:rtl/>
        </w:rPr>
        <w:t>16.</w:t>
      </w:r>
      <w:r>
        <w:rPr>
          <w:rFonts w:hint="cs"/>
          <w:sz w:val="24"/>
          <w:szCs w:val="24"/>
          <w:rtl/>
        </w:rPr>
        <w:tab/>
        <w:t>בהתאם לפסיקה שניתנה בעניין סחר בכדורי אקסטזי, בכמויות שונות, קטנות מהכמות במקרה הנדון,  נגזרו על נאשמים עונשים שבין 18 חודשים ל- 48 חודשי מאסר בפועל.</w:t>
      </w:r>
    </w:p>
    <w:p w14:paraId="174B510D" w14:textId="77777777" w:rsidR="006918C7" w:rsidRDefault="006918C7">
      <w:pPr>
        <w:pStyle w:val="a7"/>
        <w:ind w:left="720" w:hanging="720"/>
        <w:rPr>
          <w:sz w:val="24"/>
          <w:szCs w:val="24"/>
          <w:rtl/>
        </w:rPr>
      </w:pPr>
    </w:p>
    <w:p w14:paraId="3F711ED0" w14:textId="77777777" w:rsidR="006918C7" w:rsidRDefault="00881C2F">
      <w:pPr>
        <w:pStyle w:val="a7"/>
        <w:ind w:left="720" w:hanging="720"/>
        <w:rPr>
          <w:sz w:val="24"/>
          <w:szCs w:val="24"/>
          <w:rtl/>
        </w:rPr>
      </w:pPr>
      <w:r>
        <w:rPr>
          <w:rFonts w:hint="cs"/>
          <w:sz w:val="24"/>
          <w:szCs w:val="24"/>
          <w:rtl/>
        </w:rPr>
        <w:tab/>
        <w:t xml:space="preserve"> מתחם הענישה ההולם במקרה הנדון, לאור הערך החברתי שנפגע מביצוע העבירה, ממידת הפגיעה בו, במדיניות הענישה הנהוגה ובנסיבות הקשורות בביצוע העבירה – עומד על 2-4.5 שנות מאסר בפועל, בגין כל עסקת סם, בשים לב לכמות הכוללת של שתי העסקאות יחד של 585 כדורים. כמו כן, יש להטיל על הנאשם מאסר מותנה, קנס כספי כבד ופסילת רישיון נהיגה, וזאת ביחס לכל עסקה בנפרד. </w:t>
      </w:r>
    </w:p>
    <w:p w14:paraId="71B7E927" w14:textId="77777777" w:rsidR="006918C7" w:rsidRDefault="006918C7">
      <w:pPr>
        <w:pStyle w:val="a7"/>
        <w:ind w:left="720" w:hanging="720"/>
        <w:rPr>
          <w:sz w:val="24"/>
          <w:szCs w:val="24"/>
          <w:rtl/>
        </w:rPr>
      </w:pPr>
    </w:p>
    <w:p w14:paraId="377863F8" w14:textId="77777777" w:rsidR="006918C7" w:rsidRDefault="00881C2F">
      <w:pPr>
        <w:pStyle w:val="a7"/>
        <w:ind w:left="720" w:hanging="720"/>
        <w:rPr>
          <w:sz w:val="24"/>
          <w:szCs w:val="24"/>
          <w:rtl/>
        </w:rPr>
      </w:pPr>
      <w:r>
        <w:rPr>
          <w:rFonts w:hint="cs"/>
          <w:sz w:val="24"/>
          <w:szCs w:val="24"/>
          <w:rtl/>
        </w:rPr>
        <w:t>17.</w:t>
      </w:r>
      <w:r>
        <w:rPr>
          <w:rFonts w:hint="cs"/>
          <w:sz w:val="24"/>
          <w:szCs w:val="24"/>
          <w:rtl/>
        </w:rPr>
        <w:tab/>
        <w:t xml:space="preserve">עניינו של הנאשם מצוי בחלק העליון של המתחמים, על אף שחסך זמן שיפוטי בהודייתו, וזאת נוכח הרשעותיו הקודמות והמאסר על תנאי חב ההפעלה. על כן, יש להשית על הנאשם עונש ברף הגבוה של המתחם בגין כל עסקה ולצבור את העונשים שייגזרו בשתי העסקאות. </w:t>
      </w:r>
    </w:p>
    <w:p w14:paraId="20A00307" w14:textId="77777777" w:rsidR="006918C7" w:rsidRDefault="006918C7">
      <w:pPr>
        <w:spacing w:line="360" w:lineRule="auto"/>
        <w:ind w:left="720"/>
        <w:jc w:val="both"/>
        <w:rPr>
          <w:rtl/>
        </w:rPr>
      </w:pPr>
    </w:p>
    <w:p w14:paraId="35A0E688" w14:textId="77777777" w:rsidR="006918C7" w:rsidRDefault="00881C2F">
      <w:pPr>
        <w:spacing w:line="360" w:lineRule="auto"/>
        <w:ind w:left="720" w:hanging="720"/>
        <w:jc w:val="both"/>
        <w:rPr>
          <w:rtl/>
        </w:rPr>
      </w:pPr>
      <w:r>
        <w:rPr>
          <w:rFonts w:hint="cs"/>
          <w:rtl/>
        </w:rPr>
        <w:t>18.</w:t>
      </w:r>
      <w:r>
        <w:rPr>
          <w:rFonts w:hint="cs"/>
          <w:rtl/>
        </w:rPr>
        <w:tab/>
        <w:t>לנאשם 9 הרשעות קודמות, בגין עבירות של איומים ואלימות במשפחה, עבירות תקיפה וחבלה ממשית, תקיפת שוטר במילוי תפקידו, עבירות רכוש, החזקת סמים שלא לצריכה עצמית, החזקת סמים לצריכה עצמית, הפרת הוראה חוקית והפרעה לשוטר במילוי תפקידו.</w:t>
      </w:r>
    </w:p>
    <w:p w14:paraId="78B8B1B7" w14:textId="77777777" w:rsidR="006918C7" w:rsidRDefault="006918C7">
      <w:pPr>
        <w:pStyle w:val="a7"/>
        <w:ind w:left="720" w:hanging="720"/>
        <w:rPr>
          <w:sz w:val="24"/>
          <w:szCs w:val="24"/>
          <w:rtl/>
        </w:rPr>
      </w:pPr>
    </w:p>
    <w:p w14:paraId="6086B02A" w14:textId="77777777" w:rsidR="006918C7" w:rsidRDefault="00881C2F">
      <w:pPr>
        <w:pStyle w:val="a7"/>
        <w:ind w:left="720" w:hanging="720"/>
        <w:rPr>
          <w:sz w:val="24"/>
          <w:szCs w:val="24"/>
          <w:rtl/>
        </w:rPr>
      </w:pPr>
      <w:r>
        <w:rPr>
          <w:rFonts w:hint="cs"/>
          <w:sz w:val="24"/>
          <w:szCs w:val="24"/>
          <w:rtl/>
        </w:rPr>
        <w:t>19.</w:t>
      </w:r>
      <w:r>
        <w:rPr>
          <w:rFonts w:hint="cs"/>
          <w:sz w:val="24"/>
          <w:szCs w:val="24"/>
          <w:rtl/>
        </w:rPr>
        <w:tab/>
        <w:t xml:space="preserve">הנאשם נידון בעבר למאסרים בפועל, מאסרים על תנאי וקנסות – אך לא היה בכל אלה כדי להרתיעו מלהמשיך ולבצע עבירות והוא לא השכיל לנצל את ההזדמנויות שניתנו לו כדי לשקם את עצמו. </w:t>
      </w:r>
    </w:p>
    <w:p w14:paraId="2A2130AC" w14:textId="77777777" w:rsidR="006918C7" w:rsidRDefault="006918C7">
      <w:pPr>
        <w:pStyle w:val="a7"/>
        <w:ind w:left="720" w:hanging="720"/>
        <w:rPr>
          <w:sz w:val="24"/>
          <w:szCs w:val="24"/>
          <w:rtl/>
        </w:rPr>
      </w:pPr>
    </w:p>
    <w:p w14:paraId="56550229" w14:textId="77777777" w:rsidR="006918C7" w:rsidRDefault="00881C2F">
      <w:pPr>
        <w:pStyle w:val="a7"/>
        <w:ind w:left="720" w:hanging="720"/>
        <w:rPr>
          <w:sz w:val="24"/>
          <w:szCs w:val="24"/>
          <w:rtl/>
        </w:rPr>
      </w:pPr>
      <w:r>
        <w:rPr>
          <w:rFonts w:hint="cs"/>
          <w:sz w:val="24"/>
          <w:szCs w:val="24"/>
          <w:rtl/>
        </w:rPr>
        <w:t>20.</w:t>
      </w:r>
      <w:r>
        <w:rPr>
          <w:rFonts w:hint="cs"/>
          <w:sz w:val="24"/>
          <w:szCs w:val="24"/>
          <w:rtl/>
        </w:rPr>
        <w:tab/>
        <w:t xml:space="preserve">על הנאשם הושת במסגרת </w:t>
      </w:r>
      <w:hyperlink r:id="rId27" w:history="1">
        <w:r w:rsidRPr="00881C2F">
          <w:rPr>
            <w:color w:val="0000FF"/>
            <w:sz w:val="24"/>
            <w:szCs w:val="24"/>
            <w:u w:val="single"/>
            <w:rtl/>
          </w:rPr>
          <w:t>ת.פ. (מחוזי ב"ש) 37563-05-10</w:t>
        </w:r>
      </w:hyperlink>
      <w:r>
        <w:rPr>
          <w:rFonts w:hint="cs"/>
          <w:sz w:val="24"/>
          <w:szCs w:val="24"/>
          <w:rtl/>
        </w:rPr>
        <w:t xml:space="preserve">, עונש מאסר על תנאי 12 חודשי מאסר למשך 3 שנים מיום שחרורו ממאסר, והתנאי הוא שלא יעבור כל עבירה שהיא פשע. עונש המאסר על תנאי הנ"ל הוארך ביום 18.12.13 על ידי בית משפט השלום בקריות במסגרת </w:t>
      </w:r>
      <w:hyperlink r:id="rId28" w:history="1">
        <w:r w:rsidRPr="00881C2F">
          <w:rPr>
            <w:color w:val="0000FF"/>
            <w:sz w:val="24"/>
            <w:szCs w:val="24"/>
            <w:u w:val="single"/>
            <w:rtl/>
          </w:rPr>
          <w:t>ת"פ 18702-02-13</w:t>
        </w:r>
      </w:hyperlink>
      <w:r>
        <w:rPr>
          <w:rFonts w:hint="cs"/>
          <w:sz w:val="24"/>
          <w:szCs w:val="24"/>
          <w:rtl/>
        </w:rPr>
        <w:t xml:space="preserve">. עונש המאסר על תנאי הינו חב הפעלה.  </w:t>
      </w:r>
    </w:p>
    <w:p w14:paraId="1640CA45" w14:textId="77777777" w:rsidR="006918C7" w:rsidRDefault="006918C7">
      <w:pPr>
        <w:pStyle w:val="a7"/>
        <w:ind w:left="720"/>
        <w:rPr>
          <w:sz w:val="24"/>
          <w:szCs w:val="24"/>
          <w:rtl/>
        </w:rPr>
      </w:pPr>
    </w:p>
    <w:p w14:paraId="4E9C77B5" w14:textId="77777777" w:rsidR="006918C7" w:rsidRDefault="00881C2F">
      <w:pPr>
        <w:pStyle w:val="a7"/>
        <w:ind w:left="720"/>
        <w:rPr>
          <w:sz w:val="24"/>
          <w:szCs w:val="24"/>
          <w:rtl/>
        </w:rPr>
      </w:pPr>
      <w:r>
        <w:rPr>
          <w:rFonts w:hint="cs"/>
          <w:sz w:val="24"/>
          <w:szCs w:val="24"/>
          <w:rtl/>
        </w:rPr>
        <w:t xml:space="preserve">העבירות דנן בוצעו כאשר הנאשם מודע לקיומו של עונש מאסר מותנה שהוארך בעבר וכי הוא חב הפעלה, ועל אף זאת לא נרתע מביצוע העבירות כאמור. </w:t>
      </w:r>
    </w:p>
    <w:p w14:paraId="63A92EE6" w14:textId="77777777" w:rsidR="006918C7" w:rsidRDefault="006918C7">
      <w:pPr>
        <w:pStyle w:val="a7"/>
        <w:ind w:left="720"/>
        <w:rPr>
          <w:sz w:val="24"/>
          <w:szCs w:val="24"/>
          <w:rtl/>
        </w:rPr>
      </w:pPr>
    </w:p>
    <w:p w14:paraId="6C7906B8" w14:textId="77777777" w:rsidR="006918C7" w:rsidRDefault="00881C2F">
      <w:pPr>
        <w:pStyle w:val="a7"/>
        <w:ind w:left="720"/>
        <w:rPr>
          <w:sz w:val="24"/>
          <w:szCs w:val="24"/>
          <w:rtl/>
        </w:rPr>
      </w:pPr>
      <w:r>
        <w:rPr>
          <w:rFonts w:hint="cs"/>
          <w:sz w:val="24"/>
          <w:szCs w:val="24"/>
          <w:rtl/>
        </w:rPr>
        <w:t>בהתאם ל</w:t>
      </w:r>
      <w:hyperlink r:id="rId29" w:history="1">
        <w:r w:rsidRPr="00881C2F">
          <w:rPr>
            <w:color w:val="0000FF"/>
            <w:sz w:val="24"/>
            <w:szCs w:val="24"/>
            <w:u w:val="single"/>
            <w:rtl/>
          </w:rPr>
          <w:t>ע"פ 3869/09</w:t>
        </w:r>
      </w:hyperlink>
      <w:r>
        <w:rPr>
          <w:rFonts w:hint="cs"/>
          <w:sz w:val="24"/>
          <w:szCs w:val="24"/>
          <w:rtl/>
        </w:rPr>
        <w:t xml:space="preserve"> </w:t>
      </w:r>
      <w:r>
        <w:rPr>
          <w:rFonts w:hint="cs"/>
          <w:b/>
          <w:bCs/>
          <w:sz w:val="24"/>
          <w:szCs w:val="24"/>
          <w:u w:val="single"/>
          <w:rtl/>
        </w:rPr>
        <w:t>יצחק סלימאן נ' מדינת ישראל</w:t>
      </w:r>
      <w:r>
        <w:rPr>
          <w:rFonts w:hint="cs"/>
          <w:sz w:val="24"/>
          <w:szCs w:val="24"/>
          <w:rtl/>
        </w:rPr>
        <w:t>, יש להפעיל את המאסר המותנה במלואו ובמצטבר לעונש המאסר שיושת על הנאשם. זאת, מאחר והכלל הוא כי מאסר על תנאי יש להפעיל באופן מצטבר ורק בנסיבות חריגות ישקול בית המשפט להפעיל את חלקו בלבד במצטבר ואת חלקו באופן חופף.  בנסיבות מקרהו של הנאשם ראוי להפעיל את המאסר המותנה במצטבר.</w:t>
      </w:r>
    </w:p>
    <w:p w14:paraId="7A03A086" w14:textId="77777777" w:rsidR="006918C7" w:rsidRDefault="006918C7">
      <w:pPr>
        <w:spacing w:line="360" w:lineRule="auto"/>
        <w:ind w:left="720" w:hanging="720"/>
        <w:jc w:val="both"/>
        <w:rPr>
          <w:rtl/>
        </w:rPr>
      </w:pPr>
    </w:p>
    <w:p w14:paraId="7832333B" w14:textId="77777777" w:rsidR="006918C7" w:rsidRDefault="00881C2F">
      <w:pPr>
        <w:spacing w:line="360" w:lineRule="auto"/>
        <w:ind w:left="720" w:hanging="720"/>
        <w:jc w:val="both"/>
        <w:rPr>
          <w:rtl/>
        </w:rPr>
      </w:pPr>
      <w:r>
        <w:rPr>
          <w:rFonts w:hint="cs"/>
          <w:rtl/>
        </w:rPr>
        <w:t>22.</w:t>
      </w:r>
      <w:r>
        <w:rPr>
          <w:rFonts w:hint="cs"/>
          <w:rtl/>
        </w:rPr>
        <w:tab/>
        <w:t xml:space="preserve">הנאשם הורשע ויש להכריז עליו כ"סוחר סמים" ולפיכך יש להורות על חילוט לטובת אוצר המדינה של כספים בסך של 10,025 ₪, 140$ ו- 50 </w:t>
      </w:r>
      <w:r>
        <w:t>Euro</w:t>
      </w:r>
      <w:r>
        <w:rPr>
          <w:rFonts w:hint="cs"/>
          <w:rtl/>
        </w:rPr>
        <w:t xml:space="preserve"> שנתפסו בחיפוש שנערך בביתו של הנאשם, המתגורר עם הוריו ברחוב קיש 10 בקריית אתא, וכן על חילוט סך של 3,001 ₪ המופקד בבנק הפועלים בחשבון מס' 687253 על שם הנאשם. זאת, מאחר ורכוש זה שימש או נועד לשמש כאמצעי לביצוע העבירה או ששימש או נועד לשמש כדי לאפשר את ביצוע העבירה, או שהושג, במישרין או בעקיפין, כשכר העבירה או כתוצאה מביצוע העבירה, או שיועד לכך.</w:t>
      </w:r>
    </w:p>
    <w:p w14:paraId="38E456B2" w14:textId="77777777" w:rsidR="006918C7" w:rsidRDefault="006918C7">
      <w:pPr>
        <w:spacing w:line="360" w:lineRule="auto"/>
        <w:ind w:left="720" w:hanging="720"/>
        <w:jc w:val="both"/>
        <w:rPr>
          <w:rtl/>
        </w:rPr>
      </w:pPr>
    </w:p>
    <w:p w14:paraId="2ADEB2AC" w14:textId="77777777" w:rsidR="006918C7" w:rsidRDefault="00881C2F">
      <w:pPr>
        <w:spacing w:line="360" w:lineRule="auto"/>
        <w:ind w:left="720" w:hanging="720"/>
        <w:jc w:val="both"/>
        <w:rPr>
          <w:rtl/>
        </w:rPr>
      </w:pPr>
      <w:r>
        <w:rPr>
          <w:rFonts w:hint="cs"/>
          <w:rtl/>
        </w:rPr>
        <w:t>23.</w:t>
      </w:r>
      <w:r>
        <w:rPr>
          <w:rFonts w:hint="cs"/>
          <w:rtl/>
        </w:rPr>
        <w:tab/>
        <w:t xml:space="preserve">יצוין כי לעניין זה המאשימה הציגה את דוחות הפעולה מיום 19.4.15 של השוטר עופר לביא (ת/2 ו – ת/3) שערך את החיפוש בבית הנאשם, אשר במהלכו נתפסו הכספים במזומן וכן את הבקשה למתן צו תפיסה והקפאה של חשבונו וחפצים מיום 13.4.15, לפיו הוקפא חשבונו של הנאשם (ת/4). </w:t>
      </w:r>
    </w:p>
    <w:p w14:paraId="3C793951" w14:textId="77777777" w:rsidR="006918C7" w:rsidRDefault="006918C7">
      <w:pPr>
        <w:spacing w:line="360" w:lineRule="auto"/>
        <w:ind w:left="720" w:hanging="720"/>
        <w:jc w:val="both"/>
        <w:rPr>
          <w:rtl/>
        </w:rPr>
      </w:pPr>
    </w:p>
    <w:p w14:paraId="1198A12F" w14:textId="77777777" w:rsidR="006918C7" w:rsidRDefault="00881C2F">
      <w:pPr>
        <w:spacing w:line="360" w:lineRule="auto"/>
        <w:ind w:left="720" w:hanging="720"/>
        <w:jc w:val="both"/>
        <w:rPr>
          <w:rtl/>
        </w:rPr>
      </w:pPr>
      <w:r>
        <w:rPr>
          <w:rFonts w:hint="cs"/>
          <w:rtl/>
        </w:rPr>
        <w:tab/>
        <w:t xml:space="preserve">כמו כן הוגשו הודעות שנגבו במשטרה מאמו של הנאשם, גב' אילנה בן יאיר, ביחס לכספים שנתפסו בבית במהלך החיפוש (ת/9 ו- ת/10), וכן הודעות שנגבו מהנאשם (ת/5-ת/8) וזאת רק לצורך עניין חילוט הכספים. </w:t>
      </w:r>
    </w:p>
    <w:p w14:paraId="276C49DD" w14:textId="77777777" w:rsidR="006918C7" w:rsidRDefault="006918C7">
      <w:pPr>
        <w:spacing w:line="360" w:lineRule="auto"/>
        <w:ind w:left="720" w:hanging="720"/>
        <w:jc w:val="both"/>
        <w:rPr>
          <w:rtl/>
        </w:rPr>
      </w:pPr>
    </w:p>
    <w:p w14:paraId="005A6933" w14:textId="77777777" w:rsidR="006918C7" w:rsidRDefault="00881C2F">
      <w:pPr>
        <w:spacing w:line="360" w:lineRule="auto"/>
        <w:ind w:left="720" w:hanging="720"/>
        <w:jc w:val="both"/>
        <w:rPr>
          <w:rtl/>
        </w:rPr>
      </w:pPr>
      <w:r>
        <w:rPr>
          <w:rFonts w:hint="cs"/>
          <w:rtl/>
        </w:rPr>
        <w:tab/>
        <w:t xml:space="preserve">אמו של הנאשם, גב' אילנה בן יאיר הגישה תצהיר (נ/1) לעניין חילוט הכספים, וטענה בו כי כל הכספים, למעט השטר של 50 </w:t>
      </w:r>
      <w:r>
        <w:t>Euro</w:t>
      </w:r>
      <w:r>
        <w:rPr>
          <w:rFonts w:hint="cs"/>
          <w:rtl/>
        </w:rPr>
        <w:t xml:space="preserve">, שייכים לה. גב' בן יאיר נחקרה על ידי ב"כ המאשימה בעניין תצהירה זה. </w:t>
      </w:r>
    </w:p>
    <w:p w14:paraId="278268B3" w14:textId="77777777" w:rsidR="006918C7" w:rsidRDefault="00881C2F">
      <w:pPr>
        <w:spacing w:line="360" w:lineRule="auto"/>
        <w:ind w:left="720" w:hanging="720"/>
        <w:jc w:val="both"/>
        <w:rPr>
          <w:rtl/>
        </w:rPr>
      </w:pPr>
      <w:r>
        <w:rPr>
          <w:rFonts w:hint="cs"/>
          <w:rtl/>
        </w:rPr>
        <w:t>24.</w:t>
      </w:r>
      <w:r>
        <w:rPr>
          <w:rFonts w:hint="cs"/>
          <w:rtl/>
        </w:rPr>
        <w:tab/>
        <w:t xml:space="preserve">לעמדת המאשימה, נוכח העובדה כי הנאשם קיבל, בפרק זמן של כ- 20 ימים שני סכומים של 9,000 ₪ בגין שתי עסקאות הסם, ומאחר ובחדר בו נתפסו הכספים נמצאו גם בגדיו של הנאשם – הרי ברי כי מדובר בכספים של הנאשם, שמקורם בעסקאות הסם. </w:t>
      </w:r>
    </w:p>
    <w:p w14:paraId="50F76415" w14:textId="77777777" w:rsidR="006918C7" w:rsidRDefault="006918C7">
      <w:pPr>
        <w:spacing w:line="360" w:lineRule="auto"/>
        <w:ind w:left="720" w:hanging="720"/>
        <w:jc w:val="both"/>
        <w:rPr>
          <w:rtl/>
        </w:rPr>
      </w:pPr>
    </w:p>
    <w:p w14:paraId="3DC765AD" w14:textId="77777777" w:rsidR="006918C7" w:rsidRDefault="00881C2F">
      <w:pPr>
        <w:spacing w:line="360" w:lineRule="auto"/>
        <w:ind w:left="720" w:hanging="720"/>
        <w:jc w:val="both"/>
        <w:rPr>
          <w:rtl/>
        </w:rPr>
      </w:pPr>
      <w:r>
        <w:rPr>
          <w:rFonts w:hint="cs"/>
          <w:rtl/>
        </w:rPr>
        <w:tab/>
        <w:t xml:space="preserve">לכך יש להוסיף  כי משפחתו של הנאשם נתמכת על ידי המוסד לביטוח לאומי והכנסתה מגעת כדי סך של כ- 6,900 ₪ לחודש. מדובר בסכום שאינו מספיק למחיית משפחה של 3 נפשות על כל ההוצאות הכרוכות בכך ובשים לב למצבו הבריאותי של אביו של הנאשם. לפיכך, יש  לדחות את טענת אמו של הנאשם כי מקור הכספים שהיו בבית הם בחסכונות שחסכה מדי חודש. </w:t>
      </w:r>
    </w:p>
    <w:p w14:paraId="259474D7" w14:textId="77777777" w:rsidR="006918C7" w:rsidRDefault="006918C7">
      <w:pPr>
        <w:pStyle w:val="a7"/>
        <w:ind w:left="720" w:hanging="720"/>
        <w:rPr>
          <w:sz w:val="24"/>
          <w:szCs w:val="24"/>
          <w:rtl/>
        </w:rPr>
      </w:pPr>
    </w:p>
    <w:p w14:paraId="4B533186" w14:textId="77777777" w:rsidR="006918C7" w:rsidRDefault="00881C2F">
      <w:pPr>
        <w:pStyle w:val="a7"/>
        <w:ind w:left="720" w:hanging="720"/>
        <w:rPr>
          <w:sz w:val="24"/>
          <w:szCs w:val="24"/>
          <w:rtl/>
        </w:rPr>
      </w:pPr>
      <w:r>
        <w:rPr>
          <w:rFonts w:hint="cs"/>
          <w:sz w:val="24"/>
          <w:szCs w:val="24"/>
          <w:rtl/>
        </w:rPr>
        <w:t>25.</w:t>
      </w:r>
      <w:r>
        <w:rPr>
          <w:rFonts w:hint="cs"/>
          <w:sz w:val="24"/>
          <w:szCs w:val="24"/>
          <w:rtl/>
        </w:rPr>
        <w:tab/>
        <w:t xml:space="preserve">סוף דבר, כי המאשימה עתרה להטלת עונש מאסר בפועל בהתאם למתחם הענישה ולמיקומו של הנאשם במתחם זה, כמפורט לעיל, וכן למאסר על תנאי, קנס ופסילת רישיון הנהיגה של הנאשם, ובנוסף לחילוט הכספים כאמור. </w:t>
      </w:r>
    </w:p>
    <w:p w14:paraId="519FBE37" w14:textId="77777777" w:rsidR="006918C7" w:rsidRDefault="00881C2F">
      <w:pPr>
        <w:spacing w:before="240" w:line="360" w:lineRule="auto"/>
        <w:ind w:left="720" w:hanging="720"/>
        <w:jc w:val="both"/>
        <w:rPr>
          <w:b/>
          <w:bCs/>
          <w:u w:val="single"/>
          <w:rtl/>
        </w:rPr>
      </w:pPr>
      <w:r>
        <w:rPr>
          <w:rFonts w:hint="cs"/>
          <w:b/>
          <w:bCs/>
          <w:u w:val="single"/>
          <w:rtl/>
        </w:rPr>
        <w:t>טיעוני ההגנה:</w:t>
      </w:r>
    </w:p>
    <w:p w14:paraId="78512A54" w14:textId="77777777" w:rsidR="006918C7" w:rsidRDefault="00881C2F">
      <w:pPr>
        <w:spacing w:before="240" w:line="360" w:lineRule="auto"/>
        <w:ind w:left="720" w:hanging="720"/>
        <w:jc w:val="both"/>
        <w:rPr>
          <w:rtl/>
        </w:rPr>
      </w:pPr>
      <w:r>
        <w:rPr>
          <w:rFonts w:ascii="Arial" w:hAnsi="Arial" w:hint="cs"/>
          <w:rtl/>
        </w:rPr>
        <w:t>26.</w:t>
      </w:r>
      <w:r>
        <w:rPr>
          <w:rFonts w:hint="cs"/>
          <w:rtl/>
        </w:rPr>
        <w:tab/>
        <w:t xml:space="preserve">הגם שאין להקל ראש בעבירות בהן הורשע הנאשם, יש להתאים את הענישה לנסיבות הקונקרטיות של כל מקרה ומקרה, מאחר והענישה היא אינדיבידואלית. </w:t>
      </w:r>
    </w:p>
    <w:p w14:paraId="5CD1DD5D" w14:textId="77777777" w:rsidR="006918C7" w:rsidRDefault="00881C2F">
      <w:pPr>
        <w:spacing w:before="240" w:line="360" w:lineRule="auto"/>
        <w:ind w:left="720" w:hanging="720"/>
        <w:jc w:val="both"/>
        <w:rPr>
          <w:rtl/>
        </w:rPr>
      </w:pPr>
      <w:r>
        <w:rPr>
          <w:rFonts w:hint="cs"/>
          <w:rtl/>
        </w:rPr>
        <w:tab/>
        <w:t>יש לתת משקל לתיקון המהותי שבוצע בכתב האישום, הכולל אישום אחד של סחר בסמים, בהתייחס לשתי עבירות. בהתאם לכתב האישום המתוקן הנאשם הורשע בעבירת סחר בסמים ולא בעבירת החזקת סמים, דבר המעיד על כך כי לא היה בעל השליטה ובעל החזקה בסמים ועל כן יש להסיק כי אין הוא נטוע בעולם הסמים.</w:t>
      </w:r>
    </w:p>
    <w:p w14:paraId="7A261492" w14:textId="77777777" w:rsidR="006918C7" w:rsidRDefault="00881C2F">
      <w:pPr>
        <w:spacing w:before="240" w:line="360" w:lineRule="auto"/>
        <w:ind w:left="720" w:hanging="720"/>
        <w:jc w:val="both"/>
        <w:rPr>
          <w:rtl/>
        </w:rPr>
      </w:pPr>
      <w:r>
        <w:rPr>
          <w:rFonts w:hint="cs"/>
          <w:rtl/>
        </w:rPr>
        <w:t>27.</w:t>
      </w:r>
      <w:r>
        <w:rPr>
          <w:rFonts w:hint="cs"/>
          <w:rtl/>
        </w:rPr>
        <w:tab/>
        <w:t>למרות שמדובר בשתי עבירות יש לראותן כאירוע אחד ולקבוע מתחם ענישה אחד, כפי שעולה מ</w:t>
      </w:r>
      <w:hyperlink r:id="rId30" w:history="1">
        <w:r w:rsidRPr="00881C2F">
          <w:rPr>
            <w:color w:val="0000FF"/>
            <w:u w:val="single"/>
            <w:rtl/>
          </w:rPr>
          <w:t>ע"פ 4910/13</w:t>
        </w:r>
      </w:hyperlink>
      <w:r>
        <w:rPr>
          <w:rFonts w:hint="cs"/>
          <w:rtl/>
        </w:rPr>
        <w:t xml:space="preserve"> </w:t>
      </w:r>
      <w:r>
        <w:rPr>
          <w:rFonts w:hint="cs"/>
          <w:b/>
          <w:bCs/>
          <w:u w:val="single"/>
          <w:rtl/>
        </w:rPr>
        <w:t>אחמד ג'אבר נ' מדינת ישראל</w:t>
      </w:r>
      <w:r>
        <w:rPr>
          <w:rFonts w:hint="cs"/>
          <w:rtl/>
        </w:rPr>
        <w:t xml:space="preserve"> בו נקבע  מבחן ה"קשר ההדוק"; במקרה הנדון מדובר בשתי עסקאות סחר בסמים שיש ביניהן קשר הדוק, מבחינת זהות המעורבים, סוג הסם, כמותו, מיקום העסקה וסמיכות יחסית בזמנים. </w:t>
      </w:r>
    </w:p>
    <w:p w14:paraId="21F01270" w14:textId="77777777" w:rsidR="006918C7" w:rsidRDefault="00881C2F">
      <w:pPr>
        <w:spacing w:before="240" w:line="360" w:lineRule="auto"/>
        <w:ind w:left="720"/>
        <w:jc w:val="both"/>
        <w:rPr>
          <w:rtl/>
        </w:rPr>
      </w:pPr>
      <w:r>
        <w:rPr>
          <w:rFonts w:hint="cs"/>
          <w:rtl/>
        </w:rPr>
        <w:t>כך גם עולה מפסק דינו של בית משפט השלום  (כבוד סג"נ השו' אורית קנטור) ב</w:t>
      </w:r>
      <w:hyperlink r:id="rId31" w:history="1">
        <w:r w:rsidRPr="00881C2F">
          <w:rPr>
            <w:color w:val="0000FF"/>
            <w:u w:val="single"/>
            <w:rtl/>
          </w:rPr>
          <w:t>ת"פ 20815-01-15</w:t>
        </w:r>
      </w:hyperlink>
      <w:r>
        <w:rPr>
          <w:rFonts w:hint="cs"/>
          <w:rtl/>
        </w:rPr>
        <w:t xml:space="preserve"> </w:t>
      </w:r>
      <w:r>
        <w:rPr>
          <w:rFonts w:hint="cs"/>
          <w:b/>
          <w:bCs/>
          <w:u w:val="single"/>
          <w:rtl/>
        </w:rPr>
        <w:t>סמי שושן נ' מדינת ישראל</w:t>
      </w:r>
      <w:r>
        <w:rPr>
          <w:rFonts w:hint="cs"/>
          <w:rtl/>
        </w:rPr>
        <w:t xml:space="preserve">, בו קבע בית המשפט כי מדובר באירוע אחד, שנקבע לו מתחם ענישה אחד, על אף שנכללו בו מספר עבירות. </w:t>
      </w:r>
    </w:p>
    <w:p w14:paraId="12000DA9" w14:textId="77777777" w:rsidR="006918C7" w:rsidRDefault="00881C2F">
      <w:pPr>
        <w:spacing w:before="240" w:line="360" w:lineRule="auto"/>
        <w:ind w:left="720" w:hanging="720"/>
        <w:jc w:val="both"/>
        <w:rPr>
          <w:rtl/>
        </w:rPr>
      </w:pPr>
      <w:r>
        <w:rPr>
          <w:rFonts w:hint="cs"/>
          <w:rtl/>
        </w:rPr>
        <w:t>28.</w:t>
      </w:r>
      <w:r>
        <w:rPr>
          <w:rFonts w:hint="cs"/>
          <w:rtl/>
        </w:rPr>
        <w:tab/>
        <w:t>יש ליתן משקל לעובדה כי הסוכן הוא שיצר קשר עם הנאשם ושידל והדיח אותו לסחור בסמים, למרות שהנאשם אמר לו שאינו מתעסק בזה וכי יפנה אותו לאדם אחר. לכך יש לתת משקל כפי שעולה מ</w:t>
      </w:r>
      <w:hyperlink r:id="rId32" w:history="1">
        <w:r w:rsidRPr="00881C2F">
          <w:rPr>
            <w:color w:val="0000FF"/>
            <w:u w:val="single"/>
            <w:rtl/>
          </w:rPr>
          <w:t>ע"פ 470/83</w:t>
        </w:r>
      </w:hyperlink>
      <w:r>
        <w:rPr>
          <w:rFonts w:hint="cs"/>
          <w:rtl/>
        </w:rPr>
        <w:t xml:space="preserve"> </w:t>
      </w:r>
      <w:r>
        <w:rPr>
          <w:rFonts w:hint="cs"/>
          <w:b/>
          <w:bCs/>
          <w:u w:val="single"/>
          <w:rtl/>
        </w:rPr>
        <w:t>משה מורי נ' מדינת ישראל</w:t>
      </w:r>
      <w:r>
        <w:rPr>
          <w:rFonts w:hint="cs"/>
          <w:rtl/>
        </w:rPr>
        <w:t xml:space="preserve">.  יש לבקר את אופן התנהלות גורמי המשטרה אשר לא הסתפקו בעסקת סם אחת. </w:t>
      </w:r>
    </w:p>
    <w:p w14:paraId="2718BE00" w14:textId="77777777" w:rsidR="006918C7" w:rsidRDefault="00881C2F">
      <w:pPr>
        <w:spacing w:before="240" w:line="360" w:lineRule="auto"/>
        <w:ind w:left="720"/>
        <w:jc w:val="both"/>
        <w:rPr>
          <w:rtl/>
        </w:rPr>
      </w:pPr>
      <w:r>
        <w:rPr>
          <w:rFonts w:hint="cs"/>
          <w:rtl/>
        </w:rPr>
        <w:t>יצוין בנקודה זו, כי ב"כ המאשימה הסתייג מקו טיעון זה של ב"כ הנאשם, וגרס כי אין לו מקום כאשר הנאשם הודה בביצוע עסקאות הסם והורשע.</w:t>
      </w:r>
    </w:p>
    <w:p w14:paraId="7B3DC2EA" w14:textId="77777777" w:rsidR="006918C7" w:rsidRDefault="00881C2F">
      <w:pPr>
        <w:spacing w:before="240" w:line="360" w:lineRule="auto"/>
        <w:ind w:left="720" w:hanging="720"/>
        <w:jc w:val="both"/>
        <w:rPr>
          <w:rtl/>
        </w:rPr>
      </w:pPr>
      <w:r>
        <w:rPr>
          <w:rFonts w:hint="cs"/>
          <w:rtl/>
        </w:rPr>
        <w:t>29.</w:t>
      </w:r>
      <w:r>
        <w:rPr>
          <w:rFonts w:hint="cs"/>
          <w:rtl/>
        </w:rPr>
        <w:tab/>
        <w:t>הנזק שנגרם בגין העבירות בהן הורשע הנאשם  אינו רב שכן הסמים נמכרו לסוכן, לא הגיעו לידי הציבור ואין אינדיקציה לכך שהנאשם ישוב ויבצע עבירות שכאלו, שכן הרשעתו היחידה בעבירת החזקת סמים היא מלפני 10 שנים.</w:t>
      </w:r>
    </w:p>
    <w:p w14:paraId="0B6B7EB3" w14:textId="77777777" w:rsidR="006918C7" w:rsidRDefault="00881C2F">
      <w:pPr>
        <w:spacing w:before="240" w:line="360" w:lineRule="auto"/>
        <w:ind w:left="720" w:hanging="720"/>
        <w:jc w:val="both"/>
        <w:rPr>
          <w:rtl/>
        </w:rPr>
      </w:pPr>
      <w:r>
        <w:rPr>
          <w:rFonts w:hint="cs"/>
          <w:rtl/>
        </w:rPr>
        <w:t>30.</w:t>
      </w:r>
      <w:r>
        <w:rPr>
          <w:rFonts w:hint="cs"/>
          <w:rtl/>
        </w:rPr>
        <w:tab/>
        <w:t xml:space="preserve">הנאשם ביצע את העבירות על רקע קשיים כלכליים. הנאשם גרוש, אב לילדה קטינה בת 8 המשלם דמי מזונות עבורה, למרות שנמצא בהליך של פשיטת רגל, ומתגורר עם הוריו, נתמכי המוסד לבטוח לאומי. יש לתת משקל למצבו הכלכלי של הנאשם כפי שעולה מדברי כבוד השופט חיים כהן </w:t>
      </w:r>
      <w:hyperlink r:id="rId33" w:history="1">
        <w:r w:rsidRPr="00881C2F">
          <w:rPr>
            <w:color w:val="0000FF"/>
            <w:u w:val="single"/>
            <w:rtl/>
          </w:rPr>
          <w:t>ע"פ 395/75</w:t>
        </w:r>
      </w:hyperlink>
      <w:r>
        <w:rPr>
          <w:rFonts w:hint="cs"/>
          <w:rtl/>
        </w:rPr>
        <w:t xml:space="preserve"> </w:t>
      </w:r>
      <w:r>
        <w:rPr>
          <w:rFonts w:hint="cs"/>
          <w:b/>
          <w:bCs/>
          <w:u w:val="single"/>
          <w:rtl/>
        </w:rPr>
        <w:t>מיכאל צור נ' מדינת ישראל</w:t>
      </w:r>
      <w:r>
        <w:rPr>
          <w:rFonts w:hint="cs"/>
          <w:rtl/>
        </w:rPr>
        <w:t>.</w:t>
      </w:r>
    </w:p>
    <w:p w14:paraId="35E85DE3" w14:textId="77777777" w:rsidR="006918C7" w:rsidRDefault="00881C2F">
      <w:pPr>
        <w:spacing w:before="240" w:line="360" w:lineRule="auto"/>
        <w:ind w:left="720" w:hanging="720"/>
        <w:jc w:val="both"/>
        <w:rPr>
          <w:rtl/>
        </w:rPr>
      </w:pPr>
      <w:r>
        <w:rPr>
          <w:rFonts w:hint="cs"/>
          <w:rtl/>
        </w:rPr>
        <w:t>31.</w:t>
      </w:r>
      <w:r>
        <w:rPr>
          <w:rFonts w:hint="cs"/>
          <w:rtl/>
        </w:rPr>
        <w:tab/>
        <w:t xml:space="preserve"> הנאשם תרם לפני כשנתיים כליה לאביו אשר נטה למות והציל את חייו. הנאשם הוא המטפל העיקרי באביו הנכה, קטוע הרגל ומשפחתו היא משפחה נורמטיבית שעולם הפשע אינו מוכר לה.</w:t>
      </w:r>
    </w:p>
    <w:p w14:paraId="2E66A488" w14:textId="77777777" w:rsidR="006918C7" w:rsidRDefault="00881C2F">
      <w:pPr>
        <w:spacing w:before="240" w:line="360" w:lineRule="auto"/>
        <w:ind w:left="720" w:hanging="720"/>
        <w:jc w:val="both"/>
        <w:rPr>
          <w:rtl/>
        </w:rPr>
      </w:pPr>
      <w:r>
        <w:rPr>
          <w:rFonts w:hint="cs"/>
          <w:rtl/>
        </w:rPr>
        <w:t>32.</w:t>
      </w:r>
      <w:r>
        <w:rPr>
          <w:rFonts w:hint="cs"/>
          <w:rtl/>
        </w:rPr>
        <w:tab/>
        <w:t xml:space="preserve">הנאשם נקלע לביצוע העבירות נשוא כתב האישום המתוקן ב"טיפשות רבה" והוא נכון היה להודות על טעותו ולשלם את המחיר. עם זאת, הנאשם מכה על חטאו, מביע חרטה כנה ועמוקה ומצטער ומתבייש באשר עשה, אך יודע כי זוהי מעידתו האחרונה ומבקש את רחמיי בית המשפט על מנת לאפשר לו להמשיך בשיקום חייו, אותו החל לאחר עבירתו האחרונה בה הורשע, בעבירת אלימות במשפחה. </w:t>
      </w:r>
    </w:p>
    <w:p w14:paraId="32C2D1CB" w14:textId="77777777" w:rsidR="006918C7" w:rsidRDefault="00881C2F">
      <w:pPr>
        <w:spacing w:before="240" w:line="360" w:lineRule="auto"/>
        <w:ind w:left="720" w:hanging="720"/>
        <w:jc w:val="both"/>
        <w:rPr>
          <w:rtl/>
        </w:rPr>
      </w:pPr>
      <w:r>
        <w:rPr>
          <w:rFonts w:hint="cs"/>
          <w:rtl/>
        </w:rPr>
        <w:tab/>
        <w:t xml:space="preserve">הנאשם שוהה במעצר במשך למעלה מ- 7 חודשים (למן יום 19.4.15), וידוע כי תנאי מעצר קשים מתנאי מאסר. </w:t>
      </w:r>
    </w:p>
    <w:p w14:paraId="76F73129" w14:textId="77777777" w:rsidR="006918C7" w:rsidRDefault="00881C2F">
      <w:pPr>
        <w:spacing w:before="240" w:line="360" w:lineRule="auto"/>
        <w:ind w:left="720" w:hanging="720"/>
        <w:jc w:val="both"/>
        <w:rPr>
          <w:rtl/>
        </w:rPr>
      </w:pPr>
      <w:r>
        <w:rPr>
          <w:rFonts w:hint="cs"/>
          <w:rtl/>
        </w:rPr>
        <w:t>33.</w:t>
      </w:r>
      <w:r>
        <w:rPr>
          <w:rFonts w:hint="cs"/>
          <w:rtl/>
        </w:rPr>
        <w:tab/>
        <w:t xml:space="preserve">באשר למאסר המותנה, המדובר במאסר על תנאי בן 12 החודשים, שהוטל עליו על ידי בית המשפט המחוזי בבאר שבע במסגרת </w:t>
      </w:r>
      <w:hyperlink r:id="rId34" w:history="1">
        <w:r w:rsidRPr="00881C2F">
          <w:rPr>
            <w:color w:val="0000FF"/>
            <w:u w:val="single"/>
            <w:rtl/>
          </w:rPr>
          <w:t>ת"פ 37563-05-10</w:t>
        </w:r>
      </w:hyperlink>
      <w:r>
        <w:rPr>
          <w:rFonts w:hint="cs"/>
          <w:rtl/>
        </w:rPr>
        <w:t xml:space="preserve"> ונקבע ל- 3 שנים ביחס לכל עבירה שהיא פשע. אותו מאסר על תנאי הוארך על ידי בית משפט השלום בקריות בתיק האלמ"ב בו הורשע הנאשם. </w:t>
      </w:r>
    </w:p>
    <w:p w14:paraId="0425D8A0" w14:textId="77777777" w:rsidR="006918C7" w:rsidRDefault="00881C2F">
      <w:pPr>
        <w:spacing w:before="240" w:line="360" w:lineRule="auto"/>
        <w:ind w:left="720" w:hanging="720"/>
        <w:jc w:val="both"/>
        <w:rPr>
          <w:rtl/>
        </w:rPr>
      </w:pPr>
      <w:r>
        <w:rPr>
          <w:rFonts w:hint="cs"/>
          <w:rtl/>
        </w:rPr>
        <w:tab/>
        <w:t xml:space="preserve">עצם הטלת מאסר על תנאי בגין כל עבירת פשע אינה מידתית ופוגעת בנאשם באופן בלתי סביר, שכן הרשעתו כאן היא בעבירה לפי </w:t>
      </w:r>
      <w:hyperlink r:id="rId35" w:history="1">
        <w:r w:rsidRPr="00881C2F">
          <w:rPr>
            <w:color w:val="0000FF"/>
            <w:u w:val="single"/>
            <w:rtl/>
          </w:rPr>
          <w:t>פקודת הסמים המסוכנים</w:t>
        </w:r>
      </w:hyperlink>
      <w:r>
        <w:rPr>
          <w:rFonts w:hint="cs"/>
          <w:rtl/>
        </w:rPr>
        <w:t xml:space="preserve"> בעוד שהעבירות בגינן הורשע והוטל עליו עונש המאסר על תנאי הינן עבירות לפי </w:t>
      </w:r>
      <w:hyperlink r:id="rId36" w:history="1">
        <w:r w:rsidRPr="00881C2F">
          <w:rPr>
            <w:color w:val="0000FF"/>
            <w:u w:val="single"/>
            <w:rtl/>
          </w:rPr>
          <w:t>חוק העונשין</w:t>
        </w:r>
      </w:hyperlink>
      <w:r>
        <w:rPr>
          <w:rFonts w:hint="cs"/>
          <w:rtl/>
        </w:rPr>
        <w:t>. ב"כ הנאשם טען כי עורך דינו של הנאשם ד'אז טעה בכך שלא ערעור על גזר הדין בעניין המאסר המותנה.</w:t>
      </w:r>
    </w:p>
    <w:p w14:paraId="3AF426CD" w14:textId="77777777" w:rsidR="006918C7" w:rsidRDefault="00881C2F">
      <w:pPr>
        <w:spacing w:before="240" w:line="360" w:lineRule="auto"/>
        <w:ind w:left="720" w:hanging="720"/>
        <w:jc w:val="both"/>
        <w:rPr>
          <w:rtl/>
        </w:rPr>
      </w:pPr>
      <w:r>
        <w:rPr>
          <w:rFonts w:hint="cs"/>
          <w:rtl/>
        </w:rPr>
        <w:tab/>
        <w:t xml:space="preserve">בהתאם לפסיקה של בית המשפט העליון בעניין הפעלת מאסר על תנאי, יש לערוך השוואה  בין יסודות עבירת התנאי לבין יסודות העבירה בה הורשע הנאשם. דהיינו: כי הפעלת מאסר על תנאי יש לה מקום כאשר הנאשם עבר עבירה נוספת מסוג מסוים. </w:t>
      </w:r>
    </w:p>
    <w:p w14:paraId="4381548C" w14:textId="77777777" w:rsidR="006918C7" w:rsidRDefault="00881C2F">
      <w:pPr>
        <w:spacing w:before="240" w:line="360" w:lineRule="auto"/>
        <w:ind w:left="720" w:hanging="720"/>
        <w:jc w:val="both"/>
        <w:rPr>
          <w:rtl/>
        </w:rPr>
      </w:pPr>
      <w:r>
        <w:rPr>
          <w:rFonts w:hint="cs"/>
          <w:rtl/>
        </w:rPr>
        <w:tab/>
        <w:t xml:space="preserve">על כן, אין מקום להפעיל את המאסר המותנה כנגד הנאשם משיקולי צדק. לחילופין,  אם יופעל המאסר המותנה הרי שיש  להפעילו בחופף לכל עונש שייגזר על הנאשם, ולכל היותר מקצתו בלבד במצטבר. </w:t>
      </w:r>
    </w:p>
    <w:p w14:paraId="5395630A" w14:textId="77777777" w:rsidR="006918C7" w:rsidRDefault="00881C2F">
      <w:pPr>
        <w:spacing w:before="240" w:line="360" w:lineRule="auto"/>
        <w:ind w:left="720" w:hanging="720"/>
        <w:jc w:val="both"/>
        <w:rPr>
          <w:rtl/>
        </w:rPr>
      </w:pPr>
      <w:r>
        <w:rPr>
          <w:rFonts w:hint="cs"/>
          <w:rtl/>
        </w:rPr>
        <w:t>34.</w:t>
      </w:r>
      <w:r>
        <w:rPr>
          <w:rFonts w:hint="cs"/>
          <w:rtl/>
        </w:rPr>
        <w:tab/>
        <w:t xml:space="preserve">כפי שעולה מהפסיקה, מתחם הענישה ההולם את נסיבות ביצוע העבירה דנן נע בין 12 חודשי מאסר בפועל ל- 30 חודשי מאסר בפועל, , כאשר יש מקום ליתן משקל לנסיבותיו המקלות של הנאשם ולגזור את עונשו ברף התחתון/האמצעי, בין 18-24 חודשי מאסר בפועל. </w:t>
      </w:r>
    </w:p>
    <w:p w14:paraId="25054ADB" w14:textId="77777777" w:rsidR="006918C7" w:rsidRDefault="00881C2F">
      <w:pPr>
        <w:spacing w:before="240" w:line="360" w:lineRule="auto"/>
        <w:ind w:left="720"/>
        <w:jc w:val="both"/>
        <w:rPr>
          <w:rtl/>
        </w:rPr>
      </w:pPr>
      <w:r>
        <w:rPr>
          <w:rFonts w:hint="cs"/>
          <w:rtl/>
        </w:rPr>
        <w:t xml:space="preserve">בהקשר זה הפנה ב"כ הנאשם לפס"ד </w:t>
      </w:r>
      <w:r>
        <w:rPr>
          <w:rFonts w:hint="cs"/>
          <w:b/>
          <w:bCs/>
          <w:rtl/>
        </w:rPr>
        <w:t>סמי ששון</w:t>
      </w:r>
      <w:r>
        <w:rPr>
          <w:rFonts w:hint="cs"/>
          <w:rtl/>
        </w:rPr>
        <w:t xml:space="preserve"> הנ"ל, שעניינו נאשם אחר שהועמד לדין במסגרת אותה פרשיית סוכן. נאשם אחר זה הנו בעל עבר פלילי עשיר מזה של הנאשם, הורשע בשלושה אישומי סחר בסמים, בגין עסקאות סמים בסך של 18,600 ₪ ונידון ל- 30 חודשי מאסר בפועל.</w:t>
      </w:r>
    </w:p>
    <w:p w14:paraId="57156D54" w14:textId="77777777" w:rsidR="006918C7" w:rsidRDefault="00881C2F">
      <w:pPr>
        <w:spacing w:before="240" w:line="360" w:lineRule="auto"/>
        <w:ind w:left="720" w:hanging="720"/>
        <w:jc w:val="both"/>
        <w:rPr>
          <w:rtl/>
        </w:rPr>
      </w:pPr>
      <w:r>
        <w:rPr>
          <w:rFonts w:hint="cs"/>
          <w:rtl/>
        </w:rPr>
        <w:t>35.</w:t>
      </w:r>
      <w:r>
        <w:rPr>
          <w:rFonts w:hint="cs"/>
          <w:rtl/>
        </w:rPr>
        <w:tab/>
        <w:t xml:space="preserve">יש להתחשב במצבו הכלכלי של הנאשם והוריו לעניין הקנס שהמאשימה ביקשה להטיל עליו. בנוסף, ובכל הנוגע לבקשת המאשימה לפסול  רישיון הנהיגה של הנאשם, יש להתחשב בכך שהנאשם עבד כנהג בטרם נעצר, וכי לאחר שישתחרר ממאסרו קרוב לוודאי שיחזור לעבוד ולהתפרנס כנהג, ואם יישלל ממנו רישיון הנהיגה שלו – יפגע הדבר באפשרות שיקומו לאחר מעצרו. </w:t>
      </w:r>
    </w:p>
    <w:p w14:paraId="6C100B13" w14:textId="77777777" w:rsidR="006918C7" w:rsidRDefault="00881C2F">
      <w:pPr>
        <w:spacing w:before="240" w:line="360" w:lineRule="auto"/>
        <w:ind w:left="720" w:hanging="720"/>
        <w:jc w:val="both"/>
        <w:rPr>
          <w:rtl/>
        </w:rPr>
      </w:pPr>
      <w:r>
        <w:rPr>
          <w:rFonts w:hint="cs"/>
          <w:rtl/>
        </w:rPr>
        <w:t>36.</w:t>
      </w:r>
      <w:r>
        <w:rPr>
          <w:rFonts w:hint="cs"/>
          <w:rtl/>
        </w:rPr>
        <w:tab/>
        <w:t xml:space="preserve">באשר לחילוט הכספים שנתפסו על ידי המאשימה במסגרת צו החיפוש והתפיסה בביתו של הנאשם, מדובר בכספים השייכים להוריו של הנאשם, שהם  נתמכי המוסד לביטוח לאומי,  למעט שטר של 50 </w:t>
      </w:r>
      <w:r>
        <w:t>Euro</w:t>
      </w:r>
      <w:r>
        <w:rPr>
          <w:rFonts w:hint="cs"/>
          <w:rtl/>
        </w:rPr>
        <w:t xml:space="preserve"> שקיבל במתנה וששמו אף נכתב על השטר. מדובר בכספים המשמשים כמקור המחייה והפרנסה של המשפחה. הכספים נתפסו בחדר אחר מן החדר בו ישן הנאשם. לכך יש להוסיף כי קיימים בני משפחה אחרים המגיעים לבית ההורים וכי מסקנת השוטר שבגדים שנמצאו בחדר הנוסף בו נתפסו הכספים הינם בגדי הנאשם דווקא, לא הוכחו. זאת ועוד, חלק מן הכספים שנתפסו היו במטבעות של 5 ₪ ו- 10 ₪ שמשפחת הנאשם והנאשם ציינו בהודעותיהם במשטרה כי מדובר בכספים שנפרטו על מנת לשחק איתם משחק קלפים, ועל כן אין לשייכם לנאשם ואין לחלטם.</w:t>
      </w:r>
    </w:p>
    <w:p w14:paraId="3E85D6C2" w14:textId="77777777" w:rsidR="006918C7" w:rsidRDefault="00881C2F">
      <w:pPr>
        <w:spacing w:before="240" w:line="360" w:lineRule="auto"/>
        <w:ind w:left="720" w:hanging="720"/>
        <w:jc w:val="both"/>
        <w:rPr>
          <w:rtl/>
        </w:rPr>
      </w:pPr>
      <w:r>
        <w:rPr>
          <w:rFonts w:hint="cs"/>
          <w:rtl/>
        </w:rPr>
        <w:t>37.</w:t>
      </w:r>
      <w:r>
        <w:rPr>
          <w:rFonts w:hint="cs"/>
          <w:rtl/>
        </w:rPr>
        <w:tab/>
        <w:t xml:space="preserve">במסגרת הטיעונים לעונש העידו אביו של הנאשם ואחיו שמעון כעדי אופי. </w:t>
      </w:r>
    </w:p>
    <w:p w14:paraId="2F8C97E2" w14:textId="77777777" w:rsidR="006918C7" w:rsidRDefault="00881C2F">
      <w:pPr>
        <w:spacing w:before="240" w:line="360" w:lineRule="auto"/>
        <w:ind w:left="720"/>
        <w:jc w:val="both"/>
        <w:rPr>
          <w:rtl/>
        </w:rPr>
      </w:pPr>
      <w:r>
        <w:rPr>
          <w:rFonts w:hint="cs"/>
          <w:rtl/>
        </w:rPr>
        <w:t>אביו של הנאשם סיפר כי עבר שני ניתוחים, האחד, להשתלת כליה אשר הנאשם תרם לו מגופו ובזכותו הוא חי. הניתוח השני היה לקטיעת רגלו, וציין כי הנאשם הוא שלמעשה משמש כמטפל העיקרי בו, בהיותו נכה קטוע רגל. אביו של הנאשם ציין כי הוא ואשתו מתגוררים בדירה בבניין ללא מעלית וכי נדרש לו סיוע של גבר והנאשם הוא זה שהיה מסייע לו לצאת מהבית ובהעדרו אינו יוצא מפתח הבית, ואם עליו לצאת מהבית נאלץ הוא להתיישב על המדרגות לגרור את עצמו במורד המדרגות בגפו.</w:t>
      </w:r>
    </w:p>
    <w:p w14:paraId="3FAB96EA" w14:textId="77777777" w:rsidR="006918C7" w:rsidRDefault="00881C2F">
      <w:pPr>
        <w:spacing w:before="240" w:line="360" w:lineRule="auto"/>
        <w:ind w:left="720"/>
        <w:jc w:val="both"/>
        <w:rPr>
          <w:rtl/>
        </w:rPr>
      </w:pPr>
      <w:r>
        <w:rPr>
          <w:rFonts w:hint="cs"/>
          <w:rtl/>
        </w:rPr>
        <w:t>אחיו של הנאשם, שמעון, סיפר על משפחתם הנורמטיבית, על הוריהם הטובים, שהתגוררו בסביבת מגורים בעייתית, וכי  הוא ואחיו הגדול שהו בפנימייה ועל כן לא התחברו לגורמים בעייתיים ואילו הנאשם נשאר בבית ונקלע לדרך לא נכונה. כמו כן, סיפר  על רצונו הכן של הנאשם להכיר דרך אחרת ולהשתקם על נכונותו שלו לסייע לנאשם בשיקומו והביע תקוותו כי יתאפשר לנאשם לעשות את השינוי לו הוא כמה.</w:t>
      </w:r>
    </w:p>
    <w:p w14:paraId="34C9525F" w14:textId="77777777" w:rsidR="006918C7" w:rsidRDefault="00881C2F">
      <w:pPr>
        <w:spacing w:before="240" w:line="360" w:lineRule="auto"/>
        <w:ind w:left="720" w:hanging="720"/>
        <w:jc w:val="both"/>
        <w:rPr>
          <w:rtl/>
        </w:rPr>
      </w:pPr>
      <w:r>
        <w:rPr>
          <w:rFonts w:hint="cs"/>
          <w:rtl/>
        </w:rPr>
        <w:t>38.</w:t>
      </w:r>
      <w:r>
        <w:rPr>
          <w:rFonts w:hint="cs"/>
          <w:rtl/>
        </w:rPr>
        <w:tab/>
        <w:t xml:space="preserve">זכות המילה האחרונה ניתנה לנאשם, אשר ביקש להביע את חרטתו העמוקה. הנאשם נטל  אחריות מלאה והביע צער עמוק על טעותו ועל קטיעת הליך שיקומו, וביקש את התחשבות בית המשפט. </w:t>
      </w:r>
    </w:p>
    <w:p w14:paraId="2A69C54E" w14:textId="77777777" w:rsidR="006918C7" w:rsidRDefault="00881C2F">
      <w:pPr>
        <w:spacing w:before="240" w:line="360" w:lineRule="auto"/>
        <w:jc w:val="both"/>
        <w:rPr>
          <w:b/>
          <w:bCs/>
          <w:u w:val="single"/>
          <w:rtl/>
        </w:rPr>
      </w:pPr>
      <w:r>
        <w:rPr>
          <w:rFonts w:hint="cs"/>
          <w:b/>
          <w:bCs/>
          <w:u w:val="single"/>
          <w:rtl/>
        </w:rPr>
        <w:t>דיון:</w:t>
      </w:r>
    </w:p>
    <w:p w14:paraId="36C2FD0E" w14:textId="77777777" w:rsidR="006918C7" w:rsidRDefault="006918C7">
      <w:pPr>
        <w:spacing w:line="360" w:lineRule="auto"/>
        <w:ind w:left="720" w:hanging="720"/>
        <w:jc w:val="both"/>
        <w:rPr>
          <w:rFonts w:ascii="Arial" w:hAnsi="Arial"/>
          <w:rtl/>
        </w:rPr>
      </w:pPr>
    </w:p>
    <w:p w14:paraId="7172D301" w14:textId="77777777" w:rsidR="006918C7" w:rsidRDefault="00881C2F">
      <w:pPr>
        <w:spacing w:line="360" w:lineRule="auto"/>
        <w:ind w:left="720" w:hanging="720"/>
        <w:jc w:val="both"/>
        <w:rPr>
          <w:rFonts w:ascii="Arial" w:hAnsi="Arial"/>
          <w:rtl/>
        </w:rPr>
      </w:pPr>
      <w:r>
        <w:rPr>
          <w:rFonts w:ascii="Arial" w:hAnsi="Arial" w:hint="cs"/>
          <w:rtl/>
        </w:rPr>
        <w:t>39.</w:t>
      </w:r>
      <w:r>
        <w:rPr>
          <w:rFonts w:ascii="Arial" w:hAnsi="Arial" w:hint="cs"/>
          <w:rtl/>
        </w:rPr>
        <w:tab/>
        <w:t>במסגרת תיקון 113 ל</w:t>
      </w:r>
      <w:hyperlink r:id="rId37" w:history="1">
        <w:r w:rsidRPr="00881C2F">
          <w:rPr>
            <w:rFonts w:ascii="Arial" w:hAnsi="Arial"/>
            <w:color w:val="0000FF"/>
            <w:u w:val="single"/>
            <w:rtl/>
          </w:rPr>
          <w:t>חוק העונשין</w:t>
        </w:r>
      </w:hyperlink>
      <w:r>
        <w:rPr>
          <w:rFonts w:ascii="Arial" w:hAnsi="Arial" w:hint="cs"/>
          <w:rtl/>
        </w:rPr>
        <w:t xml:space="preserve">, שעניינו הבניית שיקול הדעת השיפוטי בענישה, נקבע </w:t>
      </w:r>
      <w:hyperlink r:id="rId38" w:history="1">
        <w:r w:rsidR="00B30B01" w:rsidRPr="00B30B01">
          <w:rPr>
            <w:rFonts w:ascii="Arial" w:hAnsi="Arial"/>
            <w:color w:val="0000FF"/>
            <w:u w:val="single"/>
            <w:rtl/>
          </w:rPr>
          <w:t>בסעיף 40ב</w:t>
        </w:r>
      </w:hyperlink>
      <w:r>
        <w:rPr>
          <w:rFonts w:ascii="Arial" w:hAnsi="Arial" w:hint="cs"/>
          <w:rtl/>
        </w:rPr>
        <w:t xml:space="preserve"> העיקרון המנחה בענישה – הוא עקרון ההלימה, לפיו נדרש כי יתקיים יחס הולם בין חומרת מעשה העבירה בנסיבותיו ומידת אשמו של הנאשם ובין סוג ומידת העונש המוטל עליו. </w:t>
      </w:r>
    </w:p>
    <w:p w14:paraId="5D15D428" w14:textId="77777777" w:rsidR="006918C7" w:rsidRDefault="00B30B01">
      <w:pPr>
        <w:spacing w:after="300" w:line="360" w:lineRule="auto"/>
        <w:ind w:left="720"/>
        <w:jc w:val="both"/>
        <w:rPr>
          <w:rtl/>
        </w:rPr>
      </w:pPr>
      <w:hyperlink r:id="rId39" w:history="1">
        <w:r w:rsidRPr="00B30B01">
          <w:rPr>
            <w:color w:val="0000FF"/>
            <w:u w:val="single"/>
            <w:rtl/>
          </w:rPr>
          <w:t>סעיף 40ג</w:t>
        </w:r>
      </w:hyperlink>
      <w:r w:rsidR="00881C2F">
        <w:rPr>
          <w:rFonts w:hint="cs"/>
          <w:rtl/>
        </w:rPr>
        <w:t xml:space="preserve"> ל</w:t>
      </w:r>
      <w:hyperlink r:id="rId40" w:history="1">
        <w:r w:rsidR="00881C2F" w:rsidRPr="00881C2F">
          <w:rPr>
            <w:color w:val="0000FF"/>
            <w:u w:val="single"/>
            <w:rtl/>
          </w:rPr>
          <w:t>חוק העונשין</w:t>
        </w:r>
      </w:hyperlink>
      <w:r w:rsidR="00881C2F">
        <w:rPr>
          <w:rFonts w:hint="cs"/>
          <w:rtl/>
        </w:rPr>
        <w:t xml:space="preserve"> קובע כי מתחם העונש ההולם ייקבע תוך התחשבות "בערך החברתי שנפגע מביצוע העבירה, במידת הפגיעה בו, במדיניות הענישה הנהוגה ובנסיבות הקשורות בביצוע העבירה". </w:t>
      </w:r>
    </w:p>
    <w:p w14:paraId="2978FA0B" w14:textId="77777777" w:rsidR="006918C7" w:rsidRDefault="00881C2F">
      <w:pPr>
        <w:spacing w:line="360" w:lineRule="auto"/>
        <w:ind w:left="720" w:hanging="720"/>
        <w:jc w:val="both"/>
        <w:rPr>
          <w:rFonts w:ascii="Arial" w:eastAsia="Calibri" w:hAnsi="Arial"/>
        </w:rPr>
      </w:pPr>
      <w:r>
        <w:rPr>
          <w:rFonts w:ascii="Arial" w:hAnsi="Arial" w:hint="cs"/>
          <w:rtl/>
        </w:rPr>
        <w:t>40.</w:t>
      </w:r>
      <w:r>
        <w:rPr>
          <w:rFonts w:ascii="Arial" w:hAnsi="Arial" w:hint="cs"/>
          <w:rtl/>
        </w:rPr>
        <w:tab/>
      </w:r>
      <w:hyperlink r:id="rId41" w:history="1">
        <w:r w:rsidR="00B30B01" w:rsidRPr="00B30B01">
          <w:rPr>
            <w:rFonts w:ascii="Arial" w:hAnsi="Arial"/>
            <w:color w:val="0000FF"/>
            <w:u w:val="single"/>
            <w:rtl/>
          </w:rPr>
          <w:t>סעיף 40ט</w:t>
        </w:r>
      </w:hyperlink>
      <w:r>
        <w:rPr>
          <w:rFonts w:ascii="Arial" w:hAnsi="Arial" w:hint="cs"/>
          <w:rtl/>
        </w:rPr>
        <w:t xml:space="preserve"> ל</w:t>
      </w:r>
      <w:hyperlink r:id="rId42" w:history="1">
        <w:r w:rsidRPr="00881C2F">
          <w:rPr>
            <w:rFonts w:ascii="Arial" w:hAnsi="Arial"/>
            <w:color w:val="0000FF"/>
            <w:u w:val="single"/>
            <w:rtl/>
          </w:rPr>
          <w:t>חוק העונשין</w:t>
        </w:r>
      </w:hyperlink>
      <w:r>
        <w:rPr>
          <w:rFonts w:ascii="Arial" w:hAnsi="Arial" w:hint="cs"/>
          <w:rtl/>
        </w:rPr>
        <w:t xml:space="preserve"> קובע רשימה של נסיבות הקשורות בביצוע העבירה, אשר בהתקיימן, או בהתקיים חלק מהן, יש כדי להשפיע על קביעת חומרת מעשה העבירה ועל אשמו של הנאשם ובכך על קביעת מתחם העונש ההולם.</w:t>
      </w:r>
    </w:p>
    <w:p w14:paraId="211D46F9" w14:textId="77777777" w:rsidR="006918C7" w:rsidRDefault="00881C2F">
      <w:pPr>
        <w:spacing w:line="360" w:lineRule="auto"/>
        <w:ind w:left="720"/>
        <w:jc w:val="both"/>
        <w:rPr>
          <w:rFonts w:ascii="Arial" w:hAnsi="Arial"/>
          <w:rtl/>
        </w:rPr>
      </w:pPr>
      <w:r>
        <w:rPr>
          <w:rFonts w:ascii="Arial" w:hAnsi="Arial" w:hint="cs"/>
          <w:rtl/>
        </w:rPr>
        <w:t>ברשימה זו נכללת הנסיבה של תכנון שקדם לביצוע העבירה, חלקו היחסי של הנאשם בביצוע העבירה, הנזק שהיה צפוי להיגרם מביצוע העבירה, הנזק שנגרם, הסיבות שהביאו את הנאשם לבצע את העבירה, יכולתו של הנאשם להבין את אשר הוא עושה, את הפסול שבמעשהו או את משמעותו, לרבות בשל גילו, יכולתו של הנאשם להימנע ממעשה העבירה ומידת השליטה שלו על מעשהו, והקרבה לסייג של אחריות פלילית.</w:t>
      </w:r>
    </w:p>
    <w:p w14:paraId="7B38832A" w14:textId="77777777" w:rsidR="006918C7" w:rsidRDefault="006918C7">
      <w:pPr>
        <w:spacing w:line="360" w:lineRule="auto"/>
        <w:ind w:left="720"/>
        <w:jc w:val="both"/>
        <w:rPr>
          <w:rFonts w:ascii="Arial" w:hAnsi="Arial"/>
        </w:rPr>
      </w:pPr>
    </w:p>
    <w:p w14:paraId="420CD1C0" w14:textId="77777777" w:rsidR="006918C7" w:rsidRDefault="00881C2F">
      <w:pPr>
        <w:spacing w:line="360" w:lineRule="auto"/>
        <w:ind w:left="720" w:hanging="720"/>
        <w:jc w:val="both"/>
        <w:rPr>
          <w:rFonts w:ascii="Arial" w:hAnsi="Arial"/>
          <w:rtl/>
        </w:rPr>
      </w:pPr>
      <w:r>
        <w:rPr>
          <w:rFonts w:ascii="Arial" w:hAnsi="Arial" w:hint="cs"/>
          <w:rtl/>
        </w:rPr>
        <w:t>41.</w:t>
      </w:r>
      <w:r>
        <w:rPr>
          <w:rFonts w:ascii="Arial" w:hAnsi="Arial" w:hint="cs"/>
          <w:rtl/>
        </w:rPr>
        <w:tab/>
      </w:r>
      <w:hyperlink r:id="rId43" w:history="1">
        <w:r w:rsidR="00B30B01" w:rsidRPr="00B30B01">
          <w:rPr>
            <w:rFonts w:ascii="Arial" w:hAnsi="Arial"/>
            <w:color w:val="0000FF"/>
            <w:u w:val="single"/>
            <w:rtl/>
          </w:rPr>
          <w:t>סעיף 40יא</w:t>
        </w:r>
      </w:hyperlink>
      <w:r>
        <w:rPr>
          <w:rFonts w:ascii="Arial" w:hAnsi="Arial" w:hint="cs"/>
          <w:rtl/>
        </w:rPr>
        <w:t xml:space="preserve"> ל</w:t>
      </w:r>
      <w:hyperlink r:id="rId44" w:history="1">
        <w:r w:rsidRPr="00881C2F">
          <w:rPr>
            <w:rFonts w:ascii="Arial" w:hAnsi="Arial"/>
            <w:color w:val="0000FF"/>
            <w:u w:val="single"/>
            <w:rtl/>
          </w:rPr>
          <w:t>חוק העונשין</w:t>
        </w:r>
      </w:hyperlink>
      <w:r>
        <w:rPr>
          <w:rFonts w:ascii="Arial" w:hAnsi="Arial" w:hint="cs"/>
          <w:rtl/>
        </w:rPr>
        <w:t xml:space="preserve"> מתייחס לנסיבות שאינן קשורות בביצוע העבירה, אשר לפיהן ייקבע עונשו הספציפי של הנאשם, בתוך מתחם העונש ההולם. בין נסיבות אלו נמנות, בין היתר, הנסיבות של פגיעת העונש בנאשם, לרבות בשל גילו, פגיעת העונש בבני משפחתו של הנאשם, הנזקים שנגרמו לנאשם מביצוע העבירה ומהרשעתו, נטילת אחריות על ידי הנאשם על מעשיו וחזרתו למוטב או מאמציו לחזור למוטב, שיתוף הפעולה עם רשויות אכיפת החוק, נסיבות חיים קשות של הנאשם שהיתה להן השפעה על ביצוע מעשה העבירה, כמו גם עברו הפלילי של הנאשם או העדר עבר פלילי. </w:t>
      </w:r>
    </w:p>
    <w:p w14:paraId="00D79762" w14:textId="77777777" w:rsidR="006918C7" w:rsidRDefault="006918C7">
      <w:pPr>
        <w:spacing w:line="360" w:lineRule="auto"/>
        <w:ind w:left="720" w:hanging="720"/>
        <w:jc w:val="both"/>
        <w:rPr>
          <w:rFonts w:ascii="Arial" w:hAnsi="Arial"/>
          <w:rtl/>
        </w:rPr>
      </w:pPr>
    </w:p>
    <w:p w14:paraId="69D73BE7" w14:textId="77777777" w:rsidR="006918C7" w:rsidRDefault="00881C2F">
      <w:pPr>
        <w:spacing w:line="360" w:lineRule="auto"/>
        <w:ind w:left="720" w:hanging="720"/>
        <w:jc w:val="both"/>
        <w:rPr>
          <w:rFonts w:ascii="Arial" w:hAnsi="Arial"/>
          <w:rtl/>
        </w:rPr>
      </w:pPr>
      <w:r>
        <w:rPr>
          <w:rFonts w:ascii="Arial" w:hAnsi="Arial" w:hint="cs"/>
          <w:rtl/>
        </w:rPr>
        <w:t>42.</w:t>
      </w:r>
      <w:r>
        <w:rPr>
          <w:rFonts w:ascii="Arial" w:hAnsi="Arial" w:hint="cs"/>
          <w:rtl/>
        </w:rPr>
        <w:tab/>
        <w:t xml:space="preserve">חריגה ממתחם העונש ההולם – לקולא או לחומרא – אפשרית בנסיבות הקבועות </w:t>
      </w:r>
      <w:hyperlink r:id="rId45" w:history="1">
        <w:r w:rsidR="00B30B01" w:rsidRPr="00B30B01">
          <w:rPr>
            <w:rFonts w:ascii="Arial" w:hAnsi="Arial"/>
            <w:color w:val="0000FF"/>
            <w:u w:val="single"/>
            <w:rtl/>
          </w:rPr>
          <w:t>בסעיף 40ד</w:t>
        </w:r>
      </w:hyperlink>
      <w:r>
        <w:rPr>
          <w:rFonts w:ascii="Arial" w:hAnsi="Arial" w:hint="cs"/>
          <w:rtl/>
        </w:rPr>
        <w:t xml:space="preserve"> ל</w:t>
      </w:r>
      <w:hyperlink r:id="rId46" w:history="1">
        <w:r w:rsidRPr="00881C2F">
          <w:rPr>
            <w:rFonts w:ascii="Arial" w:hAnsi="Arial"/>
            <w:color w:val="0000FF"/>
            <w:u w:val="single"/>
            <w:rtl/>
          </w:rPr>
          <w:t>חוק העונשין</w:t>
        </w:r>
      </w:hyperlink>
      <w:r>
        <w:rPr>
          <w:rFonts w:ascii="Arial" w:hAnsi="Arial" w:hint="cs"/>
          <w:rtl/>
        </w:rPr>
        <w:t xml:space="preserve"> (לקולא) משיקולי שיקום, </w:t>
      </w:r>
      <w:hyperlink r:id="rId47" w:history="1">
        <w:r w:rsidR="00B30B01" w:rsidRPr="00B30B01">
          <w:rPr>
            <w:rFonts w:ascii="Arial" w:hAnsi="Arial"/>
            <w:color w:val="0000FF"/>
            <w:u w:val="single"/>
            <w:rtl/>
          </w:rPr>
          <w:t>ובסעיף 40ה</w:t>
        </w:r>
      </w:hyperlink>
      <w:r>
        <w:rPr>
          <w:rFonts w:ascii="Arial" w:hAnsi="Arial" w:hint="cs"/>
          <w:rtl/>
        </w:rPr>
        <w:t xml:space="preserve"> לחוק העונשין (לחומרא) משיקולים של הגנה על שלום הציבור. </w:t>
      </w:r>
    </w:p>
    <w:p w14:paraId="0121FAB1" w14:textId="77777777" w:rsidR="006918C7" w:rsidRDefault="006918C7">
      <w:pPr>
        <w:spacing w:line="360" w:lineRule="auto"/>
        <w:ind w:left="720" w:hanging="720"/>
        <w:jc w:val="both"/>
        <w:rPr>
          <w:rFonts w:ascii="Arial" w:hAnsi="Arial"/>
          <w:rtl/>
        </w:rPr>
      </w:pPr>
    </w:p>
    <w:p w14:paraId="0F9B1B37" w14:textId="77777777" w:rsidR="006918C7" w:rsidRDefault="00881C2F">
      <w:pPr>
        <w:spacing w:line="360" w:lineRule="auto"/>
        <w:ind w:left="720" w:hanging="720"/>
        <w:jc w:val="both"/>
        <w:rPr>
          <w:rFonts w:ascii="Arial" w:hAnsi="Arial"/>
          <w:rtl/>
        </w:rPr>
      </w:pPr>
      <w:r>
        <w:rPr>
          <w:rFonts w:ascii="Arial" w:hAnsi="Arial" w:hint="cs"/>
          <w:rtl/>
        </w:rPr>
        <w:t>43.</w:t>
      </w:r>
      <w:r>
        <w:rPr>
          <w:rFonts w:ascii="Arial" w:hAnsi="Arial" w:hint="cs"/>
          <w:rtl/>
        </w:rPr>
        <w:tab/>
        <w:t>השלב הראשון במלאכתו של בית המשפט, על פי הוראות תיקון 113 ל</w:t>
      </w:r>
      <w:hyperlink r:id="rId48" w:history="1">
        <w:r w:rsidRPr="00881C2F">
          <w:rPr>
            <w:rFonts w:ascii="Arial" w:hAnsi="Arial"/>
            <w:color w:val="0000FF"/>
            <w:u w:val="single"/>
            <w:rtl/>
          </w:rPr>
          <w:t>חוק העונשין</w:t>
        </w:r>
      </w:hyperlink>
      <w:r>
        <w:rPr>
          <w:rFonts w:ascii="Arial" w:hAnsi="Arial" w:hint="cs"/>
          <w:rtl/>
        </w:rPr>
        <w:t xml:space="preserve">, הוא בקביעה האם הרשעת הנאשם במספר עבירות מהווה אירוע אחד או מספר אירועים, אשר ביחס אליהם נדרשת קביעה של מתחם ענישה הולם לכל אירוע בנפרד. רק לאחר מכן יקבע בית המשפט את מתחם העונש בהתאם לעקרון ההלימה כאמור לעיל, ובשלב האחרון יתייחס בית המשפט לנסיבות שאינן קשורות לעבירה ולנסיבות ביצועה, אלא לנסיבות האישיות של הנאשם. </w:t>
      </w:r>
    </w:p>
    <w:p w14:paraId="4C6FC853" w14:textId="77777777" w:rsidR="006918C7" w:rsidRDefault="006918C7">
      <w:pPr>
        <w:spacing w:line="360" w:lineRule="auto"/>
        <w:ind w:left="720" w:hanging="720"/>
        <w:jc w:val="both"/>
        <w:rPr>
          <w:rFonts w:ascii="Arial" w:hAnsi="Arial"/>
          <w:rtl/>
        </w:rPr>
      </w:pPr>
    </w:p>
    <w:p w14:paraId="7764F818" w14:textId="77777777" w:rsidR="006918C7" w:rsidRDefault="00881C2F">
      <w:pPr>
        <w:spacing w:line="360" w:lineRule="auto"/>
        <w:ind w:left="720" w:hanging="720"/>
        <w:jc w:val="both"/>
        <w:rPr>
          <w:rFonts w:ascii="Arial" w:hAnsi="Arial"/>
          <w:rtl/>
        </w:rPr>
      </w:pPr>
      <w:r>
        <w:rPr>
          <w:rFonts w:ascii="Arial" w:hAnsi="Arial" w:hint="cs"/>
          <w:rtl/>
        </w:rPr>
        <w:t>44.</w:t>
      </w:r>
      <w:r>
        <w:rPr>
          <w:rFonts w:ascii="Arial" w:hAnsi="Arial" w:hint="cs"/>
          <w:rtl/>
        </w:rPr>
        <w:tab/>
        <w:t xml:space="preserve">במקרה הנדון, טענה המאשימה כי עסקינן בשני אירועים נפרדים. מנגד, טען ב"כ הנאשם כי יש לראות בשתי העבירות כאירוע אחד.  </w:t>
      </w:r>
    </w:p>
    <w:p w14:paraId="778EB471" w14:textId="77777777" w:rsidR="006918C7" w:rsidRDefault="006918C7">
      <w:pPr>
        <w:spacing w:line="360" w:lineRule="auto"/>
        <w:ind w:left="720" w:hanging="720"/>
        <w:jc w:val="both"/>
        <w:rPr>
          <w:rFonts w:ascii="Arial" w:hAnsi="Arial"/>
          <w:rtl/>
        </w:rPr>
      </w:pPr>
    </w:p>
    <w:p w14:paraId="38AD397B" w14:textId="77777777" w:rsidR="006918C7" w:rsidRDefault="00881C2F">
      <w:pPr>
        <w:spacing w:line="360" w:lineRule="auto"/>
        <w:ind w:left="720" w:hanging="720"/>
        <w:jc w:val="both"/>
        <w:rPr>
          <w:rFonts w:ascii="Arial" w:hAnsi="Arial"/>
          <w:rtl/>
        </w:rPr>
      </w:pPr>
      <w:r>
        <w:rPr>
          <w:rFonts w:ascii="Arial" w:hAnsi="Arial" w:hint="cs"/>
          <w:rtl/>
        </w:rPr>
        <w:t>45.</w:t>
      </w:r>
      <w:r>
        <w:rPr>
          <w:rFonts w:ascii="Arial" w:hAnsi="Arial" w:hint="cs"/>
          <w:rtl/>
        </w:rPr>
        <w:tab/>
      </w:r>
      <w:r>
        <w:rPr>
          <w:rFonts w:hint="cs"/>
          <w:rtl/>
        </w:rPr>
        <w:t>לטעמי, בין אם לפי גישת כבוד השופט דנציגר ב</w:t>
      </w:r>
      <w:hyperlink r:id="rId49" w:history="1">
        <w:r w:rsidRPr="00881C2F">
          <w:rPr>
            <w:color w:val="0000FF"/>
            <w:u w:val="single"/>
            <w:rtl/>
          </w:rPr>
          <w:t>ע"פ 4910/13</w:t>
        </w:r>
      </w:hyperlink>
      <w:r>
        <w:rPr>
          <w:rFonts w:hint="cs"/>
          <w:rtl/>
        </w:rPr>
        <w:t xml:space="preserve"> </w:t>
      </w:r>
      <w:r>
        <w:rPr>
          <w:rFonts w:hint="cs"/>
          <w:bCs/>
          <w:u w:val="single"/>
          <w:rtl/>
        </w:rPr>
        <w:t>ג'אבר נ' מדינת ישראל</w:t>
      </w:r>
      <w:r>
        <w:rPr>
          <w:rFonts w:hint="cs"/>
          <w:rtl/>
        </w:rPr>
        <w:t xml:space="preserve"> [פורסם ב"נבו"29.10.2014], הנוקט במבחן הצורני-עובדתי לצורך הקביעה אם מדובר "באירוע" אחד או ב"מספר אירועים", מקום בו כתב האישום מפרט ביצוען של מספר עבירות, ובין אם לפי גישתה של כבוד השופטת ברק-ארז </w:t>
      </w:r>
      <w:r>
        <w:rPr>
          <w:rFonts w:ascii="Arial" w:hAnsi="Arial" w:hint="cs"/>
          <w:rtl/>
        </w:rPr>
        <w:t xml:space="preserve">אשר קבעה מבחן נוסף וחדש, הוא מבחן "הקשר ההדוק" – מדובר במקרה שבפני בשני אירועים נפרדים. </w:t>
      </w:r>
    </w:p>
    <w:p w14:paraId="6882E2D9" w14:textId="77777777" w:rsidR="006918C7" w:rsidRDefault="006918C7">
      <w:pPr>
        <w:spacing w:line="360" w:lineRule="auto"/>
        <w:ind w:left="720" w:hanging="720"/>
        <w:jc w:val="both"/>
        <w:rPr>
          <w:rtl/>
        </w:rPr>
      </w:pPr>
    </w:p>
    <w:p w14:paraId="00457D65" w14:textId="77777777" w:rsidR="006918C7" w:rsidRDefault="00881C2F">
      <w:pPr>
        <w:spacing w:line="360" w:lineRule="auto"/>
        <w:ind w:left="720" w:hanging="720"/>
        <w:jc w:val="both"/>
        <w:rPr>
          <w:rFonts w:ascii="Century" w:hAnsi="Century"/>
          <w:spacing w:val="6"/>
          <w:rtl/>
        </w:rPr>
      </w:pPr>
      <w:r>
        <w:rPr>
          <w:rFonts w:hint="cs"/>
          <w:rtl/>
        </w:rPr>
        <w:t xml:space="preserve">46. </w:t>
      </w:r>
      <w:r>
        <w:rPr>
          <w:rFonts w:ascii="Century" w:hAnsi="Century" w:hint="cs"/>
          <w:spacing w:val="6"/>
          <w:rtl/>
        </w:rPr>
        <w:tab/>
        <w:t xml:space="preserve">מדובר בשתי עסקאות סם שבוצעו בהפרש של כשבועיים בין האחת לשנייה, לא נעשו ברצף ולא היו קשורות אחת בשנייה בקשר של פעולות עוקבות. כפי העולה מכתב האישום המתוקן, כל עסקת סם תוכננה, בוצעה ויצאה אל הפועל באופן נפרד. אין, אפוא, סמיכות של זמנים, אין גם סמיכות של מקום מלבד העובדה שבוצעו באותה עיר – קריית חיים. העסקה הראשונה בוצעה בסמוך לביתו של הסוכן ברחוב שבטי ישראל 54 בקריית חיים, והעסקה השנייה בוצעה ברחוב משה שרת 55 בקריית חיים. </w:t>
      </w:r>
    </w:p>
    <w:p w14:paraId="04E84803" w14:textId="77777777" w:rsidR="006918C7" w:rsidRDefault="006918C7">
      <w:pPr>
        <w:autoSpaceDN w:val="0"/>
        <w:spacing w:after="200" w:line="360" w:lineRule="auto"/>
        <w:ind w:left="720" w:hanging="720"/>
        <w:jc w:val="both"/>
        <w:rPr>
          <w:rFonts w:ascii="Century" w:hAnsi="Century"/>
          <w:b/>
          <w:bCs/>
          <w:spacing w:val="6"/>
          <w:rtl/>
        </w:rPr>
      </w:pPr>
    </w:p>
    <w:p w14:paraId="5E1F5708" w14:textId="77777777" w:rsidR="006918C7" w:rsidRDefault="00881C2F">
      <w:pPr>
        <w:autoSpaceDN w:val="0"/>
        <w:spacing w:after="200" w:line="360" w:lineRule="auto"/>
        <w:ind w:left="720" w:hanging="720"/>
        <w:jc w:val="both"/>
        <w:rPr>
          <w:rFonts w:ascii="Century" w:hAnsi="Century"/>
          <w:b/>
          <w:bCs/>
          <w:spacing w:val="6"/>
          <w:rtl/>
        </w:rPr>
      </w:pPr>
      <w:r>
        <w:rPr>
          <w:rFonts w:ascii="Century" w:hAnsi="Century" w:hint="cs"/>
          <w:b/>
          <w:bCs/>
          <w:spacing w:val="6"/>
          <w:rtl/>
        </w:rPr>
        <w:tab/>
      </w:r>
      <w:r>
        <w:rPr>
          <w:rFonts w:ascii="Century" w:hAnsi="Century" w:hint="cs"/>
          <w:spacing w:val="6"/>
          <w:rtl/>
        </w:rPr>
        <w:t>לא מצאתי גם כי מדובר בעבירות שבוצעו כחלק ממכלול אחד של פעולות ואף לא עולה מכתב האישום המתוקן כי מדובר בתכנון פלילי אחד או במחשבה פלילית אחת.</w:t>
      </w:r>
    </w:p>
    <w:p w14:paraId="735AC21A" w14:textId="77777777" w:rsidR="006918C7" w:rsidRDefault="00881C2F">
      <w:pPr>
        <w:autoSpaceDN w:val="0"/>
        <w:spacing w:after="200" w:line="360" w:lineRule="auto"/>
        <w:ind w:left="720" w:hanging="720"/>
        <w:jc w:val="both"/>
        <w:rPr>
          <w:rFonts w:ascii="Century" w:hAnsi="Century"/>
          <w:spacing w:val="6"/>
          <w:rtl/>
        </w:rPr>
      </w:pPr>
      <w:r>
        <w:rPr>
          <w:rFonts w:ascii="Century" w:hAnsi="Century" w:hint="cs"/>
          <w:spacing w:val="6"/>
          <w:rtl/>
        </w:rPr>
        <w:t>47.</w:t>
      </w:r>
      <w:r>
        <w:rPr>
          <w:rFonts w:ascii="Century" w:hAnsi="Century" w:hint="cs"/>
          <w:spacing w:val="6"/>
          <w:rtl/>
        </w:rPr>
        <w:tab/>
        <w:t xml:space="preserve">יתר על כן, איני סבורה כי ניתן לומר כי קיים קשר ענייני הדוק בין שתי עבירות הסחר שבהן הואשם והורשע הנאשם. אמנם, מדובר באותם צדדים בשתי עסקאות הסחר בסם – הסוכן והנאשם - ואף באותו סוג סם ובכמות כמעט זהה בשתי העסקאות. עם זאת, לא קיימת סמיכות זמנים סבירה בין שתי העסקאות, לא קיימת אינדיקציה להיותן מהוות בצוותא רצף של אירועים ולטעמי עובדות אלו שוללות קביעה בדבר תוכנית עבריינית אחת כוללת. </w:t>
      </w:r>
    </w:p>
    <w:p w14:paraId="7BD56497" w14:textId="77777777" w:rsidR="006918C7" w:rsidRDefault="00881C2F">
      <w:pPr>
        <w:tabs>
          <w:tab w:val="left" w:pos="800"/>
        </w:tabs>
        <w:overflowPunct w:val="0"/>
        <w:autoSpaceDE w:val="0"/>
        <w:autoSpaceDN w:val="0"/>
        <w:adjustRightInd w:val="0"/>
        <w:spacing w:line="360" w:lineRule="auto"/>
        <w:ind w:left="800" w:hanging="800"/>
        <w:jc w:val="both"/>
        <w:rPr>
          <w:rFonts w:ascii="Arial" w:eastAsia="Calibri" w:hAnsi="Arial"/>
        </w:rPr>
      </w:pPr>
      <w:r>
        <w:rPr>
          <w:rFonts w:ascii="Century" w:hAnsi="Century" w:cs="Miriam" w:hint="cs"/>
          <w:spacing w:val="6"/>
          <w:rtl/>
        </w:rPr>
        <w:tab/>
      </w:r>
      <w:r>
        <w:rPr>
          <w:rFonts w:ascii="Century" w:hAnsi="Century" w:hint="cs"/>
          <w:spacing w:val="6"/>
          <w:rtl/>
        </w:rPr>
        <w:t xml:space="preserve">נא ראו לעניין זה גם </w:t>
      </w:r>
      <w:r>
        <w:rPr>
          <w:rFonts w:ascii="Arial" w:hAnsi="Arial" w:hint="cs"/>
          <w:rtl/>
        </w:rPr>
        <w:t xml:space="preserve"> </w:t>
      </w:r>
      <w:hyperlink r:id="rId50" w:history="1">
        <w:r w:rsidRPr="00881C2F">
          <w:rPr>
            <w:rFonts w:ascii="Arial" w:hAnsi="Arial"/>
            <w:color w:val="0000FF"/>
            <w:u w:val="single"/>
            <w:rtl/>
          </w:rPr>
          <w:t>ע"פ 437/13</w:t>
        </w:r>
      </w:hyperlink>
      <w:r>
        <w:rPr>
          <w:rFonts w:ascii="Arial" w:hAnsi="Arial" w:hint="cs"/>
          <w:rtl/>
        </w:rPr>
        <w:t xml:space="preserve"> </w:t>
      </w:r>
      <w:r>
        <w:rPr>
          <w:rFonts w:ascii="Arial" w:hAnsi="Arial" w:hint="cs"/>
          <w:b/>
          <w:bCs/>
          <w:u w:val="single"/>
          <w:rtl/>
        </w:rPr>
        <w:t>אברהם אלחיאני נ' מדינת ישראל</w:t>
      </w:r>
      <w:r>
        <w:rPr>
          <w:rFonts w:ascii="Arial" w:hAnsi="Arial" w:hint="cs"/>
          <w:rtl/>
        </w:rPr>
        <w:t xml:space="preserve"> [פורסם ב"נבו", 24.8.15]. </w:t>
      </w:r>
    </w:p>
    <w:p w14:paraId="4480EC84" w14:textId="77777777" w:rsidR="006918C7" w:rsidRDefault="006918C7">
      <w:pPr>
        <w:tabs>
          <w:tab w:val="left" w:pos="800"/>
        </w:tabs>
        <w:overflowPunct w:val="0"/>
        <w:autoSpaceDE w:val="0"/>
        <w:autoSpaceDN w:val="0"/>
        <w:adjustRightInd w:val="0"/>
        <w:spacing w:line="360" w:lineRule="auto"/>
        <w:ind w:left="800" w:hanging="800"/>
        <w:jc w:val="both"/>
        <w:rPr>
          <w:rFonts w:ascii="Arial" w:hAnsi="Arial"/>
          <w:rtl/>
        </w:rPr>
      </w:pPr>
    </w:p>
    <w:p w14:paraId="20FE60F1" w14:textId="77777777" w:rsidR="006918C7" w:rsidRDefault="00881C2F">
      <w:pPr>
        <w:tabs>
          <w:tab w:val="left" w:pos="800"/>
        </w:tabs>
        <w:overflowPunct w:val="0"/>
        <w:autoSpaceDE w:val="0"/>
        <w:autoSpaceDN w:val="0"/>
        <w:adjustRightInd w:val="0"/>
        <w:spacing w:line="360" w:lineRule="auto"/>
        <w:ind w:left="800" w:hanging="800"/>
        <w:jc w:val="both"/>
        <w:rPr>
          <w:rFonts w:ascii="Arial" w:hAnsi="Arial"/>
          <w:rtl/>
        </w:rPr>
      </w:pPr>
      <w:r>
        <w:rPr>
          <w:rFonts w:ascii="Arial" w:hAnsi="Arial" w:hint="cs"/>
          <w:rtl/>
        </w:rPr>
        <w:t>48.</w:t>
      </w:r>
      <w:r>
        <w:rPr>
          <w:rFonts w:ascii="Arial" w:hAnsi="Arial" w:hint="cs"/>
          <w:rtl/>
        </w:rPr>
        <w:tab/>
        <w:t xml:space="preserve">נתתי דעתי לגזר דינה של כבוד סגנית הנשיא, השופטת קנטור בבית משפט השלום בחיפה בעניין </w:t>
      </w:r>
      <w:hyperlink r:id="rId51" w:history="1">
        <w:r w:rsidRPr="00881C2F">
          <w:rPr>
            <w:rFonts w:ascii="Arial" w:hAnsi="Arial"/>
            <w:color w:val="0000FF"/>
            <w:u w:val="single"/>
            <w:rtl/>
          </w:rPr>
          <w:t>ת"פ 20815-01-15</w:t>
        </w:r>
      </w:hyperlink>
      <w:r>
        <w:rPr>
          <w:rFonts w:ascii="Arial" w:hAnsi="Arial" w:hint="cs"/>
          <w:rtl/>
        </w:rPr>
        <w:t xml:space="preserve"> </w:t>
      </w:r>
      <w:r>
        <w:rPr>
          <w:rFonts w:ascii="Arial" w:hAnsi="Arial" w:hint="cs"/>
          <w:b/>
          <w:bCs/>
          <w:u w:val="single"/>
          <w:rtl/>
        </w:rPr>
        <w:t>סמי שושן נ' מדינת ישראל</w:t>
      </w:r>
      <w:r>
        <w:rPr>
          <w:rFonts w:ascii="Arial" w:hAnsi="Arial" w:hint="cs"/>
          <w:rtl/>
        </w:rPr>
        <w:t xml:space="preserve">, אליו הפנה אותי ב"כ הנאשם </w:t>
      </w:r>
    </w:p>
    <w:p w14:paraId="59D9C0FC" w14:textId="77777777" w:rsidR="006918C7" w:rsidRDefault="006918C7">
      <w:pPr>
        <w:tabs>
          <w:tab w:val="left" w:pos="800"/>
        </w:tabs>
        <w:overflowPunct w:val="0"/>
        <w:autoSpaceDE w:val="0"/>
        <w:autoSpaceDN w:val="0"/>
        <w:adjustRightInd w:val="0"/>
        <w:spacing w:line="360" w:lineRule="auto"/>
        <w:ind w:left="800" w:hanging="800"/>
        <w:jc w:val="both"/>
        <w:rPr>
          <w:rFonts w:ascii="Arial" w:hAnsi="Arial"/>
          <w:rtl/>
        </w:rPr>
      </w:pPr>
    </w:p>
    <w:p w14:paraId="11CD6FAC" w14:textId="77777777" w:rsidR="006918C7" w:rsidRDefault="00881C2F">
      <w:pPr>
        <w:tabs>
          <w:tab w:val="left" w:pos="800"/>
        </w:tabs>
        <w:overflowPunct w:val="0"/>
        <w:autoSpaceDE w:val="0"/>
        <w:autoSpaceDN w:val="0"/>
        <w:adjustRightInd w:val="0"/>
        <w:spacing w:line="360" w:lineRule="auto"/>
        <w:ind w:left="800" w:hanging="800"/>
        <w:jc w:val="both"/>
        <w:rPr>
          <w:rFonts w:ascii="Arial" w:hAnsi="Arial"/>
          <w:rtl/>
        </w:rPr>
      </w:pPr>
      <w:r>
        <w:rPr>
          <w:rFonts w:ascii="Arial" w:hAnsi="Arial" w:hint="cs"/>
          <w:rtl/>
        </w:rPr>
        <w:tab/>
        <w:t xml:space="preserve">כבוד השופטת קנטור התייחסה לעובדה כי מדובר בשלוש עסקאות מכירת סמים על ידי הנאשם, באותה פרשה שנידונה בפניה, לאותו קונה – הסוכן המשטרתי הסמוי, בפרק זמן של פחות מחודשיים, כשדרכי מימוש העסקה, סוג הסמים, שיטת הפעולה של הנאשם, דרך אספקת הסמים ומקום הביצוע – דומים. ועל כן מצאה לנכון לקבוע כי מדובר ב"אירוע" אחד. </w:t>
      </w:r>
    </w:p>
    <w:p w14:paraId="1141D116" w14:textId="77777777" w:rsidR="006918C7" w:rsidRDefault="006918C7">
      <w:pPr>
        <w:tabs>
          <w:tab w:val="left" w:pos="800"/>
        </w:tabs>
        <w:overflowPunct w:val="0"/>
        <w:autoSpaceDE w:val="0"/>
        <w:autoSpaceDN w:val="0"/>
        <w:adjustRightInd w:val="0"/>
        <w:spacing w:line="360" w:lineRule="auto"/>
        <w:ind w:left="800" w:hanging="800"/>
        <w:jc w:val="both"/>
        <w:rPr>
          <w:rFonts w:ascii="Arial" w:hAnsi="Arial"/>
          <w:rtl/>
        </w:rPr>
      </w:pPr>
    </w:p>
    <w:p w14:paraId="24FEE3EE" w14:textId="77777777" w:rsidR="006918C7" w:rsidRDefault="00881C2F">
      <w:pPr>
        <w:tabs>
          <w:tab w:val="left" w:pos="800"/>
        </w:tabs>
        <w:overflowPunct w:val="0"/>
        <w:autoSpaceDE w:val="0"/>
        <w:autoSpaceDN w:val="0"/>
        <w:adjustRightInd w:val="0"/>
        <w:spacing w:line="360" w:lineRule="auto"/>
        <w:ind w:left="800" w:hanging="800"/>
        <w:jc w:val="both"/>
        <w:rPr>
          <w:rFonts w:ascii="Arial" w:hAnsi="Arial"/>
          <w:rtl/>
        </w:rPr>
      </w:pPr>
      <w:r>
        <w:rPr>
          <w:rFonts w:ascii="Arial" w:hAnsi="Arial" w:hint="cs"/>
          <w:rtl/>
        </w:rPr>
        <w:tab/>
        <w:t xml:space="preserve">לגישתי, בעסקאות של סחר בסמים, כאשר לא קיים תכנון מוקדם מראש של סדרת העסקאות, כשהפרשי הזמן בהם הן נעשו משתרעים על מספר שבועות בין האחת לשניה, וכאשר נדרשה בכל פעם היערכות חדשה, "הזמנה" חדשה של הסם, תכנון אחר ושונה של מקום המפגש – אין לראות בכל העסקאות יחד, בדיעבד, כ"אירוע" אחד לפי </w:t>
      </w:r>
      <w:hyperlink r:id="rId52" w:history="1">
        <w:r w:rsidR="00B30B01" w:rsidRPr="00B30B01">
          <w:rPr>
            <w:rFonts w:ascii="Arial" w:hAnsi="Arial"/>
            <w:color w:val="0000FF"/>
            <w:u w:val="single"/>
            <w:rtl/>
          </w:rPr>
          <w:t>סעיף 40יג(א)</w:t>
        </w:r>
      </w:hyperlink>
      <w:r>
        <w:rPr>
          <w:rFonts w:ascii="Arial" w:hAnsi="Arial" w:hint="cs"/>
          <w:rtl/>
        </w:rPr>
        <w:t xml:space="preserve"> ל</w:t>
      </w:r>
      <w:hyperlink r:id="rId53" w:history="1">
        <w:r w:rsidRPr="00881C2F">
          <w:rPr>
            <w:rFonts w:ascii="Arial" w:hAnsi="Arial"/>
            <w:color w:val="0000FF"/>
            <w:u w:val="single"/>
            <w:rtl/>
          </w:rPr>
          <w:t>חוק העונשין</w:t>
        </w:r>
      </w:hyperlink>
      <w:r>
        <w:rPr>
          <w:rFonts w:ascii="Arial" w:hAnsi="Arial" w:hint="cs"/>
          <w:rtl/>
        </w:rPr>
        <w:t xml:space="preserve">. </w:t>
      </w:r>
    </w:p>
    <w:p w14:paraId="617AD802" w14:textId="77777777" w:rsidR="006918C7" w:rsidRDefault="00881C2F">
      <w:pPr>
        <w:tabs>
          <w:tab w:val="left" w:pos="800"/>
        </w:tabs>
        <w:overflowPunct w:val="0"/>
        <w:autoSpaceDE w:val="0"/>
        <w:autoSpaceDN w:val="0"/>
        <w:adjustRightInd w:val="0"/>
        <w:spacing w:line="360" w:lineRule="auto"/>
        <w:ind w:left="800" w:hanging="800"/>
        <w:jc w:val="both"/>
        <w:rPr>
          <w:rFonts w:ascii="Calibri" w:hAnsi="Calibri"/>
          <w:spacing w:val="6"/>
          <w:rtl/>
        </w:rPr>
      </w:pPr>
      <w:r>
        <w:rPr>
          <w:spacing w:val="6"/>
          <w:rtl/>
        </w:rPr>
        <w:tab/>
      </w:r>
    </w:p>
    <w:p w14:paraId="40BDA78F" w14:textId="77777777" w:rsidR="006918C7" w:rsidRDefault="00881C2F">
      <w:pPr>
        <w:tabs>
          <w:tab w:val="left" w:pos="800"/>
        </w:tabs>
        <w:overflowPunct w:val="0"/>
        <w:autoSpaceDE w:val="0"/>
        <w:autoSpaceDN w:val="0"/>
        <w:adjustRightInd w:val="0"/>
        <w:spacing w:line="360" w:lineRule="auto"/>
        <w:ind w:left="800" w:hanging="800"/>
        <w:jc w:val="both"/>
        <w:rPr>
          <w:rFonts w:ascii="Arial" w:hAnsi="Arial"/>
          <w:rtl/>
        </w:rPr>
      </w:pPr>
      <w:r>
        <w:rPr>
          <w:rFonts w:hint="cs"/>
          <w:spacing w:val="6"/>
          <w:rtl/>
        </w:rPr>
        <w:tab/>
        <w:t xml:space="preserve">אמנם, נוסחו </w:t>
      </w:r>
      <w:hyperlink r:id="rId54" w:history="1">
        <w:r w:rsidR="00B30B01" w:rsidRPr="00B30B01">
          <w:rPr>
            <w:color w:val="0000FF"/>
            <w:spacing w:val="6"/>
            <w:u w:val="single"/>
            <w:rtl/>
          </w:rPr>
          <w:t>סעיף 40יג</w:t>
        </w:r>
      </w:hyperlink>
      <w:r>
        <w:rPr>
          <w:rFonts w:hint="cs"/>
          <w:spacing w:val="6"/>
          <w:rtl/>
        </w:rPr>
        <w:t xml:space="preserve"> ל</w:t>
      </w:r>
      <w:hyperlink r:id="rId55" w:history="1">
        <w:r w:rsidRPr="00881C2F">
          <w:rPr>
            <w:color w:val="0000FF"/>
            <w:spacing w:val="6"/>
            <w:u w:val="single"/>
            <w:rtl/>
          </w:rPr>
          <w:t>חוק העונשין</w:t>
        </w:r>
      </w:hyperlink>
      <w:r>
        <w:rPr>
          <w:rFonts w:hint="cs"/>
          <w:spacing w:val="6"/>
          <w:rtl/>
        </w:rPr>
        <w:t xml:space="preserve"> הוא נוסח רחב, אשר מאפשר לערכאה הדיונית הגוזרת את דינו של הנאשם מתחם רחב של שיקול דעת וגמישות בקביעה האם עסקינן באירוע אחד או במספר אירועים, </w:t>
      </w:r>
      <w:r>
        <w:rPr>
          <w:rFonts w:ascii="Arial" w:hAnsi="Arial" w:hint="cs"/>
          <w:rtl/>
        </w:rPr>
        <w:t xml:space="preserve">אך מתחם שיקול הדעת נשען על שכל ישר והגיון, כמו גם על ניסיון החיים. זה האחרון מלמדנו, כי לא ניתן לכנות סדרה של אירועים נפרדים בתואר "תוכנית עבריינית אחת" ולקשרם ב"קשר הדוק", כאשר הללו לא תוכננו כלל ככאלה ולא התהוו ככאלה. </w:t>
      </w:r>
    </w:p>
    <w:p w14:paraId="46D1E2D4" w14:textId="77777777" w:rsidR="006918C7" w:rsidRDefault="006918C7">
      <w:pPr>
        <w:tabs>
          <w:tab w:val="left" w:pos="800"/>
        </w:tabs>
        <w:overflowPunct w:val="0"/>
        <w:autoSpaceDE w:val="0"/>
        <w:autoSpaceDN w:val="0"/>
        <w:adjustRightInd w:val="0"/>
        <w:spacing w:line="360" w:lineRule="auto"/>
        <w:ind w:left="800" w:hanging="800"/>
        <w:jc w:val="both"/>
        <w:rPr>
          <w:rFonts w:ascii="Arial" w:hAnsi="Arial"/>
          <w:rtl/>
        </w:rPr>
      </w:pPr>
    </w:p>
    <w:p w14:paraId="7CF7BC99" w14:textId="77777777" w:rsidR="006918C7" w:rsidRDefault="00881C2F">
      <w:pPr>
        <w:spacing w:line="360" w:lineRule="auto"/>
        <w:ind w:left="720" w:hanging="720"/>
        <w:jc w:val="both"/>
        <w:rPr>
          <w:rFonts w:ascii="Arial" w:hAnsi="Arial"/>
          <w:rtl/>
        </w:rPr>
      </w:pPr>
      <w:r>
        <w:rPr>
          <w:rFonts w:ascii="Arial" w:hAnsi="Arial" w:hint="cs"/>
          <w:rtl/>
        </w:rPr>
        <w:t>49.</w:t>
      </w:r>
      <w:r>
        <w:rPr>
          <w:rFonts w:ascii="Arial" w:hAnsi="Arial" w:hint="cs"/>
          <w:rtl/>
        </w:rPr>
        <w:tab/>
        <w:t xml:space="preserve">על כן, בהתאם להוראות </w:t>
      </w:r>
      <w:hyperlink r:id="rId56" w:history="1">
        <w:r w:rsidR="00B30B01" w:rsidRPr="00B30B01">
          <w:rPr>
            <w:rFonts w:ascii="Arial" w:hAnsi="Arial"/>
            <w:color w:val="0000FF"/>
            <w:u w:val="single"/>
            <w:rtl/>
          </w:rPr>
          <w:t>סעיף 40יג(ב)</w:t>
        </w:r>
      </w:hyperlink>
      <w:r>
        <w:rPr>
          <w:rFonts w:ascii="Arial" w:hAnsi="Arial" w:hint="cs"/>
          <w:rtl/>
        </w:rPr>
        <w:t xml:space="preserve"> ל</w:t>
      </w:r>
      <w:hyperlink r:id="rId57" w:history="1">
        <w:r w:rsidRPr="00881C2F">
          <w:rPr>
            <w:rFonts w:ascii="Arial" w:hAnsi="Arial"/>
            <w:color w:val="0000FF"/>
            <w:u w:val="single"/>
            <w:rtl/>
          </w:rPr>
          <w:t>חוק העונשין</w:t>
        </w:r>
      </w:hyperlink>
      <w:r>
        <w:rPr>
          <w:rFonts w:ascii="Arial" w:hAnsi="Arial" w:hint="cs"/>
          <w:rtl/>
        </w:rPr>
        <w:t xml:space="preserve"> ייקבע במסגרת גזר דין זה מתחם ענישה הולם לכל אירוע בנפרד. לאחר מכן ניתן לגזור עונש נפרד לכל אירוע או עונש כולל לאירועים כולם. </w:t>
      </w:r>
    </w:p>
    <w:p w14:paraId="470B34C4" w14:textId="77777777" w:rsidR="006918C7" w:rsidRDefault="00881C2F">
      <w:pPr>
        <w:spacing w:line="360" w:lineRule="auto"/>
        <w:ind w:left="1440" w:hanging="720"/>
        <w:jc w:val="both"/>
        <w:rPr>
          <w:rFonts w:ascii="Arial" w:hAnsi="Arial"/>
          <w:b/>
          <w:bCs/>
          <w:u w:val="single"/>
          <w:rtl/>
        </w:rPr>
      </w:pPr>
      <w:r>
        <w:rPr>
          <w:rFonts w:ascii="Arial" w:hAnsi="Arial" w:hint="cs"/>
          <w:rtl/>
        </w:rPr>
        <w:t xml:space="preserve">ראו לעניין זה: </w:t>
      </w:r>
      <w:hyperlink r:id="rId58" w:history="1">
        <w:r w:rsidRPr="00881C2F">
          <w:rPr>
            <w:rFonts w:ascii="Arial" w:hAnsi="Arial"/>
            <w:color w:val="0000FF"/>
            <w:u w:val="single"/>
            <w:rtl/>
          </w:rPr>
          <w:t>ע"פ 8641/12</w:t>
        </w:r>
      </w:hyperlink>
      <w:r>
        <w:rPr>
          <w:rFonts w:ascii="Arial" w:hAnsi="Arial" w:hint="cs"/>
          <w:rtl/>
        </w:rPr>
        <w:t xml:space="preserve"> </w:t>
      </w:r>
      <w:r>
        <w:rPr>
          <w:rFonts w:ascii="Arial" w:hAnsi="Arial" w:hint="cs"/>
          <w:b/>
          <w:bCs/>
          <w:u w:val="single"/>
          <w:rtl/>
        </w:rPr>
        <w:t>מוחמד סעד נ' מדינת ישראל</w:t>
      </w:r>
      <w:r>
        <w:rPr>
          <w:rFonts w:ascii="Arial" w:hAnsi="Arial" w:hint="cs"/>
          <w:rtl/>
        </w:rPr>
        <w:t xml:space="preserve"> [פורסם ב"נבו", 5.8.13].</w:t>
      </w:r>
    </w:p>
    <w:p w14:paraId="13F40E5C" w14:textId="77777777" w:rsidR="006918C7" w:rsidRDefault="00881C2F">
      <w:pPr>
        <w:spacing w:before="240" w:line="360" w:lineRule="auto"/>
        <w:jc w:val="both"/>
        <w:rPr>
          <w:rFonts w:ascii="Calibri" w:hAnsi="Calibri"/>
          <w:b/>
          <w:bCs/>
          <w:u w:val="single"/>
        </w:rPr>
      </w:pPr>
      <w:r>
        <w:rPr>
          <w:rFonts w:hint="cs"/>
          <w:b/>
          <w:bCs/>
          <w:u w:val="single"/>
          <w:rtl/>
        </w:rPr>
        <w:t>קביעת מתחם העונש ההולם:</w:t>
      </w:r>
    </w:p>
    <w:p w14:paraId="14D79A05" w14:textId="77777777" w:rsidR="006918C7" w:rsidRDefault="00881C2F">
      <w:pPr>
        <w:spacing w:before="240" w:line="360" w:lineRule="auto"/>
        <w:ind w:left="720" w:hanging="720"/>
        <w:jc w:val="both"/>
        <w:rPr>
          <w:rtl/>
        </w:rPr>
      </w:pPr>
      <w:r>
        <w:rPr>
          <w:rFonts w:hint="cs"/>
          <w:rtl/>
        </w:rPr>
        <w:t>50.</w:t>
      </w:r>
      <w:r>
        <w:rPr>
          <w:rFonts w:hint="cs"/>
          <w:rtl/>
        </w:rPr>
        <w:tab/>
        <w:t xml:space="preserve">הערך החברתי הנפגע כתוצאה מביצוע עבירה של סחר בסם מסוכן והחזקתו שלא לצריכה עצמית הוא בטחונו ושלומו של הציבור. הפצתם של סמים בקרב הציבור יש בה כדי לסכן חיי אדם ולפגוע בבריאות המשתמשים, כאשר באופן ספציפי לסם האקסטזי קיימת כבר התייחסות עניפה בפסיקה, המבוססת על מאמרים מדעיים בתחום, אודות הנזקים הגופניים המשמעותיים והניכרים העשויים להיגרם כתוצאה מהשימוש בסם זה. יתר על כן, נגע ההתמכרות לסמים מביא בעקבותיו גם את הרחבת מעגל הפשיעה ושומה על בית המשפט לפעול כמיטב יכולתו ועל פי הכלים שבידיו כדי למנוע התפשטותו של נגע זה באמצעות הסחר בסמים, על ידי ענישה מרתיעה הולמת. </w:t>
      </w:r>
    </w:p>
    <w:p w14:paraId="2E3C66F1" w14:textId="77777777" w:rsidR="006918C7" w:rsidRDefault="00881C2F">
      <w:pPr>
        <w:spacing w:before="240" w:line="360" w:lineRule="auto"/>
        <w:ind w:left="720" w:hanging="720"/>
        <w:jc w:val="both"/>
        <w:rPr>
          <w:rtl/>
        </w:rPr>
      </w:pPr>
      <w:r>
        <w:rPr>
          <w:rFonts w:hint="cs"/>
          <w:rtl/>
        </w:rPr>
        <w:tab/>
        <w:t xml:space="preserve">נא ראו לעניין זה </w:t>
      </w:r>
      <w:hyperlink r:id="rId59" w:history="1">
        <w:r w:rsidRPr="00881C2F">
          <w:rPr>
            <w:color w:val="0000FF"/>
            <w:u w:val="single"/>
            <w:rtl/>
          </w:rPr>
          <w:t>ע"פ 6029/03</w:t>
        </w:r>
      </w:hyperlink>
      <w:r>
        <w:rPr>
          <w:rFonts w:hint="cs"/>
          <w:rtl/>
        </w:rPr>
        <w:t xml:space="preserve"> </w:t>
      </w:r>
      <w:r>
        <w:rPr>
          <w:rFonts w:hint="cs"/>
          <w:b/>
          <w:bCs/>
          <w:u w:val="single"/>
          <w:rtl/>
        </w:rPr>
        <w:t>מדינת ישראל נ' שמאי</w:t>
      </w:r>
      <w:r>
        <w:rPr>
          <w:rFonts w:hint="cs"/>
          <w:rtl/>
        </w:rPr>
        <w:t xml:space="preserve"> [פורסם בנבו, 9.2.04]</w:t>
      </w:r>
    </w:p>
    <w:p w14:paraId="5E45FD12" w14:textId="77777777" w:rsidR="006918C7" w:rsidRDefault="00881C2F">
      <w:pPr>
        <w:pStyle w:val="a8"/>
        <w:spacing w:line="360" w:lineRule="auto"/>
        <w:ind w:left="720" w:hanging="436"/>
        <w:rPr>
          <w:rFonts w:cs="David"/>
          <w:b/>
          <w:bCs/>
          <w:sz w:val="24"/>
          <w:rtl/>
        </w:rPr>
      </w:pPr>
      <w:r>
        <w:rPr>
          <w:rFonts w:cs="David" w:hint="cs"/>
          <w:sz w:val="24"/>
          <w:rtl/>
        </w:rPr>
        <w:tab/>
      </w:r>
      <w:r>
        <w:rPr>
          <w:rFonts w:cs="David" w:hint="cs"/>
          <w:b/>
          <w:bCs/>
          <w:sz w:val="24"/>
          <w:rtl/>
        </w:rPr>
        <w:t>"מתוך מודעות להשפעות הקשות של השימוש בסמים על גופו ועל נפשו של המשתמש – בין השאר, יציאתו של אדם ממעגל החיים הרגיל – ועם התגברות השימוש בסם אמר המחוקק להנחות את בתי</w:t>
      </w:r>
      <w:r>
        <w:rPr>
          <w:rFonts w:cs="David" w:hint="cs"/>
          <w:b/>
          <w:bCs/>
          <w:position w:val="4"/>
          <w:sz w:val="24"/>
          <w:rtl/>
        </w:rPr>
        <w:t>-</w:t>
      </w:r>
      <w:r>
        <w:rPr>
          <w:rFonts w:cs="David" w:hint="cs"/>
          <w:b/>
          <w:bCs/>
          <w:sz w:val="24"/>
          <w:rtl/>
        </w:rPr>
        <w:t>המשפט להחמיר בעונשים המוטלים על סוחרים בסמים. כך קבע המחוקק – והוסיף וקבע – בצד עבירות הסמים עונשים מרביים האמורים לשקף את הצורך הדוחק להביא להדברת הנגע. בתחילה נקבע עונשם המרבי של סוחרי סמים כמערערים לעשר שנות מאסר, ובשנת 1979 הוחמר העונש והועמד על חמש</w:t>
      </w:r>
      <w:r>
        <w:rPr>
          <w:rFonts w:cs="David" w:hint="cs"/>
          <w:b/>
          <w:bCs/>
          <w:position w:val="4"/>
          <w:sz w:val="24"/>
          <w:rtl/>
        </w:rPr>
        <w:t>-</w:t>
      </w:r>
      <w:r>
        <w:rPr>
          <w:rFonts w:cs="David" w:hint="cs"/>
          <w:b/>
          <w:bCs/>
          <w:sz w:val="24"/>
          <w:rtl/>
        </w:rPr>
        <w:t xml:space="preserve">עשרה שנות מאסר. המחוקק לא אמר די, ובשנת 1989 הוסיף והחמיר בעונש בהעמידו אותו על עשרים שנות מאסר. וכהוראת </w:t>
      </w:r>
      <w:r w:rsidRPr="00881C2F">
        <w:rPr>
          <w:rFonts w:hint="cs"/>
          <w:b/>
          <w:bCs/>
          <w:color w:val="000000"/>
          <w:sz w:val="24"/>
          <w:rtl/>
        </w:rPr>
        <w:t>סעיף 19א</w:t>
      </w:r>
      <w:r>
        <w:rPr>
          <w:rFonts w:cs="David" w:hint="cs"/>
          <w:b/>
          <w:bCs/>
          <w:sz w:val="24"/>
          <w:rtl/>
        </w:rPr>
        <w:t xml:space="preserve"> ל</w:t>
      </w:r>
      <w:hyperlink r:id="rId60" w:history="1">
        <w:r w:rsidRPr="00881C2F">
          <w:rPr>
            <w:b/>
            <w:bCs/>
            <w:color w:val="0000FF"/>
            <w:sz w:val="24"/>
            <w:u w:val="single"/>
            <w:rtl/>
          </w:rPr>
          <w:t>פקודת הסמים המסוכנים</w:t>
        </w:r>
      </w:hyperlink>
      <w:r>
        <w:rPr>
          <w:rFonts w:cs="David" w:hint="cs"/>
          <w:b/>
          <w:bCs/>
          <w:sz w:val="24"/>
          <w:rtl/>
        </w:rPr>
        <w:t xml:space="preserve"> [נוסח חדש], תשל"ג-1973 – כן הוא הדין כיום. ראו </w:t>
      </w:r>
      <w:hyperlink r:id="rId61" w:history="1">
        <w:r w:rsidRPr="00881C2F">
          <w:rPr>
            <w:b/>
            <w:bCs/>
            <w:color w:val="0000FF"/>
            <w:sz w:val="24"/>
            <w:u w:val="single"/>
            <w:rtl/>
          </w:rPr>
          <w:t>ע"פ 4998/95</w:t>
        </w:r>
      </w:hyperlink>
      <w:r>
        <w:rPr>
          <w:rFonts w:cs="David" w:hint="cs"/>
          <w:b/>
          <w:bCs/>
          <w:sz w:val="24"/>
          <w:rtl/>
        </w:rPr>
        <w:t xml:space="preserve"> מדינת ישראל נ' גומז</w:t>
      </w:r>
      <w:r>
        <w:rPr>
          <w:rFonts w:cs="David" w:hint="cs"/>
          <w:b/>
          <w:bCs/>
          <w:position w:val="4"/>
          <w:sz w:val="24"/>
          <w:rtl/>
        </w:rPr>
        <w:t>-</w:t>
      </w:r>
      <w:r>
        <w:rPr>
          <w:rFonts w:cs="David" w:hint="cs"/>
          <w:b/>
          <w:bCs/>
          <w:sz w:val="24"/>
          <w:rtl/>
        </w:rPr>
        <w:t xml:space="preserve">קרדוסו (פרשת קרדוסו [1]), בעמ' 787. </w:t>
      </w:r>
    </w:p>
    <w:p w14:paraId="3E0A8D5B" w14:textId="77777777" w:rsidR="006918C7" w:rsidRDefault="00881C2F">
      <w:pPr>
        <w:pStyle w:val="a8"/>
        <w:spacing w:line="360" w:lineRule="auto"/>
        <w:ind w:left="720" w:firstLine="0"/>
        <w:rPr>
          <w:rFonts w:cs="David"/>
          <w:b/>
          <w:bCs/>
          <w:sz w:val="24"/>
          <w:rtl/>
        </w:rPr>
      </w:pPr>
      <w:r>
        <w:rPr>
          <w:rFonts w:cs="David" w:hint="cs"/>
          <w:b/>
          <w:bCs/>
          <w:sz w:val="24"/>
          <w:rtl/>
        </w:rPr>
        <w:t>בתי</w:t>
      </w:r>
      <w:r>
        <w:rPr>
          <w:rFonts w:cs="David" w:hint="cs"/>
          <w:b/>
          <w:bCs/>
          <w:position w:val="4"/>
          <w:sz w:val="24"/>
          <w:rtl/>
        </w:rPr>
        <w:t>-</w:t>
      </w:r>
      <w:r>
        <w:rPr>
          <w:rFonts w:cs="David" w:hint="cs"/>
          <w:b/>
          <w:bCs/>
          <w:sz w:val="24"/>
          <w:rtl/>
        </w:rPr>
        <w:t>המשפט עשו כהנחיית המחוקק והחמירו בעונשים הנגזרים על סוחרי סמים. מלחמת חורמה כונתה המלחמה בסוחרי הסמים, מלחמה ללא פשרות, והיא כמלחמת ישראל בעמלק."</w:t>
      </w:r>
    </w:p>
    <w:p w14:paraId="35DDB287" w14:textId="77777777" w:rsidR="006918C7" w:rsidRDefault="00881C2F">
      <w:pPr>
        <w:pStyle w:val="a8"/>
        <w:spacing w:line="360" w:lineRule="auto"/>
        <w:ind w:left="720" w:firstLine="0"/>
        <w:rPr>
          <w:rFonts w:cs="David"/>
          <w:sz w:val="24"/>
          <w:rtl/>
        </w:rPr>
      </w:pPr>
      <w:r>
        <w:rPr>
          <w:rFonts w:cs="David" w:hint="cs"/>
          <w:sz w:val="24"/>
          <w:rtl/>
        </w:rPr>
        <w:t xml:space="preserve">ועוד נקבע בפרשת </w:t>
      </w:r>
      <w:r>
        <w:rPr>
          <w:rFonts w:cs="David" w:hint="cs"/>
          <w:b/>
          <w:bCs/>
          <w:sz w:val="24"/>
          <w:u w:val="single"/>
          <w:rtl/>
        </w:rPr>
        <w:t>שמאי,</w:t>
      </w:r>
      <w:r>
        <w:rPr>
          <w:rFonts w:cs="David" w:hint="cs"/>
          <w:sz w:val="24"/>
          <w:rtl/>
        </w:rPr>
        <w:t xml:space="preserve"> כי:</w:t>
      </w:r>
    </w:p>
    <w:p w14:paraId="1516B00D" w14:textId="77777777" w:rsidR="006918C7" w:rsidRDefault="00881C2F">
      <w:pPr>
        <w:spacing w:line="360" w:lineRule="auto"/>
        <w:ind w:left="720"/>
        <w:jc w:val="both"/>
        <w:rPr>
          <w:rtl/>
        </w:rPr>
      </w:pPr>
      <w:r>
        <w:rPr>
          <w:rtl/>
        </w:rPr>
        <w:t>"</w:t>
      </w:r>
      <w:r>
        <w:rPr>
          <w:rFonts w:hint="cs"/>
          <w:b/>
          <w:bCs/>
          <w:rtl/>
        </w:rPr>
        <w:t>כן קבעה ההלכה כי בעבירות סמים נסוגים השיקולים האישיים של העבריין מפני שיקולי הנזק הקשה שהשימוש בסם מביא על המשתמשים בו (למשל: פרשת אל מצרי [5], לעיל; פרשת אמזלג [2], לעיל). שומה עליו על בית</w:t>
      </w:r>
      <w:r>
        <w:rPr>
          <w:rFonts w:hint="cs"/>
          <w:b/>
          <w:bCs/>
          <w:position w:val="4"/>
          <w:rtl/>
        </w:rPr>
        <w:t>-</w:t>
      </w:r>
      <w:r>
        <w:rPr>
          <w:rFonts w:hint="cs"/>
          <w:b/>
          <w:bCs/>
          <w:rtl/>
        </w:rPr>
        <w:t>המשפט לשקול את הפגיעה הקשה בצרכני הסם – צרכנים קיימים וצרכנים פוטנציאליים – לרבות גרירתם לביצוען של עבירות פליליות לצורך מימון הסם.</w:t>
      </w:r>
      <w:r>
        <w:rPr>
          <w:rFonts w:hint="cs"/>
          <w:rtl/>
        </w:rPr>
        <w:t>".</w:t>
      </w:r>
    </w:p>
    <w:p w14:paraId="226C8F62" w14:textId="77777777" w:rsidR="006918C7" w:rsidRDefault="006918C7">
      <w:pPr>
        <w:spacing w:line="360" w:lineRule="auto"/>
        <w:ind w:left="720"/>
        <w:jc w:val="both"/>
        <w:rPr>
          <w:rtl/>
        </w:rPr>
      </w:pPr>
    </w:p>
    <w:p w14:paraId="39C55FF8" w14:textId="77777777" w:rsidR="006918C7" w:rsidRDefault="00881C2F">
      <w:pPr>
        <w:spacing w:line="360" w:lineRule="auto"/>
        <w:ind w:left="720"/>
        <w:jc w:val="both"/>
        <w:rPr>
          <w:rtl/>
        </w:rPr>
      </w:pPr>
      <w:r>
        <w:rPr>
          <w:rFonts w:hint="cs"/>
          <w:rtl/>
        </w:rPr>
        <w:t xml:space="preserve">ראו עוד לעניין זה: </w:t>
      </w:r>
      <w:hyperlink r:id="rId62" w:history="1">
        <w:r w:rsidRPr="00881C2F">
          <w:rPr>
            <w:color w:val="0000FF"/>
            <w:u w:val="single"/>
            <w:rtl/>
          </w:rPr>
          <w:t>ע"פ 211/09</w:t>
        </w:r>
      </w:hyperlink>
      <w:r>
        <w:rPr>
          <w:rFonts w:hint="cs"/>
          <w:rtl/>
        </w:rPr>
        <w:t xml:space="preserve"> </w:t>
      </w:r>
      <w:r>
        <w:rPr>
          <w:rFonts w:hint="cs"/>
          <w:b/>
          <w:bCs/>
          <w:u w:val="single"/>
          <w:rtl/>
        </w:rPr>
        <w:t>אזולאי נ' מדינת ישראל</w:t>
      </w:r>
      <w:r>
        <w:rPr>
          <w:rFonts w:hint="cs"/>
          <w:rtl/>
        </w:rPr>
        <w:t xml:space="preserve"> [פורסם בנוב, 22.6.10];</w:t>
      </w:r>
    </w:p>
    <w:p w14:paraId="63FF7DDD" w14:textId="77777777" w:rsidR="006918C7" w:rsidRDefault="00881C2F">
      <w:pPr>
        <w:spacing w:line="360" w:lineRule="auto"/>
        <w:ind w:left="720"/>
        <w:jc w:val="both"/>
        <w:rPr>
          <w:rtl/>
        </w:rPr>
      </w:pPr>
      <w:hyperlink r:id="rId63" w:history="1">
        <w:r w:rsidRPr="00881C2F">
          <w:rPr>
            <w:color w:val="0000FF"/>
            <w:u w:val="single"/>
            <w:rtl/>
          </w:rPr>
          <w:t>ע"פ 7070/03</w:t>
        </w:r>
      </w:hyperlink>
      <w:r>
        <w:rPr>
          <w:rFonts w:hint="cs"/>
          <w:rtl/>
        </w:rPr>
        <w:t xml:space="preserve"> </w:t>
      </w:r>
      <w:r>
        <w:rPr>
          <w:rFonts w:hint="cs"/>
          <w:b/>
          <w:bCs/>
          <w:u w:val="single"/>
          <w:rtl/>
        </w:rPr>
        <w:t>זניד נ' מדינת ישראל</w:t>
      </w:r>
      <w:r>
        <w:rPr>
          <w:rFonts w:hint="cs"/>
          <w:rtl/>
        </w:rPr>
        <w:t xml:space="preserve"> [פורסם בנבו 5.9.05]. </w:t>
      </w:r>
    </w:p>
    <w:p w14:paraId="5B8C8025" w14:textId="77777777" w:rsidR="006918C7" w:rsidRDefault="006918C7">
      <w:pPr>
        <w:spacing w:line="360" w:lineRule="auto"/>
        <w:ind w:left="720" w:hanging="720"/>
        <w:jc w:val="both"/>
        <w:rPr>
          <w:rtl/>
        </w:rPr>
      </w:pPr>
    </w:p>
    <w:p w14:paraId="381CE4C2" w14:textId="77777777" w:rsidR="006918C7" w:rsidRDefault="00881C2F">
      <w:pPr>
        <w:spacing w:line="360" w:lineRule="auto"/>
        <w:ind w:left="720" w:hanging="720"/>
        <w:jc w:val="both"/>
        <w:rPr>
          <w:rtl/>
        </w:rPr>
      </w:pPr>
      <w:r>
        <w:rPr>
          <w:rFonts w:hint="cs"/>
          <w:rtl/>
        </w:rPr>
        <w:t>51.</w:t>
      </w:r>
      <w:r>
        <w:rPr>
          <w:rFonts w:hint="cs"/>
          <w:rtl/>
        </w:rPr>
        <w:tab/>
        <w:t xml:space="preserve">במקרה הנדון, במסגרת בחינת נסיבות ביצוע העבירות של סחר בסם מסוכן על ידי הנאשם, כאמור </w:t>
      </w:r>
      <w:hyperlink r:id="rId64" w:history="1">
        <w:r w:rsidR="00B30B01" w:rsidRPr="00B30B01">
          <w:rPr>
            <w:color w:val="0000FF"/>
            <w:u w:val="single"/>
            <w:rtl/>
          </w:rPr>
          <w:t>בסעיף 40ט</w:t>
        </w:r>
      </w:hyperlink>
      <w:r>
        <w:rPr>
          <w:rFonts w:hint="cs"/>
          <w:rtl/>
        </w:rPr>
        <w:t xml:space="preserve"> ל</w:t>
      </w:r>
      <w:hyperlink r:id="rId65" w:history="1">
        <w:r w:rsidRPr="00881C2F">
          <w:rPr>
            <w:color w:val="0000FF"/>
            <w:u w:val="single"/>
            <w:rtl/>
          </w:rPr>
          <w:t>חוק העונשין</w:t>
        </w:r>
      </w:hyperlink>
      <w:r>
        <w:rPr>
          <w:rFonts w:hint="cs"/>
          <w:rtl/>
        </w:rPr>
        <w:t xml:space="preserve">, יש להתייחס לעובדה כי בשתי העסקאות מדובר בסחר של כמות לא מבוטלת של כדורי אקסטזי – כ- 293 כדורים בכל עסקה ובסך הכל 585 כדורים, וכן יש לתת את הדעת לחלקו הדומיננטי של הנאשם בביצוע העבירות. </w:t>
      </w:r>
    </w:p>
    <w:p w14:paraId="4780ADBC" w14:textId="77777777" w:rsidR="006918C7" w:rsidRDefault="006918C7">
      <w:pPr>
        <w:spacing w:line="360" w:lineRule="auto"/>
        <w:ind w:left="720"/>
        <w:jc w:val="both"/>
        <w:rPr>
          <w:rtl/>
        </w:rPr>
      </w:pPr>
    </w:p>
    <w:p w14:paraId="2E95D52C" w14:textId="77777777" w:rsidR="006918C7" w:rsidRDefault="00881C2F">
      <w:pPr>
        <w:spacing w:line="360" w:lineRule="auto"/>
        <w:ind w:left="720"/>
        <w:jc w:val="both"/>
        <w:rPr>
          <w:rFonts w:ascii="Calibri" w:eastAsia="Calibri" w:hAnsi="Calibri"/>
          <w:rtl/>
        </w:rPr>
      </w:pPr>
      <w:r>
        <w:rPr>
          <w:rFonts w:hint="cs"/>
          <w:rtl/>
        </w:rPr>
        <w:t xml:space="preserve">אמנם  יש לתת משקל מסוים לעובדה כי הסוכן פנה אל הנאשם, על אף שזה האחרון לא היה במסגרת רשימת היעדים של המאשימה, וכן לעובדה כי תחילה ניסה הנאשם להפנות את הסוכן לגורם אחר שיספק לו את הסם. עם זאת,  בסופו של יום,  הנאשם הוא זה שבפועל ביצע את שתי עסקאות הסם, וקשה לייחס משקל משמעותי לעניין פנייתו של הסוכן אליו, מקום בו לאחר העסקה הראשונה הנאשם חוזר ומבצע עבירה נוספת של סחר בסם תוך שהוא גורף לכיסו את התמורה ששולמה על ידי הסוכן בגין הסם שסופק לו על ידי הנאשם בשתי העסקאות. </w:t>
      </w:r>
    </w:p>
    <w:p w14:paraId="451FC496" w14:textId="77777777" w:rsidR="006918C7" w:rsidRDefault="006918C7">
      <w:pPr>
        <w:spacing w:line="360" w:lineRule="auto"/>
        <w:ind w:left="720" w:hanging="720"/>
        <w:jc w:val="both"/>
        <w:rPr>
          <w:rtl/>
        </w:rPr>
      </w:pPr>
    </w:p>
    <w:p w14:paraId="6EC592E5" w14:textId="77777777" w:rsidR="006918C7" w:rsidRDefault="00881C2F">
      <w:pPr>
        <w:spacing w:line="360" w:lineRule="auto"/>
        <w:ind w:left="720" w:hanging="720"/>
        <w:jc w:val="both"/>
        <w:rPr>
          <w:rtl/>
        </w:rPr>
      </w:pPr>
      <w:r>
        <w:rPr>
          <w:rFonts w:hint="cs"/>
          <w:rtl/>
        </w:rPr>
        <w:t>52.</w:t>
      </w:r>
      <w:r>
        <w:rPr>
          <w:rFonts w:hint="cs"/>
          <w:rtl/>
        </w:rPr>
        <w:tab/>
        <w:t>בנסיבות המקרה דנן, לאחר שעיינתי בפסיקה אליה הפנו אותי באי כוח שני הצדדים מזה ומזה, בשים לב לחלקו של הנאשם בביצוע העבירות נשוא כתב האישום המתוקן, לטיב העבירות ולכמות הסם, לאור מדיניות הענישה הנוהגת והיחס ההולם בינה לבין העבירות שבוצעו על ידי הנאשם באתי לכלל מסקנה כי מתחם העונש ההולם לעבירה של סחר בסם מסוכן נע בין 18 ל- 40 חודשי מאסר בפועל, בגין כל אירוע.</w:t>
      </w:r>
    </w:p>
    <w:p w14:paraId="2CA14451" w14:textId="77777777" w:rsidR="006918C7" w:rsidRDefault="006918C7">
      <w:pPr>
        <w:spacing w:line="360" w:lineRule="auto"/>
        <w:ind w:left="720" w:hanging="720"/>
        <w:jc w:val="both"/>
        <w:rPr>
          <w:b/>
          <w:bCs/>
          <w:u w:val="single"/>
          <w:rtl/>
        </w:rPr>
      </w:pPr>
    </w:p>
    <w:p w14:paraId="41C6AB45" w14:textId="77777777" w:rsidR="006918C7" w:rsidRDefault="00881C2F">
      <w:pPr>
        <w:spacing w:line="360" w:lineRule="auto"/>
        <w:ind w:left="720" w:hanging="720"/>
        <w:jc w:val="both"/>
        <w:rPr>
          <w:b/>
          <w:bCs/>
          <w:u w:val="single"/>
          <w:rtl/>
        </w:rPr>
      </w:pPr>
      <w:r>
        <w:rPr>
          <w:rFonts w:hint="cs"/>
          <w:b/>
          <w:bCs/>
          <w:u w:val="single"/>
          <w:rtl/>
        </w:rPr>
        <w:t>גזירת עונשו של הנאשם:</w:t>
      </w:r>
    </w:p>
    <w:p w14:paraId="7DA559B8" w14:textId="77777777" w:rsidR="006918C7" w:rsidRDefault="006918C7">
      <w:pPr>
        <w:pStyle w:val="Ruller4"/>
        <w:numPr>
          <w:ilvl w:val="0"/>
          <w:numId w:val="0"/>
        </w:numPr>
        <w:ind w:left="800" w:hanging="800"/>
        <w:rPr>
          <w:rFonts w:cs="David"/>
          <w:sz w:val="24"/>
          <w:szCs w:val="24"/>
          <w:rtl/>
        </w:rPr>
      </w:pPr>
    </w:p>
    <w:p w14:paraId="4B6FD803" w14:textId="77777777" w:rsidR="006918C7" w:rsidRDefault="00881C2F">
      <w:pPr>
        <w:pStyle w:val="Ruller4"/>
        <w:numPr>
          <w:ilvl w:val="0"/>
          <w:numId w:val="0"/>
        </w:numPr>
        <w:ind w:left="800" w:hanging="800"/>
        <w:rPr>
          <w:rFonts w:cs="David"/>
          <w:sz w:val="24"/>
          <w:szCs w:val="24"/>
          <w:rtl/>
        </w:rPr>
      </w:pPr>
      <w:r>
        <w:rPr>
          <w:rFonts w:cs="David" w:hint="cs"/>
          <w:sz w:val="24"/>
          <w:szCs w:val="24"/>
          <w:rtl/>
        </w:rPr>
        <w:t>53.</w:t>
      </w:r>
      <w:r>
        <w:rPr>
          <w:rFonts w:cs="David" w:hint="cs"/>
          <w:sz w:val="24"/>
          <w:szCs w:val="24"/>
          <w:rtl/>
        </w:rPr>
        <w:tab/>
        <w:t xml:space="preserve">גזירת עונשו של הנאשם בתוך מתחם העונש שנקבע, תעשה בהתחשב בנסיבות נוספות שאינן קשורות בביצוע העבירה, בהתאם להוראת </w:t>
      </w:r>
      <w:hyperlink r:id="rId66" w:history="1">
        <w:r w:rsidR="00B30B01" w:rsidRPr="00B30B01">
          <w:rPr>
            <w:rFonts w:cs="David" w:hint="eastAsia"/>
            <w:color w:val="0000FF"/>
            <w:sz w:val="24"/>
            <w:szCs w:val="24"/>
            <w:u w:val="single"/>
            <w:rtl/>
          </w:rPr>
          <w:t>סעיף</w:t>
        </w:r>
        <w:r w:rsidR="00B30B01" w:rsidRPr="00B30B01">
          <w:rPr>
            <w:rFonts w:cs="David"/>
            <w:color w:val="0000FF"/>
            <w:sz w:val="24"/>
            <w:szCs w:val="24"/>
            <w:u w:val="single"/>
            <w:rtl/>
          </w:rPr>
          <w:t xml:space="preserve"> 40</w:t>
        </w:r>
        <w:r w:rsidR="00B30B01" w:rsidRPr="00B30B01">
          <w:rPr>
            <w:rFonts w:cs="David" w:hint="eastAsia"/>
            <w:color w:val="0000FF"/>
            <w:sz w:val="24"/>
            <w:szCs w:val="24"/>
            <w:u w:val="single"/>
            <w:rtl/>
          </w:rPr>
          <w:t>יא</w:t>
        </w:r>
      </w:hyperlink>
      <w:r>
        <w:rPr>
          <w:rFonts w:cs="David" w:hint="cs"/>
          <w:sz w:val="24"/>
          <w:szCs w:val="24"/>
          <w:rtl/>
        </w:rPr>
        <w:t xml:space="preserve"> ל</w:t>
      </w:r>
      <w:hyperlink r:id="rId67" w:history="1">
        <w:r w:rsidRPr="00881C2F">
          <w:rPr>
            <w:rFonts w:cs="David" w:hint="eastAsia"/>
            <w:color w:val="0000FF"/>
            <w:sz w:val="24"/>
            <w:szCs w:val="24"/>
            <w:u w:val="single"/>
            <w:rtl/>
          </w:rPr>
          <w:t>חוק</w:t>
        </w:r>
        <w:r w:rsidRPr="00881C2F">
          <w:rPr>
            <w:rFonts w:cs="David"/>
            <w:color w:val="0000FF"/>
            <w:sz w:val="24"/>
            <w:szCs w:val="24"/>
            <w:u w:val="single"/>
            <w:rtl/>
          </w:rPr>
          <w:t xml:space="preserve"> </w:t>
        </w:r>
        <w:r w:rsidRPr="00881C2F">
          <w:rPr>
            <w:rFonts w:cs="David" w:hint="eastAsia"/>
            <w:color w:val="0000FF"/>
            <w:sz w:val="24"/>
            <w:szCs w:val="24"/>
            <w:u w:val="single"/>
            <w:rtl/>
          </w:rPr>
          <w:t>העונשין</w:t>
        </w:r>
      </w:hyperlink>
      <w:r>
        <w:rPr>
          <w:rFonts w:cs="David" w:hint="cs"/>
          <w:sz w:val="24"/>
          <w:szCs w:val="24"/>
          <w:rtl/>
        </w:rPr>
        <w:t xml:space="preserve">. </w:t>
      </w:r>
    </w:p>
    <w:p w14:paraId="1CBEC1C9" w14:textId="77777777" w:rsidR="006918C7" w:rsidRDefault="006918C7">
      <w:pPr>
        <w:pStyle w:val="Ruller41"/>
        <w:rPr>
          <w:rFonts w:eastAsia="Calibri"/>
          <w:rtl/>
        </w:rPr>
      </w:pPr>
    </w:p>
    <w:p w14:paraId="5D1CF590" w14:textId="77777777" w:rsidR="006918C7" w:rsidRDefault="00881C2F">
      <w:pPr>
        <w:pStyle w:val="Ruller41"/>
        <w:ind w:left="800" w:hanging="800"/>
        <w:rPr>
          <w:rFonts w:cs="David"/>
          <w:sz w:val="24"/>
          <w:szCs w:val="24"/>
          <w:rtl/>
        </w:rPr>
      </w:pPr>
      <w:r>
        <w:rPr>
          <w:rFonts w:cs="David" w:hint="cs"/>
          <w:sz w:val="24"/>
          <w:szCs w:val="24"/>
          <w:rtl/>
        </w:rPr>
        <w:tab/>
        <w:t xml:space="preserve">בית המשפט ייקח בחשבון במסגרת שיקולי קביעת עונשו של הנאשם שבפניו גם את נסיבותיו האישיות של הנאשם. </w:t>
      </w:r>
    </w:p>
    <w:p w14:paraId="3B058255" w14:textId="77777777" w:rsidR="006918C7" w:rsidRDefault="006918C7">
      <w:pPr>
        <w:pStyle w:val="Ruller41"/>
        <w:rPr>
          <w:rFonts w:cs="David"/>
          <w:sz w:val="24"/>
          <w:szCs w:val="24"/>
          <w:rtl/>
        </w:rPr>
      </w:pPr>
    </w:p>
    <w:p w14:paraId="5D65DBBB" w14:textId="77777777" w:rsidR="006918C7" w:rsidRDefault="00881C2F">
      <w:pPr>
        <w:pStyle w:val="Ruller41"/>
        <w:ind w:left="800" w:hanging="800"/>
        <w:rPr>
          <w:rFonts w:cs="David"/>
          <w:sz w:val="24"/>
          <w:szCs w:val="24"/>
          <w:rtl/>
        </w:rPr>
      </w:pPr>
      <w:r>
        <w:rPr>
          <w:rFonts w:cs="David" w:hint="cs"/>
          <w:sz w:val="24"/>
          <w:szCs w:val="24"/>
          <w:rtl/>
        </w:rPr>
        <w:t>54.</w:t>
      </w:r>
      <w:r>
        <w:rPr>
          <w:rFonts w:cs="David" w:hint="cs"/>
          <w:sz w:val="24"/>
          <w:szCs w:val="24"/>
          <w:rtl/>
        </w:rPr>
        <w:tab/>
        <w:t>אין ספק בליבי כי נסיבותיו האישיות של הנאשם שבפני – אינן פשוטות ומשקל לא מבוטל ניתן להן על ידי בבואי לגזור את עונשו של הנאשם.</w:t>
      </w:r>
    </w:p>
    <w:p w14:paraId="27AB8182" w14:textId="77777777" w:rsidR="006918C7" w:rsidRDefault="006918C7">
      <w:pPr>
        <w:pStyle w:val="Ruller41"/>
        <w:ind w:left="800" w:hanging="800"/>
        <w:rPr>
          <w:rFonts w:cs="David"/>
          <w:sz w:val="24"/>
          <w:szCs w:val="24"/>
          <w:rtl/>
        </w:rPr>
      </w:pPr>
    </w:p>
    <w:p w14:paraId="79941344" w14:textId="77777777" w:rsidR="006918C7" w:rsidRDefault="00881C2F">
      <w:pPr>
        <w:pStyle w:val="Ruller41"/>
        <w:ind w:left="800" w:hanging="800"/>
        <w:rPr>
          <w:rFonts w:cs="David"/>
          <w:sz w:val="24"/>
          <w:szCs w:val="24"/>
          <w:rtl/>
        </w:rPr>
      </w:pPr>
      <w:r>
        <w:rPr>
          <w:rFonts w:cs="David" w:hint="cs"/>
          <w:sz w:val="24"/>
          <w:szCs w:val="24"/>
          <w:rtl/>
        </w:rPr>
        <w:tab/>
        <w:t>לקחתי בחשבון את גילו הצעיר יחסית של הנאשם, את העובדה כי תרם כליה לאביו ואת מצבו הבריאותי בעקבות זאת. נתתי משקל להשפעה המאסיבית שתהא על בני משפחתו של הנאשם, ובמיוחד על אביו, בשל העונש שיוטל עליו.</w:t>
      </w:r>
    </w:p>
    <w:p w14:paraId="40B41D00" w14:textId="77777777" w:rsidR="006918C7" w:rsidRDefault="00881C2F">
      <w:pPr>
        <w:pStyle w:val="Ruller41"/>
        <w:ind w:left="800" w:hanging="800"/>
        <w:rPr>
          <w:rFonts w:cs="David"/>
          <w:sz w:val="24"/>
          <w:szCs w:val="24"/>
          <w:rtl/>
        </w:rPr>
      </w:pPr>
      <w:r>
        <w:rPr>
          <w:rFonts w:cs="David" w:hint="cs"/>
          <w:sz w:val="24"/>
          <w:szCs w:val="24"/>
          <w:rtl/>
        </w:rPr>
        <w:t xml:space="preserve"> </w:t>
      </w:r>
    </w:p>
    <w:p w14:paraId="58C9683C" w14:textId="77777777" w:rsidR="006918C7" w:rsidRDefault="00881C2F">
      <w:pPr>
        <w:pStyle w:val="Ruller41"/>
        <w:ind w:left="800" w:hanging="800"/>
        <w:rPr>
          <w:rFonts w:cs="David"/>
          <w:sz w:val="24"/>
          <w:szCs w:val="24"/>
          <w:rtl/>
        </w:rPr>
      </w:pPr>
      <w:r>
        <w:rPr>
          <w:rFonts w:cs="David" w:hint="cs"/>
          <w:sz w:val="24"/>
          <w:szCs w:val="24"/>
          <w:rtl/>
        </w:rPr>
        <w:tab/>
        <w:t xml:space="preserve">לקחתי בחשבון לקולא את הודייתו של הנאשם ובשלב מוקדם יחסית, ואף באופן ספונטני, בלא תיאום מראש עם סניגורו, מתוך רצון לחסוך בזמן שיפוטי ומתוך חרטה כנה, נטילת אחריות על מעשיו והכרה כי עליו לשלם על טעותו. משקל ניתן גם לדברים הנרגשים שנאמרו בעניינו של הנאשם על ידי אביו, על הקורבן האישי שהקריב למענו בנפש חפצה וללא היסוס. </w:t>
      </w:r>
    </w:p>
    <w:p w14:paraId="41B09A77" w14:textId="77777777" w:rsidR="006918C7" w:rsidRDefault="006918C7">
      <w:pPr>
        <w:pStyle w:val="Ruller41"/>
        <w:ind w:left="800" w:hanging="800"/>
        <w:rPr>
          <w:rFonts w:cs="David"/>
          <w:sz w:val="24"/>
          <w:szCs w:val="24"/>
          <w:rtl/>
        </w:rPr>
      </w:pPr>
    </w:p>
    <w:p w14:paraId="2F22AAD0" w14:textId="77777777" w:rsidR="006918C7" w:rsidRDefault="00881C2F">
      <w:pPr>
        <w:pStyle w:val="Ruller41"/>
        <w:ind w:left="800" w:hanging="800"/>
        <w:rPr>
          <w:rFonts w:cs="David"/>
          <w:sz w:val="24"/>
          <w:szCs w:val="24"/>
          <w:rtl/>
        </w:rPr>
      </w:pPr>
      <w:r>
        <w:rPr>
          <w:rFonts w:cs="David" w:hint="cs"/>
          <w:sz w:val="24"/>
          <w:szCs w:val="24"/>
          <w:rtl/>
        </w:rPr>
        <w:tab/>
        <w:t xml:space="preserve">נתתי דעתי לעובדה כי הנאשם היה בעיצומו של הליך שיקום, בעקבות הרשעתו בעבירת אלימות במשפחה בבית משפט השלום בקריות, וכי על פני הדברים נראה כי הכיוון אליו שם הנאשם פעמיו הוא כיוון של חזרה למוטב ונטישת אורח חייו הקודם, כשהוא שם בראש מעייניו את טובתה של בתו הקטינה ושל הוריו. </w:t>
      </w:r>
    </w:p>
    <w:p w14:paraId="5FFFB066" w14:textId="77777777" w:rsidR="006918C7" w:rsidRDefault="00881C2F">
      <w:pPr>
        <w:pStyle w:val="Ruller41"/>
        <w:ind w:left="800" w:hanging="800"/>
        <w:rPr>
          <w:rFonts w:cs="David"/>
          <w:sz w:val="24"/>
          <w:szCs w:val="24"/>
          <w:rtl/>
        </w:rPr>
      </w:pPr>
      <w:r>
        <w:rPr>
          <w:rFonts w:cs="David" w:hint="cs"/>
          <w:sz w:val="24"/>
          <w:szCs w:val="24"/>
          <w:rtl/>
        </w:rPr>
        <w:tab/>
      </w:r>
    </w:p>
    <w:p w14:paraId="6F1F13CA" w14:textId="77777777" w:rsidR="006918C7" w:rsidRDefault="00881C2F">
      <w:pPr>
        <w:pStyle w:val="Ruller41"/>
        <w:ind w:left="800" w:hanging="800"/>
        <w:rPr>
          <w:rFonts w:cs="David"/>
          <w:sz w:val="24"/>
          <w:szCs w:val="24"/>
          <w:rtl/>
        </w:rPr>
      </w:pPr>
      <w:r>
        <w:rPr>
          <w:rFonts w:cs="David" w:hint="cs"/>
          <w:sz w:val="24"/>
          <w:szCs w:val="24"/>
          <w:rtl/>
        </w:rPr>
        <w:t>55.</w:t>
      </w:r>
      <w:r>
        <w:rPr>
          <w:rFonts w:cs="David" w:hint="cs"/>
          <w:sz w:val="24"/>
          <w:szCs w:val="24"/>
          <w:rtl/>
        </w:rPr>
        <w:tab/>
        <w:t xml:space="preserve">נתתי אף דעתי לעובדה כי הנאשם שוהה במעצר פרק זמן לא מבוטל, מאז יום 19.4.15 וכי ידוע כי תנאי המעצר קשים הם מתנאי מאסר. </w:t>
      </w:r>
    </w:p>
    <w:p w14:paraId="16472B50" w14:textId="77777777" w:rsidR="006918C7" w:rsidRDefault="006918C7">
      <w:pPr>
        <w:pStyle w:val="Ruller41"/>
        <w:ind w:left="800" w:hanging="800"/>
        <w:rPr>
          <w:rFonts w:cs="David"/>
          <w:sz w:val="24"/>
          <w:szCs w:val="24"/>
          <w:rtl/>
        </w:rPr>
      </w:pPr>
    </w:p>
    <w:p w14:paraId="43556A83" w14:textId="77777777" w:rsidR="006918C7" w:rsidRDefault="00881C2F">
      <w:pPr>
        <w:pStyle w:val="Ruller41"/>
        <w:ind w:left="800" w:hanging="800"/>
        <w:rPr>
          <w:rFonts w:cs="David"/>
          <w:sz w:val="24"/>
          <w:szCs w:val="24"/>
          <w:rtl/>
        </w:rPr>
      </w:pPr>
      <w:r>
        <w:rPr>
          <w:rFonts w:cs="David" w:hint="cs"/>
          <w:sz w:val="24"/>
          <w:szCs w:val="24"/>
          <w:rtl/>
        </w:rPr>
        <w:t>56.</w:t>
      </w:r>
      <w:r>
        <w:rPr>
          <w:rFonts w:cs="David" w:hint="cs"/>
          <w:sz w:val="24"/>
          <w:szCs w:val="24"/>
          <w:rtl/>
        </w:rPr>
        <w:tab/>
        <w:t xml:space="preserve"> מנגד, לא ניתן להתעלם מעברו הפלילי של הנאשם, הכולל תשע הרשעות קודמות. לא ניתן גם להתעלם מן העובדה כי הנאשם בחר לבצע את העבירות נשוא כתב האישום המתוקן כאשר מרחפת מעליו הסכנה של הפעלת מאסר מותנה – ועדיין לא נרתע מביצוען. </w:t>
      </w:r>
    </w:p>
    <w:p w14:paraId="3EE4043F" w14:textId="77777777" w:rsidR="006918C7" w:rsidRDefault="006918C7">
      <w:pPr>
        <w:pStyle w:val="Ruller41"/>
        <w:ind w:left="800" w:hanging="800"/>
        <w:rPr>
          <w:rFonts w:cs="David"/>
          <w:sz w:val="24"/>
          <w:szCs w:val="24"/>
          <w:rtl/>
        </w:rPr>
      </w:pPr>
    </w:p>
    <w:p w14:paraId="4C83CADD" w14:textId="77777777" w:rsidR="006918C7" w:rsidRDefault="00881C2F">
      <w:pPr>
        <w:pStyle w:val="Ruller41"/>
        <w:ind w:left="800" w:hanging="800"/>
        <w:rPr>
          <w:rFonts w:cs="David"/>
          <w:b/>
          <w:bCs/>
          <w:sz w:val="24"/>
          <w:szCs w:val="24"/>
          <w:u w:val="single"/>
          <w:rtl/>
        </w:rPr>
      </w:pPr>
      <w:r>
        <w:rPr>
          <w:rFonts w:cs="David" w:hint="cs"/>
          <w:b/>
          <w:bCs/>
          <w:sz w:val="24"/>
          <w:szCs w:val="24"/>
          <w:u w:val="single"/>
          <w:rtl/>
        </w:rPr>
        <w:t>הפעלת המאסר המותנה:</w:t>
      </w:r>
    </w:p>
    <w:p w14:paraId="770A624A" w14:textId="77777777" w:rsidR="006918C7" w:rsidRDefault="006918C7">
      <w:pPr>
        <w:pStyle w:val="Ruller41"/>
        <w:ind w:left="800" w:hanging="800"/>
        <w:rPr>
          <w:rFonts w:cs="David"/>
          <w:b/>
          <w:bCs/>
          <w:sz w:val="24"/>
          <w:szCs w:val="24"/>
          <w:u w:val="single"/>
          <w:rtl/>
        </w:rPr>
      </w:pPr>
    </w:p>
    <w:p w14:paraId="6469A133" w14:textId="77777777" w:rsidR="006918C7" w:rsidRDefault="00881C2F">
      <w:pPr>
        <w:pStyle w:val="Ruller41"/>
        <w:ind w:left="800" w:hanging="800"/>
        <w:rPr>
          <w:rFonts w:cs="David"/>
          <w:sz w:val="24"/>
          <w:szCs w:val="24"/>
          <w:rtl/>
        </w:rPr>
      </w:pPr>
      <w:r>
        <w:rPr>
          <w:rFonts w:cs="David" w:hint="cs"/>
          <w:sz w:val="24"/>
          <w:szCs w:val="24"/>
          <w:rtl/>
        </w:rPr>
        <w:t>57.</w:t>
      </w:r>
      <w:r>
        <w:rPr>
          <w:rFonts w:cs="David" w:hint="cs"/>
          <w:sz w:val="24"/>
          <w:szCs w:val="24"/>
          <w:rtl/>
        </w:rPr>
        <w:tab/>
        <w:t xml:space="preserve">בחנתי את טענות הנאשם באשר להפעלת המאסר המותנה, ואין בידי לקבלן. אמנם, יש ממש בטענה בדבר אופן ניסוחו של עונש המאסר על תנאי שנגזר על הנאשם על ידי בית המשפט המחוזי בבאר שבע (שהוארך על ידי בית משפט השלום בקריות), החל על כל עבירה שהיא פשע. עם זאת, בית משפט זה אינו יושב כערכאת ערעור על בית המשפט המחוזי בבאר שבע. ככל שהנאשם לא ערער על גזר הדין שניתן על ידי בית המשפט המחוזי בבאר שבע - עומד על כנו עונש המאסר על תנאי כמות שנוסח. </w:t>
      </w:r>
    </w:p>
    <w:p w14:paraId="435A0628" w14:textId="77777777" w:rsidR="006918C7" w:rsidRDefault="006918C7">
      <w:pPr>
        <w:pStyle w:val="Ruller41"/>
        <w:ind w:left="800" w:hanging="800"/>
        <w:rPr>
          <w:rFonts w:cs="David"/>
          <w:sz w:val="24"/>
          <w:szCs w:val="24"/>
          <w:rtl/>
        </w:rPr>
      </w:pPr>
    </w:p>
    <w:p w14:paraId="6FAB0432" w14:textId="77777777" w:rsidR="006918C7" w:rsidRDefault="00881C2F">
      <w:pPr>
        <w:pStyle w:val="Ruller41"/>
        <w:ind w:left="800" w:hanging="800"/>
        <w:rPr>
          <w:rFonts w:cs="David"/>
          <w:sz w:val="24"/>
          <w:szCs w:val="24"/>
          <w:rtl/>
        </w:rPr>
      </w:pPr>
      <w:r>
        <w:rPr>
          <w:rFonts w:cs="David" w:hint="cs"/>
          <w:sz w:val="24"/>
          <w:szCs w:val="24"/>
          <w:rtl/>
        </w:rPr>
        <w:t>58.</w:t>
      </w:r>
      <w:r>
        <w:rPr>
          <w:rFonts w:cs="David" w:hint="cs"/>
          <w:sz w:val="24"/>
          <w:szCs w:val="24"/>
          <w:rtl/>
        </w:rPr>
        <w:tab/>
        <w:t xml:space="preserve">על כן, משהוארך עונש המאסר על תנאי על ידי בית משפט השלום בקריות במסגרת </w:t>
      </w:r>
      <w:hyperlink r:id="rId68" w:history="1">
        <w:r w:rsidRPr="00881C2F">
          <w:rPr>
            <w:rFonts w:cs="David" w:hint="eastAsia"/>
            <w:color w:val="0000FF"/>
            <w:sz w:val="24"/>
            <w:szCs w:val="24"/>
            <w:u w:val="single"/>
            <w:rtl/>
          </w:rPr>
          <w:t>ת</w:t>
        </w:r>
        <w:r w:rsidRPr="00881C2F">
          <w:rPr>
            <w:rFonts w:cs="David"/>
            <w:color w:val="0000FF"/>
            <w:sz w:val="24"/>
            <w:szCs w:val="24"/>
            <w:u w:val="single"/>
            <w:rtl/>
          </w:rPr>
          <w:t>"</w:t>
        </w:r>
        <w:r w:rsidRPr="00881C2F">
          <w:rPr>
            <w:rFonts w:cs="David" w:hint="eastAsia"/>
            <w:color w:val="0000FF"/>
            <w:sz w:val="24"/>
            <w:szCs w:val="24"/>
            <w:u w:val="single"/>
            <w:rtl/>
          </w:rPr>
          <w:t>פ</w:t>
        </w:r>
        <w:r w:rsidRPr="00881C2F">
          <w:rPr>
            <w:rFonts w:cs="David"/>
            <w:color w:val="0000FF"/>
            <w:sz w:val="24"/>
            <w:szCs w:val="24"/>
            <w:u w:val="single"/>
            <w:rtl/>
          </w:rPr>
          <w:t xml:space="preserve"> 18702-02-13</w:t>
        </w:r>
      </w:hyperlink>
      <w:r>
        <w:rPr>
          <w:rFonts w:cs="David" w:hint="cs"/>
          <w:sz w:val="24"/>
          <w:szCs w:val="24"/>
          <w:rtl/>
        </w:rPr>
        <w:t xml:space="preserve">, ולאור הוראות </w:t>
      </w:r>
      <w:hyperlink r:id="rId69" w:history="1">
        <w:r w:rsidR="00B30B01" w:rsidRPr="00B30B01">
          <w:rPr>
            <w:rFonts w:cs="David" w:hint="eastAsia"/>
            <w:color w:val="0000FF"/>
            <w:sz w:val="24"/>
            <w:szCs w:val="24"/>
            <w:u w:val="single"/>
            <w:rtl/>
          </w:rPr>
          <w:t>סעיפים</w:t>
        </w:r>
        <w:r w:rsidR="00B30B01" w:rsidRPr="00B30B01">
          <w:rPr>
            <w:rFonts w:cs="David"/>
            <w:color w:val="0000FF"/>
            <w:sz w:val="24"/>
            <w:szCs w:val="24"/>
            <w:u w:val="single"/>
            <w:rtl/>
          </w:rPr>
          <w:t xml:space="preserve"> 55</w:t>
        </w:r>
      </w:hyperlink>
      <w:r>
        <w:rPr>
          <w:rFonts w:cs="David" w:hint="cs"/>
          <w:sz w:val="24"/>
          <w:szCs w:val="24"/>
          <w:rtl/>
        </w:rPr>
        <w:t xml:space="preserve"> ו- </w:t>
      </w:r>
      <w:hyperlink r:id="rId70" w:history="1">
        <w:r w:rsidR="00B30B01" w:rsidRPr="00B30B01">
          <w:rPr>
            <w:rFonts w:cs="David"/>
            <w:color w:val="0000FF"/>
            <w:sz w:val="24"/>
            <w:szCs w:val="24"/>
            <w:u w:val="single"/>
            <w:rtl/>
          </w:rPr>
          <w:t>56(</w:t>
        </w:r>
        <w:r w:rsidR="00B30B01" w:rsidRPr="00B30B01">
          <w:rPr>
            <w:rFonts w:cs="David" w:hint="eastAsia"/>
            <w:color w:val="0000FF"/>
            <w:sz w:val="24"/>
            <w:szCs w:val="24"/>
            <w:u w:val="single"/>
            <w:rtl/>
          </w:rPr>
          <w:t>ב</w:t>
        </w:r>
        <w:r w:rsidR="00B30B01" w:rsidRPr="00B30B01">
          <w:rPr>
            <w:rFonts w:cs="David"/>
            <w:color w:val="0000FF"/>
            <w:sz w:val="24"/>
            <w:szCs w:val="24"/>
            <w:u w:val="single"/>
            <w:rtl/>
          </w:rPr>
          <w:t>)</w:t>
        </w:r>
      </w:hyperlink>
      <w:r>
        <w:rPr>
          <w:rFonts w:cs="David" w:hint="cs"/>
          <w:sz w:val="24"/>
          <w:szCs w:val="24"/>
          <w:rtl/>
        </w:rPr>
        <w:t xml:space="preserve"> ל</w:t>
      </w:r>
      <w:hyperlink r:id="rId71" w:history="1">
        <w:r w:rsidRPr="00881C2F">
          <w:rPr>
            <w:rFonts w:cs="David" w:hint="eastAsia"/>
            <w:color w:val="0000FF"/>
            <w:sz w:val="24"/>
            <w:szCs w:val="24"/>
            <w:u w:val="single"/>
            <w:rtl/>
          </w:rPr>
          <w:t>חוק</w:t>
        </w:r>
        <w:r w:rsidRPr="00881C2F">
          <w:rPr>
            <w:rFonts w:cs="David"/>
            <w:color w:val="0000FF"/>
            <w:sz w:val="24"/>
            <w:szCs w:val="24"/>
            <w:u w:val="single"/>
            <w:rtl/>
          </w:rPr>
          <w:t xml:space="preserve"> </w:t>
        </w:r>
        <w:r w:rsidRPr="00881C2F">
          <w:rPr>
            <w:rFonts w:cs="David" w:hint="eastAsia"/>
            <w:color w:val="0000FF"/>
            <w:sz w:val="24"/>
            <w:szCs w:val="24"/>
            <w:u w:val="single"/>
            <w:rtl/>
          </w:rPr>
          <w:t>העונשין</w:t>
        </w:r>
      </w:hyperlink>
      <w:r>
        <w:rPr>
          <w:rFonts w:cs="David" w:hint="cs"/>
          <w:sz w:val="24"/>
          <w:szCs w:val="24"/>
          <w:rtl/>
        </w:rPr>
        <w:t>, לא נותר לי אלא לקבוע כי עונש המאסר על תנאי בן 12 החודשים הינו חב הפעלה.</w:t>
      </w:r>
    </w:p>
    <w:p w14:paraId="0ECCDFF0" w14:textId="77777777" w:rsidR="006918C7" w:rsidRDefault="006918C7">
      <w:pPr>
        <w:pStyle w:val="Ruller41"/>
        <w:ind w:left="800" w:hanging="800"/>
        <w:rPr>
          <w:rFonts w:cs="David"/>
          <w:sz w:val="24"/>
          <w:szCs w:val="24"/>
          <w:rtl/>
        </w:rPr>
      </w:pPr>
    </w:p>
    <w:p w14:paraId="64B7B1B5" w14:textId="77777777" w:rsidR="006918C7" w:rsidRDefault="00881C2F">
      <w:pPr>
        <w:pStyle w:val="Ruller41"/>
        <w:ind w:left="800" w:hanging="800"/>
        <w:rPr>
          <w:rFonts w:cs="David"/>
          <w:sz w:val="24"/>
          <w:szCs w:val="24"/>
          <w:rtl/>
        </w:rPr>
      </w:pPr>
      <w:r>
        <w:rPr>
          <w:rFonts w:cs="David" w:hint="cs"/>
          <w:sz w:val="24"/>
          <w:szCs w:val="24"/>
          <w:rtl/>
        </w:rPr>
        <w:t>59.</w:t>
      </w:r>
      <w:r>
        <w:rPr>
          <w:rFonts w:cs="David" w:hint="cs"/>
          <w:sz w:val="24"/>
          <w:szCs w:val="24"/>
          <w:rtl/>
        </w:rPr>
        <w:tab/>
        <w:t xml:space="preserve">אלא שבנסיבותיו הקונקרטיות של הנאשם שבפני, תוך שאיני מתעלמת מהאופן שבו נוסח התנאי להפעלת עונש המאסר המותנה שהוטל על הנאשם בבית המשפט המחוזי בבאר שבע, כמו גם מהעובדה כי עונש מותנה זה הוטל בגין הרשעת הנאשם  בעבירות אלימות לפי </w:t>
      </w:r>
      <w:hyperlink r:id="rId72" w:history="1">
        <w:r w:rsidRPr="00881C2F">
          <w:rPr>
            <w:rFonts w:cs="David" w:hint="eastAsia"/>
            <w:color w:val="0000FF"/>
            <w:sz w:val="24"/>
            <w:szCs w:val="24"/>
            <w:u w:val="single"/>
            <w:rtl/>
          </w:rPr>
          <w:t>חוק</w:t>
        </w:r>
        <w:r w:rsidRPr="00881C2F">
          <w:rPr>
            <w:rFonts w:cs="David"/>
            <w:color w:val="0000FF"/>
            <w:sz w:val="24"/>
            <w:szCs w:val="24"/>
            <w:u w:val="single"/>
            <w:rtl/>
          </w:rPr>
          <w:t xml:space="preserve"> </w:t>
        </w:r>
        <w:r w:rsidRPr="00881C2F">
          <w:rPr>
            <w:rFonts w:cs="David" w:hint="eastAsia"/>
            <w:color w:val="0000FF"/>
            <w:sz w:val="24"/>
            <w:szCs w:val="24"/>
            <w:u w:val="single"/>
            <w:rtl/>
          </w:rPr>
          <w:t>העונשין</w:t>
        </w:r>
      </w:hyperlink>
      <w:r>
        <w:rPr>
          <w:rFonts w:cs="David" w:hint="cs"/>
          <w:sz w:val="24"/>
          <w:szCs w:val="24"/>
          <w:rtl/>
        </w:rPr>
        <w:t xml:space="preserve">, ולא בעבירות לפי </w:t>
      </w:r>
      <w:hyperlink r:id="rId73" w:history="1">
        <w:r w:rsidRPr="00881C2F">
          <w:rPr>
            <w:rFonts w:cs="David" w:hint="eastAsia"/>
            <w:color w:val="0000FF"/>
            <w:sz w:val="24"/>
            <w:szCs w:val="24"/>
            <w:u w:val="single"/>
            <w:rtl/>
          </w:rPr>
          <w:t>פקודת</w:t>
        </w:r>
        <w:r w:rsidRPr="00881C2F">
          <w:rPr>
            <w:rFonts w:cs="David"/>
            <w:color w:val="0000FF"/>
            <w:sz w:val="24"/>
            <w:szCs w:val="24"/>
            <w:u w:val="single"/>
            <w:rtl/>
          </w:rPr>
          <w:t xml:space="preserve"> </w:t>
        </w:r>
        <w:r w:rsidRPr="00881C2F">
          <w:rPr>
            <w:rFonts w:cs="David" w:hint="eastAsia"/>
            <w:color w:val="0000FF"/>
            <w:sz w:val="24"/>
            <w:szCs w:val="24"/>
            <w:u w:val="single"/>
            <w:rtl/>
          </w:rPr>
          <w:t>הסמים</w:t>
        </w:r>
        <w:r w:rsidRPr="00881C2F">
          <w:rPr>
            <w:rFonts w:cs="David"/>
            <w:color w:val="0000FF"/>
            <w:sz w:val="24"/>
            <w:szCs w:val="24"/>
            <w:u w:val="single"/>
            <w:rtl/>
          </w:rPr>
          <w:t xml:space="preserve"> </w:t>
        </w:r>
        <w:r w:rsidRPr="00881C2F">
          <w:rPr>
            <w:rFonts w:cs="David" w:hint="eastAsia"/>
            <w:color w:val="0000FF"/>
            <w:sz w:val="24"/>
            <w:szCs w:val="24"/>
            <w:u w:val="single"/>
            <w:rtl/>
          </w:rPr>
          <w:t>המסוכנים</w:t>
        </w:r>
      </w:hyperlink>
      <w:r>
        <w:rPr>
          <w:rFonts w:cs="David" w:hint="cs"/>
          <w:sz w:val="24"/>
          <w:szCs w:val="24"/>
          <w:rtl/>
        </w:rPr>
        <w:t xml:space="preserve"> – מצאתי לנכון לקבוע, כי מרביתה של תקופת המאסר המותנה שהוטלה על הנאשם תופעל בחופף לעונש שייגזר עליו בגין העבירות דנן, ואילו מיעוטה תופעל במצטבר. </w:t>
      </w:r>
    </w:p>
    <w:p w14:paraId="76295D71" w14:textId="77777777" w:rsidR="006918C7" w:rsidRDefault="006918C7">
      <w:pPr>
        <w:pStyle w:val="Ruller41"/>
        <w:ind w:left="800" w:hanging="800"/>
        <w:rPr>
          <w:rFonts w:cs="David"/>
          <w:b/>
          <w:bCs/>
          <w:sz w:val="24"/>
          <w:szCs w:val="24"/>
          <w:u w:val="single"/>
          <w:rtl/>
        </w:rPr>
      </w:pPr>
    </w:p>
    <w:p w14:paraId="2BF2BF73" w14:textId="77777777" w:rsidR="006918C7" w:rsidRDefault="00881C2F">
      <w:pPr>
        <w:spacing w:line="360" w:lineRule="auto"/>
        <w:ind w:left="720" w:hanging="720"/>
        <w:jc w:val="both"/>
        <w:rPr>
          <w:b/>
          <w:bCs/>
          <w:u w:val="single"/>
          <w:rtl/>
        </w:rPr>
      </w:pPr>
      <w:r>
        <w:rPr>
          <w:rFonts w:hint="cs"/>
          <w:b/>
          <w:bCs/>
          <w:u w:val="single"/>
          <w:rtl/>
        </w:rPr>
        <w:t>חילוט הכספים שנתפסו:</w:t>
      </w:r>
    </w:p>
    <w:p w14:paraId="1AA75AF3" w14:textId="77777777" w:rsidR="006918C7" w:rsidRDefault="006918C7">
      <w:pPr>
        <w:spacing w:line="360" w:lineRule="auto"/>
        <w:ind w:left="720" w:hanging="720"/>
        <w:jc w:val="both"/>
        <w:rPr>
          <w:b/>
          <w:bCs/>
          <w:u w:val="single"/>
          <w:rtl/>
        </w:rPr>
      </w:pPr>
    </w:p>
    <w:p w14:paraId="2158CA49" w14:textId="77777777" w:rsidR="006918C7" w:rsidRDefault="00881C2F">
      <w:pPr>
        <w:spacing w:line="360" w:lineRule="auto"/>
        <w:ind w:left="720" w:hanging="720"/>
        <w:jc w:val="both"/>
        <w:rPr>
          <w:rtl/>
        </w:rPr>
      </w:pPr>
      <w:r>
        <w:rPr>
          <w:rFonts w:hint="cs"/>
          <w:rtl/>
        </w:rPr>
        <w:t>60.</w:t>
      </w:r>
      <w:r>
        <w:rPr>
          <w:rFonts w:hint="cs"/>
          <w:rtl/>
        </w:rPr>
        <w:tab/>
        <w:t xml:space="preserve">באשר לחילוט הכספים שנתפסו בביתו של הנאשם, שהינו גם בית הוריו, כמו גם הטענות שנשמעו בעניין הקפאת חשבון הבנק של הנאשם - שקלתי את הראיות שהובאו בפני, באמצעות עדות אמו של הנאשם והנאשם, כמו גם מוצגים ת/2-ת/10, ולאחר ששמעתי את טענות הצדדים בעניין זה, ולאור החזקה הקבועה </w:t>
      </w:r>
      <w:hyperlink r:id="rId74" w:history="1">
        <w:r w:rsidR="00B30B01" w:rsidRPr="00B30B01">
          <w:rPr>
            <w:color w:val="0000FF"/>
            <w:u w:val="single"/>
            <w:rtl/>
          </w:rPr>
          <w:t>בסעיף 31(6)</w:t>
        </w:r>
      </w:hyperlink>
      <w:r>
        <w:rPr>
          <w:rFonts w:hint="cs"/>
          <w:rtl/>
        </w:rPr>
        <w:t xml:space="preserve"> ל</w:t>
      </w:r>
      <w:hyperlink r:id="rId75" w:history="1">
        <w:r w:rsidRPr="00881C2F">
          <w:rPr>
            <w:color w:val="0000FF"/>
            <w:u w:val="single"/>
            <w:rtl/>
          </w:rPr>
          <w:t>פקודת הסמים המסוכנים</w:t>
        </w:r>
      </w:hyperlink>
      <w:r>
        <w:rPr>
          <w:rFonts w:hint="cs"/>
          <w:rtl/>
        </w:rPr>
        <w:t xml:space="preserve"> אני קובעת כי  הסכומים בשטרות במזומן שנתפסו על ידי המאשימה, הכוללים  מזומן בש"ח בסכום של 4,920 ₪  ו- 140$, וסך של 3,001 ₪ המופקד בבנק הפועלים בחשבון 687253 על שם הנאשם – יחולטו לטובת אוצר המדינה. </w:t>
      </w:r>
    </w:p>
    <w:p w14:paraId="66551A39" w14:textId="77777777" w:rsidR="006918C7" w:rsidRDefault="006918C7">
      <w:pPr>
        <w:spacing w:line="360" w:lineRule="auto"/>
        <w:ind w:left="720" w:hanging="720"/>
        <w:jc w:val="both"/>
        <w:rPr>
          <w:rtl/>
        </w:rPr>
      </w:pPr>
    </w:p>
    <w:p w14:paraId="69DBF663" w14:textId="77777777" w:rsidR="006918C7" w:rsidRDefault="00881C2F">
      <w:pPr>
        <w:spacing w:line="360" w:lineRule="auto"/>
        <w:ind w:left="720" w:hanging="720"/>
        <w:jc w:val="both"/>
        <w:rPr>
          <w:rtl/>
        </w:rPr>
      </w:pPr>
      <w:r>
        <w:rPr>
          <w:rFonts w:hint="cs"/>
          <w:rtl/>
        </w:rPr>
        <w:t>61.</w:t>
      </w:r>
      <w:r>
        <w:rPr>
          <w:rFonts w:hint="cs"/>
          <w:rtl/>
        </w:rPr>
        <w:tab/>
        <w:t xml:space="preserve">לגבי יתרת הכספים, קרי סכום הכסף במזומן שנתפס במטבעות של 5 ₪ ו- 10 ₪, המסתכם בסכום של 5,105 ₪, וביחס לשטר של ה- 50 </w:t>
      </w:r>
      <w:r>
        <w:t>EURO</w:t>
      </w:r>
      <w:r>
        <w:rPr>
          <w:rFonts w:hint="cs"/>
          <w:rtl/>
        </w:rPr>
        <w:t xml:space="preserve">, מצאתי כי הנאשם הצליח להפריך את החזקה הקבועה </w:t>
      </w:r>
      <w:hyperlink r:id="rId76" w:history="1">
        <w:r w:rsidR="00B30B01" w:rsidRPr="00B30B01">
          <w:rPr>
            <w:color w:val="0000FF"/>
            <w:u w:val="single"/>
            <w:rtl/>
          </w:rPr>
          <w:t>בסעיף 31(6)</w:t>
        </w:r>
      </w:hyperlink>
      <w:r>
        <w:rPr>
          <w:rFonts w:hint="cs"/>
          <w:rtl/>
        </w:rPr>
        <w:t xml:space="preserve"> הנ"ל, בשים לב לעדות שניתנה על ידי אמו של הנאשם בעניין זה ובהודעתה מיום 27.4.15, ת/10, בעמוד 3 שורות 69-72, ולפיכך סכום זה לא יחולט.</w:t>
      </w:r>
    </w:p>
    <w:p w14:paraId="36883392" w14:textId="77777777" w:rsidR="006918C7" w:rsidRDefault="006918C7">
      <w:pPr>
        <w:spacing w:line="360" w:lineRule="auto"/>
        <w:ind w:left="720" w:hanging="720"/>
        <w:jc w:val="both"/>
        <w:rPr>
          <w:b/>
          <w:bCs/>
          <w:u w:val="single"/>
          <w:rtl/>
        </w:rPr>
      </w:pPr>
    </w:p>
    <w:p w14:paraId="222F2854" w14:textId="77777777" w:rsidR="006918C7" w:rsidRDefault="00881C2F">
      <w:pPr>
        <w:spacing w:before="240" w:line="360" w:lineRule="auto"/>
        <w:ind w:left="720" w:hanging="720"/>
        <w:jc w:val="both"/>
        <w:rPr>
          <w:b/>
          <w:bCs/>
          <w:u w:val="single"/>
          <w:rtl/>
        </w:rPr>
      </w:pPr>
      <w:r>
        <w:rPr>
          <w:rFonts w:hint="cs"/>
          <w:b/>
          <w:bCs/>
          <w:u w:val="single"/>
          <w:rtl/>
        </w:rPr>
        <w:t>סוף דבר:</w:t>
      </w:r>
    </w:p>
    <w:p w14:paraId="062AF284" w14:textId="77777777" w:rsidR="006918C7" w:rsidRDefault="00881C2F">
      <w:pPr>
        <w:spacing w:before="240" w:after="300" w:line="360" w:lineRule="auto"/>
        <w:ind w:left="720" w:hanging="720"/>
        <w:jc w:val="both"/>
        <w:rPr>
          <w:rtl/>
        </w:rPr>
      </w:pPr>
      <w:r>
        <w:rPr>
          <w:rFonts w:hint="cs"/>
          <w:rtl/>
        </w:rPr>
        <w:t>62.</w:t>
      </w:r>
      <w:r>
        <w:rPr>
          <w:rFonts w:hint="cs"/>
          <w:rtl/>
        </w:rPr>
        <w:tab/>
        <w:t xml:space="preserve">בנסיבות עניינו של הנאשם החלטתי לגזור עונש כולל לשתי העבירות בהן הואשם הנאשם, בהתאם לסמכות הנתונה </w:t>
      </w:r>
      <w:hyperlink r:id="rId77" w:history="1">
        <w:r w:rsidR="00B30B01" w:rsidRPr="00B30B01">
          <w:rPr>
            <w:color w:val="0000FF"/>
            <w:u w:val="single"/>
            <w:rtl/>
          </w:rPr>
          <w:t>בסעיף 40יג(ב)</w:t>
        </w:r>
      </w:hyperlink>
      <w:r>
        <w:rPr>
          <w:rFonts w:hint="cs"/>
          <w:rtl/>
        </w:rPr>
        <w:t xml:space="preserve"> ל</w:t>
      </w:r>
      <w:hyperlink r:id="rId78" w:history="1">
        <w:r w:rsidRPr="00881C2F">
          <w:rPr>
            <w:color w:val="0000FF"/>
            <w:u w:val="single"/>
            <w:rtl/>
          </w:rPr>
          <w:t>חוק העונשין</w:t>
        </w:r>
      </w:hyperlink>
      <w:r>
        <w:rPr>
          <w:rFonts w:hint="cs"/>
          <w:rtl/>
        </w:rPr>
        <w:t xml:space="preserve">. </w:t>
      </w:r>
    </w:p>
    <w:p w14:paraId="38A656D2" w14:textId="77777777" w:rsidR="006918C7" w:rsidRDefault="00881C2F">
      <w:pPr>
        <w:spacing w:after="300" w:line="360" w:lineRule="auto"/>
        <w:ind w:left="720" w:hanging="720"/>
        <w:jc w:val="both"/>
      </w:pPr>
      <w:r>
        <w:rPr>
          <w:rFonts w:hint="cs"/>
          <w:rtl/>
        </w:rPr>
        <w:t>63.</w:t>
      </w:r>
      <w:r>
        <w:rPr>
          <w:rFonts w:hint="cs"/>
          <w:rtl/>
        </w:rPr>
        <w:tab/>
        <w:t>לאחר שנתתי דעתי למכלול הטענות שהעלו באי כוח הצדדים, ולאחר ששקלתי את השיקולים הן לקולא והן לחומרא, כמפורט לעיל, אני סבורה כי העונש הראוי בעניינו של הנאשם מצוי ברף הבינוני של המתחם שקבעתי לעבירה של סחר בסם מסוכן.</w:t>
      </w:r>
    </w:p>
    <w:p w14:paraId="605D77DA" w14:textId="77777777" w:rsidR="006918C7" w:rsidRDefault="00881C2F">
      <w:pPr>
        <w:spacing w:after="300" w:line="360" w:lineRule="auto"/>
        <w:ind w:firstLine="720"/>
        <w:jc w:val="both"/>
        <w:rPr>
          <w:rtl/>
        </w:rPr>
      </w:pPr>
      <w:r>
        <w:rPr>
          <w:rFonts w:hint="cs"/>
          <w:rtl/>
        </w:rPr>
        <w:t>החלטתי לפיכך להטיל על הנאשם את העונשים הבאים:</w:t>
      </w:r>
    </w:p>
    <w:p w14:paraId="7CCBBD8F" w14:textId="77777777" w:rsidR="006918C7" w:rsidRDefault="00881C2F">
      <w:pPr>
        <w:spacing w:after="300" w:line="360" w:lineRule="auto"/>
        <w:ind w:left="720"/>
        <w:jc w:val="both"/>
        <w:rPr>
          <w:rFonts w:ascii="Calibri" w:eastAsia="Calibri" w:hAnsi="Calibri"/>
        </w:rPr>
      </w:pPr>
      <w:r>
        <w:rPr>
          <w:rFonts w:hint="cs"/>
          <w:rtl/>
        </w:rPr>
        <w:t>א.</w:t>
      </w:r>
      <w:r>
        <w:rPr>
          <w:rFonts w:hint="cs"/>
          <w:rtl/>
        </w:rPr>
        <w:tab/>
        <w:t xml:space="preserve">32 חודשי מאסר לריצוי בפועל בניכוי תקופת מעצרו מיום 19.4.15. </w:t>
      </w:r>
    </w:p>
    <w:p w14:paraId="2F340F36" w14:textId="77777777" w:rsidR="006918C7" w:rsidRDefault="00881C2F">
      <w:pPr>
        <w:spacing w:after="300" w:line="360" w:lineRule="auto"/>
        <w:ind w:left="1440"/>
        <w:jc w:val="both"/>
        <w:rPr>
          <w:rtl/>
        </w:rPr>
      </w:pPr>
      <w:r>
        <w:rPr>
          <w:rFonts w:hint="cs"/>
          <w:rtl/>
        </w:rPr>
        <w:t xml:space="preserve">אני מורה על הפעלת עונש המאסר המותנה בן 12 החודשים שהוטל על המערער, באופן זה ש-8 חודשים מתוך תקופת המאסר ירוצו בחופף לעונש ו- 4 חודשים ירוצו במצטבר. </w:t>
      </w:r>
    </w:p>
    <w:p w14:paraId="7B38529F" w14:textId="77777777" w:rsidR="006918C7" w:rsidRDefault="00881C2F">
      <w:pPr>
        <w:spacing w:after="300" w:line="360" w:lineRule="auto"/>
        <w:ind w:left="720" w:firstLine="720"/>
        <w:jc w:val="both"/>
        <w:rPr>
          <w:rtl/>
        </w:rPr>
      </w:pPr>
      <w:r>
        <w:rPr>
          <w:rFonts w:hint="cs"/>
          <w:rtl/>
        </w:rPr>
        <w:t>סך הכל ירצה הנאשם 36 חודשי מאסר בפועל, בניכוי תקופת מעצרו.</w:t>
      </w:r>
    </w:p>
    <w:p w14:paraId="3AC68CF5" w14:textId="77777777" w:rsidR="006918C7" w:rsidRDefault="00881C2F">
      <w:pPr>
        <w:spacing w:after="300" w:line="360" w:lineRule="auto"/>
        <w:ind w:left="1440" w:hanging="720"/>
        <w:jc w:val="both"/>
        <w:rPr>
          <w:rtl/>
        </w:rPr>
      </w:pPr>
      <w:r>
        <w:rPr>
          <w:rFonts w:hint="cs"/>
          <w:rtl/>
        </w:rPr>
        <w:t>ב.</w:t>
      </w:r>
      <w:r>
        <w:rPr>
          <w:rFonts w:hint="cs"/>
          <w:rtl/>
        </w:rPr>
        <w:tab/>
        <w:t xml:space="preserve">12 חודשי מאסר על תנאי, והתנאי הוא שהנאשם לא יעבור תוך 3 שנים ממועד שחרורו מהכלא עבירה מסוג פשע לפי </w:t>
      </w:r>
      <w:hyperlink r:id="rId79" w:history="1">
        <w:r w:rsidRPr="00881C2F">
          <w:rPr>
            <w:color w:val="0000FF"/>
            <w:u w:val="single"/>
            <w:rtl/>
          </w:rPr>
          <w:t>פקודת הסמים המסוכנים</w:t>
        </w:r>
      </w:hyperlink>
      <w:r>
        <w:rPr>
          <w:rFonts w:hint="cs"/>
          <w:rtl/>
        </w:rPr>
        <w:t xml:space="preserve"> ויורשע בגינה.</w:t>
      </w:r>
    </w:p>
    <w:p w14:paraId="6E1A5BC2" w14:textId="77777777" w:rsidR="006918C7" w:rsidRDefault="00881C2F">
      <w:pPr>
        <w:spacing w:after="300" w:line="360" w:lineRule="auto"/>
        <w:ind w:left="1440" w:hanging="720"/>
        <w:jc w:val="both"/>
        <w:rPr>
          <w:rFonts w:ascii="Arial" w:eastAsia="Calibri" w:hAnsi="Arial"/>
          <w:rtl/>
        </w:rPr>
      </w:pPr>
      <w:r>
        <w:rPr>
          <w:rFonts w:hint="cs"/>
          <w:rtl/>
        </w:rPr>
        <w:t>ג.</w:t>
      </w:r>
      <w:r>
        <w:rPr>
          <w:rFonts w:hint="cs"/>
          <w:rtl/>
        </w:rPr>
        <w:tab/>
        <w:t xml:space="preserve">6 חודשי מאסר על תנאי, והתנאי הוא שהנאשם לא יעבור תוך 3 שנים ממועד שחרורו מהכלא עבירה מסוג עוון לפי </w:t>
      </w:r>
      <w:hyperlink r:id="rId80" w:history="1">
        <w:r w:rsidRPr="00881C2F">
          <w:rPr>
            <w:color w:val="0000FF"/>
            <w:u w:val="single"/>
            <w:rtl/>
          </w:rPr>
          <w:t>פקודת הסמים המסוכנים</w:t>
        </w:r>
      </w:hyperlink>
      <w:r>
        <w:rPr>
          <w:rFonts w:hint="cs"/>
          <w:rtl/>
        </w:rPr>
        <w:t xml:space="preserve"> ויורשע בגינה.</w:t>
      </w:r>
    </w:p>
    <w:p w14:paraId="043F09A2" w14:textId="77777777" w:rsidR="006918C7" w:rsidRDefault="00881C2F">
      <w:pPr>
        <w:spacing w:after="300" w:line="360" w:lineRule="auto"/>
        <w:ind w:left="1440" w:hanging="720"/>
        <w:jc w:val="both"/>
        <w:rPr>
          <w:rFonts w:ascii="Arial" w:hAnsi="Arial"/>
          <w:rtl/>
        </w:rPr>
      </w:pPr>
      <w:r>
        <w:rPr>
          <w:rFonts w:ascii="Arial" w:hAnsi="Arial" w:hint="cs"/>
          <w:rtl/>
        </w:rPr>
        <w:t>ד.</w:t>
      </w:r>
      <w:r>
        <w:rPr>
          <w:rFonts w:ascii="Arial" w:hAnsi="Arial" w:hint="cs"/>
          <w:rtl/>
        </w:rPr>
        <w:tab/>
        <w:t xml:space="preserve">קנס כספי בסך 10,000 ₪ או 50 ימי מאסר תמורתו. הקנס ישולם על ידי הנאשם ב- 20 תשלומים חודשיים שווים ורצופים בסך של 500 ₪ כל אחד, החל ביום 1.1.16 ועד לתשלום מלוא הקנס. לא ישולמו שני תשלומים במועדם, יעמוד כל סכום הקנס לתשלום מידי. </w:t>
      </w:r>
    </w:p>
    <w:p w14:paraId="01612B8D" w14:textId="77777777" w:rsidR="006918C7" w:rsidRDefault="00881C2F">
      <w:pPr>
        <w:spacing w:after="300" w:line="360" w:lineRule="auto"/>
        <w:ind w:left="1440" w:hanging="720"/>
        <w:jc w:val="both"/>
        <w:rPr>
          <w:rFonts w:ascii="Calibri" w:hAnsi="Calibri"/>
        </w:rPr>
      </w:pPr>
      <w:r>
        <w:rPr>
          <w:rFonts w:hint="cs"/>
          <w:rtl/>
        </w:rPr>
        <w:t>ה.</w:t>
      </w:r>
      <w:r>
        <w:rPr>
          <w:rFonts w:hint="cs"/>
          <w:rtl/>
        </w:rPr>
        <w:tab/>
        <w:t>בנסיבות עניינו של הנאשם, לאור הטיעונים שהושמעו על ידי סניגורו, מתוך העדפת האינטרס השיקומי שלו לאחר שישוחרר ממאסרו, בשים לב לעובדה כי מכתב האישום המתוקן לא עולה כי הנאשם נהג ברכב במהלך ביצוע העבירות נשוא כתב האישום המתוקן – מצאתי לנכון שלא להשית על הנאשם עונש של פסילה מלקבל או מלהחזיק רישיון נהיגה.</w:t>
      </w:r>
    </w:p>
    <w:p w14:paraId="07D06D55" w14:textId="77777777" w:rsidR="006918C7" w:rsidRDefault="00881C2F">
      <w:pPr>
        <w:spacing w:line="360" w:lineRule="auto"/>
        <w:jc w:val="both"/>
        <w:rPr>
          <w:b/>
          <w:bCs/>
          <w:rtl/>
        </w:rPr>
      </w:pPr>
      <w:r>
        <w:rPr>
          <w:rFonts w:hint="cs"/>
          <w:b/>
          <w:bCs/>
          <w:rtl/>
        </w:rPr>
        <w:t xml:space="preserve">זכות ערעור לבית המשפט העליון תוך 45 יום. </w:t>
      </w:r>
    </w:p>
    <w:p w14:paraId="61FF16B1" w14:textId="77777777" w:rsidR="006918C7" w:rsidRDefault="006918C7">
      <w:pPr>
        <w:rPr>
          <w:rtl/>
        </w:rPr>
      </w:pPr>
    </w:p>
    <w:p w14:paraId="12166E37" w14:textId="77777777" w:rsidR="006918C7" w:rsidRDefault="006918C7">
      <w:pPr>
        <w:rPr>
          <w:rtl/>
        </w:rPr>
      </w:pPr>
    </w:p>
    <w:p w14:paraId="018EF0FA" w14:textId="77777777" w:rsidR="006918C7" w:rsidRDefault="00881C2F">
      <w:pPr>
        <w:spacing w:line="360" w:lineRule="auto"/>
        <w:jc w:val="both"/>
        <w:rPr>
          <w:rFonts w:ascii="Arial" w:hAnsi="Arial"/>
        </w:rPr>
      </w:pPr>
      <w:r w:rsidRPr="00881C2F">
        <w:rPr>
          <w:rFonts w:ascii="Arial" w:hAnsi="Arial"/>
          <w:color w:val="FFFFFF"/>
          <w:sz w:val="2"/>
          <w:szCs w:val="2"/>
          <w:rtl/>
        </w:rPr>
        <w:t>5129371</w:t>
      </w:r>
      <w:r>
        <w:rPr>
          <w:rFonts w:ascii="Arial" w:hAnsi="Arial"/>
          <w:rtl/>
        </w:rPr>
        <w:t xml:space="preserve">ניתן היום,  כ"ו כסלו תשע"ו, 08 דצמבר 2015, בנוכחות הנאשם, סניגורו עו"ד משה אביטל וב"כ </w:t>
      </w:r>
      <w:r>
        <w:rPr>
          <w:rFonts w:ascii="Arial" w:hAnsi="Arial" w:hint="cs"/>
          <w:rtl/>
        </w:rPr>
        <w:t>המאשימה עו"ד מעיין אורן רימון</w:t>
      </w:r>
    </w:p>
    <w:p w14:paraId="63BF54C0" w14:textId="77777777" w:rsidR="006918C7" w:rsidRPr="00881C2F" w:rsidRDefault="00881C2F">
      <w:pPr>
        <w:rPr>
          <w:rFonts w:cs="FrankRuehl"/>
          <w:color w:val="FFFFFF"/>
          <w:sz w:val="2"/>
          <w:szCs w:val="2"/>
          <w:rtl/>
        </w:rPr>
      </w:pPr>
      <w:r w:rsidRPr="00881C2F">
        <w:rPr>
          <w:rFonts w:cs="FrankRuehl"/>
          <w:color w:val="FFFFFF"/>
          <w:sz w:val="2"/>
          <w:szCs w:val="2"/>
          <w:rtl/>
        </w:rPr>
        <w:t>54678313</w:t>
      </w:r>
    </w:p>
    <w:p w14:paraId="3E2330DA" w14:textId="77777777" w:rsidR="006918C7" w:rsidRDefault="00881C2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715FE19" w14:textId="77777777" w:rsidR="006918C7" w:rsidRDefault="006918C7">
      <w:pPr>
        <w:jc w:val="center"/>
        <w:rPr>
          <w:rFonts w:ascii="Arial" w:hAnsi="Arial"/>
          <w:rtl/>
        </w:rPr>
      </w:pPr>
    </w:p>
    <w:p w14:paraId="51C1FC4B" w14:textId="77777777" w:rsidR="006918C7" w:rsidRDefault="006918C7">
      <w:pPr>
        <w:rPr>
          <w:rFonts w:cs="FrankRuehl"/>
          <w:sz w:val="28"/>
          <w:szCs w:val="28"/>
          <w:rtl/>
        </w:rPr>
      </w:pPr>
    </w:p>
    <w:p w14:paraId="19F8A2B7" w14:textId="77777777" w:rsidR="006918C7" w:rsidRDefault="006918C7">
      <w:pPr>
        <w:pStyle w:val="a3"/>
        <w:jc w:val="center"/>
        <w:rPr>
          <w:rtl/>
        </w:rPr>
      </w:pPr>
    </w:p>
    <w:p w14:paraId="7286F54F" w14:textId="77777777" w:rsidR="00881C2F" w:rsidRPr="00881C2F" w:rsidRDefault="00881C2F" w:rsidP="00881C2F">
      <w:pPr>
        <w:keepNext/>
        <w:rPr>
          <w:rFonts w:ascii="David" w:hAnsi="David"/>
          <w:color w:val="000000"/>
          <w:sz w:val="22"/>
          <w:szCs w:val="22"/>
          <w:rtl/>
        </w:rPr>
      </w:pPr>
    </w:p>
    <w:p w14:paraId="3E7DC5B2" w14:textId="77777777" w:rsidR="00881C2F" w:rsidRPr="00881C2F" w:rsidRDefault="00881C2F" w:rsidP="00881C2F">
      <w:pPr>
        <w:keepNext/>
        <w:rPr>
          <w:rFonts w:ascii="David" w:hAnsi="David"/>
          <w:color w:val="000000"/>
          <w:sz w:val="22"/>
          <w:szCs w:val="22"/>
          <w:rtl/>
        </w:rPr>
      </w:pPr>
      <w:r w:rsidRPr="00881C2F">
        <w:rPr>
          <w:rFonts w:ascii="David" w:hAnsi="David"/>
          <w:color w:val="000000"/>
          <w:sz w:val="22"/>
          <w:szCs w:val="22"/>
          <w:rtl/>
        </w:rPr>
        <w:t>אורית וינשטיין 54678313</w:t>
      </w:r>
    </w:p>
    <w:p w14:paraId="7A160A03" w14:textId="77777777" w:rsidR="00881C2F" w:rsidRDefault="00881C2F" w:rsidP="00881C2F">
      <w:r w:rsidRPr="00881C2F">
        <w:rPr>
          <w:color w:val="000000"/>
          <w:rtl/>
        </w:rPr>
        <w:t>נוסח מסמך זה כפוף לשינויי ניסוח ועריכה</w:t>
      </w:r>
    </w:p>
    <w:p w14:paraId="3A8B18D0" w14:textId="77777777" w:rsidR="00881C2F" w:rsidRDefault="00881C2F" w:rsidP="00881C2F">
      <w:pPr>
        <w:rPr>
          <w:rtl/>
        </w:rPr>
      </w:pPr>
    </w:p>
    <w:p w14:paraId="0543C9FE" w14:textId="77777777" w:rsidR="00881C2F" w:rsidRDefault="00881C2F" w:rsidP="00881C2F">
      <w:pPr>
        <w:jc w:val="center"/>
        <w:rPr>
          <w:color w:val="0000FF"/>
          <w:u w:val="single"/>
        </w:rPr>
      </w:pPr>
      <w:hyperlink r:id="rId81" w:history="1">
        <w:r>
          <w:rPr>
            <w:color w:val="0000FF"/>
            <w:u w:val="single"/>
            <w:rtl/>
          </w:rPr>
          <w:t>בעניין עריכה ושינויים במסמכי פסיקה, חקיקה ועוד באתר נבו – הקש כאן</w:t>
        </w:r>
      </w:hyperlink>
    </w:p>
    <w:p w14:paraId="14A8D45E" w14:textId="77777777" w:rsidR="006918C7" w:rsidRDefault="006918C7" w:rsidP="00881C2F">
      <w:pPr>
        <w:jc w:val="center"/>
        <w:rPr>
          <w:rFonts w:hint="cs"/>
          <w:color w:val="0000FF"/>
          <w:u w:val="single"/>
          <w:rtl/>
        </w:rPr>
      </w:pPr>
    </w:p>
    <w:p w14:paraId="2BE7CB61" w14:textId="77777777" w:rsidR="00D44BD3" w:rsidRPr="00881C2F" w:rsidRDefault="00D44BD3" w:rsidP="00881C2F">
      <w:pPr>
        <w:jc w:val="center"/>
        <w:rPr>
          <w:color w:val="0000FF"/>
          <w:u w:val="single"/>
        </w:rPr>
      </w:pPr>
    </w:p>
    <w:sectPr w:rsidR="00D44BD3" w:rsidRPr="00881C2F" w:rsidSect="00881C2F">
      <w:headerReference w:type="even" r:id="rId82"/>
      <w:headerReference w:type="default" r:id="rId83"/>
      <w:footerReference w:type="even" r:id="rId84"/>
      <w:footerReference w:type="default" r:id="rId8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5E884" w14:textId="77777777" w:rsidR="00090FE0" w:rsidRDefault="00090FE0">
      <w:r>
        <w:separator/>
      </w:r>
    </w:p>
  </w:endnote>
  <w:endnote w:type="continuationSeparator" w:id="0">
    <w:p w14:paraId="58BBD4E9" w14:textId="77777777" w:rsidR="00090FE0" w:rsidRDefault="0009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imes">
    <w:panose1 w:val="02020603050405020304"/>
    <w:charset w:val="00"/>
    <w:family w:val="roman"/>
    <w:pitch w:val="variable"/>
    <w:sig w:usb0="E0002AFF" w:usb1="C0007841" w:usb2="00000009" w:usb3="00000000" w:csb0="000001FF"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0680E" w14:textId="77777777" w:rsidR="005654A9" w:rsidRDefault="005654A9" w:rsidP="00881C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4E4B800" w14:textId="77777777" w:rsidR="005654A9" w:rsidRPr="00881C2F" w:rsidRDefault="005654A9" w:rsidP="00881C2F">
    <w:pPr>
      <w:pStyle w:val="a4"/>
      <w:pBdr>
        <w:top w:val="single" w:sz="4" w:space="1" w:color="auto"/>
        <w:between w:val="single" w:sz="4" w:space="0" w:color="auto"/>
      </w:pBdr>
      <w:spacing w:after="60"/>
      <w:jc w:val="center"/>
      <w:rPr>
        <w:rFonts w:ascii="FrankRuehl" w:hAnsi="FrankRuehl" w:cs="FrankRuehl"/>
        <w:color w:val="000000"/>
      </w:rPr>
    </w:pPr>
    <w:r w:rsidRPr="00881C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52839" w14:textId="77777777" w:rsidR="005654A9" w:rsidRDefault="005654A9" w:rsidP="00881C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3BAC">
      <w:rPr>
        <w:rFonts w:ascii="FrankRuehl" w:hAnsi="FrankRuehl" w:cs="FrankRuehl"/>
        <w:noProof/>
        <w:rtl/>
      </w:rPr>
      <w:t>1</w:t>
    </w:r>
    <w:r>
      <w:rPr>
        <w:rFonts w:ascii="FrankRuehl" w:hAnsi="FrankRuehl" w:cs="FrankRuehl"/>
        <w:rtl/>
      </w:rPr>
      <w:fldChar w:fldCharType="end"/>
    </w:r>
  </w:p>
  <w:p w14:paraId="5D64D252" w14:textId="77777777" w:rsidR="005654A9" w:rsidRPr="00881C2F" w:rsidRDefault="005654A9" w:rsidP="00881C2F">
    <w:pPr>
      <w:pStyle w:val="a4"/>
      <w:pBdr>
        <w:top w:val="single" w:sz="4" w:space="1" w:color="auto"/>
        <w:between w:val="single" w:sz="4" w:space="0" w:color="auto"/>
      </w:pBdr>
      <w:spacing w:after="60"/>
      <w:jc w:val="center"/>
      <w:rPr>
        <w:rFonts w:ascii="FrankRuehl" w:hAnsi="FrankRuehl" w:cs="FrankRuehl"/>
        <w:color w:val="000000"/>
      </w:rPr>
    </w:pPr>
    <w:r w:rsidRPr="00881C2F">
      <w:rPr>
        <w:rFonts w:ascii="FrankRuehl" w:hAnsi="FrankRuehl" w:cs="FrankRuehl"/>
        <w:color w:val="000000"/>
      </w:rPr>
      <w:pict w14:anchorId="07019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3B6C8" w14:textId="77777777" w:rsidR="00090FE0" w:rsidRDefault="00090FE0">
      <w:r>
        <w:separator/>
      </w:r>
    </w:p>
  </w:footnote>
  <w:footnote w:type="continuationSeparator" w:id="0">
    <w:p w14:paraId="7978311F" w14:textId="77777777" w:rsidR="00090FE0" w:rsidRDefault="00090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19792" w14:textId="77777777" w:rsidR="005654A9" w:rsidRPr="00881C2F" w:rsidRDefault="005654A9" w:rsidP="00881C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1108-05-15</w:t>
    </w:r>
    <w:r>
      <w:rPr>
        <w:rFonts w:ascii="David" w:hAnsi="David"/>
        <w:color w:val="000000"/>
        <w:sz w:val="22"/>
        <w:szCs w:val="22"/>
        <w:rtl/>
      </w:rPr>
      <w:tab/>
      <w:t xml:space="preserve"> מדינת ישראל נ' שמואל בן יאיר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11A51" w14:textId="77777777" w:rsidR="005654A9" w:rsidRPr="00881C2F" w:rsidRDefault="005654A9" w:rsidP="00881C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1108-05-15</w:t>
    </w:r>
    <w:r>
      <w:rPr>
        <w:rFonts w:ascii="David" w:hAnsi="David"/>
        <w:color w:val="000000"/>
        <w:sz w:val="22"/>
        <w:szCs w:val="22"/>
        <w:rtl/>
      </w:rPr>
      <w:tab/>
      <w:t xml:space="preserve"> מדינת ישראל נ' שמואל בן יאיר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E70B62"/>
    <w:multiLevelType w:val="hybridMultilevel"/>
    <w:tmpl w:val="7DE2C8B2"/>
    <w:lvl w:ilvl="0" w:tplc="DDFEF4DA">
      <w:start w:val="1"/>
      <w:numFmt w:val="hebrew1"/>
      <w:pStyle w:val="Ruller4"/>
      <w:lvlText w:val="%1."/>
      <w:lvlJc w:val="left"/>
      <w:pPr>
        <w:tabs>
          <w:tab w:val="num" w:pos="907"/>
        </w:tabs>
        <w:ind w:left="0" w:firstLine="0"/>
      </w:pPr>
      <w:rPr>
        <w:rFonts w:ascii="Century" w:hAnsi="Century" w:cs="FrankRuehl" w:hint="default"/>
        <w:b w:val="0"/>
        <w:bCs w:val="0"/>
        <w:i w:val="0"/>
        <w:iCs w:val="0"/>
        <w:caps w:val="0"/>
        <w:smallCaps w:val="0"/>
        <w:strike w:val="0"/>
        <w:dstrike w:val="0"/>
        <w:outline w:val="0"/>
        <w:shadow w:val="0"/>
        <w:emboss w:val="0"/>
        <w:imprint w:val="0"/>
        <w:vanish w:val="0"/>
        <w:webHidden w:val="0"/>
        <w:color w:val="auto"/>
        <w:spacing w:val="10"/>
        <w:w w:val="100"/>
        <w:kern w:val="0"/>
        <w:position w:val="0"/>
        <w:sz w:val="22"/>
        <w:szCs w:val="28"/>
        <w:u w:val="none" w:color="000000"/>
        <w:effect w:val="none"/>
        <w:vertAlign w:val="baseline"/>
        <w:specVanish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9639213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18C7"/>
    <w:rsid w:val="00090FE0"/>
    <w:rsid w:val="000E25EC"/>
    <w:rsid w:val="005654A9"/>
    <w:rsid w:val="006918C7"/>
    <w:rsid w:val="00746D47"/>
    <w:rsid w:val="007F0110"/>
    <w:rsid w:val="00881C2F"/>
    <w:rsid w:val="00B161DE"/>
    <w:rsid w:val="00B30B01"/>
    <w:rsid w:val="00BF5187"/>
    <w:rsid w:val="00D44BD3"/>
    <w:rsid w:val="00EE3B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20B340"/>
  <w15:chartTrackingRefBased/>
  <w15:docId w15:val="{7048E508-C670-4CB5-A907-0D88C75B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18C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918C7"/>
    <w:pPr>
      <w:tabs>
        <w:tab w:val="center" w:pos="4153"/>
        <w:tab w:val="right" w:pos="8306"/>
      </w:tabs>
    </w:pPr>
  </w:style>
  <w:style w:type="paragraph" w:styleId="a4">
    <w:name w:val="footer"/>
    <w:basedOn w:val="a"/>
    <w:rsid w:val="006918C7"/>
    <w:pPr>
      <w:tabs>
        <w:tab w:val="center" w:pos="4153"/>
        <w:tab w:val="right" w:pos="8306"/>
      </w:tabs>
    </w:pPr>
  </w:style>
  <w:style w:type="character" w:styleId="a5">
    <w:name w:val="page number"/>
    <w:basedOn w:val="a0"/>
    <w:rsid w:val="006918C7"/>
  </w:style>
  <w:style w:type="character" w:customStyle="1" w:styleId="a6">
    <w:name w:val="תבנית רגיל תו"/>
    <w:link w:val="a7"/>
    <w:locked/>
    <w:rsid w:val="006918C7"/>
    <w:rPr>
      <w:rFonts w:ascii="Times" w:hAnsi="Times"/>
      <w:sz w:val="26"/>
      <w:szCs w:val="26"/>
      <w:lang w:eastAsia="he-IL" w:bidi="he-IL"/>
    </w:rPr>
  </w:style>
  <w:style w:type="paragraph" w:customStyle="1" w:styleId="a7">
    <w:name w:val="תבנית רגיל"/>
    <w:basedOn w:val="a"/>
    <w:link w:val="a6"/>
    <w:rsid w:val="006918C7"/>
    <w:pPr>
      <w:spacing w:line="360" w:lineRule="auto"/>
      <w:jc w:val="both"/>
    </w:pPr>
    <w:rPr>
      <w:rFonts w:ascii="Times" w:hAnsi="Times" w:cs="Times New Roman"/>
      <w:sz w:val="26"/>
      <w:szCs w:val="26"/>
      <w:lang w:eastAsia="he-IL"/>
    </w:rPr>
  </w:style>
  <w:style w:type="paragraph" w:customStyle="1" w:styleId="a8">
    <w:name w:val="כללי"/>
    <w:basedOn w:val="a"/>
    <w:rsid w:val="006918C7"/>
    <w:pPr>
      <w:overflowPunct w:val="0"/>
      <w:autoSpaceDE w:val="0"/>
      <w:autoSpaceDN w:val="0"/>
      <w:adjustRightInd w:val="0"/>
      <w:spacing w:after="240" w:line="284" w:lineRule="exact"/>
      <w:ind w:firstLine="284"/>
      <w:jc w:val="both"/>
    </w:pPr>
    <w:rPr>
      <w:rFonts w:cs="FrankRuehl"/>
      <w:sz w:val="20"/>
      <w:lang w:eastAsia="he-IL"/>
    </w:rPr>
  </w:style>
  <w:style w:type="character" w:customStyle="1" w:styleId="Ruller40">
    <w:name w:val="Ruller4 תו"/>
    <w:link w:val="Ruller41"/>
    <w:locked/>
    <w:rsid w:val="006918C7"/>
    <w:rPr>
      <w:rFonts w:ascii="Arial TUR" w:hAnsi="Arial TUR"/>
      <w:spacing w:val="10"/>
      <w:sz w:val="28"/>
      <w:szCs w:val="28"/>
      <w:lang w:bidi="he-IL"/>
    </w:rPr>
  </w:style>
  <w:style w:type="paragraph" w:customStyle="1" w:styleId="Ruller41">
    <w:name w:val="Ruller4"/>
    <w:basedOn w:val="a"/>
    <w:link w:val="Ruller40"/>
    <w:rsid w:val="006918C7"/>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customStyle="1" w:styleId="Ruller42">
    <w:name w:val="Ruller4 אלפביתי תו"/>
    <w:link w:val="Ruller4"/>
    <w:locked/>
    <w:rsid w:val="006918C7"/>
    <w:rPr>
      <w:rFonts w:ascii="Arial TUR" w:hAnsi="Arial TUR"/>
      <w:spacing w:val="10"/>
      <w:sz w:val="28"/>
      <w:szCs w:val="28"/>
      <w:lang w:bidi="he-IL"/>
    </w:rPr>
  </w:style>
  <w:style w:type="paragraph" w:customStyle="1" w:styleId="Ruller4">
    <w:name w:val="Ruller4 אלפביתי"/>
    <w:basedOn w:val="Ruller41"/>
    <w:next w:val="Ruller41"/>
    <w:link w:val="Ruller42"/>
    <w:rsid w:val="006918C7"/>
    <w:pPr>
      <w:numPr>
        <w:numId w:val="1"/>
      </w:numPr>
      <w:tabs>
        <w:tab w:val="clear" w:pos="907"/>
        <w:tab w:val="num" w:pos="360"/>
      </w:tabs>
    </w:pPr>
  </w:style>
  <w:style w:type="character" w:styleId="Hyperlink">
    <w:name w:val="Hyperlink"/>
    <w:rsid w:val="006918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1303307" TargetMode="External"/><Relationship Id="rId21" Type="http://schemas.openxmlformats.org/officeDocument/2006/relationships/hyperlink" Target="http://www.nevo.co.il/law/70301/40jc.b"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f40e" TargetMode="External"/><Relationship Id="rId63" Type="http://schemas.openxmlformats.org/officeDocument/2006/relationships/hyperlink" Target="http://www.nevo.co.il/case/6094597" TargetMode="External"/><Relationship Id="rId68" Type="http://schemas.openxmlformats.org/officeDocument/2006/relationships/hyperlink" Target="http://www.nevo.co.il/case/6019079" TargetMode="External"/><Relationship Id="rId84" Type="http://schemas.openxmlformats.org/officeDocument/2006/relationships/footer" Target="footer1.xml"/><Relationship Id="rId16" Type="http://schemas.openxmlformats.org/officeDocument/2006/relationships/hyperlink" Target="http://www.nevo.co.il/law/70301/55" TargetMode="External"/><Relationship Id="rId11" Type="http://schemas.openxmlformats.org/officeDocument/2006/relationships/hyperlink" Target="http://www.nevo.co.il/law/70301" TargetMode="External"/><Relationship Id="rId32" Type="http://schemas.openxmlformats.org/officeDocument/2006/relationships/hyperlink" Target="http://www.nevo.co.il/case/17939654"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5573417" TargetMode="External"/><Relationship Id="rId74" Type="http://schemas.openxmlformats.org/officeDocument/2006/relationships/hyperlink" Target="http://www.nevo.co.il/law/4216/31.6" TargetMode="External"/><Relationship Id="rId79" Type="http://schemas.openxmlformats.org/officeDocument/2006/relationships/hyperlink" Target="http://www.nevo.co.il/law/4216" TargetMode="External"/><Relationship Id="rId5" Type="http://schemas.openxmlformats.org/officeDocument/2006/relationships/footnotes" Target="footnotes.xml"/><Relationship Id="rId19" Type="http://schemas.openxmlformats.org/officeDocument/2006/relationships/hyperlink" Target="http://www.nevo.co.il/law/70301/40j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f40e" TargetMode="External"/><Relationship Id="rId27" Type="http://schemas.openxmlformats.org/officeDocument/2006/relationships/hyperlink" Target="http://www.nevo.co.il/case/5444673"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law/4216" TargetMode="External"/><Relationship Id="rId43" Type="http://schemas.openxmlformats.org/officeDocument/2006/relationships/hyperlink" Target="http://www.nevo.co.il/law/70301/40ja"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40jc.b" TargetMode="External"/><Relationship Id="rId64" Type="http://schemas.openxmlformats.org/officeDocument/2006/relationships/hyperlink" Target="http://www.nevo.co.il/law/70301/40i" TargetMode="External"/><Relationship Id="rId69" Type="http://schemas.openxmlformats.org/officeDocument/2006/relationships/hyperlink" Target="http://www.nevo.co.il/law/70301/55" TargetMode="External"/><Relationship Id="rId77" Type="http://schemas.openxmlformats.org/officeDocument/2006/relationships/hyperlink" Target="http://www.nevo.co.il/law/70301/40jc.b" TargetMode="External"/><Relationship Id="rId8" Type="http://schemas.openxmlformats.org/officeDocument/2006/relationships/hyperlink" Target="http://www.nevo.co.il/law/4216/13" TargetMode="External"/><Relationship Id="rId51" Type="http://schemas.openxmlformats.org/officeDocument/2006/relationships/hyperlink" Target="http://www.nevo.co.il/case/18807159" TargetMode="External"/><Relationship Id="rId72" Type="http://schemas.openxmlformats.org/officeDocument/2006/relationships/hyperlink" Target="http://www.nevo.co.il/law/70301" TargetMode="External"/><Relationship Id="rId80" Type="http://schemas.openxmlformats.org/officeDocument/2006/relationships/hyperlink" Target="http://www.nevo.co.il/law/4216"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70301/56.b" TargetMode="External"/><Relationship Id="rId25" Type="http://schemas.openxmlformats.org/officeDocument/2006/relationships/hyperlink" Target="http://www.nevo.co.il/law/4216" TargetMode="External"/><Relationship Id="rId33" Type="http://schemas.openxmlformats.org/officeDocument/2006/relationships/hyperlink" Target="http://www.nevo.co.il/case/17921563" TargetMode="External"/><Relationship Id="rId38" Type="http://schemas.openxmlformats.org/officeDocument/2006/relationships/hyperlink" Target="http://www.nevo.co.il/law/70301/40b"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5786821"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0jc.a" TargetMode="External"/><Relationship Id="rId41" Type="http://schemas.openxmlformats.org/officeDocument/2006/relationships/hyperlink" Target="http://www.nevo.co.il/law/70301/40i" TargetMode="External"/><Relationship Id="rId54" Type="http://schemas.openxmlformats.org/officeDocument/2006/relationships/hyperlink" Target="http://www.nevo.co.il/law/70301/40jc" TargetMode="External"/><Relationship Id="rId62" Type="http://schemas.openxmlformats.org/officeDocument/2006/relationships/hyperlink" Target="http://www.nevo.co.il/case/5698919" TargetMode="External"/><Relationship Id="rId70" Type="http://schemas.openxmlformats.org/officeDocument/2006/relationships/hyperlink" Target="http://www.nevo.co.il/law/70301/56.b" TargetMode="External"/><Relationship Id="rId75" Type="http://schemas.openxmlformats.org/officeDocument/2006/relationships/hyperlink" Target="http://www.nevo.co.il/law/4216" TargetMode="External"/><Relationship Id="rId83"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6019079"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1309372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31.6" TargetMode="External"/><Relationship Id="rId31" Type="http://schemas.openxmlformats.org/officeDocument/2006/relationships/hyperlink" Target="http://www.nevo.co.il/case/18807159"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40jc.a" TargetMode="External"/><Relationship Id="rId60" Type="http://schemas.openxmlformats.org/officeDocument/2006/relationships/hyperlink" Target="http://www.nevo.co.il/law/4216" TargetMode="External"/><Relationship Id="rId65" Type="http://schemas.openxmlformats.org/officeDocument/2006/relationships/hyperlink" Target="http://www.nevo.co.il/law/70301" TargetMode="External"/><Relationship Id="rId73" Type="http://schemas.openxmlformats.org/officeDocument/2006/relationships/hyperlink" Target="http://www.nevo.co.il/law/4216" TargetMode="External"/><Relationship Id="rId78" Type="http://schemas.openxmlformats.org/officeDocument/2006/relationships/hyperlink" Target="http://www.nevo.co.il/law/70301"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c"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40c" TargetMode="External"/><Relationship Id="rId34" Type="http://schemas.openxmlformats.org/officeDocument/2006/relationships/hyperlink" Target="http://www.nevo.co.il/case/5444673" TargetMode="External"/><Relationship Id="rId50" Type="http://schemas.openxmlformats.org/officeDocument/2006/relationships/hyperlink" Target="http://www.nevo.co.il/case/5569069" TargetMode="External"/><Relationship Id="rId55" Type="http://schemas.openxmlformats.org/officeDocument/2006/relationships/hyperlink" Target="http://www.nevo.co.il/law/70301" TargetMode="External"/><Relationship Id="rId76" Type="http://schemas.openxmlformats.org/officeDocument/2006/relationships/hyperlink" Target="http://www.nevo.co.il/law/4216/31.6" TargetMode="External"/><Relationship Id="rId7" Type="http://schemas.openxmlformats.org/officeDocument/2006/relationships/hyperlink" Target="http://www.nevo.co.il/law/4216"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case/5920357" TargetMode="External"/><Relationship Id="rId24" Type="http://schemas.openxmlformats.org/officeDocument/2006/relationships/hyperlink" Target="http://www.nevo.co.il/law/4216/19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d" TargetMode="External"/><Relationship Id="rId66" Type="http://schemas.openxmlformats.org/officeDocument/2006/relationships/hyperlink" Target="http://www.nevo.co.il/law/70301/40ja" TargetMode="External"/><Relationship Id="rId87" Type="http://schemas.openxmlformats.org/officeDocument/2006/relationships/theme" Target="theme/theme1.xml"/><Relationship Id="rId61" Type="http://schemas.openxmlformats.org/officeDocument/2006/relationships/hyperlink" Target="http://www.nevo.co.il/case/5988308" TargetMode="External"/><Relationship Id="rId8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5290</Words>
  <Characters>26451</Characters>
  <Application>Microsoft Office Word</Application>
  <DocSecurity>0</DocSecurity>
  <Lines>220</Lines>
  <Paragraphs>63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31678</CharactersWithSpaces>
  <SharedDoc>false</SharedDoc>
  <HLinks>
    <vt:vector size="450" baseType="variant">
      <vt:variant>
        <vt:i4>393283</vt:i4>
      </vt:variant>
      <vt:variant>
        <vt:i4>222</vt:i4>
      </vt:variant>
      <vt:variant>
        <vt:i4>0</vt:i4>
      </vt:variant>
      <vt:variant>
        <vt:i4>5</vt:i4>
      </vt:variant>
      <vt:variant>
        <vt:lpwstr>http://www.nevo.co.il/advertisements/nevo-100.doc</vt:lpwstr>
      </vt:variant>
      <vt:variant>
        <vt:lpwstr/>
      </vt:variant>
      <vt:variant>
        <vt:i4>8257637</vt:i4>
      </vt:variant>
      <vt:variant>
        <vt:i4>219</vt:i4>
      </vt:variant>
      <vt:variant>
        <vt:i4>0</vt:i4>
      </vt:variant>
      <vt:variant>
        <vt:i4>5</vt:i4>
      </vt:variant>
      <vt:variant>
        <vt:lpwstr>http://www.nevo.co.il/law/4216</vt:lpwstr>
      </vt:variant>
      <vt:variant>
        <vt:lpwstr/>
      </vt:variant>
      <vt:variant>
        <vt:i4>8257637</vt:i4>
      </vt:variant>
      <vt:variant>
        <vt:i4>216</vt:i4>
      </vt:variant>
      <vt:variant>
        <vt:i4>0</vt:i4>
      </vt:variant>
      <vt:variant>
        <vt:i4>5</vt:i4>
      </vt:variant>
      <vt:variant>
        <vt:lpwstr>http://www.nevo.co.il/law/4216</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6553637</vt:i4>
      </vt:variant>
      <vt:variant>
        <vt:i4>210</vt:i4>
      </vt:variant>
      <vt:variant>
        <vt:i4>0</vt:i4>
      </vt:variant>
      <vt:variant>
        <vt:i4>5</vt:i4>
      </vt:variant>
      <vt:variant>
        <vt:lpwstr>http://www.nevo.co.il/law/70301/40jc.b</vt:lpwstr>
      </vt:variant>
      <vt:variant>
        <vt:lpwstr/>
      </vt:variant>
      <vt:variant>
        <vt:i4>6488187</vt:i4>
      </vt:variant>
      <vt:variant>
        <vt:i4>207</vt:i4>
      </vt:variant>
      <vt:variant>
        <vt:i4>0</vt:i4>
      </vt:variant>
      <vt:variant>
        <vt:i4>5</vt:i4>
      </vt:variant>
      <vt:variant>
        <vt:lpwstr>http://www.nevo.co.il/law/4216/31.6</vt:lpwstr>
      </vt:variant>
      <vt:variant>
        <vt:lpwstr/>
      </vt:variant>
      <vt:variant>
        <vt:i4>8257637</vt:i4>
      </vt:variant>
      <vt:variant>
        <vt:i4>204</vt:i4>
      </vt:variant>
      <vt:variant>
        <vt:i4>0</vt:i4>
      </vt:variant>
      <vt:variant>
        <vt:i4>5</vt:i4>
      </vt:variant>
      <vt:variant>
        <vt:lpwstr>http://www.nevo.co.il/law/4216</vt:lpwstr>
      </vt:variant>
      <vt:variant>
        <vt:lpwstr/>
      </vt:variant>
      <vt:variant>
        <vt:i4>6488187</vt:i4>
      </vt:variant>
      <vt:variant>
        <vt:i4>201</vt:i4>
      </vt:variant>
      <vt:variant>
        <vt:i4>0</vt:i4>
      </vt:variant>
      <vt:variant>
        <vt:i4>5</vt:i4>
      </vt:variant>
      <vt:variant>
        <vt:lpwstr>http://www.nevo.co.il/law/4216/31.6</vt:lpwstr>
      </vt:variant>
      <vt:variant>
        <vt:lpwstr/>
      </vt:variant>
      <vt:variant>
        <vt:i4>8257637</vt:i4>
      </vt:variant>
      <vt:variant>
        <vt:i4>198</vt:i4>
      </vt:variant>
      <vt:variant>
        <vt:i4>0</vt:i4>
      </vt:variant>
      <vt:variant>
        <vt:i4>5</vt:i4>
      </vt:variant>
      <vt:variant>
        <vt:lpwstr>http://www.nevo.co.il/law/4216</vt:lpwstr>
      </vt:variant>
      <vt:variant>
        <vt:lpwstr/>
      </vt:variant>
      <vt:variant>
        <vt:i4>7995492</vt:i4>
      </vt:variant>
      <vt:variant>
        <vt:i4>195</vt:i4>
      </vt:variant>
      <vt:variant>
        <vt:i4>0</vt:i4>
      </vt:variant>
      <vt:variant>
        <vt:i4>5</vt:i4>
      </vt:variant>
      <vt:variant>
        <vt:lpwstr>http://www.nevo.co.il/law/70301</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65614</vt:i4>
      </vt:variant>
      <vt:variant>
        <vt:i4>189</vt:i4>
      </vt:variant>
      <vt:variant>
        <vt:i4>0</vt:i4>
      </vt:variant>
      <vt:variant>
        <vt:i4>5</vt:i4>
      </vt:variant>
      <vt:variant>
        <vt:lpwstr>http://www.nevo.co.il/law/70301/56.b</vt:lpwstr>
      </vt:variant>
      <vt:variant>
        <vt:lpwstr/>
      </vt:variant>
      <vt:variant>
        <vt:i4>6291552</vt:i4>
      </vt:variant>
      <vt:variant>
        <vt:i4>186</vt:i4>
      </vt:variant>
      <vt:variant>
        <vt:i4>0</vt:i4>
      </vt:variant>
      <vt:variant>
        <vt:i4>5</vt:i4>
      </vt:variant>
      <vt:variant>
        <vt:lpwstr>http://www.nevo.co.il/law/70301/55</vt:lpwstr>
      </vt:variant>
      <vt:variant>
        <vt:lpwstr/>
      </vt:variant>
      <vt:variant>
        <vt:i4>4063354</vt:i4>
      </vt:variant>
      <vt:variant>
        <vt:i4>183</vt:i4>
      </vt:variant>
      <vt:variant>
        <vt:i4>0</vt:i4>
      </vt:variant>
      <vt:variant>
        <vt:i4>5</vt:i4>
      </vt:variant>
      <vt:variant>
        <vt:lpwstr>http://www.nevo.co.il/case/6019079</vt:lpwstr>
      </vt:variant>
      <vt:variant>
        <vt:lpwstr/>
      </vt:variant>
      <vt:variant>
        <vt:i4>7995492</vt:i4>
      </vt:variant>
      <vt:variant>
        <vt:i4>180</vt:i4>
      </vt:variant>
      <vt:variant>
        <vt:i4>0</vt:i4>
      </vt:variant>
      <vt:variant>
        <vt:i4>5</vt:i4>
      </vt:variant>
      <vt:variant>
        <vt:lpwstr>http://www.nevo.co.il/law/70301</vt:lpwstr>
      </vt:variant>
      <vt:variant>
        <vt:lpwstr/>
      </vt:variant>
      <vt:variant>
        <vt:i4>262155</vt:i4>
      </vt:variant>
      <vt:variant>
        <vt:i4>177</vt:i4>
      </vt:variant>
      <vt:variant>
        <vt:i4>0</vt:i4>
      </vt:variant>
      <vt:variant>
        <vt:i4>5</vt:i4>
      </vt:variant>
      <vt:variant>
        <vt:lpwstr>http://www.nevo.co.il/law/70301/40ja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6619233</vt:i4>
      </vt:variant>
      <vt:variant>
        <vt:i4>171</vt:i4>
      </vt:variant>
      <vt:variant>
        <vt:i4>0</vt:i4>
      </vt:variant>
      <vt:variant>
        <vt:i4>5</vt:i4>
      </vt:variant>
      <vt:variant>
        <vt:lpwstr>http://www.nevo.co.il/law/70301/40i</vt:lpwstr>
      </vt:variant>
      <vt:variant>
        <vt:lpwstr/>
      </vt:variant>
      <vt:variant>
        <vt:i4>3997817</vt:i4>
      </vt:variant>
      <vt:variant>
        <vt:i4>168</vt:i4>
      </vt:variant>
      <vt:variant>
        <vt:i4>0</vt:i4>
      </vt:variant>
      <vt:variant>
        <vt:i4>5</vt:i4>
      </vt:variant>
      <vt:variant>
        <vt:lpwstr>http://www.nevo.co.il/case/6094597</vt:lpwstr>
      </vt:variant>
      <vt:variant>
        <vt:lpwstr/>
      </vt:variant>
      <vt:variant>
        <vt:i4>3932283</vt:i4>
      </vt:variant>
      <vt:variant>
        <vt:i4>165</vt:i4>
      </vt:variant>
      <vt:variant>
        <vt:i4>0</vt:i4>
      </vt:variant>
      <vt:variant>
        <vt:i4>5</vt:i4>
      </vt:variant>
      <vt:variant>
        <vt:lpwstr>http://www.nevo.co.il/case/5698919</vt:lpwstr>
      </vt:variant>
      <vt:variant>
        <vt:lpwstr/>
      </vt:variant>
      <vt:variant>
        <vt:i4>3539061</vt:i4>
      </vt:variant>
      <vt:variant>
        <vt:i4>162</vt:i4>
      </vt:variant>
      <vt:variant>
        <vt:i4>0</vt:i4>
      </vt:variant>
      <vt:variant>
        <vt:i4>5</vt:i4>
      </vt:variant>
      <vt:variant>
        <vt:lpwstr>http://www.nevo.co.il/case/5988308</vt:lpwstr>
      </vt:variant>
      <vt:variant>
        <vt:lpwstr/>
      </vt:variant>
      <vt:variant>
        <vt:i4>8257637</vt:i4>
      </vt:variant>
      <vt:variant>
        <vt:i4>159</vt:i4>
      </vt:variant>
      <vt:variant>
        <vt:i4>0</vt:i4>
      </vt:variant>
      <vt:variant>
        <vt:i4>5</vt:i4>
      </vt:variant>
      <vt:variant>
        <vt:lpwstr>http://www.nevo.co.il/law/4216</vt:lpwstr>
      </vt:variant>
      <vt:variant>
        <vt:lpwstr/>
      </vt:variant>
      <vt:variant>
        <vt:i4>3407991</vt:i4>
      </vt:variant>
      <vt:variant>
        <vt:i4>156</vt:i4>
      </vt:variant>
      <vt:variant>
        <vt:i4>0</vt:i4>
      </vt:variant>
      <vt:variant>
        <vt:i4>5</vt:i4>
      </vt:variant>
      <vt:variant>
        <vt:lpwstr>http://www.nevo.co.il/case/5786821</vt:lpwstr>
      </vt:variant>
      <vt:variant>
        <vt:lpwstr/>
      </vt:variant>
      <vt:variant>
        <vt:i4>3211379</vt:i4>
      </vt:variant>
      <vt:variant>
        <vt:i4>153</vt:i4>
      </vt:variant>
      <vt:variant>
        <vt:i4>0</vt:i4>
      </vt:variant>
      <vt:variant>
        <vt:i4>5</vt:i4>
      </vt:variant>
      <vt:variant>
        <vt:lpwstr>http://www.nevo.co.il/case/5573417</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6553637</vt:i4>
      </vt:variant>
      <vt:variant>
        <vt:i4>147</vt:i4>
      </vt:variant>
      <vt:variant>
        <vt:i4>0</vt:i4>
      </vt:variant>
      <vt:variant>
        <vt:i4>5</vt:i4>
      </vt:variant>
      <vt:variant>
        <vt:lpwstr>http://www.nevo.co.il/law/70301/40jc.b</vt:lpwstr>
      </vt:variant>
      <vt:variant>
        <vt:lpwstr/>
      </vt:variant>
      <vt:variant>
        <vt:i4>7995492</vt:i4>
      </vt:variant>
      <vt:variant>
        <vt:i4>144</vt:i4>
      </vt:variant>
      <vt:variant>
        <vt:i4>0</vt:i4>
      </vt:variant>
      <vt:variant>
        <vt:i4>5</vt:i4>
      </vt:variant>
      <vt:variant>
        <vt:lpwstr>http://www.nevo.co.il/law/70301</vt:lpwstr>
      </vt:variant>
      <vt:variant>
        <vt:lpwstr/>
      </vt:variant>
      <vt:variant>
        <vt:i4>393227</vt:i4>
      </vt:variant>
      <vt:variant>
        <vt:i4>141</vt:i4>
      </vt:variant>
      <vt:variant>
        <vt:i4>0</vt:i4>
      </vt:variant>
      <vt:variant>
        <vt:i4>5</vt:i4>
      </vt:variant>
      <vt:variant>
        <vt:lpwstr>http://www.nevo.co.il/law/70301/40jc</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6750245</vt:i4>
      </vt:variant>
      <vt:variant>
        <vt:i4>135</vt:i4>
      </vt:variant>
      <vt:variant>
        <vt:i4>0</vt:i4>
      </vt:variant>
      <vt:variant>
        <vt:i4>5</vt:i4>
      </vt:variant>
      <vt:variant>
        <vt:lpwstr>http://www.nevo.co.il/law/70301/40jc.a</vt:lpwstr>
      </vt:variant>
      <vt:variant>
        <vt:lpwstr/>
      </vt:variant>
      <vt:variant>
        <vt:i4>3866749</vt:i4>
      </vt:variant>
      <vt:variant>
        <vt:i4>132</vt:i4>
      </vt:variant>
      <vt:variant>
        <vt:i4>0</vt:i4>
      </vt:variant>
      <vt:variant>
        <vt:i4>5</vt:i4>
      </vt:variant>
      <vt:variant>
        <vt:lpwstr>http://www.nevo.co.il/case/18807159</vt:lpwstr>
      </vt:variant>
      <vt:variant>
        <vt:lpwstr/>
      </vt:variant>
      <vt:variant>
        <vt:i4>3801214</vt:i4>
      </vt:variant>
      <vt:variant>
        <vt:i4>129</vt:i4>
      </vt:variant>
      <vt:variant>
        <vt:i4>0</vt:i4>
      </vt:variant>
      <vt:variant>
        <vt:i4>5</vt:i4>
      </vt:variant>
      <vt:variant>
        <vt:lpwstr>http://www.nevo.co.il/case/5569069</vt:lpwstr>
      </vt:variant>
      <vt:variant>
        <vt:lpwstr/>
      </vt:variant>
      <vt:variant>
        <vt:i4>3145849</vt:i4>
      </vt:variant>
      <vt:variant>
        <vt:i4>126</vt:i4>
      </vt:variant>
      <vt:variant>
        <vt:i4>0</vt:i4>
      </vt:variant>
      <vt:variant>
        <vt:i4>5</vt:i4>
      </vt:variant>
      <vt:variant>
        <vt:lpwstr>http://www.nevo.co.il/case/13093721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262147</vt:i4>
      </vt:variant>
      <vt:variant>
        <vt:i4>120</vt:i4>
      </vt:variant>
      <vt:variant>
        <vt:i4>0</vt:i4>
      </vt:variant>
      <vt:variant>
        <vt:i4>5</vt:i4>
      </vt:variant>
      <vt:variant>
        <vt:lpwstr>http://www.nevo.co.il/law/70301/f40e</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http://www.nevo.co.il/law/70301/40i</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http://www.nevo.co.il/law/70301/40c</vt:lpwstr>
      </vt:variant>
      <vt:variant>
        <vt:lpwstr/>
      </vt:variant>
      <vt:variant>
        <vt:i4>6619233</vt:i4>
      </vt:variant>
      <vt:variant>
        <vt:i4>93</vt:i4>
      </vt:variant>
      <vt:variant>
        <vt:i4>0</vt:i4>
      </vt:variant>
      <vt:variant>
        <vt:i4>5</vt:i4>
      </vt:variant>
      <vt:variant>
        <vt:lpwstr>http://www.nevo.co.il/law/70301/40b</vt:lpwstr>
      </vt:variant>
      <vt:variant>
        <vt:lpwstr/>
      </vt:variant>
      <vt:variant>
        <vt:i4>7995492</vt:i4>
      </vt:variant>
      <vt:variant>
        <vt:i4>90</vt:i4>
      </vt:variant>
      <vt:variant>
        <vt:i4>0</vt:i4>
      </vt:variant>
      <vt:variant>
        <vt:i4>5</vt:i4>
      </vt:variant>
      <vt:variant>
        <vt:lpwstr>http://www.nevo.co.il/law/70301</vt:lpwstr>
      </vt:variant>
      <vt:variant>
        <vt:lpwstr/>
      </vt:variant>
      <vt:variant>
        <vt:i4>7995492</vt:i4>
      </vt:variant>
      <vt:variant>
        <vt:i4>87</vt:i4>
      </vt:variant>
      <vt:variant>
        <vt:i4>0</vt:i4>
      </vt:variant>
      <vt:variant>
        <vt:i4>5</vt:i4>
      </vt:variant>
      <vt:variant>
        <vt:lpwstr>http://www.nevo.co.il/law/70301</vt:lpwstr>
      </vt:variant>
      <vt:variant>
        <vt:lpwstr/>
      </vt:variant>
      <vt:variant>
        <vt:i4>8257637</vt:i4>
      </vt:variant>
      <vt:variant>
        <vt:i4>84</vt:i4>
      </vt:variant>
      <vt:variant>
        <vt:i4>0</vt:i4>
      </vt:variant>
      <vt:variant>
        <vt:i4>5</vt:i4>
      </vt:variant>
      <vt:variant>
        <vt:lpwstr>http://www.nevo.co.il/law/4216</vt:lpwstr>
      </vt:variant>
      <vt:variant>
        <vt:lpwstr/>
      </vt:variant>
      <vt:variant>
        <vt:i4>3407987</vt:i4>
      </vt:variant>
      <vt:variant>
        <vt:i4>81</vt:i4>
      </vt:variant>
      <vt:variant>
        <vt:i4>0</vt:i4>
      </vt:variant>
      <vt:variant>
        <vt:i4>5</vt:i4>
      </vt:variant>
      <vt:variant>
        <vt:lpwstr>http://www.nevo.co.il/case/5444673</vt:lpwstr>
      </vt:variant>
      <vt:variant>
        <vt:lpwstr/>
      </vt:variant>
      <vt:variant>
        <vt:i4>4128884</vt:i4>
      </vt:variant>
      <vt:variant>
        <vt:i4>78</vt:i4>
      </vt:variant>
      <vt:variant>
        <vt:i4>0</vt:i4>
      </vt:variant>
      <vt:variant>
        <vt:i4>5</vt:i4>
      </vt:variant>
      <vt:variant>
        <vt:lpwstr>http://www.nevo.co.il/case/17921563</vt:lpwstr>
      </vt:variant>
      <vt:variant>
        <vt:lpwstr/>
      </vt:variant>
      <vt:variant>
        <vt:i4>3407990</vt:i4>
      </vt:variant>
      <vt:variant>
        <vt:i4>75</vt:i4>
      </vt:variant>
      <vt:variant>
        <vt:i4>0</vt:i4>
      </vt:variant>
      <vt:variant>
        <vt:i4>5</vt:i4>
      </vt:variant>
      <vt:variant>
        <vt:lpwstr>http://www.nevo.co.il/case/17939654</vt:lpwstr>
      </vt:variant>
      <vt:variant>
        <vt:lpwstr/>
      </vt:variant>
      <vt:variant>
        <vt:i4>3866749</vt:i4>
      </vt:variant>
      <vt:variant>
        <vt:i4>72</vt:i4>
      </vt:variant>
      <vt:variant>
        <vt:i4>0</vt:i4>
      </vt:variant>
      <vt:variant>
        <vt:i4>5</vt:i4>
      </vt:variant>
      <vt:variant>
        <vt:lpwstr>http://www.nevo.co.il/case/18807159</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3342456</vt:i4>
      </vt:variant>
      <vt:variant>
        <vt:i4>66</vt:i4>
      </vt:variant>
      <vt:variant>
        <vt:i4>0</vt:i4>
      </vt:variant>
      <vt:variant>
        <vt:i4>5</vt:i4>
      </vt:variant>
      <vt:variant>
        <vt:lpwstr>http://www.nevo.co.il/case/5920357</vt:lpwstr>
      </vt:variant>
      <vt:variant>
        <vt:lpwstr/>
      </vt:variant>
      <vt:variant>
        <vt:i4>4063354</vt:i4>
      </vt:variant>
      <vt:variant>
        <vt:i4>63</vt:i4>
      </vt:variant>
      <vt:variant>
        <vt:i4>0</vt:i4>
      </vt:variant>
      <vt:variant>
        <vt:i4>5</vt:i4>
      </vt:variant>
      <vt:variant>
        <vt:lpwstr>http://www.nevo.co.il/case/6019079</vt:lpwstr>
      </vt:variant>
      <vt:variant>
        <vt:lpwstr/>
      </vt:variant>
      <vt:variant>
        <vt:i4>3407987</vt:i4>
      </vt:variant>
      <vt:variant>
        <vt:i4>60</vt:i4>
      </vt:variant>
      <vt:variant>
        <vt:i4>0</vt:i4>
      </vt:variant>
      <vt:variant>
        <vt:i4>5</vt:i4>
      </vt:variant>
      <vt:variant>
        <vt:lpwstr>http://www.nevo.co.il/case/5444673</vt:lpwstr>
      </vt:variant>
      <vt:variant>
        <vt:lpwstr/>
      </vt:variant>
      <vt:variant>
        <vt:i4>3211382</vt:i4>
      </vt:variant>
      <vt:variant>
        <vt:i4>57</vt:i4>
      </vt:variant>
      <vt:variant>
        <vt:i4>0</vt:i4>
      </vt:variant>
      <vt:variant>
        <vt:i4>5</vt:i4>
      </vt:variant>
      <vt:variant>
        <vt:lpwstr>http://www.nevo.co.il/case/11303307</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262147</vt:i4>
      </vt:variant>
      <vt:variant>
        <vt:i4>45</vt:i4>
      </vt:variant>
      <vt:variant>
        <vt:i4>0</vt:i4>
      </vt:variant>
      <vt:variant>
        <vt:i4>5</vt:i4>
      </vt:variant>
      <vt:variant>
        <vt:lpwstr>http://www.nevo.co.il/law/70301/f40e</vt:lpwstr>
      </vt:variant>
      <vt:variant>
        <vt:lpwstr/>
      </vt:variant>
      <vt:variant>
        <vt:i4>6553637</vt:i4>
      </vt:variant>
      <vt:variant>
        <vt:i4>42</vt:i4>
      </vt:variant>
      <vt:variant>
        <vt:i4>0</vt:i4>
      </vt:variant>
      <vt:variant>
        <vt:i4>5</vt:i4>
      </vt:variant>
      <vt:variant>
        <vt:lpwstr>http://www.nevo.co.il/law/70301/40jc.b</vt:lpwstr>
      </vt:variant>
      <vt:variant>
        <vt:lpwstr/>
      </vt:variant>
      <vt:variant>
        <vt:i4>6750245</vt:i4>
      </vt:variant>
      <vt:variant>
        <vt:i4>39</vt:i4>
      </vt:variant>
      <vt:variant>
        <vt:i4>0</vt:i4>
      </vt:variant>
      <vt:variant>
        <vt:i4>5</vt:i4>
      </vt:variant>
      <vt:variant>
        <vt:lpwstr>http://www.nevo.co.il/law/70301/40jc.a</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65614</vt:i4>
      </vt:variant>
      <vt:variant>
        <vt:i4>30</vt:i4>
      </vt:variant>
      <vt:variant>
        <vt:i4>0</vt:i4>
      </vt:variant>
      <vt:variant>
        <vt:i4>5</vt:i4>
      </vt:variant>
      <vt:variant>
        <vt:lpwstr>http://www.nevo.co.il/law/70301/56.b</vt:lpwstr>
      </vt:variant>
      <vt:variant>
        <vt:lpwstr/>
      </vt:variant>
      <vt:variant>
        <vt:i4>6291552</vt:i4>
      </vt:variant>
      <vt:variant>
        <vt:i4>27</vt:i4>
      </vt:variant>
      <vt:variant>
        <vt:i4>0</vt:i4>
      </vt:variant>
      <vt:variant>
        <vt:i4>5</vt:i4>
      </vt:variant>
      <vt:variant>
        <vt:lpwstr>http://www.nevo.co.il/law/70301/55</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6488187</vt:i4>
      </vt:variant>
      <vt:variant>
        <vt:i4>9</vt:i4>
      </vt:variant>
      <vt:variant>
        <vt:i4>0</vt:i4>
      </vt:variant>
      <vt:variant>
        <vt:i4>5</vt:i4>
      </vt:variant>
      <vt:variant>
        <vt:lpwstr>http://www.nevo.co.il/law/4216/31.6</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2025-04-22T20:37:00Z</dcterms:created>
  <dcterms:modified xsi:type="dcterms:W3CDTF">2025-04-22T20:37:00Z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1108</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שמואל בן יאיר</vt:lpwstr>
  </property>
  <property fmtid="{D5CDD505-2E9C-101B-9397-08002B2CF9AE}" pid="10" name="JUDGE">
    <vt:lpwstr>אורית וינשטיין</vt:lpwstr>
  </property>
  <property fmtid="{D5CDD505-2E9C-101B-9397-08002B2CF9AE}" pid="11" name="CITY">
    <vt:lpwstr>חי'</vt:lpwstr>
  </property>
  <property fmtid="{D5CDD505-2E9C-101B-9397-08002B2CF9AE}" pid="12" name="DATE">
    <vt:lpwstr>20151208</vt:lpwstr>
  </property>
  <property fmtid="{D5CDD505-2E9C-101B-9397-08002B2CF9AE}" pid="13" name="TYPE_N_DATE">
    <vt:lpwstr>39020151208</vt:lpwstr>
  </property>
  <property fmtid="{D5CDD505-2E9C-101B-9397-08002B2CF9AE}" pid="14" name="WORDNUMPAGES">
    <vt:lpwstr>17</vt:lpwstr>
  </property>
  <property fmtid="{D5CDD505-2E9C-101B-9397-08002B2CF9AE}" pid="15" name="TYPE_ABS_DATE">
    <vt:lpwstr>390020151208</vt:lpwstr>
  </property>
  <property fmtid="{D5CDD505-2E9C-101B-9397-08002B2CF9AE}" pid="16" name="ISABSTRACT">
    <vt:lpwstr>Y</vt:lpwstr>
  </property>
  <property fmtid="{D5CDD505-2E9C-101B-9397-08002B2CF9AE}" pid="17" name="CASESLISTTMP1">
    <vt:lpwstr>11303307;5444673:2;6019079:2;5920357;13093721:2;18807159:2;17939654;17921563;5569069;5573417;5786821;5988308;5698919;6094597</vt:lpwstr>
  </property>
  <property fmtid="{D5CDD505-2E9C-101B-9397-08002B2CF9AE}" pid="18" name="LAWLISTTMP1">
    <vt:lpwstr>4216/013;019a;031.6:2</vt:lpwstr>
  </property>
  <property fmtid="{D5CDD505-2E9C-101B-9397-08002B2CF9AE}" pid="19" name="LAWLISTTMP2">
    <vt:lpwstr>70301/040b;040c;040i:2;40ja:2;040d;f40e;40jc.a;40jc;40jc.b:2;055;056.b</vt:lpwstr>
  </property>
</Properties>
</file>