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539A1" w:rsidRPr="006B62C5" w14:paraId="3AFC7CDD" w14:textId="77777777">
        <w:trPr>
          <w:trHeight w:hRule="exact" w:val="418"/>
          <w:jc w:val="center"/>
        </w:trPr>
        <w:tc>
          <w:tcPr>
            <w:tcW w:w="8721" w:type="dxa"/>
            <w:gridSpan w:val="2"/>
          </w:tcPr>
          <w:p w14:paraId="1816BA79" w14:textId="77777777" w:rsidR="009539A1" w:rsidRPr="006B62C5" w:rsidRDefault="006B62C5">
            <w:pPr>
              <w:pStyle w:val="a3"/>
              <w:jc w:val="center"/>
              <w:rPr>
                <w:rFonts w:ascii="Tahoma" w:hAnsi="Tahoma" w:cs="Tahoma"/>
                <w:color w:val="000080"/>
                <w:rtl/>
              </w:rPr>
            </w:pPr>
            <w:bookmarkStart w:id="0" w:name="LastJudge"/>
            <w:r w:rsidRPr="006B62C5">
              <w:rPr>
                <w:rFonts w:ascii="Tahoma" w:hAnsi="Tahoma" w:cs="Tahoma"/>
                <w:b/>
                <w:bCs/>
                <w:color w:val="000080"/>
                <w:rtl/>
              </w:rPr>
              <w:t>בית המשפט המחוזי בחיפה</w:t>
            </w:r>
          </w:p>
        </w:tc>
      </w:tr>
      <w:tr w:rsidR="009539A1" w:rsidRPr="006B62C5" w14:paraId="4B131BD8" w14:textId="77777777">
        <w:trPr>
          <w:trHeight w:val="337"/>
          <w:jc w:val="center"/>
        </w:trPr>
        <w:tc>
          <w:tcPr>
            <w:tcW w:w="5057" w:type="dxa"/>
          </w:tcPr>
          <w:p w14:paraId="034EFA03" w14:textId="77777777" w:rsidR="009539A1" w:rsidRPr="006B62C5" w:rsidRDefault="006B62C5" w:rsidP="004371BA">
            <w:pPr>
              <w:rPr>
                <w:rFonts w:cs="FrankRuehl" w:hint="cs"/>
                <w:sz w:val="28"/>
                <w:szCs w:val="28"/>
                <w:rtl/>
              </w:rPr>
            </w:pPr>
            <w:r w:rsidRPr="006B62C5">
              <w:rPr>
                <w:rFonts w:cs="FrankRuehl"/>
                <w:sz w:val="28"/>
                <w:szCs w:val="28"/>
                <w:rtl/>
              </w:rPr>
              <w:t>ת"פ</w:t>
            </w:r>
            <w:r w:rsidRPr="006B62C5">
              <w:rPr>
                <w:rFonts w:cs="FrankRuehl" w:hint="cs"/>
                <w:sz w:val="28"/>
                <w:szCs w:val="28"/>
                <w:rtl/>
              </w:rPr>
              <w:t xml:space="preserve"> </w:t>
            </w:r>
            <w:r w:rsidRPr="006B62C5">
              <w:rPr>
                <w:rFonts w:cs="FrankRuehl"/>
                <w:sz w:val="28"/>
                <w:szCs w:val="28"/>
                <w:rtl/>
              </w:rPr>
              <w:t>23408-05-15</w:t>
            </w:r>
            <w:r w:rsidRPr="006B62C5">
              <w:rPr>
                <w:rFonts w:cs="FrankRuehl" w:hint="cs"/>
                <w:sz w:val="28"/>
                <w:szCs w:val="28"/>
                <w:rtl/>
              </w:rPr>
              <w:t xml:space="preserve"> </w:t>
            </w:r>
            <w:r w:rsidR="004371BA">
              <w:rPr>
                <w:rFonts w:cs="FrankRuehl"/>
                <w:sz w:val="28"/>
                <w:szCs w:val="28"/>
                <w:rtl/>
              </w:rPr>
              <w:t>מדינת ישראל נ' קוגן</w:t>
            </w:r>
          </w:p>
          <w:p w14:paraId="07DA02C2" w14:textId="77777777" w:rsidR="009539A1" w:rsidRPr="006B62C5" w:rsidRDefault="009539A1">
            <w:pPr>
              <w:pStyle w:val="a3"/>
              <w:rPr>
                <w:rFonts w:cs="FrankRuehl"/>
                <w:sz w:val="28"/>
                <w:szCs w:val="28"/>
                <w:rtl/>
              </w:rPr>
            </w:pPr>
          </w:p>
        </w:tc>
        <w:tc>
          <w:tcPr>
            <w:tcW w:w="3664" w:type="dxa"/>
          </w:tcPr>
          <w:p w14:paraId="51A892C3" w14:textId="77777777" w:rsidR="009539A1" w:rsidRPr="006B62C5" w:rsidRDefault="009539A1">
            <w:pPr>
              <w:pStyle w:val="a3"/>
              <w:jc w:val="right"/>
              <w:rPr>
                <w:rFonts w:cs="FrankRuehl"/>
                <w:sz w:val="28"/>
                <w:szCs w:val="28"/>
                <w:rtl/>
              </w:rPr>
            </w:pPr>
          </w:p>
        </w:tc>
      </w:tr>
    </w:tbl>
    <w:p w14:paraId="3720164B" w14:textId="77777777" w:rsidR="009539A1" w:rsidRPr="006B62C5" w:rsidRDefault="006B62C5">
      <w:pPr>
        <w:pStyle w:val="a3"/>
        <w:rPr>
          <w:rtl/>
        </w:rPr>
      </w:pPr>
      <w:r w:rsidRPr="006B62C5">
        <w:rPr>
          <w:rFonts w:hint="cs"/>
          <w:rtl/>
        </w:rPr>
        <w:t xml:space="preserve"> </w:t>
      </w:r>
    </w:p>
    <w:p w14:paraId="65041981" w14:textId="77777777" w:rsidR="009539A1" w:rsidRPr="006B62C5" w:rsidRDefault="009539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39A1" w:rsidRPr="006B62C5" w14:paraId="7C250DD9" w14:textId="77777777">
        <w:trPr>
          <w:trHeight w:val="295"/>
          <w:jc w:val="center"/>
        </w:trPr>
        <w:tc>
          <w:tcPr>
            <w:tcW w:w="923" w:type="dxa"/>
            <w:tcBorders>
              <w:top w:val="nil"/>
              <w:left w:val="nil"/>
              <w:bottom w:val="nil"/>
              <w:right w:val="nil"/>
            </w:tcBorders>
            <w:shd w:val="clear" w:color="auto" w:fill="auto"/>
          </w:tcPr>
          <w:p w14:paraId="69535708" w14:textId="77777777" w:rsidR="009539A1" w:rsidRPr="006B62C5" w:rsidRDefault="006B62C5">
            <w:pPr>
              <w:jc w:val="both"/>
              <w:rPr>
                <w:rFonts w:ascii="Arial" w:hAnsi="Arial" w:cs="FrankRuehl"/>
                <w:sz w:val="28"/>
                <w:szCs w:val="28"/>
              </w:rPr>
            </w:pPr>
            <w:r w:rsidRPr="006B62C5">
              <w:rPr>
                <w:rFonts w:ascii="Arial" w:hAnsi="Arial" w:cs="FrankRuehl" w:hint="cs"/>
                <w:sz w:val="28"/>
                <w:szCs w:val="28"/>
                <w:rtl/>
              </w:rPr>
              <w:t>ב</w:t>
            </w:r>
            <w:r w:rsidRPr="006B62C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D3EC0B2" w14:textId="77777777" w:rsidR="009539A1" w:rsidRPr="006B62C5" w:rsidRDefault="006B62C5">
            <w:pPr>
              <w:rPr>
                <w:rFonts w:ascii="Arial" w:hAnsi="Arial"/>
                <w:b/>
                <w:bCs/>
                <w:rtl/>
              </w:rPr>
            </w:pPr>
            <w:r w:rsidRPr="006B62C5">
              <w:rPr>
                <w:rFonts w:ascii="Arial" w:hAnsi="Arial" w:hint="cs"/>
                <w:b/>
                <w:bCs/>
                <w:rtl/>
              </w:rPr>
              <w:t>כבוד ה</w:t>
            </w:r>
            <w:r w:rsidRPr="006B62C5">
              <w:rPr>
                <w:rFonts w:hint="cs"/>
                <w:rtl/>
              </w:rPr>
              <w:t>שופטת</w:t>
            </w:r>
            <w:r w:rsidRPr="006B62C5">
              <w:rPr>
                <w:rFonts w:ascii="Arial" w:hAnsi="Arial" w:hint="cs"/>
                <w:b/>
                <w:bCs/>
                <w:rtl/>
              </w:rPr>
              <w:t xml:space="preserve">  </w:t>
            </w:r>
            <w:r w:rsidRPr="006B62C5">
              <w:rPr>
                <w:rFonts w:hint="cs"/>
                <w:rtl/>
              </w:rPr>
              <w:t>תמר שרון נתנאל</w:t>
            </w:r>
          </w:p>
          <w:p w14:paraId="2B7350FF" w14:textId="77777777" w:rsidR="009539A1" w:rsidRPr="006B62C5" w:rsidRDefault="009539A1">
            <w:pPr>
              <w:rPr>
                <w:rtl/>
              </w:rPr>
            </w:pPr>
          </w:p>
          <w:p w14:paraId="01F7026F" w14:textId="77777777" w:rsidR="009539A1" w:rsidRPr="006B62C5" w:rsidRDefault="009539A1">
            <w:pPr>
              <w:jc w:val="both"/>
              <w:rPr>
                <w:rFonts w:ascii="Arial" w:hAnsi="Arial" w:cs="FrankRuehl"/>
                <w:sz w:val="28"/>
                <w:szCs w:val="28"/>
              </w:rPr>
            </w:pPr>
          </w:p>
        </w:tc>
      </w:tr>
      <w:tr w:rsidR="009539A1" w:rsidRPr="006B62C5" w14:paraId="7C7336CA" w14:textId="77777777">
        <w:trPr>
          <w:trHeight w:val="355"/>
          <w:jc w:val="center"/>
        </w:trPr>
        <w:tc>
          <w:tcPr>
            <w:tcW w:w="923" w:type="dxa"/>
            <w:tcBorders>
              <w:top w:val="nil"/>
              <w:left w:val="nil"/>
              <w:bottom w:val="nil"/>
              <w:right w:val="nil"/>
            </w:tcBorders>
            <w:shd w:val="clear" w:color="auto" w:fill="auto"/>
          </w:tcPr>
          <w:p w14:paraId="34914083" w14:textId="77777777" w:rsidR="009539A1" w:rsidRPr="006B62C5" w:rsidRDefault="006B62C5">
            <w:pPr>
              <w:jc w:val="both"/>
              <w:rPr>
                <w:rFonts w:ascii="Arial" w:hAnsi="Arial" w:cs="FrankRuehl"/>
                <w:sz w:val="28"/>
                <w:szCs w:val="28"/>
              </w:rPr>
            </w:pPr>
            <w:bookmarkStart w:id="1" w:name="FirstAppellant"/>
            <w:r w:rsidRPr="006B62C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364A3C0" w14:textId="77777777" w:rsidR="009539A1" w:rsidRPr="006B62C5" w:rsidRDefault="006B62C5">
            <w:r w:rsidRPr="006B62C5">
              <w:rPr>
                <w:rFonts w:hint="cs"/>
                <w:rtl/>
              </w:rPr>
              <w:t>מדינת ישראל</w:t>
            </w:r>
          </w:p>
        </w:tc>
        <w:tc>
          <w:tcPr>
            <w:tcW w:w="3771" w:type="dxa"/>
            <w:tcBorders>
              <w:top w:val="nil"/>
              <w:left w:val="nil"/>
              <w:bottom w:val="nil"/>
              <w:right w:val="nil"/>
            </w:tcBorders>
            <w:shd w:val="clear" w:color="auto" w:fill="auto"/>
          </w:tcPr>
          <w:p w14:paraId="06EAE581" w14:textId="77777777" w:rsidR="009539A1" w:rsidRPr="006B62C5" w:rsidRDefault="009539A1">
            <w:pPr>
              <w:jc w:val="both"/>
              <w:rPr>
                <w:rFonts w:ascii="Arial" w:hAnsi="Arial" w:cs="FrankRuehl"/>
                <w:sz w:val="28"/>
                <w:szCs w:val="28"/>
              </w:rPr>
            </w:pPr>
          </w:p>
        </w:tc>
      </w:tr>
      <w:bookmarkEnd w:id="1"/>
      <w:tr w:rsidR="009539A1" w:rsidRPr="006B62C5" w14:paraId="337E6520" w14:textId="77777777">
        <w:trPr>
          <w:trHeight w:val="355"/>
          <w:jc w:val="center"/>
        </w:trPr>
        <w:tc>
          <w:tcPr>
            <w:tcW w:w="923" w:type="dxa"/>
            <w:tcBorders>
              <w:top w:val="nil"/>
              <w:left w:val="nil"/>
              <w:bottom w:val="nil"/>
              <w:right w:val="nil"/>
            </w:tcBorders>
            <w:shd w:val="clear" w:color="auto" w:fill="auto"/>
          </w:tcPr>
          <w:p w14:paraId="6B09D4AC" w14:textId="77777777" w:rsidR="009539A1" w:rsidRPr="006B62C5" w:rsidRDefault="009539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330BCE6" w14:textId="77777777" w:rsidR="009539A1" w:rsidRPr="006B62C5" w:rsidRDefault="009539A1">
            <w:pPr>
              <w:jc w:val="both"/>
              <w:rPr>
                <w:rtl/>
              </w:rPr>
            </w:pPr>
          </w:p>
        </w:tc>
        <w:tc>
          <w:tcPr>
            <w:tcW w:w="3771" w:type="dxa"/>
            <w:tcBorders>
              <w:top w:val="nil"/>
              <w:left w:val="nil"/>
              <w:bottom w:val="nil"/>
              <w:right w:val="nil"/>
            </w:tcBorders>
            <w:shd w:val="clear" w:color="auto" w:fill="auto"/>
          </w:tcPr>
          <w:p w14:paraId="2FCBAB7B" w14:textId="77777777" w:rsidR="009539A1" w:rsidRPr="006B62C5" w:rsidRDefault="006B62C5">
            <w:pPr>
              <w:jc w:val="right"/>
              <w:rPr>
                <w:rFonts w:ascii="Arial" w:hAnsi="Arial" w:cs="FrankRuehl"/>
                <w:sz w:val="28"/>
                <w:szCs w:val="28"/>
                <w:rtl/>
              </w:rPr>
            </w:pPr>
            <w:r w:rsidRPr="006B62C5">
              <w:rPr>
                <w:rFonts w:ascii="Arial" w:hAnsi="Arial" w:cs="FrankRuehl" w:hint="cs"/>
                <w:sz w:val="28"/>
                <w:szCs w:val="28"/>
                <w:rtl/>
              </w:rPr>
              <w:t>ה</w:t>
            </w:r>
            <w:r w:rsidRPr="006B62C5">
              <w:rPr>
                <w:rFonts w:hint="cs"/>
                <w:rtl/>
              </w:rPr>
              <w:t>מאשימה</w:t>
            </w:r>
          </w:p>
        </w:tc>
      </w:tr>
      <w:tr w:rsidR="009539A1" w:rsidRPr="006B62C5" w14:paraId="33B3D70E" w14:textId="77777777">
        <w:trPr>
          <w:trHeight w:val="355"/>
          <w:jc w:val="center"/>
        </w:trPr>
        <w:tc>
          <w:tcPr>
            <w:tcW w:w="923" w:type="dxa"/>
            <w:tcBorders>
              <w:top w:val="nil"/>
              <w:left w:val="nil"/>
              <w:bottom w:val="nil"/>
              <w:right w:val="nil"/>
            </w:tcBorders>
            <w:shd w:val="clear" w:color="auto" w:fill="auto"/>
          </w:tcPr>
          <w:p w14:paraId="12FA557E" w14:textId="77777777" w:rsidR="009539A1" w:rsidRPr="006B62C5" w:rsidRDefault="009539A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8AE8696" w14:textId="77777777" w:rsidR="009539A1" w:rsidRPr="006B62C5" w:rsidRDefault="009539A1">
            <w:pPr>
              <w:jc w:val="center"/>
              <w:rPr>
                <w:rFonts w:ascii="Arial" w:hAnsi="Arial" w:cs="FrankRuehl"/>
                <w:b/>
                <w:bCs/>
                <w:sz w:val="28"/>
                <w:szCs w:val="28"/>
                <w:rtl/>
              </w:rPr>
            </w:pPr>
          </w:p>
          <w:p w14:paraId="4A6DEABA" w14:textId="77777777" w:rsidR="009539A1" w:rsidRPr="006B62C5" w:rsidRDefault="006B62C5">
            <w:pPr>
              <w:jc w:val="center"/>
              <w:rPr>
                <w:rFonts w:ascii="Arial" w:hAnsi="Arial" w:cs="FrankRuehl"/>
                <w:b/>
                <w:bCs/>
                <w:sz w:val="28"/>
                <w:szCs w:val="28"/>
                <w:rtl/>
              </w:rPr>
            </w:pPr>
            <w:r w:rsidRPr="006B62C5">
              <w:rPr>
                <w:rFonts w:ascii="Arial" w:hAnsi="Arial" w:cs="FrankRuehl"/>
                <w:b/>
                <w:bCs/>
                <w:sz w:val="28"/>
                <w:szCs w:val="28"/>
                <w:rtl/>
              </w:rPr>
              <w:t>נגד</w:t>
            </w:r>
          </w:p>
          <w:p w14:paraId="75D2D149" w14:textId="77777777" w:rsidR="009539A1" w:rsidRPr="006B62C5" w:rsidRDefault="009539A1">
            <w:pPr>
              <w:jc w:val="both"/>
              <w:rPr>
                <w:rFonts w:ascii="Arial" w:hAnsi="Arial" w:cs="FrankRuehl"/>
                <w:sz w:val="28"/>
                <w:szCs w:val="28"/>
              </w:rPr>
            </w:pPr>
          </w:p>
        </w:tc>
      </w:tr>
      <w:tr w:rsidR="009539A1" w:rsidRPr="006B62C5" w14:paraId="58AF825F" w14:textId="77777777">
        <w:trPr>
          <w:trHeight w:val="355"/>
          <w:jc w:val="center"/>
        </w:trPr>
        <w:tc>
          <w:tcPr>
            <w:tcW w:w="923" w:type="dxa"/>
            <w:tcBorders>
              <w:top w:val="nil"/>
              <w:left w:val="nil"/>
              <w:bottom w:val="nil"/>
              <w:right w:val="nil"/>
            </w:tcBorders>
            <w:shd w:val="clear" w:color="auto" w:fill="auto"/>
          </w:tcPr>
          <w:p w14:paraId="154DFF8B" w14:textId="77777777" w:rsidR="009539A1" w:rsidRPr="006B62C5" w:rsidRDefault="009539A1">
            <w:pPr>
              <w:rPr>
                <w:rFonts w:ascii="Arial" w:hAnsi="Arial" w:cs="FrankRuehl"/>
                <w:sz w:val="28"/>
                <w:szCs w:val="28"/>
                <w:rtl/>
              </w:rPr>
            </w:pPr>
          </w:p>
        </w:tc>
        <w:tc>
          <w:tcPr>
            <w:tcW w:w="4126" w:type="dxa"/>
            <w:tcBorders>
              <w:top w:val="nil"/>
              <w:left w:val="nil"/>
              <w:bottom w:val="nil"/>
              <w:right w:val="nil"/>
            </w:tcBorders>
            <w:shd w:val="clear" w:color="auto" w:fill="auto"/>
          </w:tcPr>
          <w:p w14:paraId="6C512799" w14:textId="77777777" w:rsidR="009539A1" w:rsidRPr="006B62C5" w:rsidRDefault="006B62C5">
            <w:pPr>
              <w:rPr>
                <w:rtl/>
              </w:rPr>
            </w:pPr>
            <w:r w:rsidRPr="006B62C5">
              <w:rPr>
                <w:rFonts w:hint="cs"/>
                <w:rtl/>
              </w:rPr>
              <w:t xml:space="preserve">קונסטנטין קוגן </w:t>
            </w:r>
          </w:p>
        </w:tc>
        <w:tc>
          <w:tcPr>
            <w:tcW w:w="3771" w:type="dxa"/>
            <w:tcBorders>
              <w:top w:val="nil"/>
              <w:left w:val="nil"/>
              <w:bottom w:val="nil"/>
              <w:right w:val="nil"/>
            </w:tcBorders>
            <w:shd w:val="clear" w:color="auto" w:fill="auto"/>
          </w:tcPr>
          <w:p w14:paraId="006909F4" w14:textId="77777777" w:rsidR="009539A1" w:rsidRPr="006B62C5" w:rsidRDefault="009539A1">
            <w:pPr>
              <w:jc w:val="right"/>
              <w:rPr>
                <w:rFonts w:ascii="Arial" w:hAnsi="Arial" w:cs="FrankRuehl"/>
                <w:sz w:val="28"/>
                <w:szCs w:val="28"/>
              </w:rPr>
            </w:pPr>
          </w:p>
        </w:tc>
      </w:tr>
      <w:tr w:rsidR="009539A1" w:rsidRPr="006B62C5" w14:paraId="363C8F35" w14:textId="77777777">
        <w:trPr>
          <w:trHeight w:val="355"/>
          <w:jc w:val="center"/>
        </w:trPr>
        <w:tc>
          <w:tcPr>
            <w:tcW w:w="923" w:type="dxa"/>
            <w:tcBorders>
              <w:top w:val="nil"/>
              <w:left w:val="nil"/>
              <w:bottom w:val="nil"/>
              <w:right w:val="nil"/>
            </w:tcBorders>
            <w:shd w:val="clear" w:color="auto" w:fill="auto"/>
          </w:tcPr>
          <w:p w14:paraId="60296136" w14:textId="77777777" w:rsidR="009539A1" w:rsidRPr="006B62C5" w:rsidRDefault="009539A1">
            <w:pPr>
              <w:jc w:val="both"/>
              <w:rPr>
                <w:rFonts w:ascii="Arial" w:hAnsi="Arial" w:cs="FrankRuehl"/>
                <w:sz w:val="28"/>
                <w:szCs w:val="28"/>
                <w:rtl/>
              </w:rPr>
            </w:pPr>
          </w:p>
          <w:p w14:paraId="2E832FA8" w14:textId="77777777" w:rsidR="009539A1" w:rsidRPr="006B62C5" w:rsidRDefault="009539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9C80E1A" w14:textId="77777777" w:rsidR="009539A1" w:rsidRPr="006B62C5" w:rsidRDefault="009539A1">
            <w:pPr>
              <w:jc w:val="both"/>
              <w:rPr>
                <w:rtl/>
              </w:rPr>
            </w:pPr>
          </w:p>
        </w:tc>
        <w:tc>
          <w:tcPr>
            <w:tcW w:w="3771" w:type="dxa"/>
            <w:tcBorders>
              <w:top w:val="nil"/>
              <w:left w:val="nil"/>
              <w:bottom w:val="nil"/>
              <w:right w:val="nil"/>
            </w:tcBorders>
            <w:shd w:val="clear" w:color="auto" w:fill="auto"/>
          </w:tcPr>
          <w:p w14:paraId="0AD205FE" w14:textId="77777777" w:rsidR="009539A1" w:rsidRPr="006B62C5" w:rsidRDefault="006B62C5">
            <w:pPr>
              <w:jc w:val="right"/>
              <w:rPr>
                <w:rFonts w:ascii="Arial" w:hAnsi="Arial" w:cs="FrankRuehl"/>
                <w:sz w:val="28"/>
                <w:szCs w:val="28"/>
              </w:rPr>
            </w:pPr>
            <w:r w:rsidRPr="006B62C5">
              <w:rPr>
                <w:rFonts w:ascii="Arial" w:hAnsi="Arial" w:cs="FrankRuehl" w:hint="cs"/>
                <w:sz w:val="28"/>
                <w:szCs w:val="28"/>
                <w:rtl/>
              </w:rPr>
              <w:t>ה</w:t>
            </w:r>
            <w:r w:rsidRPr="006B62C5">
              <w:rPr>
                <w:rFonts w:hint="cs"/>
                <w:rtl/>
              </w:rPr>
              <w:t>נאשמים</w:t>
            </w:r>
          </w:p>
        </w:tc>
      </w:tr>
    </w:tbl>
    <w:p w14:paraId="4C4EA4FE" w14:textId="77777777" w:rsidR="009539A1" w:rsidRPr="006B62C5" w:rsidRDefault="009539A1"/>
    <w:p w14:paraId="001C7BB8" w14:textId="77777777" w:rsidR="004371BA" w:rsidRPr="006B62C5" w:rsidRDefault="004371BA">
      <w:pPr>
        <w:rPr>
          <w:rFonts w:ascii="Arial" w:hAnsi="Arial"/>
          <w:b/>
          <w:bCs/>
          <w:rtl/>
        </w:rPr>
      </w:pPr>
      <w:bookmarkStart w:id="2" w:name="FirstLawyer"/>
      <w:r w:rsidRPr="006B62C5">
        <w:rPr>
          <w:rFonts w:ascii="Arial" w:hAnsi="Arial" w:hint="cs"/>
          <w:b/>
          <w:bCs/>
          <w:rtl/>
        </w:rPr>
        <w:t xml:space="preserve">נוכחים: </w:t>
      </w:r>
    </w:p>
    <w:p w14:paraId="5FC2F458" w14:textId="77777777" w:rsidR="004371BA" w:rsidRPr="006B62C5" w:rsidRDefault="004371BA">
      <w:pPr>
        <w:rPr>
          <w:rFonts w:ascii="Arial" w:hAnsi="Arial"/>
          <w:rtl/>
        </w:rPr>
      </w:pPr>
      <w:r w:rsidRPr="006B62C5">
        <w:rPr>
          <w:rFonts w:ascii="Arial" w:hAnsi="Arial" w:hint="cs"/>
          <w:rtl/>
        </w:rPr>
        <w:t>ב"כ המאשימה -  עו"ד סרי</w:t>
      </w:r>
    </w:p>
    <w:p w14:paraId="5524BE25" w14:textId="77777777" w:rsidR="004371BA" w:rsidRPr="006B62C5" w:rsidRDefault="004371BA">
      <w:pPr>
        <w:rPr>
          <w:rFonts w:ascii="Arial" w:hAnsi="Arial"/>
          <w:rtl/>
        </w:rPr>
      </w:pPr>
      <w:r w:rsidRPr="006B62C5">
        <w:rPr>
          <w:rFonts w:ascii="Arial" w:hAnsi="Arial" w:hint="cs"/>
          <w:rtl/>
        </w:rPr>
        <w:t>הסנגור: עו"ד פרחובניק</w:t>
      </w:r>
    </w:p>
    <w:p w14:paraId="7D9F6210" w14:textId="77777777" w:rsidR="004371BA" w:rsidRPr="006B62C5" w:rsidRDefault="004371BA">
      <w:pPr>
        <w:rPr>
          <w:rFonts w:ascii="Arial" w:hAnsi="Arial"/>
          <w:rtl/>
        </w:rPr>
      </w:pPr>
      <w:r w:rsidRPr="006B62C5">
        <w:rPr>
          <w:rFonts w:ascii="Arial" w:hAnsi="Arial" w:hint="cs"/>
          <w:rtl/>
        </w:rPr>
        <w:t>הנאשם: באמצעות הליווי</w:t>
      </w:r>
    </w:p>
    <w:p w14:paraId="6681EABC" w14:textId="77777777" w:rsidR="004371BA" w:rsidRPr="006B62C5" w:rsidRDefault="004371BA">
      <w:pPr>
        <w:rPr>
          <w:rFonts w:ascii="Arial" w:hAnsi="Arial" w:cs="FrankRuehl"/>
          <w:b/>
          <w:bCs/>
          <w:sz w:val="32"/>
          <w:szCs w:val="32"/>
          <w:rtl/>
        </w:rPr>
      </w:pPr>
    </w:p>
    <w:p w14:paraId="21170FEE" w14:textId="77777777" w:rsidR="00EC2D8A" w:rsidRDefault="00EC2D8A" w:rsidP="00EC2D8A">
      <w:pPr>
        <w:spacing w:after="120" w:line="240" w:lineRule="exact"/>
        <w:ind w:left="283" w:hanging="283"/>
        <w:jc w:val="both"/>
        <w:rPr>
          <w:rFonts w:ascii="FrankRuehl" w:hAnsi="FrankRuehl" w:cs="FrankRuehl" w:hint="cs"/>
          <w:rtl/>
        </w:rPr>
      </w:pPr>
    </w:p>
    <w:p w14:paraId="0CCAEAF1" w14:textId="77777777" w:rsidR="00EC2D8A" w:rsidRPr="00EC2D8A" w:rsidRDefault="00EC2D8A" w:rsidP="00EC2D8A">
      <w:pPr>
        <w:spacing w:after="120" w:line="240" w:lineRule="exact"/>
        <w:ind w:left="283" w:hanging="283"/>
        <w:jc w:val="both"/>
        <w:rPr>
          <w:rFonts w:ascii="FrankRuehl" w:hAnsi="FrankRuehl" w:cs="FrankRuehl"/>
          <w:rtl/>
        </w:rPr>
      </w:pPr>
      <w:r w:rsidRPr="00EC2D8A">
        <w:rPr>
          <w:rFonts w:ascii="FrankRuehl" w:hAnsi="FrankRuehl" w:cs="FrankRuehl"/>
          <w:rtl/>
        </w:rPr>
        <w:t xml:space="preserve">חקיקה שאוזכרה: </w:t>
      </w:r>
    </w:p>
    <w:p w14:paraId="5FA3CBFB" w14:textId="77777777" w:rsidR="00EC2D8A" w:rsidRPr="00EC2D8A" w:rsidRDefault="00EC2D8A" w:rsidP="00EC2D8A">
      <w:pPr>
        <w:spacing w:after="120" w:line="240" w:lineRule="exact"/>
        <w:ind w:left="283" w:hanging="283"/>
        <w:jc w:val="both"/>
        <w:rPr>
          <w:rFonts w:ascii="FrankRuehl" w:hAnsi="FrankRuehl" w:cs="FrankRuehl"/>
          <w:color w:val="0000FF"/>
          <w:u w:val="single"/>
          <w:rtl/>
        </w:rPr>
      </w:pPr>
      <w:hyperlink r:id="rId7" w:history="1">
        <w:r w:rsidRPr="00EC2D8A">
          <w:rPr>
            <w:rStyle w:val="Hyperlink"/>
            <w:rFonts w:ascii="FrankRuehl" w:hAnsi="FrankRuehl" w:cs="FrankRuehl"/>
            <w:rtl/>
          </w:rPr>
          <w:t>פקודת הסמים המסוכנים [נוסח חדש], תשל"ג-1973</w:t>
        </w:r>
      </w:hyperlink>
      <w:r w:rsidRPr="00EC2D8A">
        <w:rPr>
          <w:rFonts w:ascii="FrankRuehl" w:hAnsi="FrankRuehl" w:cs="FrankRuehl"/>
          <w:color w:val="0000FF"/>
          <w:u w:val="single"/>
          <w:rtl/>
        </w:rPr>
        <w:t xml:space="preserve">: סע'  </w:t>
      </w:r>
      <w:hyperlink r:id="rId8" w:history="1">
        <w:r w:rsidRPr="00EC2D8A">
          <w:rPr>
            <w:rStyle w:val="Hyperlink"/>
            <w:rFonts w:ascii="FrankRuehl" w:hAnsi="FrankRuehl" w:cs="FrankRuehl"/>
          </w:rPr>
          <w:t>7(</w:t>
        </w:r>
        <w:r w:rsidRPr="00EC2D8A">
          <w:rPr>
            <w:rStyle w:val="Hyperlink"/>
            <w:rFonts w:ascii="FrankRuehl" w:hAnsi="FrankRuehl" w:cs="FrankRuehl"/>
            <w:rtl/>
          </w:rPr>
          <w:t>א</w:t>
        </w:r>
        <w:r w:rsidRPr="00EC2D8A">
          <w:rPr>
            <w:rStyle w:val="Hyperlink"/>
            <w:rFonts w:ascii="FrankRuehl" w:hAnsi="FrankRuehl" w:cs="FrankRuehl"/>
          </w:rPr>
          <w:t>)</w:t>
        </w:r>
      </w:hyperlink>
      <w:r w:rsidRPr="00EC2D8A">
        <w:rPr>
          <w:rFonts w:ascii="FrankRuehl" w:hAnsi="FrankRuehl" w:cs="FrankRuehl"/>
          <w:color w:val="0000FF"/>
          <w:u w:val="single"/>
          <w:rtl/>
        </w:rPr>
        <w:t xml:space="preserve">, </w:t>
      </w:r>
      <w:hyperlink r:id="rId9" w:history="1">
        <w:r w:rsidRPr="00EC2D8A">
          <w:rPr>
            <w:rStyle w:val="Hyperlink"/>
            <w:rFonts w:ascii="FrankRuehl" w:hAnsi="FrankRuehl" w:cs="FrankRuehl"/>
          </w:rPr>
          <w:t>+(</w:t>
        </w:r>
        <w:r w:rsidRPr="00EC2D8A">
          <w:rPr>
            <w:rStyle w:val="Hyperlink"/>
            <w:rFonts w:ascii="FrankRuehl" w:hAnsi="FrankRuehl" w:cs="FrankRuehl"/>
            <w:rtl/>
          </w:rPr>
          <w:t>ג</w:t>
        </w:r>
        <w:r w:rsidRPr="00EC2D8A">
          <w:rPr>
            <w:rStyle w:val="Hyperlink"/>
            <w:rFonts w:ascii="FrankRuehl" w:hAnsi="FrankRuehl" w:cs="FrankRuehl"/>
          </w:rPr>
          <w:t>)</w:t>
        </w:r>
      </w:hyperlink>
      <w:r w:rsidRPr="00EC2D8A">
        <w:rPr>
          <w:rFonts w:ascii="FrankRuehl" w:hAnsi="FrankRuehl" w:cs="FrankRuehl"/>
          <w:color w:val="0000FF"/>
          <w:u w:val="single"/>
          <w:rtl/>
        </w:rPr>
        <w:t xml:space="preserve">, </w:t>
      </w:r>
      <w:hyperlink r:id="rId10" w:history="1">
        <w:r w:rsidRPr="00EC2D8A">
          <w:rPr>
            <w:rStyle w:val="Hyperlink"/>
            <w:rFonts w:ascii="FrankRuehl" w:hAnsi="FrankRuehl" w:cs="FrankRuehl"/>
          </w:rPr>
          <w:t>13</w:t>
        </w:r>
      </w:hyperlink>
      <w:r w:rsidRPr="00EC2D8A">
        <w:rPr>
          <w:rFonts w:ascii="FrankRuehl" w:hAnsi="FrankRuehl" w:cs="FrankRuehl"/>
          <w:color w:val="0000FF"/>
          <w:u w:val="single"/>
          <w:rtl/>
        </w:rPr>
        <w:t xml:space="preserve">, </w:t>
      </w:r>
      <w:hyperlink r:id="rId11" w:history="1">
        <w:r w:rsidRPr="00EC2D8A">
          <w:rPr>
            <w:rStyle w:val="Hyperlink"/>
            <w:rFonts w:ascii="FrankRuehl" w:hAnsi="FrankRuehl" w:cs="FrankRuehl"/>
          </w:rPr>
          <w:t xml:space="preserve">19 </w:t>
        </w:r>
        <w:r w:rsidRPr="00EC2D8A">
          <w:rPr>
            <w:rStyle w:val="Hyperlink"/>
            <w:rFonts w:ascii="FrankRuehl" w:hAnsi="FrankRuehl" w:cs="FrankRuehl"/>
            <w:rtl/>
          </w:rPr>
          <w:t>א</w:t>
        </w:r>
      </w:hyperlink>
    </w:p>
    <w:p w14:paraId="29D55160" w14:textId="77777777" w:rsidR="00EC2D8A" w:rsidRPr="00EC2D8A" w:rsidRDefault="00EC2D8A" w:rsidP="00EC2D8A">
      <w:pPr>
        <w:spacing w:after="120" w:line="240" w:lineRule="exact"/>
        <w:ind w:left="283" w:hanging="283"/>
        <w:jc w:val="both"/>
        <w:rPr>
          <w:rFonts w:ascii="FrankRuehl" w:hAnsi="FrankRuehl" w:cs="FrankRuehl"/>
          <w:color w:val="0000FF"/>
          <w:u w:val="single"/>
          <w:rtl/>
        </w:rPr>
      </w:pPr>
      <w:hyperlink r:id="rId12" w:history="1">
        <w:r w:rsidRPr="00EC2D8A">
          <w:rPr>
            <w:rStyle w:val="Hyperlink"/>
            <w:rFonts w:ascii="FrankRuehl" w:hAnsi="FrankRuehl" w:cs="FrankRuehl"/>
            <w:rtl/>
          </w:rPr>
          <w:t>חוק העונשין, תשל"ז-1977</w:t>
        </w:r>
      </w:hyperlink>
      <w:r w:rsidRPr="00EC2D8A">
        <w:rPr>
          <w:rFonts w:ascii="FrankRuehl" w:hAnsi="FrankRuehl" w:cs="FrankRuehl"/>
          <w:color w:val="0000FF"/>
          <w:u w:val="single"/>
          <w:rtl/>
        </w:rPr>
        <w:t xml:space="preserve">: סע'  </w:t>
      </w:r>
      <w:hyperlink r:id="rId13" w:history="1">
        <w:r w:rsidRPr="00EC2D8A">
          <w:rPr>
            <w:rStyle w:val="Hyperlink"/>
            <w:rFonts w:ascii="FrankRuehl" w:hAnsi="FrankRuehl" w:cs="FrankRuehl"/>
          </w:rPr>
          <w:t>25</w:t>
        </w:r>
      </w:hyperlink>
      <w:r w:rsidRPr="00EC2D8A">
        <w:rPr>
          <w:rFonts w:ascii="FrankRuehl" w:hAnsi="FrankRuehl" w:cs="FrankRuehl"/>
          <w:color w:val="0000FF"/>
          <w:u w:val="single"/>
          <w:rtl/>
        </w:rPr>
        <w:t xml:space="preserve">, </w:t>
      </w:r>
      <w:hyperlink r:id="rId14" w:history="1">
        <w:r w:rsidRPr="00EC2D8A">
          <w:rPr>
            <w:rStyle w:val="Hyperlink"/>
            <w:rFonts w:ascii="FrankRuehl" w:hAnsi="FrankRuehl" w:cs="FrankRuehl"/>
          </w:rPr>
          <w:t>31</w:t>
        </w:r>
      </w:hyperlink>
      <w:r w:rsidRPr="00EC2D8A">
        <w:rPr>
          <w:rFonts w:ascii="FrankRuehl" w:hAnsi="FrankRuehl" w:cs="FrankRuehl"/>
          <w:color w:val="0000FF"/>
          <w:u w:val="single"/>
          <w:rtl/>
        </w:rPr>
        <w:t xml:space="preserve">, </w:t>
      </w:r>
      <w:hyperlink r:id="rId15" w:history="1">
        <w:r w:rsidRPr="00EC2D8A">
          <w:rPr>
            <w:rStyle w:val="Hyperlink"/>
            <w:rFonts w:ascii="FrankRuehl" w:hAnsi="FrankRuehl" w:cs="FrankRuehl"/>
          </w:rPr>
          <w:t>40</w:t>
        </w:r>
        <w:r w:rsidRPr="00EC2D8A">
          <w:rPr>
            <w:rStyle w:val="Hyperlink"/>
            <w:rFonts w:ascii="FrankRuehl" w:hAnsi="FrankRuehl" w:cs="FrankRuehl"/>
            <w:rtl/>
          </w:rPr>
          <w:t>ב</w:t>
        </w:r>
        <w:r w:rsidRPr="00EC2D8A">
          <w:rPr>
            <w:rStyle w:val="Hyperlink"/>
            <w:rFonts w:ascii="FrankRuehl" w:hAnsi="FrankRuehl" w:cs="FrankRuehl"/>
          </w:rPr>
          <w:t>'</w:t>
        </w:r>
      </w:hyperlink>
    </w:p>
    <w:p w14:paraId="779F86A5" w14:textId="77777777" w:rsidR="00EC2D8A" w:rsidRPr="00EC2D8A" w:rsidRDefault="00EC2D8A" w:rsidP="00EC2D8A">
      <w:pPr>
        <w:spacing w:after="120" w:line="240" w:lineRule="exact"/>
        <w:ind w:left="283" w:hanging="283"/>
        <w:jc w:val="both"/>
        <w:rPr>
          <w:rFonts w:ascii="FrankRuehl" w:hAnsi="FrankRuehl" w:cs="FrankRuehl"/>
          <w:rtl/>
        </w:rPr>
      </w:pPr>
    </w:p>
    <w:p w14:paraId="3DFD5FAD" w14:textId="77777777" w:rsidR="00EC2D8A" w:rsidRPr="006B62C5" w:rsidRDefault="00EC2D8A">
      <w:pPr>
        <w:jc w:val="center"/>
        <w:rPr>
          <w:rFonts w:ascii="Arial" w:hAnsi="Arial" w:cs="FrankRuehl" w:hint="cs"/>
          <w:sz w:val="32"/>
          <w:szCs w:val="32"/>
          <w:rtl/>
        </w:rPr>
      </w:pPr>
    </w:p>
    <w:bookmarkEnd w:id="2"/>
    <w:p w14:paraId="3C4C53E1" w14:textId="77777777" w:rsidR="009539A1" w:rsidRDefault="009539A1" w:rsidP="004371BA">
      <w:pPr>
        <w:jc w:val="center"/>
        <w:rPr>
          <w:rFonts w:ascii="Arial" w:hAnsi="Arial" w:hint="cs"/>
          <w:rtl/>
        </w:rPr>
      </w:pPr>
    </w:p>
    <w:p w14:paraId="573AA505" w14:textId="77777777" w:rsidR="004371BA" w:rsidRDefault="004371BA" w:rsidP="004371BA">
      <w:pPr>
        <w:jc w:val="center"/>
        <w:rPr>
          <w:rFonts w:ascii="Arial" w:hAnsi="Arial" w:hint="cs"/>
          <w:rtl/>
        </w:rPr>
      </w:pPr>
    </w:p>
    <w:p w14:paraId="7FD99930" w14:textId="77777777" w:rsidR="00EC2D8A" w:rsidRDefault="004371BA" w:rsidP="004B743C">
      <w:pPr>
        <w:jc w:val="center"/>
        <w:rPr>
          <w:rFonts w:ascii="Arial" w:hAnsi="Arial" w:cs="FrankRuehl" w:hint="cs"/>
          <w:b/>
          <w:bCs/>
          <w:sz w:val="32"/>
          <w:szCs w:val="32"/>
          <w:rtl/>
        </w:rPr>
      </w:pPr>
      <w:bookmarkStart w:id="3" w:name="PsakDin"/>
      <w:r w:rsidRPr="006B62C5">
        <w:rPr>
          <w:rFonts w:ascii="Arial" w:hAnsi="Arial" w:cs="FrankRuehl" w:hint="cs"/>
          <w:b/>
          <w:bCs/>
          <w:sz w:val="32"/>
          <w:szCs w:val="32"/>
          <w:rtl/>
        </w:rPr>
        <w:t>גזר די</w:t>
      </w:r>
      <w:bookmarkStart w:id="4" w:name="LawTable"/>
      <w:bookmarkStart w:id="5" w:name="LawTable_End"/>
      <w:bookmarkEnd w:id="4"/>
      <w:bookmarkEnd w:id="5"/>
      <w:r w:rsidRPr="008C6C71">
        <w:rPr>
          <w:rFonts w:ascii="Arial" w:hAnsi="Arial" w:cs="FrankRuehl" w:hint="cs"/>
          <w:b/>
          <w:bCs/>
          <w:sz w:val="32"/>
          <w:szCs w:val="32"/>
          <w:rtl/>
        </w:rPr>
        <w:t>ן</w:t>
      </w:r>
      <w:bookmarkEnd w:id="3"/>
    </w:p>
    <w:p w14:paraId="59D6C79D" w14:textId="77777777" w:rsidR="004B743C" w:rsidRDefault="004B743C" w:rsidP="004B743C">
      <w:pPr>
        <w:jc w:val="center"/>
        <w:rPr>
          <w:rFonts w:ascii="Arial" w:hAnsi="Arial" w:cs="FrankRuehl" w:hint="cs"/>
          <w:b/>
          <w:bCs/>
          <w:sz w:val="32"/>
          <w:szCs w:val="32"/>
          <w:rtl/>
        </w:rPr>
      </w:pPr>
    </w:p>
    <w:p w14:paraId="1FB4B192" w14:textId="77777777" w:rsidR="004B743C" w:rsidRPr="004B743C" w:rsidRDefault="004B743C" w:rsidP="004B743C">
      <w:pPr>
        <w:jc w:val="center"/>
        <w:rPr>
          <w:rFonts w:ascii="Arial" w:hAnsi="Arial" w:cs="FrankRuehl"/>
          <w:sz w:val="32"/>
          <w:szCs w:val="32"/>
          <w:rtl/>
        </w:rPr>
      </w:pPr>
    </w:p>
    <w:p w14:paraId="720CF837" w14:textId="77777777" w:rsidR="009539A1" w:rsidRPr="006B62C5" w:rsidRDefault="006B62C5">
      <w:pPr>
        <w:spacing w:line="360" w:lineRule="auto"/>
        <w:ind w:left="720" w:hanging="720"/>
        <w:jc w:val="both"/>
        <w:rPr>
          <w:rtl/>
        </w:rPr>
      </w:pPr>
      <w:r w:rsidRPr="006B62C5">
        <w:rPr>
          <w:rtl/>
        </w:rPr>
        <w:tab/>
        <w:t>על פי הודאתו, במסגרת הסדר טיעון אשר לא כלל הסכמה לעניין העונש</w:t>
      </w:r>
      <w:r w:rsidRPr="006B62C5">
        <w:rPr>
          <w:rFonts w:hint="cs"/>
          <w:rtl/>
        </w:rPr>
        <w:t xml:space="preserve"> ואשר הוגש לאחר שמיעת כל ראיות התביעה, למעט עד אחד</w:t>
      </w:r>
      <w:r w:rsidRPr="006B62C5">
        <w:rPr>
          <w:rtl/>
        </w:rPr>
        <w:t>, הורשע הנאשם על פי כתב אישום מתוקן, שהוגש במסגרת ההסדר, בביצוע עבירה של</w:t>
      </w:r>
      <w:r w:rsidRPr="006B62C5">
        <w:rPr>
          <w:rFonts w:hint="cs"/>
          <w:rtl/>
        </w:rPr>
        <w:t xml:space="preserve"> </w:t>
      </w:r>
      <w:r w:rsidRPr="006B62C5">
        <w:rPr>
          <w:b/>
          <w:bCs/>
          <w:rtl/>
        </w:rPr>
        <w:t>סיוע ליבוא סם מסוכן</w:t>
      </w:r>
      <w:r w:rsidRPr="006B62C5">
        <w:rPr>
          <w:rFonts w:hint="cs"/>
          <w:b/>
          <w:bCs/>
          <w:rtl/>
        </w:rPr>
        <w:t xml:space="preserve"> שלא כדין</w:t>
      </w:r>
      <w:r w:rsidRPr="006B62C5">
        <w:rPr>
          <w:rFonts w:hint="cs"/>
          <w:rtl/>
        </w:rPr>
        <w:t xml:space="preserve"> -</w:t>
      </w:r>
      <w:r w:rsidRPr="006B62C5">
        <w:rPr>
          <w:rtl/>
        </w:rPr>
        <w:t xml:space="preserve"> עבירה לפי </w:t>
      </w:r>
      <w:hyperlink r:id="rId16" w:history="1">
        <w:r w:rsidR="00EC2D8A" w:rsidRPr="00EC2D8A">
          <w:rPr>
            <w:rStyle w:val="Hyperlink"/>
            <w:rtl/>
          </w:rPr>
          <w:t>סעיפים 13</w:t>
        </w:r>
      </w:hyperlink>
      <w:r w:rsidRPr="006B62C5">
        <w:rPr>
          <w:rtl/>
        </w:rPr>
        <w:t xml:space="preserve"> ו</w:t>
      </w:r>
      <w:r w:rsidRPr="006B62C5">
        <w:rPr>
          <w:rFonts w:hint="cs"/>
          <w:rtl/>
        </w:rPr>
        <w:t>-</w:t>
      </w:r>
      <w:r w:rsidRPr="006B62C5">
        <w:rPr>
          <w:rtl/>
        </w:rPr>
        <w:t xml:space="preserve"> </w:t>
      </w:r>
      <w:hyperlink r:id="rId17" w:history="1">
        <w:r w:rsidR="00EC2D8A" w:rsidRPr="00EC2D8A">
          <w:rPr>
            <w:rStyle w:val="Hyperlink"/>
            <w:rtl/>
          </w:rPr>
          <w:t>19 א</w:t>
        </w:r>
      </w:hyperlink>
      <w:r w:rsidRPr="006B62C5">
        <w:rPr>
          <w:rtl/>
        </w:rPr>
        <w:t xml:space="preserve"> ל</w:t>
      </w:r>
      <w:hyperlink r:id="rId18" w:history="1">
        <w:r w:rsidRPr="006B62C5">
          <w:rPr>
            <w:color w:val="0000FF"/>
            <w:u w:val="single"/>
            <w:rtl/>
          </w:rPr>
          <w:t>פקודת הסמים המסוכנים</w:t>
        </w:r>
      </w:hyperlink>
      <w:r w:rsidRPr="006B62C5">
        <w:rPr>
          <w:rtl/>
        </w:rPr>
        <w:t xml:space="preserve"> [נוסח חדש] תשל"ג-1973 (להלן: "</w:t>
      </w:r>
      <w:r w:rsidRPr="006B62C5">
        <w:rPr>
          <w:b/>
          <w:bCs/>
          <w:rtl/>
        </w:rPr>
        <w:t>פקודת</w:t>
      </w:r>
      <w:r w:rsidRPr="006B62C5">
        <w:rPr>
          <w:rtl/>
        </w:rPr>
        <w:t xml:space="preserve"> </w:t>
      </w:r>
      <w:r w:rsidRPr="006B62C5">
        <w:rPr>
          <w:b/>
          <w:bCs/>
          <w:rtl/>
        </w:rPr>
        <w:t>הסמים</w:t>
      </w:r>
      <w:r w:rsidRPr="006B62C5">
        <w:rPr>
          <w:rtl/>
        </w:rPr>
        <w:t xml:space="preserve">") + </w:t>
      </w:r>
      <w:hyperlink r:id="rId19" w:history="1">
        <w:r w:rsidR="00EC2D8A" w:rsidRPr="00EC2D8A">
          <w:rPr>
            <w:rStyle w:val="Hyperlink"/>
            <w:rtl/>
          </w:rPr>
          <w:t>סעיף 31</w:t>
        </w:r>
      </w:hyperlink>
      <w:r w:rsidRPr="006B62C5">
        <w:rPr>
          <w:rtl/>
        </w:rPr>
        <w:t xml:space="preserve"> ל</w:t>
      </w:r>
      <w:hyperlink r:id="rId20" w:history="1">
        <w:r w:rsidRPr="006B62C5">
          <w:rPr>
            <w:color w:val="0000FF"/>
            <w:u w:val="single"/>
            <w:rtl/>
          </w:rPr>
          <w:t>חוק העונשין</w:t>
        </w:r>
      </w:hyperlink>
      <w:r w:rsidRPr="006B62C5">
        <w:rPr>
          <w:rtl/>
        </w:rPr>
        <w:t xml:space="preserve"> תשל"ז-1977 (להלן: "</w:t>
      </w:r>
      <w:r w:rsidRPr="006B62C5">
        <w:rPr>
          <w:b/>
          <w:bCs/>
          <w:rtl/>
        </w:rPr>
        <w:t>חוק</w:t>
      </w:r>
      <w:r w:rsidRPr="006B62C5">
        <w:rPr>
          <w:rtl/>
        </w:rPr>
        <w:t xml:space="preserve"> </w:t>
      </w:r>
      <w:r w:rsidRPr="006B62C5">
        <w:rPr>
          <w:b/>
          <w:bCs/>
          <w:rtl/>
        </w:rPr>
        <w:t>העונשין</w:t>
      </w:r>
      <w:r w:rsidRPr="006B62C5">
        <w:rPr>
          <w:rtl/>
        </w:rPr>
        <w:t>").</w:t>
      </w:r>
      <w:r w:rsidRPr="006B62C5">
        <w:rPr>
          <w:rFonts w:hint="cs"/>
          <w:rtl/>
        </w:rPr>
        <w:t xml:space="preserve"> ו</w:t>
      </w:r>
      <w:r w:rsidRPr="006B62C5">
        <w:rPr>
          <w:b/>
          <w:bCs/>
          <w:rtl/>
        </w:rPr>
        <w:t>ניסיון להחזקת סם מסוכן שלא כדין ושלא לצריכה עצמית</w:t>
      </w:r>
      <w:r w:rsidRPr="006B62C5">
        <w:rPr>
          <w:rtl/>
        </w:rPr>
        <w:t xml:space="preserve"> </w:t>
      </w:r>
      <w:r w:rsidRPr="006B62C5">
        <w:rPr>
          <w:rFonts w:hint="cs"/>
          <w:rtl/>
        </w:rPr>
        <w:t>-</w:t>
      </w:r>
      <w:r w:rsidRPr="006B62C5">
        <w:rPr>
          <w:rtl/>
        </w:rPr>
        <w:t xml:space="preserve"> עבירה לפי </w:t>
      </w:r>
      <w:hyperlink r:id="rId21" w:history="1">
        <w:r w:rsidR="00EC2D8A" w:rsidRPr="00EC2D8A">
          <w:rPr>
            <w:rStyle w:val="Hyperlink"/>
            <w:rtl/>
          </w:rPr>
          <w:t>סעיף 7(א)</w:t>
        </w:r>
      </w:hyperlink>
      <w:r w:rsidRPr="006B62C5">
        <w:rPr>
          <w:rtl/>
        </w:rPr>
        <w:t xml:space="preserve"> </w:t>
      </w:r>
      <w:hyperlink r:id="rId22" w:history="1">
        <w:r w:rsidR="00EC2D8A" w:rsidRPr="00EC2D8A">
          <w:rPr>
            <w:rStyle w:val="Hyperlink"/>
            <w:rtl/>
          </w:rPr>
          <w:t>+(ג)</w:t>
        </w:r>
      </w:hyperlink>
      <w:r w:rsidRPr="006B62C5">
        <w:rPr>
          <w:rtl/>
        </w:rPr>
        <w:t xml:space="preserve"> רישא לפקודת הסמים + </w:t>
      </w:r>
      <w:hyperlink r:id="rId23" w:history="1">
        <w:r w:rsidR="00EC2D8A" w:rsidRPr="00EC2D8A">
          <w:rPr>
            <w:rStyle w:val="Hyperlink"/>
            <w:rtl/>
          </w:rPr>
          <w:t>סעיף 25</w:t>
        </w:r>
      </w:hyperlink>
      <w:r w:rsidRPr="006B62C5">
        <w:rPr>
          <w:rtl/>
        </w:rPr>
        <w:t xml:space="preserve"> ל</w:t>
      </w:r>
      <w:hyperlink r:id="rId24" w:history="1">
        <w:r w:rsidRPr="006B62C5">
          <w:rPr>
            <w:color w:val="0000FF"/>
            <w:u w:val="single"/>
            <w:rtl/>
          </w:rPr>
          <w:t>חוק העונשין</w:t>
        </w:r>
      </w:hyperlink>
      <w:r w:rsidRPr="006B62C5">
        <w:rPr>
          <w:rtl/>
        </w:rPr>
        <w:t xml:space="preserve">. </w:t>
      </w:r>
    </w:p>
    <w:p w14:paraId="769B4F70" w14:textId="77777777" w:rsidR="009539A1" w:rsidRPr="006B62C5" w:rsidRDefault="009539A1">
      <w:pPr>
        <w:spacing w:line="360" w:lineRule="auto"/>
        <w:ind w:left="720" w:hanging="720"/>
        <w:jc w:val="both"/>
        <w:rPr>
          <w:rtl/>
        </w:rPr>
      </w:pPr>
    </w:p>
    <w:p w14:paraId="3F436676" w14:textId="77777777" w:rsidR="009539A1" w:rsidRPr="006B62C5" w:rsidRDefault="006B62C5">
      <w:pPr>
        <w:spacing w:line="360" w:lineRule="auto"/>
        <w:jc w:val="both"/>
      </w:pPr>
      <w:r w:rsidRPr="006B62C5">
        <w:rPr>
          <w:rFonts w:hint="cs"/>
          <w:rtl/>
        </w:rPr>
        <w:lastRenderedPageBreak/>
        <w:t xml:space="preserve">2.         </w:t>
      </w:r>
      <w:r w:rsidRPr="006B62C5">
        <w:rPr>
          <w:rtl/>
        </w:rPr>
        <w:t>להלן עובדות כתב האישום המתוקן:</w:t>
      </w:r>
    </w:p>
    <w:p w14:paraId="17BE9091" w14:textId="77777777" w:rsidR="009539A1" w:rsidRPr="006B62C5" w:rsidRDefault="006B62C5">
      <w:pPr>
        <w:spacing w:line="360" w:lineRule="auto"/>
        <w:jc w:val="both"/>
        <w:rPr>
          <w:rtl/>
        </w:rPr>
      </w:pPr>
      <w:r w:rsidRPr="006B62C5">
        <w:rPr>
          <w:rtl/>
        </w:rPr>
        <w:tab/>
      </w:r>
    </w:p>
    <w:p w14:paraId="04BCBA09" w14:textId="77777777" w:rsidR="009539A1" w:rsidRPr="006B62C5" w:rsidRDefault="006B62C5">
      <w:pPr>
        <w:pStyle w:val="1"/>
        <w:numPr>
          <w:ilvl w:val="0"/>
          <w:numId w:val="1"/>
        </w:numPr>
        <w:spacing w:line="360" w:lineRule="auto"/>
        <w:jc w:val="both"/>
        <w:rPr>
          <w:rFonts w:cs="David"/>
          <w:sz w:val="24"/>
          <w:szCs w:val="24"/>
        </w:rPr>
      </w:pPr>
      <w:bookmarkStart w:id="6" w:name="ABSTRACT_START"/>
      <w:bookmarkEnd w:id="6"/>
      <w:r w:rsidRPr="006B62C5">
        <w:rPr>
          <w:rFonts w:cs="David" w:hint="cs"/>
          <w:sz w:val="24"/>
          <w:szCs w:val="24"/>
          <w:rtl/>
        </w:rPr>
        <w:t xml:space="preserve">עובר ליום 13.4.15 הנאשם הצטייד בטלפון סלולרי שמספרו 052-5639746 (להלן: "הטלפון") לצורך קבלת חבילה, שאמורה להגיע מסין, ובתוכה סם מסוכן מסוג </w:t>
      </w:r>
      <w:r w:rsidRPr="006B62C5">
        <w:rPr>
          <w:rFonts w:cs="David" w:hint="cs"/>
          <w:sz w:val="24"/>
          <w:szCs w:val="24"/>
        </w:rPr>
        <w:t>AB-CHMINACA</w:t>
      </w:r>
      <w:r w:rsidRPr="006B62C5">
        <w:rPr>
          <w:rFonts w:cs="David" w:hint="cs"/>
          <w:sz w:val="24"/>
          <w:szCs w:val="24"/>
          <w:rtl/>
        </w:rPr>
        <w:t xml:space="preserve"> בכמות של קילוגרם לערך, שאינה לצריכה עצמית, על מנת לקבל לידיו את החבילה. </w:t>
      </w:r>
    </w:p>
    <w:p w14:paraId="573996F4"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 xml:space="preserve">בהמשך לאמור לעיל, ביום 13.4.15 התקבלה בנמל התעופה בן גוריון חבילה באמצעות חברת הבלדרות הבין-לאומית </w:t>
      </w:r>
      <w:r w:rsidRPr="006B62C5">
        <w:rPr>
          <w:rFonts w:cs="David" w:hint="cs"/>
          <w:sz w:val="24"/>
          <w:szCs w:val="24"/>
        </w:rPr>
        <w:t>T</w:t>
      </w:r>
      <w:r w:rsidRPr="006B62C5">
        <w:rPr>
          <w:rFonts w:cs="David"/>
          <w:sz w:val="24"/>
          <w:szCs w:val="24"/>
        </w:rPr>
        <w:t>N</w:t>
      </w:r>
      <w:r w:rsidRPr="006B62C5">
        <w:rPr>
          <w:rFonts w:cs="David" w:hint="cs"/>
          <w:sz w:val="24"/>
          <w:szCs w:val="24"/>
        </w:rPr>
        <w:t>T EXSPRESS</w:t>
      </w:r>
      <w:r w:rsidRPr="006B62C5">
        <w:rPr>
          <w:rFonts w:cs="David" w:hint="cs"/>
          <w:sz w:val="24"/>
          <w:szCs w:val="24"/>
          <w:rtl/>
        </w:rPr>
        <w:t xml:space="preserve"> (להלן: "</w:t>
      </w:r>
      <w:r w:rsidRPr="006B62C5">
        <w:rPr>
          <w:rFonts w:cs="David" w:hint="cs"/>
          <w:b/>
          <w:bCs/>
          <w:sz w:val="24"/>
          <w:szCs w:val="24"/>
          <w:rtl/>
        </w:rPr>
        <w:t>החבילה</w:t>
      </w:r>
      <w:r w:rsidRPr="006B62C5">
        <w:rPr>
          <w:rFonts w:cs="David" w:hint="cs"/>
          <w:sz w:val="24"/>
          <w:szCs w:val="24"/>
          <w:rtl/>
        </w:rPr>
        <w:t xml:space="preserve">"). </w:t>
      </w:r>
    </w:p>
    <w:p w14:paraId="5760E482"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החבילה זוהתה כחשודה על ידי המכס, והועברה לידי משטרת ישראל.</w:t>
      </w:r>
    </w:p>
    <w:p w14:paraId="3B2B2F36" w14:textId="77777777" w:rsidR="009539A1" w:rsidRPr="006B62C5" w:rsidRDefault="006B62C5">
      <w:pPr>
        <w:pStyle w:val="1"/>
        <w:numPr>
          <w:ilvl w:val="0"/>
          <w:numId w:val="1"/>
        </w:numPr>
        <w:spacing w:line="360" w:lineRule="auto"/>
        <w:jc w:val="both"/>
        <w:rPr>
          <w:rFonts w:cs="David"/>
          <w:sz w:val="24"/>
          <w:szCs w:val="24"/>
        </w:rPr>
      </w:pPr>
      <w:bookmarkStart w:id="7" w:name="ABSTRACT_END"/>
      <w:bookmarkEnd w:id="7"/>
      <w:r w:rsidRPr="006B62C5">
        <w:rPr>
          <w:rFonts w:cs="David" w:hint="cs"/>
          <w:sz w:val="24"/>
          <w:szCs w:val="24"/>
          <w:rtl/>
        </w:rPr>
        <w:t xml:space="preserve">מבדיקת תכולת החבילה, התברר כי היא מכילה קופסת קרטון נוספת שבתוכה מסנן המיועד לאקווריום, ובתוכו אריזה נוספת בצבע כסף, בה הוסלקה שקית עם סם מסוכן מסוג </w:t>
      </w:r>
      <w:r w:rsidRPr="006B62C5">
        <w:rPr>
          <w:rFonts w:cs="David" w:hint="cs"/>
          <w:sz w:val="24"/>
          <w:szCs w:val="24"/>
        </w:rPr>
        <w:t>AB-CHMINACA</w:t>
      </w:r>
      <w:r w:rsidRPr="006B62C5">
        <w:rPr>
          <w:rFonts w:cs="David" w:hint="cs"/>
          <w:sz w:val="24"/>
          <w:szCs w:val="24"/>
          <w:rtl/>
        </w:rPr>
        <w:t xml:space="preserve"> בכמות של 1,016 גרם ברוטו (כולל השקית) (להלן: "</w:t>
      </w:r>
      <w:r w:rsidRPr="006B62C5">
        <w:rPr>
          <w:rFonts w:cs="David" w:hint="cs"/>
          <w:b/>
          <w:bCs/>
          <w:sz w:val="24"/>
          <w:szCs w:val="24"/>
          <w:rtl/>
        </w:rPr>
        <w:t>הסם</w:t>
      </w:r>
      <w:r w:rsidRPr="006B62C5">
        <w:rPr>
          <w:rFonts w:cs="David" w:hint="cs"/>
          <w:sz w:val="24"/>
          <w:szCs w:val="24"/>
          <w:rtl/>
        </w:rPr>
        <w:t xml:space="preserve">"). </w:t>
      </w:r>
    </w:p>
    <w:p w14:paraId="02BEF83F"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המסמכים שצורפו לחבילה כללו את הפרטים הבאים: הנמען - "</w:t>
      </w:r>
      <w:r w:rsidRPr="006B62C5">
        <w:rPr>
          <w:rFonts w:cs="David" w:hint="cs"/>
          <w:sz w:val="24"/>
          <w:szCs w:val="24"/>
        </w:rPr>
        <w:t>K</w:t>
      </w:r>
      <w:r w:rsidRPr="006B62C5">
        <w:rPr>
          <w:rFonts w:cs="David"/>
          <w:sz w:val="24"/>
          <w:szCs w:val="24"/>
        </w:rPr>
        <w:t>olodin Yuriy</w:t>
      </w:r>
      <w:r w:rsidRPr="006B62C5">
        <w:rPr>
          <w:rFonts w:cs="David" w:hint="cs"/>
          <w:sz w:val="24"/>
          <w:szCs w:val="24"/>
          <w:rtl/>
        </w:rPr>
        <w:t xml:space="preserve">", הכתובת </w:t>
      </w:r>
      <w:r w:rsidRPr="006B62C5">
        <w:rPr>
          <w:rFonts w:cs="David"/>
          <w:sz w:val="24"/>
          <w:szCs w:val="24"/>
          <w:rtl/>
        </w:rPr>
        <w:t>–</w:t>
      </w:r>
      <w:r w:rsidRPr="006B62C5">
        <w:rPr>
          <w:rFonts w:cs="David" w:hint="cs"/>
          <w:sz w:val="24"/>
          <w:szCs w:val="24"/>
          <w:rtl/>
        </w:rPr>
        <w:t xml:space="preserve"> </w:t>
      </w:r>
      <w:r w:rsidRPr="006B62C5">
        <w:rPr>
          <w:rFonts w:cs="David" w:hint="cs"/>
          <w:sz w:val="24"/>
          <w:szCs w:val="24"/>
        </w:rPr>
        <w:t>I</w:t>
      </w:r>
      <w:r w:rsidRPr="006B62C5">
        <w:rPr>
          <w:rFonts w:cs="David"/>
          <w:sz w:val="24"/>
          <w:szCs w:val="24"/>
        </w:rPr>
        <w:t>rina, Hertzel 5, Haifa 3350209"</w:t>
      </w:r>
      <w:r w:rsidRPr="006B62C5">
        <w:rPr>
          <w:rFonts w:cs="David" w:hint="cs"/>
          <w:sz w:val="24"/>
          <w:szCs w:val="24"/>
          <w:rtl/>
        </w:rPr>
        <w:t>", מספר טלפון: " 052-5639746 ".</w:t>
      </w:r>
    </w:p>
    <w:p w14:paraId="73464341"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ביום 29.4.15, בשעה 11:15 או בסמוך לכך, התקשר השוטר רז פרץ (להלן: "השוטר רז") אל מספר הטלפון, כשהוא מתחזה לשליח של חברת הבלדרות, לצורך אספקת החבילה. לנאשם את החבילה בשעה 12:00 לערך ברחוב הרצל בחיפה.</w:t>
      </w:r>
    </w:p>
    <w:p w14:paraId="698F018F"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 xml:space="preserve">השוטרים הכינו מבעוד מועד את החבילה, כך שהוציאו את השקית שבתוכה היה הסם, ובמקומה הכניסו שקית שהכילה 25.4 גרם מתוך הסם (להלן: "החבילה המדומה"). </w:t>
      </w:r>
    </w:p>
    <w:p w14:paraId="2E3BBFEA"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 xml:space="preserve">בהמשך לאמור לעיל, השוטר רז, אשר התחזה לשליח של חברת הבלדרות, נשא עימו את החבילה המדומה, ולאחר שיחות נוספות בין השוטר רז לנאשם, השניים נפגשו במקום שנקבע ביניהם. השוטר רז הציג בפני הנאשם את החבילה המדומה ואת שטר המטען, אשר כולל את פרטי הנמען, והנאשם אישר ששמו </w:t>
      </w:r>
      <w:r w:rsidRPr="006B62C5">
        <w:rPr>
          <w:rFonts w:cs="David" w:hint="cs"/>
          <w:sz w:val="24"/>
          <w:szCs w:val="24"/>
        </w:rPr>
        <w:t>K</w:t>
      </w:r>
      <w:r w:rsidRPr="006B62C5">
        <w:rPr>
          <w:rFonts w:cs="David"/>
          <w:sz w:val="24"/>
          <w:szCs w:val="24"/>
        </w:rPr>
        <w:t>olodin Yuriy</w:t>
      </w:r>
      <w:r w:rsidRPr="006B62C5">
        <w:rPr>
          <w:rFonts w:cs="David" w:hint="cs"/>
          <w:sz w:val="24"/>
          <w:szCs w:val="24"/>
          <w:rtl/>
        </w:rPr>
        <w:t xml:space="preserve">. </w:t>
      </w:r>
    </w:p>
    <w:p w14:paraId="453E3C3D"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 xml:space="preserve">השוטר רז ביקש מהנאשם להציג תעודה מזהה כדי לוודא שזהותו תואמת את הפרטים שנרשמו על גבי החבילה, אך הנאשם סירב להציג תעודה שכזו. השוטר רז ביקש מהנאשם להציג את מכשיר הטלפון שעימו שוחחו, אולם הנאשם טען כי המכשיר לא ברשותו. לאור האמור לעיל, השוטר רז הודיע לנאשם כי אין ביכולתו לספק לו את המשלוח ועזב את המקום כשהחבילה ברשותו. </w:t>
      </w:r>
    </w:p>
    <w:p w14:paraId="7F99CDE4"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מיד לאחר מכן, הנאשם ניגש לפח אשפה בקרבת מקום, והוציא מהפח את מכשיר הטלפון שבאמצעותו שוחח עם השוטר רז.</w:t>
      </w:r>
    </w:p>
    <w:p w14:paraId="4A7CACF2"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t xml:space="preserve">הסם נשלח לבדיקת מעבדה אשר קבעה כי מדובר בסם מסוכן מסוג </w:t>
      </w:r>
      <w:r w:rsidRPr="006B62C5">
        <w:rPr>
          <w:rFonts w:cs="David"/>
          <w:sz w:val="24"/>
          <w:szCs w:val="24"/>
        </w:rPr>
        <w:t>AB</w:t>
      </w:r>
      <w:r w:rsidRPr="006B62C5">
        <w:rPr>
          <w:rFonts w:cs="David" w:hint="cs"/>
          <w:sz w:val="24"/>
          <w:szCs w:val="24"/>
        </w:rPr>
        <w:t>-CHMINACA</w:t>
      </w:r>
      <w:r w:rsidRPr="006B62C5">
        <w:rPr>
          <w:rFonts w:cs="David" w:hint="cs"/>
          <w:sz w:val="24"/>
          <w:szCs w:val="24"/>
          <w:rtl/>
        </w:rPr>
        <w:t>.</w:t>
      </w:r>
    </w:p>
    <w:p w14:paraId="2C03A957" w14:textId="77777777" w:rsidR="009539A1" w:rsidRPr="006B62C5" w:rsidRDefault="006B62C5">
      <w:pPr>
        <w:pStyle w:val="1"/>
        <w:numPr>
          <w:ilvl w:val="0"/>
          <w:numId w:val="1"/>
        </w:numPr>
        <w:spacing w:line="360" w:lineRule="auto"/>
        <w:jc w:val="both"/>
        <w:rPr>
          <w:rFonts w:cs="David"/>
          <w:sz w:val="24"/>
          <w:szCs w:val="24"/>
        </w:rPr>
      </w:pPr>
      <w:r w:rsidRPr="006B62C5">
        <w:rPr>
          <w:rFonts w:cs="David" w:hint="cs"/>
          <w:sz w:val="24"/>
          <w:szCs w:val="24"/>
          <w:rtl/>
        </w:rPr>
        <w:lastRenderedPageBreak/>
        <w:t xml:space="preserve">במעשיו המתוארים לעיל, הנאשם סייע לייבא סם מסוכן מסוג </w:t>
      </w:r>
      <w:r w:rsidRPr="006B62C5">
        <w:rPr>
          <w:rFonts w:cs="David"/>
          <w:sz w:val="24"/>
          <w:szCs w:val="24"/>
        </w:rPr>
        <w:t>AB</w:t>
      </w:r>
      <w:r w:rsidRPr="006B62C5">
        <w:rPr>
          <w:rFonts w:cs="David" w:hint="cs"/>
          <w:sz w:val="24"/>
          <w:szCs w:val="24"/>
        </w:rPr>
        <w:t>-CHMINACA</w:t>
      </w:r>
      <w:r w:rsidRPr="006B62C5">
        <w:rPr>
          <w:rFonts w:cs="David" w:hint="cs"/>
          <w:sz w:val="24"/>
          <w:szCs w:val="24"/>
          <w:rtl/>
        </w:rPr>
        <w:t xml:space="preserve"> בכמות של 998.26 גרם נטו, ללא היתר כדין, וניסה להחזיק בסם האמור, שלא לצריכה עצמית וללא היתר כדין. </w:t>
      </w:r>
    </w:p>
    <w:p w14:paraId="238437E3" w14:textId="77777777" w:rsidR="009539A1" w:rsidRPr="006B62C5" w:rsidRDefault="009539A1">
      <w:pPr>
        <w:pStyle w:val="1"/>
        <w:spacing w:line="360" w:lineRule="auto"/>
        <w:jc w:val="both"/>
        <w:rPr>
          <w:rFonts w:cs="David"/>
          <w:sz w:val="24"/>
          <w:szCs w:val="24"/>
          <w:rtl/>
        </w:rPr>
      </w:pPr>
    </w:p>
    <w:p w14:paraId="2260CBAB" w14:textId="77777777" w:rsidR="009539A1" w:rsidRPr="006B62C5" w:rsidRDefault="009539A1">
      <w:pPr>
        <w:pStyle w:val="1"/>
        <w:spacing w:line="360" w:lineRule="auto"/>
        <w:jc w:val="both"/>
        <w:rPr>
          <w:rFonts w:cs="David"/>
          <w:sz w:val="24"/>
          <w:szCs w:val="24"/>
          <w:rtl/>
        </w:rPr>
      </w:pPr>
    </w:p>
    <w:p w14:paraId="76722E8B" w14:textId="77777777" w:rsidR="009539A1" w:rsidRPr="006B62C5" w:rsidRDefault="006B62C5">
      <w:pPr>
        <w:spacing w:line="360" w:lineRule="auto"/>
        <w:jc w:val="both"/>
        <w:rPr>
          <w:b/>
          <w:bCs/>
          <w:rtl/>
        </w:rPr>
      </w:pPr>
      <w:r w:rsidRPr="006B62C5">
        <w:rPr>
          <w:b/>
          <w:bCs/>
          <w:rtl/>
        </w:rPr>
        <w:t xml:space="preserve">ראיות לעונש </w:t>
      </w:r>
    </w:p>
    <w:p w14:paraId="15707905" w14:textId="77777777" w:rsidR="009539A1" w:rsidRPr="006B62C5" w:rsidRDefault="009539A1">
      <w:pPr>
        <w:spacing w:line="360" w:lineRule="auto"/>
        <w:jc w:val="both"/>
        <w:rPr>
          <w:rtl/>
        </w:rPr>
      </w:pPr>
    </w:p>
    <w:p w14:paraId="16DF654C" w14:textId="77777777" w:rsidR="009539A1" w:rsidRPr="006B62C5" w:rsidRDefault="006B62C5">
      <w:pPr>
        <w:spacing w:line="360" w:lineRule="auto"/>
        <w:ind w:left="720" w:hanging="720"/>
        <w:jc w:val="both"/>
        <w:rPr>
          <w:rtl/>
        </w:rPr>
      </w:pPr>
      <w:r w:rsidRPr="006B62C5">
        <w:rPr>
          <w:rtl/>
        </w:rPr>
        <w:t>3.</w:t>
      </w:r>
      <w:r w:rsidRPr="006B62C5">
        <w:rPr>
          <w:rtl/>
        </w:rPr>
        <w:tab/>
        <w:t xml:space="preserve">מטעם המאשימה הוגש גיליון הרשעות קודמות של הנאשם (סומן </w:t>
      </w:r>
      <w:r w:rsidRPr="006B62C5">
        <w:rPr>
          <w:b/>
          <w:bCs/>
          <w:rtl/>
        </w:rPr>
        <w:t>ע/1</w:t>
      </w:r>
      <w:r w:rsidRPr="006B62C5">
        <w:rPr>
          <w:rtl/>
        </w:rPr>
        <w:t xml:space="preserve">) ממנו עולה, כי לנאשם </w:t>
      </w:r>
      <w:r w:rsidRPr="006B62C5">
        <w:rPr>
          <w:rFonts w:hint="cs"/>
          <w:rtl/>
        </w:rPr>
        <w:t xml:space="preserve">4 </w:t>
      </w:r>
      <w:r w:rsidRPr="006B62C5">
        <w:rPr>
          <w:rtl/>
        </w:rPr>
        <w:t>הרשעות קודמות.</w:t>
      </w:r>
      <w:r w:rsidRPr="006B62C5">
        <w:rPr>
          <w:rFonts w:hint="cs"/>
          <w:rtl/>
        </w:rPr>
        <w:t xml:space="preserve"> </w:t>
      </w:r>
      <w:r w:rsidRPr="006B62C5">
        <w:rPr>
          <w:rtl/>
        </w:rPr>
        <w:t xml:space="preserve">בעברו הרשעות בעבירות של </w:t>
      </w:r>
      <w:r w:rsidRPr="006B62C5">
        <w:rPr>
          <w:rFonts w:hint="cs"/>
          <w:rtl/>
        </w:rPr>
        <w:t>שוד</w:t>
      </w:r>
      <w:r w:rsidRPr="006B62C5">
        <w:rPr>
          <w:rtl/>
        </w:rPr>
        <w:t xml:space="preserve">; </w:t>
      </w:r>
      <w:r w:rsidRPr="006B62C5">
        <w:rPr>
          <w:rFonts w:hint="cs"/>
          <w:rtl/>
        </w:rPr>
        <w:t>החזקה/שימוש בסמים שלא לצריכה עצמית</w:t>
      </w:r>
      <w:r w:rsidRPr="006B62C5">
        <w:rPr>
          <w:rtl/>
        </w:rPr>
        <w:t xml:space="preserve">; </w:t>
      </w:r>
      <w:r w:rsidRPr="006B62C5">
        <w:rPr>
          <w:rFonts w:hint="cs"/>
          <w:rtl/>
        </w:rPr>
        <w:t>החזקת אגרופן או סכין שלא למטרה כשרה</w:t>
      </w:r>
      <w:r w:rsidRPr="006B62C5">
        <w:rPr>
          <w:rtl/>
        </w:rPr>
        <w:t xml:space="preserve">; </w:t>
      </w:r>
      <w:r w:rsidRPr="006B62C5">
        <w:rPr>
          <w:rFonts w:hint="cs"/>
          <w:rtl/>
        </w:rPr>
        <w:t>תקיפת שוטר בעת מילוי תפקידו</w:t>
      </w:r>
      <w:r w:rsidRPr="006B62C5">
        <w:rPr>
          <w:rtl/>
        </w:rPr>
        <w:t xml:space="preserve">; </w:t>
      </w:r>
      <w:r w:rsidRPr="006B62C5">
        <w:rPr>
          <w:rFonts w:hint="cs"/>
          <w:rtl/>
        </w:rPr>
        <w:t>החזקת/שימוש בסמים לצריכה עצמית והחזקת כלים להכנת סם לצריכה עצמית.</w:t>
      </w:r>
      <w:r w:rsidRPr="006B62C5">
        <w:rPr>
          <w:rtl/>
        </w:rPr>
        <w:t xml:space="preserve"> </w:t>
      </w:r>
    </w:p>
    <w:p w14:paraId="133DDC18" w14:textId="77777777" w:rsidR="009539A1" w:rsidRPr="006B62C5" w:rsidRDefault="009539A1">
      <w:pPr>
        <w:spacing w:line="360" w:lineRule="auto"/>
        <w:jc w:val="both"/>
        <w:rPr>
          <w:rtl/>
        </w:rPr>
      </w:pPr>
    </w:p>
    <w:p w14:paraId="47314322" w14:textId="77777777" w:rsidR="009539A1" w:rsidRPr="006B62C5" w:rsidRDefault="006B62C5">
      <w:pPr>
        <w:spacing w:line="360" w:lineRule="auto"/>
        <w:ind w:left="720" w:hanging="720"/>
        <w:jc w:val="both"/>
        <w:rPr>
          <w:rtl/>
        </w:rPr>
      </w:pPr>
      <w:r w:rsidRPr="006B62C5">
        <w:rPr>
          <w:rtl/>
        </w:rPr>
        <w:t>4.</w:t>
      </w:r>
      <w:r w:rsidRPr="006B62C5">
        <w:rPr>
          <w:rtl/>
        </w:rPr>
        <w:tab/>
        <w:t xml:space="preserve">מטעם הנאשם </w:t>
      </w:r>
      <w:r w:rsidRPr="006B62C5">
        <w:rPr>
          <w:rFonts w:hint="cs"/>
          <w:rtl/>
        </w:rPr>
        <w:t xml:space="preserve">הוגש התיק הרפואי של הנאשם משב"ס ומסמכים רפואיים נוספים (סומן </w:t>
      </w:r>
      <w:r w:rsidRPr="006B62C5">
        <w:rPr>
          <w:rFonts w:hint="cs"/>
          <w:b/>
          <w:bCs/>
          <w:rtl/>
        </w:rPr>
        <w:t>ענ/1</w:t>
      </w:r>
      <w:r w:rsidRPr="006B62C5">
        <w:rPr>
          <w:rFonts w:hint="cs"/>
          <w:rtl/>
        </w:rPr>
        <w:t xml:space="preserve">). </w:t>
      </w:r>
    </w:p>
    <w:p w14:paraId="47E954F4" w14:textId="77777777" w:rsidR="009539A1" w:rsidRPr="006B62C5" w:rsidRDefault="009539A1">
      <w:pPr>
        <w:spacing w:line="360" w:lineRule="auto"/>
        <w:jc w:val="both"/>
        <w:rPr>
          <w:rtl/>
        </w:rPr>
      </w:pPr>
    </w:p>
    <w:p w14:paraId="5D6CFA2B" w14:textId="77777777" w:rsidR="009539A1" w:rsidRPr="006B62C5" w:rsidRDefault="006B62C5">
      <w:pPr>
        <w:spacing w:line="360" w:lineRule="auto"/>
        <w:jc w:val="both"/>
        <w:rPr>
          <w:b/>
          <w:bCs/>
          <w:rtl/>
        </w:rPr>
      </w:pPr>
      <w:r w:rsidRPr="006B62C5">
        <w:rPr>
          <w:b/>
          <w:bCs/>
          <w:rtl/>
        </w:rPr>
        <w:t>טיעוני המאשימה לעונש</w:t>
      </w:r>
    </w:p>
    <w:p w14:paraId="38C6222E" w14:textId="77777777" w:rsidR="009539A1" w:rsidRPr="006B62C5" w:rsidRDefault="009539A1">
      <w:pPr>
        <w:spacing w:line="360" w:lineRule="auto"/>
        <w:jc w:val="both"/>
        <w:rPr>
          <w:rtl/>
        </w:rPr>
      </w:pPr>
    </w:p>
    <w:p w14:paraId="241A2165" w14:textId="77777777" w:rsidR="009539A1" w:rsidRPr="006B62C5" w:rsidRDefault="006B62C5">
      <w:pPr>
        <w:spacing w:line="360" w:lineRule="auto"/>
        <w:ind w:left="720" w:hanging="720"/>
        <w:jc w:val="both"/>
        <w:rPr>
          <w:rtl/>
        </w:rPr>
      </w:pPr>
      <w:r w:rsidRPr="006B62C5">
        <w:rPr>
          <w:rtl/>
        </w:rPr>
        <w:t>5.</w:t>
      </w:r>
      <w:r w:rsidRPr="006B62C5">
        <w:rPr>
          <w:rtl/>
        </w:rPr>
        <w:tab/>
        <w:t xml:space="preserve">מטעם המאשימה, הוגשו טיעונים בכתב (סומן </w:t>
      </w:r>
      <w:r w:rsidRPr="006B62C5">
        <w:rPr>
          <w:b/>
          <w:bCs/>
          <w:rtl/>
        </w:rPr>
        <w:t>ע/2</w:t>
      </w:r>
      <w:r w:rsidRPr="006B62C5">
        <w:rPr>
          <w:rtl/>
        </w:rPr>
        <w:t xml:space="preserve">) ובישיבת יום </w:t>
      </w:r>
      <w:r w:rsidRPr="006B62C5">
        <w:rPr>
          <w:rFonts w:hint="cs"/>
          <w:rtl/>
        </w:rPr>
        <w:t>07</w:t>
      </w:r>
      <w:r w:rsidRPr="006B62C5">
        <w:rPr>
          <w:rtl/>
        </w:rPr>
        <w:t>/</w:t>
      </w:r>
      <w:r w:rsidRPr="006B62C5">
        <w:rPr>
          <w:rFonts w:hint="cs"/>
          <w:rtl/>
        </w:rPr>
        <w:t>06</w:t>
      </w:r>
      <w:r w:rsidRPr="006B62C5">
        <w:rPr>
          <w:rtl/>
        </w:rPr>
        <w:t>/1</w:t>
      </w:r>
      <w:r w:rsidRPr="006B62C5">
        <w:rPr>
          <w:rFonts w:hint="cs"/>
          <w:rtl/>
        </w:rPr>
        <w:t>6</w:t>
      </w:r>
      <w:r w:rsidRPr="006B62C5">
        <w:rPr>
          <w:rtl/>
        </w:rPr>
        <w:t xml:space="preserve"> הוספו דגשים בעל פה. </w:t>
      </w:r>
    </w:p>
    <w:p w14:paraId="197FDBA3" w14:textId="77777777" w:rsidR="009539A1" w:rsidRPr="006B62C5" w:rsidRDefault="009539A1">
      <w:pPr>
        <w:spacing w:line="360" w:lineRule="auto"/>
        <w:jc w:val="both"/>
        <w:rPr>
          <w:rtl/>
        </w:rPr>
      </w:pPr>
    </w:p>
    <w:p w14:paraId="5919BBAE" w14:textId="77777777" w:rsidR="009539A1" w:rsidRPr="006B62C5" w:rsidRDefault="006B62C5">
      <w:pPr>
        <w:spacing w:line="360" w:lineRule="auto"/>
        <w:ind w:left="720"/>
        <w:jc w:val="both"/>
        <w:rPr>
          <w:rtl/>
        </w:rPr>
      </w:pPr>
      <w:r w:rsidRPr="006B62C5">
        <w:rPr>
          <w:rFonts w:hint="cs"/>
          <w:rtl/>
        </w:rPr>
        <w:t>ב"כ המאשימה פירט את</w:t>
      </w:r>
      <w:r w:rsidRPr="006B62C5">
        <w:rPr>
          <w:rtl/>
        </w:rPr>
        <w:t xml:space="preserve"> חומרת העבירה שביצע הנאשם</w:t>
      </w:r>
      <w:r w:rsidRPr="006B62C5">
        <w:rPr>
          <w:rFonts w:hint="cs"/>
          <w:rtl/>
        </w:rPr>
        <w:t xml:space="preserve"> ואת</w:t>
      </w:r>
      <w:r w:rsidRPr="006B62C5">
        <w:rPr>
          <w:rtl/>
        </w:rPr>
        <w:t xml:space="preserve"> הנזקים ה</w:t>
      </w:r>
      <w:r w:rsidRPr="006B62C5">
        <w:rPr>
          <w:rFonts w:hint="cs"/>
          <w:rtl/>
        </w:rPr>
        <w:t>חמורים</w:t>
      </w:r>
      <w:r w:rsidRPr="006B62C5">
        <w:rPr>
          <w:rtl/>
        </w:rPr>
        <w:t xml:space="preserve"> וארוכי הטווח, הנגרמים </w:t>
      </w:r>
      <w:r w:rsidRPr="006B62C5">
        <w:rPr>
          <w:rFonts w:hint="cs"/>
          <w:rtl/>
        </w:rPr>
        <w:t>מ</w:t>
      </w:r>
      <w:r w:rsidRPr="006B62C5">
        <w:rPr>
          <w:rtl/>
        </w:rPr>
        <w:t>ביצוע עבירות סמים</w:t>
      </w:r>
      <w:r w:rsidRPr="006B62C5">
        <w:rPr>
          <w:rFonts w:hint="cs"/>
          <w:rtl/>
        </w:rPr>
        <w:t>.</w:t>
      </w:r>
    </w:p>
    <w:p w14:paraId="4B41D648" w14:textId="77777777" w:rsidR="009539A1" w:rsidRPr="006B62C5" w:rsidRDefault="009539A1">
      <w:pPr>
        <w:spacing w:line="360" w:lineRule="auto"/>
        <w:ind w:left="720"/>
        <w:jc w:val="both"/>
        <w:rPr>
          <w:rtl/>
        </w:rPr>
      </w:pPr>
    </w:p>
    <w:p w14:paraId="37C65A5A" w14:textId="77777777" w:rsidR="009539A1" w:rsidRPr="006B62C5" w:rsidRDefault="006B62C5">
      <w:pPr>
        <w:spacing w:line="360" w:lineRule="auto"/>
        <w:ind w:left="720"/>
        <w:jc w:val="both"/>
        <w:rPr>
          <w:rtl/>
        </w:rPr>
      </w:pPr>
      <w:r w:rsidRPr="006B62C5">
        <w:rPr>
          <w:rFonts w:hint="cs"/>
          <w:rtl/>
        </w:rPr>
        <w:t xml:space="preserve">כמו כן, פירט ב"כ המאשימה את </w:t>
      </w:r>
      <w:r w:rsidRPr="006B62C5">
        <w:rPr>
          <w:rtl/>
        </w:rPr>
        <w:t>הפגיעה ה</w:t>
      </w:r>
      <w:r w:rsidRPr="006B62C5">
        <w:rPr>
          <w:rFonts w:hint="cs"/>
          <w:rtl/>
        </w:rPr>
        <w:t>חמורה</w:t>
      </w:r>
      <w:r w:rsidRPr="006B62C5">
        <w:rPr>
          <w:rtl/>
        </w:rPr>
        <w:t xml:space="preserve"> של </w:t>
      </w:r>
      <w:r w:rsidRPr="006B62C5">
        <w:rPr>
          <w:rFonts w:hint="cs"/>
          <w:rtl/>
        </w:rPr>
        <w:t>ה</w:t>
      </w:r>
      <w:r w:rsidRPr="006B62C5">
        <w:rPr>
          <w:rtl/>
        </w:rPr>
        <w:t xml:space="preserve">עבירות </w:t>
      </w:r>
      <w:r w:rsidRPr="006B62C5">
        <w:rPr>
          <w:rFonts w:hint="cs"/>
          <w:rtl/>
        </w:rPr>
        <w:t>דנן</w:t>
      </w:r>
      <w:r w:rsidRPr="006B62C5">
        <w:rPr>
          <w:rtl/>
        </w:rPr>
        <w:t xml:space="preserve"> במעגלים נרחבים</w:t>
      </w:r>
      <w:r w:rsidRPr="006B62C5">
        <w:rPr>
          <w:rFonts w:hint="cs"/>
          <w:rtl/>
        </w:rPr>
        <w:t xml:space="preserve"> - מעגל המשתמשים בסמים, מעגל סביבתם המשפחתית והחברתית והמעגל של אלו הנפגעים כתוצאה מביצוע העבירות, על רקע הצורך בסמים.</w:t>
      </w:r>
    </w:p>
    <w:p w14:paraId="4F851280" w14:textId="77777777" w:rsidR="009539A1" w:rsidRPr="006B62C5" w:rsidRDefault="009539A1">
      <w:pPr>
        <w:spacing w:line="360" w:lineRule="auto"/>
        <w:ind w:left="720"/>
        <w:jc w:val="both"/>
        <w:rPr>
          <w:rtl/>
        </w:rPr>
      </w:pPr>
    </w:p>
    <w:p w14:paraId="3F23903E" w14:textId="77777777" w:rsidR="009539A1" w:rsidRPr="006B62C5" w:rsidRDefault="006B62C5">
      <w:pPr>
        <w:spacing w:line="360" w:lineRule="auto"/>
        <w:ind w:left="720"/>
        <w:jc w:val="both"/>
        <w:rPr>
          <w:rtl/>
        </w:rPr>
      </w:pPr>
      <w:r w:rsidRPr="006B62C5">
        <w:rPr>
          <w:rFonts w:hint="cs"/>
          <w:rtl/>
        </w:rPr>
        <w:t>לדבריו,</w:t>
      </w:r>
      <w:r w:rsidRPr="006B62C5">
        <w:rPr>
          <w:rtl/>
        </w:rPr>
        <w:t xml:space="preserve"> הערכים החברתיים</w:t>
      </w:r>
      <w:r w:rsidRPr="006B62C5">
        <w:rPr>
          <w:rFonts w:hint="cs"/>
          <w:rtl/>
        </w:rPr>
        <w:t xml:space="preserve"> המוגנים</w:t>
      </w:r>
      <w:r w:rsidRPr="006B62C5">
        <w:rPr>
          <w:rtl/>
        </w:rPr>
        <w:t xml:space="preserve">, </w:t>
      </w:r>
      <w:r w:rsidRPr="006B62C5">
        <w:rPr>
          <w:rFonts w:hint="cs"/>
          <w:rtl/>
        </w:rPr>
        <w:t>שנפגעו</w:t>
      </w:r>
      <w:r w:rsidRPr="006B62C5">
        <w:rPr>
          <w:rtl/>
        </w:rPr>
        <w:t xml:space="preserve"> כתוצאה מביצוע </w:t>
      </w:r>
      <w:r w:rsidRPr="006B62C5">
        <w:rPr>
          <w:rFonts w:hint="cs"/>
          <w:rtl/>
        </w:rPr>
        <w:t>ה</w:t>
      </w:r>
      <w:r w:rsidRPr="006B62C5">
        <w:rPr>
          <w:rtl/>
        </w:rPr>
        <w:t>עבירה</w:t>
      </w:r>
      <w:r w:rsidRPr="006B62C5">
        <w:rPr>
          <w:rFonts w:hint="cs"/>
          <w:rtl/>
        </w:rPr>
        <w:t xml:space="preserve">, הם ההגנה על בריאותו ושלומו הפיסי והנפשי של הציבור והצורך למנוע פגיעה ונזק לחברה. </w:t>
      </w:r>
    </w:p>
    <w:p w14:paraId="526168E6" w14:textId="77777777" w:rsidR="009539A1" w:rsidRPr="006B62C5" w:rsidRDefault="009539A1">
      <w:pPr>
        <w:spacing w:line="360" w:lineRule="auto"/>
        <w:ind w:left="720"/>
        <w:jc w:val="both"/>
        <w:rPr>
          <w:rtl/>
        </w:rPr>
      </w:pPr>
    </w:p>
    <w:p w14:paraId="7E02193E" w14:textId="77777777" w:rsidR="009539A1" w:rsidRPr="006B62C5" w:rsidRDefault="006B62C5">
      <w:pPr>
        <w:spacing w:line="360" w:lineRule="auto"/>
        <w:ind w:left="720"/>
        <w:jc w:val="both"/>
        <w:rPr>
          <w:rtl/>
        </w:rPr>
      </w:pPr>
      <w:r w:rsidRPr="006B62C5">
        <w:rPr>
          <w:rFonts w:hint="cs"/>
          <w:rtl/>
        </w:rPr>
        <w:t>עוד פירט ב"כ המאשימה, את מידת הפגיעה בערכים אלו, את מדיניות הענישה הנהוגה</w:t>
      </w:r>
      <w:r w:rsidRPr="006B62C5">
        <w:rPr>
          <w:rtl/>
        </w:rPr>
        <w:t xml:space="preserve"> </w:t>
      </w:r>
      <w:r w:rsidRPr="006B62C5">
        <w:rPr>
          <w:rFonts w:hint="cs"/>
          <w:rtl/>
        </w:rPr>
        <w:t>ואת ה</w:t>
      </w:r>
      <w:r w:rsidRPr="006B62C5">
        <w:rPr>
          <w:rtl/>
        </w:rPr>
        <w:t xml:space="preserve">נסיבות הקשורות בביצוע העבירה, </w:t>
      </w:r>
      <w:r w:rsidRPr="006B62C5">
        <w:rPr>
          <w:rFonts w:hint="cs"/>
          <w:rtl/>
        </w:rPr>
        <w:t>תוך שימת דגש על סוג הסם</w:t>
      </w:r>
      <w:r w:rsidRPr="006B62C5">
        <w:rPr>
          <w:rtl/>
        </w:rPr>
        <w:t xml:space="preserve"> וכמות הסם המסוכן שהחזיק הנאשם</w:t>
      </w:r>
      <w:r w:rsidRPr="006B62C5">
        <w:rPr>
          <w:rFonts w:hint="cs"/>
          <w:rtl/>
        </w:rPr>
        <w:t xml:space="preserve"> </w:t>
      </w:r>
      <w:r w:rsidRPr="006B62C5">
        <w:rPr>
          <w:rtl/>
        </w:rPr>
        <w:t>שלא לצריכה עצמית</w:t>
      </w:r>
      <w:r w:rsidRPr="006B62C5">
        <w:rPr>
          <w:rFonts w:hint="cs"/>
          <w:rtl/>
        </w:rPr>
        <w:t>.</w:t>
      </w:r>
      <w:r w:rsidRPr="006B62C5">
        <w:rPr>
          <w:rtl/>
        </w:rPr>
        <w:t xml:space="preserve"> </w:t>
      </w:r>
    </w:p>
    <w:p w14:paraId="318F49A0" w14:textId="77777777" w:rsidR="009539A1" w:rsidRPr="006B62C5" w:rsidRDefault="009539A1">
      <w:pPr>
        <w:spacing w:line="360" w:lineRule="auto"/>
        <w:ind w:left="720"/>
        <w:jc w:val="both"/>
        <w:rPr>
          <w:rtl/>
        </w:rPr>
      </w:pPr>
    </w:p>
    <w:p w14:paraId="61083A64" w14:textId="77777777" w:rsidR="009539A1" w:rsidRPr="006B62C5" w:rsidRDefault="006B62C5">
      <w:pPr>
        <w:spacing w:line="360" w:lineRule="auto"/>
        <w:ind w:left="720"/>
        <w:jc w:val="both"/>
        <w:rPr>
          <w:rtl/>
        </w:rPr>
      </w:pPr>
      <w:r w:rsidRPr="006B62C5">
        <w:rPr>
          <w:rFonts w:hint="cs"/>
          <w:rtl/>
        </w:rPr>
        <w:t>כן נטען, כי מעשיו של הנאשם בוצעו תוך תכנון קפדני, שבא לידי ביטוי בכך שהצטייד מראש במכשיר סלולרי ייעודי לצורך קבלת החבילה וידע מראש את שם הנמען הרשום על גבי החבילה.</w:t>
      </w:r>
    </w:p>
    <w:p w14:paraId="13B5022C" w14:textId="77777777" w:rsidR="009539A1" w:rsidRPr="006B62C5" w:rsidRDefault="009539A1">
      <w:pPr>
        <w:spacing w:line="360" w:lineRule="auto"/>
        <w:ind w:left="720"/>
        <w:jc w:val="both"/>
        <w:rPr>
          <w:rtl/>
        </w:rPr>
      </w:pPr>
    </w:p>
    <w:p w14:paraId="2220FE6B" w14:textId="77777777" w:rsidR="009539A1" w:rsidRPr="006B62C5" w:rsidRDefault="006B62C5">
      <w:pPr>
        <w:spacing w:line="360" w:lineRule="auto"/>
        <w:ind w:left="720"/>
        <w:jc w:val="both"/>
        <w:rPr>
          <w:rtl/>
        </w:rPr>
      </w:pPr>
      <w:r w:rsidRPr="006B62C5">
        <w:rPr>
          <w:rFonts w:hint="cs"/>
          <w:rtl/>
        </w:rPr>
        <w:t>לדברי ב"כ המאשימה, הנזק  שהיה צפוי להיגרם מביצוע העבירה דנן, הוא אדיר ורב ממדים, שכן מדובר בסם מסוכן המשתייך לקבוצת "הקנבינואידים הסינטטיים". בנוסף, מדובר בכמות רבה מאוד של קילוגרם לערך, אותו ניתן לחלק לאלפי מנות אשר יופצו בקרב צרכנים רבים. ב"כ המאשימה הפנה לחוות דעתה של המומחית ב</w:t>
      </w:r>
      <w:hyperlink r:id="rId25" w:history="1">
        <w:r w:rsidRPr="006B62C5">
          <w:rPr>
            <w:color w:val="0000FF"/>
            <w:u w:val="single"/>
            <w:rtl/>
          </w:rPr>
          <w:t>ת"פ 9572-01-15</w:t>
        </w:r>
      </w:hyperlink>
      <w:r w:rsidRPr="006B62C5">
        <w:rPr>
          <w:rFonts w:hint="cs"/>
          <w:rtl/>
        </w:rPr>
        <w:t xml:space="preserve"> (מיום 3.6.15) אשר התייחסה לסם אחר המשתייך לקבוצה זו. לדידה, השפעת "הקנבינואידים הסינטטיים" על גוף האדם, היא קשה וחמורה יותר מזו של צמח הקנאביס.</w:t>
      </w:r>
    </w:p>
    <w:p w14:paraId="66CD1DB2" w14:textId="77777777" w:rsidR="009539A1" w:rsidRPr="006B62C5" w:rsidRDefault="009539A1">
      <w:pPr>
        <w:spacing w:line="360" w:lineRule="auto"/>
        <w:jc w:val="both"/>
        <w:rPr>
          <w:rtl/>
        </w:rPr>
      </w:pPr>
    </w:p>
    <w:p w14:paraId="65F912CC" w14:textId="77777777" w:rsidR="009539A1" w:rsidRPr="006B62C5" w:rsidRDefault="006B62C5">
      <w:pPr>
        <w:spacing w:line="360" w:lineRule="auto"/>
        <w:ind w:left="720"/>
        <w:jc w:val="both"/>
        <w:rPr>
          <w:rtl/>
        </w:rPr>
      </w:pPr>
      <w:r w:rsidRPr="006B62C5">
        <w:rPr>
          <w:rFonts w:hint="cs"/>
          <w:rtl/>
        </w:rPr>
        <w:t>צוין כי, אמנם במקרה דנן מדובר בסיוע לייבוא סם, אולם מדובר בסיוע ברף הגבוה של המעשים, מבחינת הלך הנפש הסובייקטיבי של הנאשם, שהזדהה בתור הנמען של החבילה והתכוון לקבל לידיו את החבילה שבתוכה קילוגרם שלם של סם מסוכן. הנאשם היה לבדו כשניסה לקבל את החבילה לידיו, ולא ידוע אם היו מעורבים אחרים בתהליך ייבוא החבילה.</w:t>
      </w:r>
    </w:p>
    <w:p w14:paraId="1F5313D9" w14:textId="77777777" w:rsidR="009539A1" w:rsidRPr="006B62C5" w:rsidRDefault="009539A1">
      <w:pPr>
        <w:spacing w:line="360" w:lineRule="auto"/>
        <w:ind w:left="720"/>
        <w:jc w:val="both"/>
        <w:rPr>
          <w:rtl/>
        </w:rPr>
      </w:pPr>
    </w:p>
    <w:p w14:paraId="512D2959" w14:textId="77777777" w:rsidR="009539A1" w:rsidRPr="006B62C5" w:rsidRDefault="006B62C5">
      <w:pPr>
        <w:spacing w:line="360" w:lineRule="auto"/>
        <w:ind w:left="720"/>
        <w:jc w:val="both"/>
        <w:rPr>
          <w:rtl/>
        </w:rPr>
      </w:pPr>
      <w:r w:rsidRPr="006B62C5">
        <w:rPr>
          <w:rFonts w:hint="cs"/>
          <w:rtl/>
        </w:rPr>
        <w:t>הנאשם ביצע את העבירה מתוך בצע כסף. הוא בגיר וכבר ריצה עונש מאסר, כך שיכול היה להבין את מהות מעשיו העברייניים ואת השלכותיהם. יכול היה הנאשם להימנע מביצוע העבירה, אך הוא בחר לבצעה.</w:t>
      </w:r>
    </w:p>
    <w:p w14:paraId="4C981A0A" w14:textId="77777777" w:rsidR="009539A1" w:rsidRPr="006B62C5" w:rsidRDefault="009539A1">
      <w:pPr>
        <w:spacing w:line="360" w:lineRule="auto"/>
        <w:jc w:val="both"/>
        <w:rPr>
          <w:rtl/>
        </w:rPr>
      </w:pPr>
    </w:p>
    <w:p w14:paraId="022BE241" w14:textId="77777777" w:rsidR="009539A1" w:rsidRPr="006B62C5" w:rsidRDefault="006B62C5">
      <w:pPr>
        <w:spacing w:line="360" w:lineRule="auto"/>
        <w:ind w:left="720"/>
        <w:jc w:val="both"/>
        <w:rPr>
          <w:rtl/>
        </w:rPr>
      </w:pPr>
      <w:r w:rsidRPr="006B62C5">
        <w:rPr>
          <w:rFonts w:hint="cs"/>
          <w:rtl/>
        </w:rPr>
        <w:t xml:space="preserve">עוד </w:t>
      </w:r>
      <w:r w:rsidRPr="006B62C5">
        <w:rPr>
          <w:rtl/>
        </w:rPr>
        <w:t>נטען,</w:t>
      </w:r>
      <w:r w:rsidRPr="006B62C5">
        <w:rPr>
          <w:rFonts w:hint="cs"/>
          <w:rtl/>
        </w:rPr>
        <w:t xml:space="preserve"> תוך הפנייה </w:t>
      </w:r>
      <w:r w:rsidRPr="006B62C5">
        <w:rPr>
          <w:rtl/>
        </w:rPr>
        <w:t>לפסיקה הקובעת שקיים צורך בענישה מרתיעה ומחמירה של מי שמבצע עבירות אלה</w:t>
      </w:r>
      <w:r w:rsidRPr="006B62C5">
        <w:rPr>
          <w:rFonts w:hint="cs"/>
          <w:rtl/>
        </w:rPr>
        <w:t>, כי נקבע, זה מכבר, שההחמרה בענישה צריכה לבוא לידי ביטוי בנוגע לכל אחת מחוליות הפצת הסם, לרבות</w:t>
      </w:r>
      <w:r w:rsidRPr="006B62C5">
        <w:rPr>
          <w:rtl/>
        </w:rPr>
        <w:t xml:space="preserve"> מי שמחזיק בסם שלא לצריכה עצמית. </w:t>
      </w:r>
      <w:r w:rsidRPr="006B62C5">
        <w:rPr>
          <w:rFonts w:hint="cs"/>
          <w:rtl/>
        </w:rPr>
        <w:t>לכל אלה קבע המחוקק עונשי מאסר מרביים של 20 שנה.</w:t>
      </w:r>
    </w:p>
    <w:p w14:paraId="68938B50" w14:textId="77777777" w:rsidR="009539A1" w:rsidRPr="006B62C5" w:rsidRDefault="009539A1">
      <w:pPr>
        <w:spacing w:line="360" w:lineRule="auto"/>
        <w:jc w:val="both"/>
        <w:rPr>
          <w:rtl/>
        </w:rPr>
      </w:pPr>
    </w:p>
    <w:p w14:paraId="7F5462A3" w14:textId="77777777" w:rsidR="009539A1" w:rsidRPr="006B62C5" w:rsidRDefault="006B62C5">
      <w:pPr>
        <w:spacing w:line="360" w:lineRule="auto"/>
        <w:ind w:left="720"/>
        <w:jc w:val="both"/>
        <w:rPr>
          <w:rtl/>
        </w:rPr>
      </w:pPr>
      <w:r w:rsidRPr="006B62C5">
        <w:rPr>
          <w:rtl/>
        </w:rPr>
        <w:t xml:space="preserve">המאשימה עתרה למתחם עונש הולם הנע </w:t>
      </w:r>
      <w:r w:rsidRPr="006B62C5">
        <w:rPr>
          <w:b/>
          <w:bCs/>
          <w:rtl/>
        </w:rPr>
        <w:t>בין  3 ל- 5</w:t>
      </w:r>
      <w:r w:rsidRPr="006B62C5">
        <w:rPr>
          <w:rtl/>
        </w:rPr>
        <w:t xml:space="preserve"> שנות מאסר</w:t>
      </w:r>
      <w:r w:rsidRPr="006B62C5">
        <w:rPr>
          <w:rFonts w:hint="cs"/>
          <w:rtl/>
        </w:rPr>
        <w:t xml:space="preserve"> בפועל.</w:t>
      </w:r>
    </w:p>
    <w:p w14:paraId="6359119B" w14:textId="77777777" w:rsidR="009539A1" w:rsidRPr="006B62C5" w:rsidRDefault="009539A1">
      <w:pPr>
        <w:spacing w:line="360" w:lineRule="auto"/>
        <w:jc w:val="both"/>
        <w:rPr>
          <w:rtl/>
        </w:rPr>
      </w:pPr>
    </w:p>
    <w:p w14:paraId="6B055407" w14:textId="77777777" w:rsidR="009539A1" w:rsidRPr="006B62C5" w:rsidRDefault="006B62C5">
      <w:pPr>
        <w:spacing w:line="360" w:lineRule="auto"/>
        <w:ind w:left="720" w:hanging="720"/>
        <w:jc w:val="both"/>
        <w:rPr>
          <w:rtl/>
        </w:rPr>
      </w:pPr>
      <w:r w:rsidRPr="006B62C5">
        <w:rPr>
          <w:rtl/>
        </w:rPr>
        <w:t>6.</w:t>
      </w:r>
      <w:r w:rsidRPr="006B62C5">
        <w:rPr>
          <w:rtl/>
        </w:rPr>
        <w:tab/>
      </w:r>
      <w:r w:rsidRPr="006B62C5">
        <w:rPr>
          <w:rFonts w:hint="cs"/>
          <w:rtl/>
        </w:rPr>
        <w:t>ב"כ המאשימה ביקש להטיל על הנאשם דנן, עונש הקרוב לטווח העליון</w:t>
      </w:r>
      <w:r w:rsidRPr="006B62C5">
        <w:rPr>
          <w:rtl/>
        </w:rPr>
        <w:t xml:space="preserve"> של </w:t>
      </w:r>
      <w:r w:rsidRPr="006B62C5">
        <w:rPr>
          <w:rFonts w:hint="cs"/>
          <w:rtl/>
        </w:rPr>
        <w:t>מתחם הענישה דלעיל</w:t>
      </w:r>
      <w:r w:rsidRPr="006B62C5">
        <w:rPr>
          <w:rtl/>
        </w:rPr>
        <w:t xml:space="preserve">, שכן </w:t>
      </w:r>
      <w:r w:rsidRPr="006B62C5">
        <w:rPr>
          <w:rFonts w:hint="cs"/>
          <w:rtl/>
        </w:rPr>
        <w:t>לשיטתו</w:t>
      </w:r>
      <w:r w:rsidRPr="006B62C5">
        <w:rPr>
          <w:rtl/>
        </w:rPr>
        <w:t xml:space="preserve">, יש להביא בחשבון, כשיקולים לחומרה, </w:t>
      </w:r>
      <w:r w:rsidRPr="006B62C5">
        <w:rPr>
          <w:rFonts w:hint="cs"/>
          <w:rtl/>
        </w:rPr>
        <w:t xml:space="preserve">את עברו הפלילי של הנאשם, המלמד כי הנאשם בחר בדרך חיים  עבריינית ואף לא המתין יותר מחודשיים מאז שחרורו ממאסר קודם וכבר הספיק לבצע עבירות נוספות. </w:t>
      </w:r>
    </w:p>
    <w:p w14:paraId="46757FE3" w14:textId="77777777" w:rsidR="009539A1" w:rsidRPr="006B62C5" w:rsidRDefault="006B62C5">
      <w:pPr>
        <w:spacing w:line="360" w:lineRule="auto"/>
        <w:ind w:left="720" w:hanging="720"/>
        <w:jc w:val="both"/>
        <w:rPr>
          <w:rtl/>
        </w:rPr>
      </w:pPr>
      <w:r w:rsidRPr="006B62C5">
        <w:rPr>
          <w:rtl/>
        </w:rPr>
        <w:tab/>
      </w:r>
    </w:p>
    <w:p w14:paraId="24B7FE4F" w14:textId="77777777" w:rsidR="009539A1" w:rsidRPr="006B62C5" w:rsidRDefault="006B62C5">
      <w:pPr>
        <w:spacing w:line="360" w:lineRule="auto"/>
        <w:ind w:left="720"/>
        <w:jc w:val="both"/>
        <w:rPr>
          <w:rtl/>
        </w:rPr>
      </w:pPr>
      <w:r w:rsidRPr="006B62C5">
        <w:rPr>
          <w:rFonts w:hint="cs"/>
          <w:rtl/>
        </w:rPr>
        <w:t xml:space="preserve">עוד צוין כי, בעבירות סמים בהתאם לפסיקה יש ליתן משקל בכורה לשיקולי הגמול וההרתעה על פני שיקולים אישיים של נאשם. </w:t>
      </w:r>
    </w:p>
    <w:p w14:paraId="41A3E42E" w14:textId="77777777" w:rsidR="009539A1" w:rsidRPr="006B62C5" w:rsidRDefault="009539A1">
      <w:pPr>
        <w:spacing w:line="360" w:lineRule="auto"/>
        <w:ind w:left="720"/>
        <w:jc w:val="both"/>
        <w:rPr>
          <w:rtl/>
        </w:rPr>
      </w:pPr>
    </w:p>
    <w:p w14:paraId="47759D7D" w14:textId="77777777" w:rsidR="009539A1" w:rsidRPr="006B62C5" w:rsidRDefault="006B62C5">
      <w:pPr>
        <w:spacing w:line="360" w:lineRule="auto"/>
        <w:ind w:left="720"/>
        <w:jc w:val="both"/>
        <w:rPr>
          <w:rtl/>
        </w:rPr>
      </w:pPr>
      <w:r w:rsidRPr="006B62C5">
        <w:rPr>
          <w:rFonts w:hint="cs"/>
          <w:rtl/>
        </w:rPr>
        <w:t>לדבריו, במקרה דנן, הנאשם אמנם הודה בביצוע העבירה אך אינו זכאי להקלה, לה זוכים נאשמים שמודים בפתח משפטם וחוסכים מזמנו של בית המשפט, שהרי הודאת הנאשם באה לאחר שנשמעה כמעט כל פרשת התביעה.</w:t>
      </w:r>
    </w:p>
    <w:p w14:paraId="0627AA04" w14:textId="77777777" w:rsidR="009539A1" w:rsidRPr="006B62C5" w:rsidRDefault="009539A1">
      <w:pPr>
        <w:spacing w:line="360" w:lineRule="auto"/>
        <w:jc w:val="both"/>
        <w:rPr>
          <w:rtl/>
        </w:rPr>
      </w:pPr>
    </w:p>
    <w:p w14:paraId="3AB21A9E" w14:textId="77777777" w:rsidR="009539A1" w:rsidRPr="006B62C5" w:rsidRDefault="006B62C5">
      <w:pPr>
        <w:spacing w:line="360" w:lineRule="auto"/>
        <w:ind w:left="720"/>
        <w:jc w:val="both"/>
        <w:rPr>
          <w:rtl/>
        </w:rPr>
      </w:pPr>
      <w:r w:rsidRPr="006B62C5">
        <w:rPr>
          <w:rFonts w:hint="cs"/>
          <w:rtl/>
        </w:rPr>
        <w:t>ב"כ המאשימה ציין כי,</w:t>
      </w:r>
      <w:r w:rsidRPr="006B62C5">
        <w:rPr>
          <w:rtl/>
        </w:rPr>
        <w:t xml:space="preserve"> </w:t>
      </w:r>
      <w:r w:rsidRPr="006B62C5">
        <w:rPr>
          <w:rFonts w:hint="cs"/>
          <w:rtl/>
        </w:rPr>
        <w:t>לאור חומרת העבירה, עברו הפלילי של הנאשם, והדרישה החוזרת ונשנית להחמיר בענישה בעבירות סמים, יש להטיל על הנאשם, בנוסף למאסר בפועל, גם מאסר על תנאי ארוך ומרתיע.</w:t>
      </w:r>
    </w:p>
    <w:p w14:paraId="5DB3FDF5" w14:textId="77777777" w:rsidR="009539A1" w:rsidRPr="006B62C5" w:rsidRDefault="009539A1">
      <w:pPr>
        <w:spacing w:line="360" w:lineRule="auto"/>
        <w:ind w:left="720"/>
        <w:jc w:val="both"/>
        <w:rPr>
          <w:rtl/>
        </w:rPr>
      </w:pPr>
    </w:p>
    <w:p w14:paraId="5D2282AF" w14:textId="77777777" w:rsidR="009539A1" w:rsidRPr="006B62C5" w:rsidRDefault="006B62C5">
      <w:pPr>
        <w:spacing w:line="360" w:lineRule="auto"/>
        <w:ind w:left="720"/>
        <w:jc w:val="both"/>
        <w:rPr>
          <w:rtl/>
        </w:rPr>
      </w:pPr>
      <w:r w:rsidRPr="006B62C5">
        <w:rPr>
          <w:rFonts w:hint="cs"/>
          <w:rtl/>
        </w:rPr>
        <w:t xml:space="preserve">כן נטען, כי הפיתוי לעבור עבירות סמים גדול, בשל הקושי בגילוין ובחשיפתן ולכן יש להשית על הנאשם </w:t>
      </w:r>
      <w:r w:rsidRPr="006B62C5">
        <w:rPr>
          <w:rtl/>
        </w:rPr>
        <w:t xml:space="preserve">קנס כבד, </w:t>
      </w:r>
      <w:r w:rsidRPr="006B62C5">
        <w:rPr>
          <w:rFonts w:hint="cs"/>
          <w:rtl/>
        </w:rPr>
        <w:t>אשר ישמש גמול</w:t>
      </w:r>
      <w:r w:rsidRPr="006B62C5">
        <w:rPr>
          <w:rtl/>
        </w:rPr>
        <w:t xml:space="preserve"> נוסף למעשיו </w:t>
      </w:r>
      <w:r w:rsidRPr="006B62C5">
        <w:rPr>
          <w:rFonts w:hint="cs"/>
          <w:rtl/>
        </w:rPr>
        <w:t xml:space="preserve">של הנאשם וכן ישמש </w:t>
      </w:r>
      <w:r w:rsidRPr="006B62C5">
        <w:rPr>
          <w:rtl/>
        </w:rPr>
        <w:t>כגורם הרתעה נוסף</w:t>
      </w:r>
      <w:r w:rsidRPr="006B62C5">
        <w:rPr>
          <w:rFonts w:hint="cs"/>
          <w:rtl/>
        </w:rPr>
        <w:t xml:space="preserve">, </w:t>
      </w:r>
      <w:r w:rsidRPr="006B62C5">
        <w:rPr>
          <w:rtl/>
        </w:rPr>
        <w:t xml:space="preserve">הן </w:t>
      </w:r>
      <w:r w:rsidRPr="006B62C5">
        <w:rPr>
          <w:rFonts w:hint="cs"/>
          <w:rtl/>
        </w:rPr>
        <w:t xml:space="preserve">עבור הנאשם </w:t>
      </w:r>
      <w:r w:rsidRPr="006B62C5">
        <w:rPr>
          <w:rtl/>
        </w:rPr>
        <w:t xml:space="preserve">והן לאלו העוסקים בעבירות סמים. </w:t>
      </w:r>
    </w:p>
    <w:p w14:paraId="0FFC55E2" w14:textId="77777777" w:rsidR="009539A1" w:rsidRPr="006B62C5" w:rsidRDefault="009539A1">
      <w:pPr>
        <w:spacing w:line="360" w:lineRule="auto"/>
        <w:ind w:left="720"/>
        <w:jc w:val="both"/>
        <w:rPr>
          <w:rtl/>
        </w:rPr>
      </w:pPr>
    </w:p>
    <w:p w14:paraId="5E777E90" w14:textId="77777777" w:rsidR="009539A1" w:rsidRPr="006B62C5" w:rsidRDefault="006B62C5">
      <w:pPr>
        <w:spacing w:line="360" w:lineRule="auto"/>
        <w:jc w:val="both"/>
        <w:rPr>
          <w:b/>
          <w:bCs/>
          <w:rtl/>
        </w:rPr>
      </w:pPr>
      <w:r w:rsidRPr="006B62C5">
        <w:rPr>
          <w:b/>
          <w:bCs/>
          <w:rtl/>
        </w:rPr>
        <w:t>טענות הנאשם לעונש</w:t>
      </w:r>
    </w:p>
    <w:p w14:paraId="293F54BF" w14:textId="77777777" w:rsidR="009539A1" w:rsidRPr="006B62C5" w:rsidRDefault="009539A1">
      <w:pPr>
        <w:spacing w:line="360" w:lineRule="auto"/>
        <w:jc w:val="both"/>
        <w:rPr>
          <w:b/>
          <w:bCs/>
          <w:rtl/>
        </w:rPr>
      </w:pPr>
    </w:p>
    <w:p w14:paraId="7DA2F594" w14:textId="77777777" w:rsidR="009539A1" w:rsidRPr="006B62C5" w:rsidRDefault="006B62C5">
      <w:pPr>
        <w:spacing w:line="360" w:lineRule="auto"/>
        <w:ind w:left="720" w:hanging="720"/>
        <w:jc w:val="both"/>
        <w:rPr>
          <w:rtl/>
        </w:rPr>
      </w:pPr>
      <w:r w:rsidRPr="006B62C5">
        <w:rPr>
          <w:rtl/>
        </w:rPr>
        <w:t>7.</w:t>
      </w:r>
      <w:r w:rsidRPr="006B62C5">
        <w:rPr>
          <w:rtl/>
        </w:rPr>
        <w:tab/>
        <w:t xml:space="preserve">בא כוח הנאשם </w:t>
      </w:r>
      <w:r w:rsidRPr="006B62C5">
        <w:rPr>
          <w:rFonts w:hint="cs"/>
          <w:rtl/>
        </w:rPr>
        <w:t xml:space="preserve">ציין כי, בהתייחס לעבירת </w:t>
      </w:r>
      <w:r w:rsidRPr="006B62C5">
        <w:rPr>
          <w:rFonts w:hint="cs"/>
          <w:b/>
          <w:bCs/>
          <w:rtl/>
        </w:rPr>
        <w:t>סיוע</w:t>
      </w:r>
      <w:r w:rsidRPr="006B62C5">
        <w:rPr>
          <w:rFonts w:hint="cs"/>
          <w:rtl/>
        </w:rPr>
        <w:t xml:space="preserve"> בייבוא סם, נסיבות ביצוע העבירה הן ברף חומרה נמוך יחסית. חלקו של הנאשם בעבירה הוא בשולי העבירה ומסתכם בכך שהגיעה לידיו חבילה בתחומי ישראל, שבמקור נשלחה מחו"ל ובתוכה סם מסוכן. אין מחלוקת שהנאשם לא הזמין את החומר - הוא שימש כחוליה משנית במעגל עבירת ייבוא הסם - השליח שהתבקש לאסוף את הסם וחלקו בעבירה הוא שולי וטכני.</w:t>
      </w:r>
    </w:p>
    <w:p w14:paraId="6FB438EE" w14:textId="77777777" w:rsidR="009539A1" w:rsidRPr="006B62C5" w:rsidRDefault="009539A1">
      <w:pPr>
        <w:spacing w:line="360" w:lineRule="auto"/>
        <w:ind w:left="720"/>
        <w:jc w:val="both"/>
        <w:rPr>
          <w:rtl/>
        </w:rPr>
      </w:pPr>
    </w:p>
    <w:p w14:paraId="6FF90090" w14:textId="77777777" w:rsidR="009539A1" w:rsidRPr="006B62C5" w:rsidRDefault="006B62C5">
      <w:pPr>
        <w:spacing w:line="360" w:lineRule="auto"/>
        <w:ind w:left="720"/>
        <w:jc w:val="both"/>
        <w:rPr>
          <w:rtl/>
        </w:rPr>
      </w:pPr>
      <w:r w:rsidRPr="006B62C5">
        <w:rPr>
          <w:rFonts w:hint="cs"/>
          <w:rtl/>
        </w:rPr>
        <w:t xml:space="preserve">לדבריו, מעובדות כתב האישום המתוקן, לא עולה כל תכנון או יוזמה מצד הנאשם לייבוא סמים מחו"ל ואין כל אינדיקציה לכך שהנאשם פעל לייבוא הסם או קיים קשר עם גורם כלשהו מחו"ל לשם ייבוא הסם. </w:t>
      </w:r>
    </w:p>
    <w:p w14:paraId="3E978920" w14:textId="77777777" w:rsidR="009539A1" w:rsidRPr="006B62C5" w:rsidRDefault="009539A1">
      <w:pPr>
        <w:spacing w:line="360" w:lineRule="auto"/>
        <w:ind w:left="720"/>
        <w:jc w:val="both"/>
        <w:rPr>
          <w:rtl/>
        </w:rPr>
      </w:pPr>
    </w:p>
    <w:p w14:paraId="5674715B" w14:textId="77777777" w:rsidR="009539A1" w:rsidRPr="006B62C5" w:rsidRDefault="006B62C5">
      <w:pPr>
        <w:spacing w:line="360" w:lineRule="auto"/>
        <w:ind w:left="720"/>
        <w:jc w:val="both"/>
        <w:rPr>
          <w:rtl/>
        </w:rPr>
      </w:pPr>
      <w:r w:rsidRPr="006B62C5">
        <w:rPr>
          <w:rFonts w:hint="cs"/>
          <w:rtl/>
        </w:rPr>
        <w:t>ב"כ הנאשם ציין כי בעבירת סיוע לייבוא סם, העונש המקסימאלי הינו מחצית מעונשו של המבצע העיקרי וטען שהעובדה שלנאשם מיוחסת עבירת סיוע ממחישה כי חלקו בעבירה משני אף ביחס למי שפועל רק לשם הקלה על יבוא הסם.</w:t>
      </w:r>
    </w:p>
    <w:p w14:paraId="4C2D9D01" w14:textId="77777777" w:rsidR="009539A1" w:rsidRPr="006B62C5" w:rsidRDefault="009539A1">
      <w:pPr>
        <w:spacing w:line="360" w:lineRule="auto"/>
        <w:ind w:left="720"/>
        <w:jc w:val="both"/>
        <w:rPr>
          <w:rtl/>
        </w:rPr>
      </w:pPr>
    </w:p>
    <w:p w14:paraId="0CED0D40" w14:textId="77777777" w:rsidR="009539A1" w:rsidRPr="006B62C5" w:rsidRDefault="006B62C5">
      <w:pPr>
        <w:spacing w:line="360" w:lineRule="auto"/>
        <w:ind w:left="720"/>
        <w:jc w:val="both"/>
        <w:rPr>
          <w:rtl/>
        </w:rPr>
      </w:pPr>
      <w:r w:rsidRPr="006B62C5">
        <w:rPr>
          <w:rFonts w:hint="cs"/>
          <w:rtl/>
        </w:rPr>
        <w:t>בהתייחס לעבירת ניסיון החזקת סם שלא לצריכה עצמית, טען ב"כ הנאשם שיש לתת משקל משמעותי לעובדה שמדובר בעבירת ניסיון ולא בעבירה מוגמרת. הנאשם, הלכה למעשה, לא קיבל את החומר המצוי בתוך החבילה וככלל מעניקים בתי המשפט משקל מכריע לקולה במקרים שעניינם ניסיון בלבד.</w:t>
      </w:r>
    </w:p>
    <w:p w14:paraId="7D221A93" w14:textId="77777777" w:rsidR="009539A1" w:rsidRPr="006B62C5" w:rsidRDefault="009539A1">
      <w:pPr>
        <w:spacing w:line="360" w:lineRule="auto"/>
        <w:ind w:left="720"/>
        <w:jc w:val="both"/>
        <w:rPr>
          <w:rtl/>
        </w:rPr>
      </w:pPr>
    </w:p>
    <w:p w14:paraId="206280CD" w14:textId="77777777" w:rsidR="009539A1" w:rsidRPr="006B62C5" w:rsidRDefault="006B62C5">
      <w:pPr>
        <w:spacing w:line="360" w:lineRule="auto"/>
        <w:ind w:left="720"/>
        <w:jc w:val="both"/>
        <w:rPr>
          <w:rtl/>
        </w:rPr>
      </w:pPr>
      <w:r w:rsidRPr="006B62C5">
        <w:rPr>
          <w:rFonts w:hint="cs"/>
          <w:rtl/>
        </w:rPr>
        <w:t>עוד ציין הסנגור כי, בהתאם לתיקון 39 ל</w:t>
      </w:r>
      <w:hyperlink r:id="rId26" w:history="1">
        <w:r w:rsidRPr="006B62C5">
          <w:rPr>
            <w:color w:val="0000FF"/>
            <w:u w:val="single"/>
            <w:rtl/>
          </w:rPr>
          <w:t>חוק העונשין</w:t>
        </w:r>
      </w:hyperlink>
      <w:r w:rsidRPr="006B62C5">
        <w:rPr>
          <w:rFonts w:hint="cs"/>
          <w:rtl/>
        </w:rPr>
        <w:t>, העונש המקסימלי בגין עבירת ניסיון עומד על מחצית מהעונש בגין עבירה מוגמרת.</w:t>
      </w:r>
    </w:p>
    <w:p w14:paraId="7DF3F4A3" w14:textId="77777777" w:rsidR="009539A1" w:rsidRPr="006B62C5" w:rsidRDefault="009539A1">
      <w:pPr>
        <w:spacing w:line="360" w:lineRule="auto"/>
        <w:ind w:left="720"/>
        <w:jc w:val="both"/>
        <w:rPr>
          <w:rtl/>
        </w:rPr>
      </w:pPr>
    </w:p>
    <w:p w14:paraId="12FD0BF3" w14:textId="77777777" w:rsidR="009539A1" w:rsidRPr="006B62C5" w:rsidRDefault="006B62C5">
      <w:pPr>
        <w:spacing w:line="360" w:lineRule="auto"/>
        <w:ind w:left="720"/>
        <w:jc w:val="both"/>
        <w:rPr>
          <w:rtl/>
        </w:rPr>
      </w:pPr>
      <w:r w:rsidRPr="006B62C5">
        <w:rPr>
          <w:rFonts w:hint="cs"/>
          <w:rtl/>
        </w:rPr>
        <w:t xml:space="preserve">לדבריו, הסם נשוא כתב האישום המתוקן, מסוג </w:t>
      </w:r>
      <w:r w:rsidRPr="006B62C5">
        <w:rPr>
          <w:rFonts w:hint="cs"/>
        </w:rPr>
        <w:t>CHMINACA</w:t>
      </w:r>
      <w:r w:rsidRPr="006B62C5">
        <w:t xml:space="preserve">" </w:t>
      </w:r>
      <w:r w:rsidRPr="006B62C5">
        <w:rPr>
          <w:rFonts w:hint="cs"/>
        </w:rPr>
        <w:t>-</w:t>
      </w:r>
      <w:r w:rsidRPr="006B62C5">
        <w:rPr>
          <w:rFonts w:hint="cs"/>
          <w:rtl/>
        </w:rPr>
        <w:t xml:space="preserve"> </w:t>
      </w:r>
      <w:r w:rsidRPr="006B62C5">
        <w:t xml:space="preserve"> "</w:t>
      </w:r>
      <w:r w:rsidRPr="006B62C5">
        <w:rPr>
          <w:rFonts w:hint="cs"/>
        </w:rPr>
        <w:t>AB</w:t>
      </w:r>
      <w:r w:rsidRPr="006B62C5">
        <w:t xml:space="preserve"> </w:t>
      </w:r>
      <w:r w:rsidRPr="006B62C5">
        <w:rPr>
          <w:rFonts w:hint="cs"/>
        </w:rPr>
        <w:t>-</w:t>
      </w:r>
      <w:r w:rsidRPr="006B62C5">
        <w:rPr>
          <w:rFonts w:hint="cs"/>
          <w:rtl/>
        </w:rPr>
        <w:t>אינו מהווה סם "קשה" במדרג הסמים המסוכנים, כדוגמת הרואין וקוקאין, ויש לתת את הדעת גם לכך שמדובר בחומר שהוכלל ב</w:t>
      </w:r>
      <w:hyperlink r:id="rId27" w:history="1">
        <w:r w:rsidRPr="006B62C5">
          <w:rPr>
            <w:color w:val="0000FF"/>
            <w:u w:val="single"/>
            <w:rtl/>
          </w:rPr>
          <w:t>פקודת הסמים המסוכנים</w:t>
        </w:r>
      </w:hyperlink>
      <w:r w:rsidRPr="006B62C5">
        <w:rPr>
          <w:rFonts w:hint="cs"/>
          <w:rtl/>
        </w:rPr>
        <w:t xml:space="preserve"> רק בשנת 2015 ועד שנת 2014 החזקתו כלל לא נאסרה, אלא רק הפצתו.</w:t>
      </w:r>
    </w:p>
    <w:p w14:paraId="10C03123" w14:textId="77777777" w:rsidR="009539A1" w:rsidRPr="006B62C5" w:rsidRDefault="009539A1">
      <w:pPr>
        <w:spacing w:line="360" w:lineRule="auto"/>
        <w:ind w:left="720"/>
        <w:jc w:val="both"/>
        <w:rPr>
          <w:rtl/>
        </w:rPr>
      </w:pPr>
    </w:p>
    <w:p w14:paraId="3829C69C" w14:textId="77777777" w:rsidR="009539A1" w:rsidRPr="006B62C5" w:rsidRDefault="006B62C5">
      <w:pPr>
        <w:spacing w:line="360" w:lineRule="auto"/>
        <w:ind w:left="720"/>
        <w:jc w:val="both"/>
        <w:rPr>
          <w:rtl/>
        </w:rPr>
      </w:pPr>
      <w:r w:rsidRPr="006B62C5">
        <w:rPr>
          <w:rFonts w:hint="cs"/>
          <w:rtl/>
        </w:rPr>
        <w:t>לאור האמור לעיל, ביקש הסנגור לקבוע את מתחם העונש ההולם, במקרה דנן, בהתאם למתחמי הענישה הנהוגים בעבירות הסמים "הקלים" יותר כדוגמת קנאביס, תוך שהוא מפנה למספר ערכים אינטרנטיים המציינים כי מדובר בחומר ממשפחת הקנבינואידים שהוא במהותו סוג של קנביס סינטטי. מפנה לפסק דין ב</w:t>
      </w:r>
      <w:hyperlink r:id="rId28" w:history="1">
        <w:r w:rsidRPr="006B62C5">
          <w:rPr>
            <w:color w:val="0000FF"/>
            <w:u w:val="single"/>
            <w:rtl/>
          </w:rPr>
          <w:t>ת"פ 23142-09-14</w:t>
        </w:r>
      </w:hyperlink>
      <w:r w:rsidRPr="006B62C5">
        <w:rPr>
          <w:rFonts w:hint="cs"/>
          <w:rtl/>
        </w:rPr>
        <w:t xml:space="preserve"> (20.04.2015).</w:t>
      </w:r>
    </w:p>
    <w:p w14:paraId="35B51FAC" w14:textId="77777777" w:rsidR="009539A1" w:rsidRPr="006B62C5" w:rsidRDefault="009539A1">
      <w:pPr>
        <w:spacing w:line="360" w:lineRule="auto"/>
        <w:ind w:left="720"/>
        <w:jc w:val="both"/>
        <w:rPr>
          <w:rtl/>
        </w:rPr>
      </w:pPr>
    </w:p>
    <w:p w14:paraId="008CCA87" w14:textId="77777777" w:rsidR="009539A1" w:rsidRPr="006B62C5" w:rsidRDefault="006B62C5">
      <w:pPr>
        <w:spacing w:line="360" w:lineRule="auto"/>
        <w:ind w:left="720"/>
        <w:jc w:val="both"/>
        <w:rPr>
          <w:b/>
          <w:bCs/>
          <w:rtl/>
        </w:rPr>
      </w:pPr>
      <w:r w:rsidRPr="006B62C5">
        <w:rPr>
          <w:rtl/>
        </w:rPr>
        <w:t>הסנגור הפנה לפסיקה</w:t>
      </w:r>
      <w:r w:rsidRPr="006B62C5">
        <w:rPr>
          <w:rFonts w:hint="cs"/>
          <w:rtl/>
        </w:rPr>
        <w:t xml:space="preserve"> נוספת</w:t>
      </w:r>
      <w:r w:rsidRPr="006B62C5">
        <w:rPr>
          <w:rtl/>
        </w:rPr>
        <w:t xml:space="preserve"> (סומנה </w:t>
      </w:r>
      <w:r w:rsidRPr="006B62C5">
        <w:rPr>
          <w:b/>
          <w:bCs/>
          <w:rtl/>
        </w:rPr>
        <w:t>ענ/</w:t>
      </w:r>
      <w:r w:rsidRPr="006B62C5">
        <w:rPr>
          <w:rFonts w:hint="cs"/>
          <w:b/>
          <w:bCs/>
          <w:rtl/>
        </w:rPr>
        <w:t>3</w:t>
      </w:r>
      <w:r w:rsidRPr="006B62C5">
        <w:rPr>
          <w:rtl/>
        </w:rPr>
        <w:t xml:space="preserve">, </w:t>
      </w:r>
      <w:r w:rsidRPr="006B62C5">
        <w:rPr>
          <w:b/>
          <w:bCs/>
          <w:rtl/>
        </w:rPr>
        <w:t>ענ/2</w:t>
      </w:r>
      <w:r w:rsidRPr="006B62C5">
        <w:rPr>
          <w:rtl/>
        </w:rPr>
        <w:t xml:space="preserve">)  המצביעה, לשיטתו, על </w:t>
      </w:r>
      <w:r w:rsidRPr="006B62C5">
        <w:rPr>
          <w:rFonts w:hint="cs"/>
          <w:rtl/>
        </w:rPr>
        <w:t>מדיניות הענישה הנהוגה ו</w:t>
      </w:r>
      <w:r w:rsidRPr="006B62C5">
        <w:rPr>
          <w:rtl/>
        </w:rPr>
        <w:t>מתחם העונש ההולם</w:t>
      </w:r>
      <w:r w:rsidRPr="006B62C5">
        <w:rPr>
          <w:rFonts w:hint="cs"/>
          <w:rtl/>
        </w:rPr>
        <w:t>. לדבריו, מתחם העונש ההולם נע</w:t>
      </w:r>
      <w:r w:rsidRPr="006B62C5">
        <w:rPr>
          <w:rtl/>
        </w:rPr>
        <w:t xml:space="preserve"> </w:t>
      </w:r>
      <w:r w:rsidRPr="006B62C5">
        <w:rPr>
          <w:b/>
          <w:bCs/>
          <w:rtl/>
        </w:rPr>
        <w:t>בין 6 חודשי מאסר ל</w:t>
      </w:r>
      <w:r w:rsidRPr="006B62C5">
        <w:rPr>
          <w:rFonts w:hint="cs"/>
          <w:b/>
          <w:bCs/>
          <w:rtl/>
        </w:rPr>
        <w:t>-</w:t>
      </w:r>
      <w:r w:rsidRPr="006B62C5">
        <w:rPr>
          <w:b/>
          <w:bCs/>
          <w:rtl/>
        </w:rPr>
        <w:t xml:space="preserve"> </w:t>
      </w:r>
      <w:r w:rsidRPr="006B62C5">
        <w:rPr>
          <w:rFonts w:hint="cs"/>
          <w:b/>
          <w:bCs/>
          <w:rtl/>
        </w:rPr>
        <w:t>18</w:t>
      </w:r>
      <w:r w:rsidRPr="006B62C5">
        <w:rPr>
          <w:b/>
          <w:bCs/>
          <w:rtl/>
        </w:rPr>
        <w:t xml:space="preserve"> חודשי מאסר. </w:t>
      </w:r>
    </w:p>
    <w:p w14:paraId="344243A2" w14:textId="77777777" w:rsidR="009539A1" w:rsidRPr="006B62C5" w:rsidRDefault="009539A1">
      <w:pPr>
        <w:spacing w:line="360" w:lineRule="auto"/>
        <w:jc w:val="both"/>
        <w:rPr>
          <w:rtl/>
        </w:rPr>
      </w:pPr>
    </w:p>
    <w:p w14:paraId="6D29663B" w14:textId="77777777" w:rsidR="009539A1" w:rsidRPr="006B62C5" w:rsidRDefault="006B62C5">
      <w:pPr>
        <w:spacing w:line="360" w:lineRule="auto"/>
        <w:ind w:left="720" w:hanging="720"/>
        <w:jc w:val="both"/>
        <w:rPr>
          <w:rtl/>
        </w:rPr>
      </w:pPr>
      <w:r w:rsidRPr="006B62C5">
        <w:rPr>
          <w:rtl/>
        </w:rPr>
        <w:t>8.</w:t>
      </w:r>
      <w:r w:rsidRPr="006B62C5">
        <w:rPr>
          <w:rtl/>
        </w:rPr>
        <w:tab/>
        <w:t xml:space="preserve">לעניין גזירת הדין, </w:t>
      </w:r>
      <w:r w:rsidRPr="006B62C5">
        <w:rPr>
          <w:rFonts w:hint="cs"/>
          <w:rtl/>
        </w:rPr>
        <w:t>ביקש הסנגור מבית המשפט לחרוג ממתחם העונש משיקולי צדק הנעוצים במצבו הרפואי של הנאשם תוך שהוא מפנה לפסק דין בעניין לופוליאנסקי, או לחילופין,</w:t>
      </w:r>
      <w:r w:rsidRPr="006B62C5">
        <w:rPr>
          <w:rtl/>
        </w:rPr>
        <w:t xml:space="preserve"> להטיל על הנאשם עונש </w:t>
      </w:r>
      <w:r w:rsidRPr="006B62C5">
        <w:rPr>
          <w:rFonts w:hint="cs"/>
          <w:rtl/>
        </w:rPr>
        <w:t xml:space="preserve">ראוי המצוי ברף התחתון של המתחם המוצע. </w:t>
      </w:r>
    </w:p>
    <w:p w14:paraId="6843DC9B" w14:textId="77777777" w:rsidR="009539A1" w:rsidRPr="006B62C5" w:rsidRDefault="009539A1">
      <w:pPr>
        <w:spacing w:line="360" w:lineRule="auto"/>
        <w:jc w:val="both"/>
        <w:rPr>
          <w:rtl/>
        </w:rPr>
      </w:pPr>
    </w:p>
    <w:p w14:paraId="0E730F96" w14:textId="77777777" w:rsidR="009539A1" w:rsidRPr="006B62C5" w:rsidRDefault="006B62C5">
      <w:pPr>
        <w:spacing w:line="360" w:lineRule="auto"/>
        <w:ind w:left="720"/>
        <w:jc w:val="both"/>
        <w:rPr>
          <w:rtl/>
        </w:rPr>
      </w:pPr>
      <w:r w:rsidRPr="006B62C5">
        <w:rPr>
          <w:rtl/>
        </w:rPr>
        <w:t>הסנגור הדגיש</w:t>
      </w:r>
      <w:r w:rsidRPr="006B62C5">
        <w:rPr>
          <w:rFonts w:hint="cs"/>
          <w:rtl/>
        </w:rPr>
        <w:t>,</w:t>
      </w:r>
      <w:r w:rsidRPr="006B62C5">
        <w:rPr>
          <w:rtl/>
        </w:rPr>
        <w:t xml:space="preserve"> </w:t>
      </w:r>
      <w:r w:rsidRPr="006B62C5">
        <w:rPr>
          <w:rFonts w:hint="cs"/>
          <w:rtl/>
        </w:rPr>
        <w:t>בעניין הנסיבות שאינן קשורות לביצוע העבירה כי, לנאשם</w:t>
      </w:r>
      <w:r w:rsidRPr="006B62C5">
        <w:rPr>
          <w:rtl/>
        </w:rPr>
        <w:t xml:space="preserve"> </w:t>
      </w:r>
      <w:r w:rsidRPr="006B62C5">
        <w:rPr>
          <w:rFonts w:hint="cs"/>
          <w:rtl/>
        </w:rPr>
        <w:t xml:space="preserve">נסיבות אישיות קשות ואף חריגות לאור היותו נשא </w:t>
      </w:r>
      <w:r w:rsidRPr="006B62C5">
        <w:rPr>
          <w:rFonts w:hint="cs"/>
        </w:rPr>
        <w:t>HIV</w:t>
      </w:r>
      <w:r w:rsidRPr="006B62C5">
        <w:rPr>
          <w:rFonts w:hint="cs"/>
          <w:rtl/>
        </w:rPr>
        <w:t xml:space="preserve"> וחולה שחמת הכבד והוא נדרש ליטול מידי יום תרופות רבות לייצוב מצבו ולהיות תחת מעקב אימונולוגי קפדני. לדבריו, ריצוי המאסר עלול לפגוע בבריאותו של הנאשם, בשל כך שמצבו הרפואי דורש כי ישהה בסביבה נקייה וסטרילית. לכן יש להקל עליו באופן משמעותי. </w:t>
      </w:r>
    </w:p>
    <w:p w14:paraId="6F29A8D5" w14:textId="77777777" w:rsidR="009539A1" w:rsidRPr="006B62C5" w:rsidRDefault="009539A1">
      <w:pPr>
        <w:spacing w:line="360" w:lineRule="auto"/>
        <w:ind w:left="720"/>
        <w:jc w:val="both"/>
        <w:rPr>
          <w:rtl/>
        </w:rPr>
      </w:pPr>
    </w:p>
    <w:p w14:paraId="2C3EEE30" w14:textId="77777777" w:rsidR="009539A1" w:rsidRPr="006B62C5" w:rsidRDefault="006B62C5">
      <w:pPr>
        <w:spacing w:line="360" w:lineRule="auto"/>
        <w:ind w:left="720"/>
        <w:jc w:val="both"/>
        <w:rPr>
          <w:rtl/>
        </w:rPr>
      </w:pPr>
      <w:r w:rsidRPr="006B62C5">
        <w:rPr>
          <w:rFonts w:hint="cs"/>
          <w:rtl/>
        </w:rPr>
        <w:t>עוד צוין כי, פרט לאבחנות דלעיל, הנאשם מכור לסמים ונוטל תחליף סם מסוג מתדון, סובל מאפילפסיה ומהפרעות אישיותיות והתנהגותיות ונוטל כדורים פסיכיאטריים.</w:t>
      </w:r>
    </w:p>
    <w:p w14:paraId="05447631" w14:textId="77777777" w:rsidR="009539A1" w:rsidRPr="006B62C5" w:rsidRDefault="009539A1">
      <w:pPr>
        <w:spacing w:line="360" w:lineRule="auto"/>
        <w:ind w:left="720"/>
        <w:jc w:val="both"/>
        <w:rPr>
          <w:rtl/>
        </w:rPr>
      </w:pPr>
    </w:p>
    <w:p w14:paraId="2E76E59B" w14:textId="77777777" w:rsidR="009539A1" w:rsidRPr="006B62C5" w:rsidRDefault="006B62C5">
      <w:pPr>
        <w:spacing w:line="360" w:lineRule="auto"/>
        <w:ind w:left="720"/>
        <w:jc w:val="both"/>
        <w:rPr>
          <w:rtl/>
        </w:rPr>
      </w:pPr>
      <w:r w:rsidRPr="006B62C5">
        <w:rPr>
          <w:rFonts w:hint="cs"/>
          <w:rtl/>
        </w:rPr>
        <w:t xml:space="preserve">ב"כ הנאשם ביקש להביא בחשבון לקולה את העובדה שהנאשם כבר יושב מאחורי סורג ובריח בגין העבירות נשוא כתב האישום דנן תקופה הקרובה ל - 14  חודשי מעצר ולאור מצבו הרפואי השהייה במעצר ממושך קשה לו שבעתיים מאשר לאדם בריא. </w:t>
      </w:r>
    </w:p>
    <w:p w14:paraId="225340CE" w14:textId="77777777" w:rsidR="009539A1" w:rsidRPr="006B62C5" w:rsidRDefault="009539A1">
      <w:pPr>
        <w:spacing w:line="360" w:lineRule="auto"/>
        <w:jc w:val="both"/>
        <w:rPr>
          <w:rtl/>
        </w:rPr>
      </w:pPr>
    </w:p>
    <w:p w14:paraId="6EE9DBFA" w14:textId="77777777" w:rsidR="009539A1" w:rsidRPr="006B62C5" w:rsidRDefault="006B62C5">
      <w:pPr>
        <w:spacing w:line="360" w:lineRule="auto"/>
        <w:ind w:left="720"/>
        <w:jc w:val="both"/>
        <w:rPr>
          <w:rtl/>
        </w:rPr>
      </w:pPr>
      <w:r w:rsidRPr="006B62C5">
        <w:rPr>
          <w:rFonts w:hint="cs"/>
          <w:rtl/>
        </w:rPr>
        <w:t xml:space="preserve">עוד נטען כי, </w:t>
      </w:r>
      <w:r w:rsidRPr="006B62C5">
        <w:rPr>
          <w:rtl/>
        </w:rPr>
        <w:t xml:space="preserve">הודאת הנאשם </w:t>
      </w:r>
      <w:r w:rsidRPr="006B62C5">
        <w:rPr>
          <w:rFonts w:hint="cs"/>
          <w:rtl/>
        </w:rPr>
        <w:t xml:space="preserve">בכתב האישום המתוקן, חסכה לבית המשפט זמן שיפוטי יקר, ומראה שהנאשם נוטל אחריות על מעשיו. </w:t>
      </w:r>
    </w:p>
    <w:p w14:paraId="1CA8E80E" w14:textId="77777777" w:rsidR="009539A1" w:rsidRPr="006B62C5" w:rsidRDefault="009539A1">
      <w:pPr>
        <w:spacing w:line="360" w:lineRule="auto"/>
        <w:ind w:left="720"/>
        <w:jc w:val="both"/>
        <w:rPr>
          <w:rtl/>
        </w:rPr>
      </w:pPr>
    </w:p>
    <w:p w14:paraId="16DB19A9" w14:textId="77777777" w:rsidR="009539A1" w:rsidRPr="006B62C5" w:rsidRDefault="006B62C5">
      <w:pPr>
        <w:spacing w:line="360" w:lineRule="auto"/>
        <w:jc w:val="both"/>
        <w:rPr>
          <w:b/>
          <w:bCs/>
          <w:rtl/>
        </w:rPr>
      </w:pPr>
      <w:r w:rsidRPr="006B62C5">
        <w:rPr>
          <w:rFonts w:hint="cs"/>
          <w:b/>
          <w:bCs/>
          <w:rtl/>
        </w:rPr>
        <w:t>תגובת ב"כ המאשימה לטיעוני הנאשם</w:t>
      </w:r>
    </w:p>
    <w:p w14:paraId="6E742130" w14:textId="77777777" w:rsidR="009539A1" w:rsidRPr="006B62C5" w:rsidRDefault="009539A1">
      <w:pPr>
        <w:spacing w:line="360" w:lineRule="auto"/>
        <w:jc w:val="both"/>
        <w:rPr>
          <w:b/>
          <w:bCs/>
          <w:rtl/>
        </w:rPr>
      </w:pPr>
    </w:p>
    <w:p w14:paraId="782A2280" w14:textId="77777777" w:rsidR="009539A1" w:rsidRPr="006B62C5" w:rsidRDefault="006B62C5">
      <w:pPr>
        <w:spacing w:line="360" w:lineRule="auto"/>
        <w:ind w:left="720" w:hanging="720"/>
        <w:jc w:val="both"/>
        <w:rPr>
          <w:rtl/>
        </w:rPr>
      </w:pPr>
      <w:r w:rsidRPr="006B62C5">
        <w:rPr>
          <w:rFonts w:hint="cs"/>
          <w:rtl/>
        </w:rPr>
        <w:t xml:space="preserve">9. </w:t>
      </w:r>
      <w:r w:rsidRPr="006B62C5">
        <w:rPr>
          <w:rtl/>
        </w:rPr>
        <w:tab/>
      </w:r>
      <w:r w:rsidRPr="006B62C5">
        <w:rPr>
          <w:rFonts w:hint="cs"/>
          <w:rtl/>
        </w:rPr>
        <w:t>ב"כ המאשימה ביקש לציין כי לא הובאו כל ראיות או מסמכים המעידים על כך שריצוי עונש מאסר מסכן את בריאותו של הנאשם, וההפך הוא הנכון. מתיקו הרפואי של הנאשם משב"ס ניתן ללמוד שהנאשם מטופל היטב, רואה רופא באופן תדיר ומקבל מענה הולם לבעיותיו הרפואיות.</w:t>
      </w:r>
    </w:p>
    <w:p w14:paraId="037A7048" w14:textId="77777777" w:rsidR="009539A1" w:rsidRPr="006B62C5" w:rsidRDefault="009539A1">
      <w:pPr>
        <w:spacing w:line="360" w:lineRule="auto"/>
        <w:ind w:left="720"/>
        <w:jc w:val="both"/>
        <w:rPr>
          <w:rtl/>
        </w:rPr>
      </w:pPr>
    </w:p>
    <w:p w14:paraId="0B321D4D" w14:textId="77777777" w:rsidR="009539A1" w:rsidRPr="006B62C5" w:rsidRDefault="006B62C5">
      <w:pPr>
        <w:spacing w:line="360" w:lineRule="auto"/>
        <w:ind w:left="720"/>
        <w:jc w:val="both"/>
        <w:rPr>
          <w:rtl/>
        </w:rPr>
      </w:pPr>
      <w:r w:rsidRPr="006B62C5">
        <w:rPr>
          <w:rFonts w:hint="cs"/>
          <w:rtl/>
        </w:rPr>
        <w:t>נטען, כי עצם העובדה שאדם חולה במחלה מסוימת אינה מלמדת מה מצב המחלה ומה תוחלת חייו וכי אנשים חיים עם המחלה שנים ארוכות.</w:t>
      </w:r>
    </w:p>
    <w:p w14:paraId="1C9ACDB8" w14:textId="77777777" w:rsidR="009539A1" w:rsidRPr="006B62C5" w:rsidRDefault="009539A1">
      <w:pPr>
        <w:spacing w:line="360" w:lineRule="auto"/>
        <w:jc w:val="both"/>
        <w:rPr>
          <w:rtl/>
        </w:rPr>
      </w:pPr>
    </w:p>
    <w:p w14:paraId="79D2CEE7" w14:textId="77777777" w:rsidR="009539A1" w:rsidRPr="006B62C5" w:rsidRDefault="006B62C5">
      <w:pPr>
        <w:spacing w:line="360" w:lineRule="auto"/>
        <w:jc w:val="both"/>
        <w:rPr>
          <w:b/>
          <w:bCs/>
          <w:rtl/>
        </w:rPr>
      </w:pPr>
      <w:r w:rsidRPr="006B62C5">
        <w:rPr>
          <w:b/>
          <w:bCs/>
          <w:rtl/>
        </w:rPr>
        <w:t>הנאשם</w:t>
      </w:r>
    </w:p>
    <w:p w14:paraId="27586390" w14:textId="77777777" w:rsidR="009539A1" w:rsidRPr="006B62C5" w:rsidRDefault="009539A1">
      <w:pPr>
        <w:spacing w:line="360" w:lineRule="auto"/>
        <w:jc w:val="both"/>
        <w:rPr>
          <w:rtl/>
        </w:rPr>
      </w:pPr>
    </w:p>
    <w:p w14:paraId="04F057AB" w14:textId="77777777" w:rsidR="009539A1" w:rsidRPr="006B62C5" w:rsidRDefault="006B62C5">
      <w:pPr>
        <w:spacing w:line="360" w:lineRule="auto"/>
        <w:ind w:left="720" w:hanging="720"/>
        <w:jc w:val="both"/>
        <w:rPr>
          <w:rtl/>
        </w:rPr>
      </w:pPr>
      <w:r w:rsidRPr="006B62C5">
        <w:rPr>
          <w:rFonts w:hint="cs"/>
          <w:rtl/>
        </w:rPr>
        <w:t>10</w:t>
      </w:r>
      <w:r w:rsidRPr="006B62C5">
        <w:rPr>
          <w:rtl/>
        </w:rPr>
        <w:t>.</w:t>
      </w:r>
      <w:r w:rsidRPr="006B62C5">
        <w:rPr>
          <w:rtl/>
        </w:rPr>
        <w:tab/>
        <w:t xml:space="preserve">הנאשם אמר </w:t>
      </w:r>
      <w:r w:rsidRPr="006B62C5">
        <w:rPr>
          <w:rFonts w:hint="cs"/>
          <w:rtl/>
        </w:rPr>
        <w:t>שהוא מתחרט על מה שעשה, ולא יחזור על כך שוב.</w:t>
      </w:r>
    </w:p>
    <w:p w14:paraId="135FF21F" w14:textId="77777777" w:rsidR="009539A1" w:rsidRPr="006B62C5" w:rsidRDefault="009539A1">
      <w:pPr>
        <w:spacing w:line="360" w:lineRule="auto"/>
        <w:jc w:val="both"/>
        <w:rPr>
          <w:rtl/>
        </w:rPr>
      </w:pPr>
    </w:p>
    <w:p w14:paraId="62D84F2C" w14:textId="77777777" w:rsidR="009539A1" w:rsidRPr="006B62C5" w:rsidRDefault="006B62C5">
      <w:pPr>
        <w:spacing w:line="360" w:lineRule="auto"/>
        <w:jc w:val="both"/>
        <w:rPr>
          <w:b/>
          <w:bCs/>
          <w:rtl/>
        </w:rPr>
      </w:pPr>
      <w:r w:rsidRPr="006B62C5">
        <w:rPr>
          <w:b/>
          <w:bCs/>
          <w:rtl/>
        </w:rPr>
        <w:t>דיון וגזירת הדין</w:t>
      </w:r>
    </w:p>
    <w:p w14:paraId="1F6248DE" w14:textId="77777777" w:rsidR="009539A1" w:rsidRPr="006B62C5" w:rsidRDefault="009539A1">
      <w:pPr>
        <w:spacing w:line="360" w:lineRule="auto"/>
        <w:jc w:val="both"/>
        <w:rPr>
          <w:rtl/>
        </w:rPr>
      </w:pPr>
    </w:p>
    <w:p w14:paraId="1892261F" w14:textId="77777777" w:rsidR="009539A1" w:rsidRPr="006B62C5" w:rsidRDefault="006B62C5">
      <w:pPr>
        <w:spacing w:line="360" w:lineRule="auto"/>
        <w:jc w:val="both"/>
        <w:rPr>
          <w:rtl/>
        </w:rPr>
      </w:pPr>
      <w:r w:rsidRPr="006B62C5">
        <w:rPr>
          <w:rtl/>
        </w:rPr>
        <w:t>קביעת מתחם העונש ההולם</w:t>
      </w:r>
    </w:p>
    <w:p w14:paraId="39CD32F4" w14:textId="77777777" w:rsidR="009539A1" w:rsidRPr="006B62C5" w:rsidRDefault="009539A1">
      <w:pPr>
        <w:spacing w:line="360" w:lineRule="auto"/>
        <w:jc w:val="both"/>
        <w:rPr>
          <w:rtl/>
        </w:rPr>
      </w:pPr>
    </w:p>
    <w:p w14:paraId="10287D41" w14:textId="77777777" w:rsidR="009539A1" w:rsidRPr="006B62C5" w:rsidRDefault="006B62C5">
      <w:pPr>
        <w:tabs>
          <w:tab w:val="left" w:pos="567"/>
          <w:tab w:val="left" w:pos="1134"/>
          <w:tab w:val="left" w:pos="1701"/>
        </w:tabs>
        <w:spacing w:line="360" w:lineRule="auto"/>
        <w:ind w:left="567" w:hanging="567"/>
        <w:jc w:val="both"/>
        <w:rPr>
          <w:rFonts w:cs="Miriam"/>
          <w:rtl/>
        </w:rPr>
      </w:pPr>
      <w:r w:rsidRPr="006B62C5">
        <w:rPr>
          <w:rtl/>
        </w:rPr>
        <w:t>1</w:t>
      </w:r>
      <w:r w:rsidRPr="006B62C5">
        <w:rPr>
          <w:rFonts w:hint="cs"/>
          <w:rtl/>
        </w:rPr>
        <w:t>1</w:t>
      </w:r>
      <w:r w:rsidRPr="006B62C5">
        <w:rPr>
          <w:rtl/>
        </w:rPr>
        <w:t>.</w:t>
      </w:r>
      <w:r w:rsidRPr="006B62C5">
        <w:rPr>
          <w:rtl/>
        </w:rPr>
        <w:tab/>
      </w:r>
      <w:r w:rsidRPr="006B62C5">
        <w:rPr>
          <w:rFonts w:hint="cs"/>
          <w:rtl/>
        </w:rPr>
        <w:t>תיקון 113 ל</w:t>
      </w:r>
      <w:hyperlink r:id="rId29" w:history="1">
        <w:r w:rsidRPr="006B62C5">
          <w:rPr>
            <w:color w:val="0000FF"/>
            <w:u w:val="single"/>
            <w:rtl/>
          </w:rPr>
          <w:t>חוק העונשין</w:t>
        </w:r>
      </w:hyperlink>
      <w:r w:rsidRPr="006B62C5">
        <w:rPr>
          <w:rFonts w:hint="cs"/>
          <w:rtl/>
        </w:rPr>
        <w:t xml:space="preserve"> קובע, </w:t>
      </w:r>
      <w:hyperlink r:id="rId30" w:history="1">
        <w:r w:rsidR="00EC2D8A" w:rsidRPr="00EC2D8A">
          <w:rPr>
            <w:rStyle w:val="Hyperlink"/>
            <w:rFonts w:hint="eastAsia"/>
            <w:rtl/>
          </w:rPr>
          <w:t>בסעיף</w:t>
        </w:r>
        <w:r w:rsidR="00EC2D8A" w:rsidRPr="00EC2D8A">
          <w:rPr>
            <w:rStyle w:val="Hyperlink"/>
            <w:rtl/>
          </w:rPr>
          <w:t xml:space="preserve"> 40ב'</w:t>
        </w:r>
      </w:hyperlink>
      <w:r w:rsidRPr="006B62C5">
        <w:rPr>
          <w:rFonts w:hint="cs"/>
          <w:rtl/>
        </w:rPr>
        <w:t xml:space="preserve">, את עיקרון ההלימה: </w:t>
      </w:r>
      <w:r w:rsidRPr="006B62C5">
        <w:rPr>
          <w:rFonts w:ascii="Arial" w:eastAsia="David" w:hAnsi="Arial"/>
          <w:color w:val="000000"/>
          <w:rtl/>
        </w:rPr>
        <w:t>"</w:t>
      </w:r>
      <w:r w:rsidRPr="006B62C5">
        <w:rPr>
          <w:rFonts w:ascii="Arial" w:eastAsia="David" w:hAnsi="Arial" w:cs="Miriam"/>
          <w:rtl/>
        </w:rPr>
        <w:t>העיקרון המנחה בענישה הוא קיומו של יחס הולם בין חומרת מעשה העבירה בנסיבותיו ומידת אשמו של הנאשם ובין סוג ומידת העונש המוטל עלי</w:t>
      </w:r>
      <w:r w:rsidRPr="006B62C5">
        <w:rPr>
          <w:rFonts w:ascii="Arial" w:eastAsia="David" w:hAnsi="Arial" w:cs="Miriam"/>
          <w:color w:val="000000"/>
          <w:rtl/>
        </w:rPr>
        <w:t>ו</w:t>
      </w:r>
      <w:r w:rsidRPr="006B62C5">
        <w:rPr>
          <w:rFonts w:ascii="Arial" w:eastAsia="David" w:hAnsi="Arial"/>
          <w:color w:val="000000"/>
          <w:rtl/>
        </w:rPr>
        <w:t>"</w:t>
      </w:r>
      <w:r w:rsidRPr="006B62C5">
        <w:rPr>
          <w:rFonts w:hint="cs"/>
          <w:rtl/>
        </w:rPr>
        <w:t xml:space="preserve"> </w:t>
      </w:r>
      <w:r w:rsidRPr="006B62C5">
        <w:rPr>
          <w:rFonts w:ascii="Arial" w:eastAsia="David" w:hAnsi="Arial"/>
          <w:color w:val="000000"/>
          <w:rtl/>
        </w:rPr>
        <w:t>(</w:t>
      </w:r>
      <w:hyperlink r:id="rId31" w:history="1">
        <w:r w:rsidR="00EC2D8A" w:rsidRPr="00EC2D8A">
          <w:rPr>
            <w:rStyle w:val="Hyperlink"/>
            <w:rFonts w:ascii="Arial" w:eastAsia="David" w:hAnsi="Arial"/>
            <w:rtl/>
          </w:rPr>
          <w:t>סעיף 40ב'</w:t>
        </w:r>
      </w:hyperlink>
      <w:r w:rsidRPr="006B62C5">
        <w:rPr>
          <w:rFonts w:ascii="Arial" w:eastAsia="David" w:hAnsi="Arial"/>
          <w:rtl/>
        </w:rPr>
        <w:t xml:space="preserve"> לחוק </w:t>
      </w:r>
      <w:r w:rsidRPr="006B62C5">
        <w:rPr>
          <w:rFonts w:ascii="Arial" w:eastAsia="David" w:hAnsi="Arial"/>
          <w:color w:val="000000"/>
          <w:rtl/>
        </w:rPr>
        <w:t>העונשין).</w:t>
      </w:r>
    </w:p>
    <w:p w14:paraId="7C59EC71" w14:textId="77777777" w:rsidR="009539A1" w:rsidRPr="006B62C5" w:rsidRDefault="009539A1">
      <w:pPr>
        <w:tabs>
          <w:tab w:val="left" w:pos="567"/>
          <w:tab w:val="left" w:pos="1134"/>
          <w:tab w:val="left" w:pos="1701"/>
        </w:tabs>
        <w:spacing w:line="360" w:lineRule="auto"/>
        <w:ind w:left="567" w:hanging="567"/>
        <w:jc w:val="both"/>
        <w:rPr>
          <w:rtl/>
        </w:rPr>
      </w:pPr>
    </w:p>
    <w:p w14:paraId="20D0B658" w14:textId="77777777" w:rsidR="009539A1" w:rsidRPr="006B62C5" w:rsidRDefault="006B62C5">
      <w:pPr>
        <w:tabs>
          <w:tab w:val="left" w:pos="567"/>
          <w:tab w:val="left" w:pos="1134"/>
          <w:tab w:val="left" w:pos="1701"/>
        </w:tabs>
        <w:spacing w:line="360" w:lineRule="auto"/>
        <w:ind w:left="567" w:hanging="567"/>
        <w:jc w:val="both"/>
        <w:rPr>
          <w:rtl/>
        </w:rPr>
      </w:pPr>
      <w:r w:rsidRPr="006B62C5">
        <w:rPr>
          <w:rtl/>
        </w:rPr>
        <w:tab/>
      </w:r>
      <w:r w:rsidRPr="006B62C5">
        <w:rPr>
          <w:rFonts w:hint="cs"/>
          <w:rtl/>
        </w:rPr>
        <w:t>על מנת לקבוע את מתחם העונש ההולם, על בית המשפט להתייחס ולהביא בחשבון את ה</w:t>
      </w:r>
      <w:r w:rsidRPr="006B62C5">
        <w:rPr>
          <w:rtl/>
        </w:rPr>
        <w:t xml:space="preserve">ערך החברתי שנפגע מביצוע העבירה, </w:t>
      </w:r>
      <w:r w:rsidRPr="006B62C5">
        <w:rPr>
          <w:rFonts w:hint="cs"/>
          <w:rtl/>
        </w:rPr>
        <w:t xml:space="preserve">את מידת </w:t>
      </w:r>
      <w:r w:rsidRPr="006B62C5">
        <w:rPr>
          <w:rtl/>
        </w:rPr>
        <w:t xml:space="preserve">הפגיעה </w:t>
      </w:r>
      <w:r w:rsidRPr="006B62C5">
        <w:rPr>
          <w:rFonts w:hint="cs"/>
          <w:rtl/>
        </w:rPr>
        <w:t>בערך החברתי</w:t>
      </w:r>
      <w:r w:rsidRPr="006B62C5">
        <w:rPr>
          <w:rtl/>
        </w:rPr>
        <w:t xml:space="preserve">, </w:t>
      </w:r>
      <w:r w:rsidRPr="006B62C5">
        <w:rPr>
          <w:rFonts w:hint="cs"/>
          <w:rtl/>
        </w:rPr>
        <w:t>ה</w:t>
      </w:r>
      <w:r w:rsidRPr="006B62C5">
        <w:rPr>
          <w:rtl/>
        </w:rPr>
        <w:t>נסיבות הקשורות בביצוע העבירה</w:t>
      </w:r>
      <w:r w:rsidRPr="006B62C5">
        <w:rPr>
          <w:rFonts w:hint="cs"/>
          <w:rtl/>
        </w:rPr>
        <w:t>, ו</w:t>
      </w:r>
      <w:r w:rsidRPr="006B62C5">
        <w:rPr>
          <w:rtl/>
        </w:rPr>
        <w:t>מדיניות הענישה הנהוגה.</w:t>
      </w:r>
    </w:p>
    <w:p w14:paraId="01F01B39" w14:textId="77777777" w:rsidR="009539A1" w:rsidRPr="006B62C5" w:rsidRDefault="009539A1">
      <w:pPr>
        <w:tabs>
          <w:tab w:val="left" w:pos="567"/>
          <w:tab w:val="left" w:pos="1134"/>
          <w:tab w:val="left" w:pos="1701"/>
        </w:tabs>
        <w:spacing w:line="360" w:lineRule="auto"/>
        <w:jc w:val="both"/>
        <w:rPr>
          <w:rtl/>
        </w:rPr>
      </w:pPr>
    </w:p>
    <w:p w14:paraId="73511798" w14:textId="77777777" w:rsidR="009539A1" w:rsidRPr="006B62C5" w:rsidRDefault="006B62C5">
      <w:pPr>
        <w:tabs>
          <w:tab w:val="left" w:pos="567"/>
          <w:tab w:val="left" w:pos="1134"/>
          <w:tab w:val="left" w:pos="1701"/>
        </w:tabs>
        <w:spacing w:line="360" w:lineRule="auto"/>
        <w:ind w:left="567" w:hanging="567"/>
        <w:jc w:val="both"/>
        <w:rPr>
          <w:rtl/>
        </w:rPr>
      </w:pPr>
      <w:r w:rsidRPr="006B62C5">
        <w:rPr>
          <w:rtl/>
        </w:rPr>
        <w:t>1</w:t>
      </w:r>
      <w:r w:rsidRPr="006B62C5">
        <w:rPr>
          <w:rFonts w:hint="cs"/>
          <w:rtl/>
        </w:rPr>
        <w:t>2</w:t>
      </w:r>
      <w:r w:rsidRPr="006B62C5">
        <w:rPr>
          <w:rtl/>
        </w:rPr>
        <w:t>.</w:t>
      </w:r>
      <w:r w:rsidRPr="006B62C5">
        <w:rPr>
          <w:rtl/>
        </w:rPr>
        <w:tab/>
      </w:r>
      <w:r w:rsidRPr="006B62C5">
        <w:rPr>
          <w:rFonts w:hint="cs"/>
          <w:rtl/>
        </w:rPr>
        <w:t>הפסיקה קבעה זה מכבר כי, בעניין עבירות סמים, יש צורך</w:t>
      </w:r>
      <w:r w:rsidRPr="006B62C5">
        <w:rPr>
          <w:rtl/>
        </w:rPr>
        <w:t xml:space="preserve"> בענישה מחמירה</w:t>
      </w:r>
      <w:r w:rsidRPr="006B62C5">
        <w:rPr>
          <w:rFonts w:hint="cs"/>
          <w:rtl/>
        </w:rPr>
        <w:t xml:space="preserve"> ומרתיעה, שכן </w:t>
      </w:r>
      <w:r w:rsidRPr="006B62C5">
        <w:rPr>
          <w:rtl/>
        </w:rPr>
        <w:t>מדובר בעבירות</w:t>
      </w:r>
      <w:r w:rsidRPr="006B62C5">
        <w:rPr>
          <w:rFonts w:hint="cs"/>
          <w:rtl/>
        </w:rPr>
        <w:t xml:space="preserve"> שעשויות להוביל לנזק אדיר ורב ממדים, הן לחברה כולה והן לצרכני הסם.</w:t>
      </w:r>
      <w:r w:rsidRPr="006B62C5">
        <w:rPr>
          <w:rtl/>
        </w:rPr>
        <w:t xml:space="preserve"> </w:t>
      </w:r>
    </w:p>
    <w:p w14:paraId="090323C7" w14:textId="77777777" w:rsidR="009539A1" w:rsidRPr="006B62C5" w:rsidRDefault="006B62C5">
      <w:pPr>
        <w:tabs>
          <w:tab w:val="left" w:pos="567"/>
          <w:tab w:val="left" w:pos="1134"/>
          <w:tab w:val="left" w:pos="1701"/>
        </w:tabs>
        <w:spacing w:line="360" w:lineRule="auto"/>
        <w:ind w:left="567" w:hanging="567"/>
        <w:jc w:val="both"/>
        <w:rPr>
          <w:rtl/>
        </w:rPr>
      </w:pPr>
      <w:r w:rsidRPr="006B62C5">
        <w:rPr>
          <w:rFonts w:hint="cs"/>
          <w:rtl/>
        </w:rPr>
        <w:t xml:space="preserve">           לא בכדי נקבע, בצד העבירה של החזקת סמים שלא לצריכה עצמית, עונש של 20 שנות מאסר בפועל. </w:t>
      </w:r>
    </w:p>
    <w:p w14:paraId="58802F95" w14:textId="77777777" w:rsidR="009539A1" w:rsidRPr="006B62C5" w:rsidRDefault="009539A1">
      <w:pPr>
        <w:tabs>
          <w:tab w:val="left" w:pos="567"/>
          <w:tab w:val="left" w:pos="1134"/>
          <w:tab w:val="left" w:pos="1701"/>
        </w:tabs>
        <w:spacing w:line="360" w:lineRule="auto"/>
        <w:ind w:left="567" w:hanging="567"/>
        <w:jc w:val="both"/>
        <w:rPr>
          <w:rtl/>
        </w:rPr>
      </w:pPr>
    </w:p>
    <w:p w14:paraId="48AE3A00" w14:textId="77777777" w:rsidR="009539A1" w:rsidRPr="006B62C5" w:rsidRDefault="006B62C5">
      <w:pPr>
        <w:spacing w:line="360" w:lineRule="auto"/>
        <w:ind w:left="567" w:firstLine="18"/>
        <w:jc w:val="both"/>
        <w:rPr>
          <w:rtl/>
        </w:rPr>
      </w:pPr>
      <w:r w:rsidRPr="006B62C5">
        <w:rPr>
          <w:rFonts w:hint="cs"/>
          <w:rtl/>
        </w:rPr>
        <w:t>מכאן גם מגמת בתי המשפט, להטיל עונשים קשים, חמורים ומרתיעים על כלל המעורבים בשרשרת ייבוא הסם, הפצתו, והחזקתו שלא לצריכה עצמית.</w:t>
      </w:r>
    </w:p>
    <w:p w14:paraId="5EF3E7CB" w14:textId="77777777" w:rsidR="009539A1" w:rsidRPr="006B62C5" w:rsidRDefault="009539A1">
      <w:pPr>
        <w:spacing w:line="360" w:lineRule="auto"/>
        <w:ind w:left="720"/>
        <w:rPr>
          <w:b/>
          <w:bCs/>
          <w:rtl/>
        </w:rPr>
      </w:pPr>
    </w:p>
    <w:p w14:paraId="4E102FC3" w14:textId="77777777" w:rsidR="009539A1" w:rsidRPr="006B62C5" w:rsidRDefault="006B62C5">
      <w:pPr>
        <w:spacing w:line="360" w:lineRule="auto"/>
        <w:ind w:left="567" w:firstLine="18"/>
        <w:jc w:val="both"/>
        <w:rPr>
          <w:rtl/>
        </w:rPr>
      </w:pPr>
      <w:r w:rsidRPr="006B62C5">
        <w:rPr>
          <w:rFonts w:hint="cs"/>
          <w:rtl/>
        </w:rPr>
        <w:t xml:space="preserve">לעניין זה ראו </w:t>
      </w:r>
      <w:hyperlink r:id="rId32" w:history="1">
        <w:r w:rsidRPr="006B62C5">
          <w:rPr>
            <w:color w:val="0000FF"/>
            <w:u w:val="single"/>
            <w:rtl/>
          </w:rPr>
          <w:t>ע"פ 972/11</w:t>
        </w:r>
      </w:hyperlink>
      <w:r w:rsidRPr="006B62C5">
        <w:rPr>
          <w:rtl/>
        </w:rPr>
        <w:t xml:space="preserve"> </w:t>
      </w:r>
      <w:r w:rsidRPr="006B62C5">
        <w:rPr>
          <w:rFonts w:cs="Miriam"/>
          <w:rtl/>
        </w:rPr>
        <w:t>מדינת ישראל נ' יניב יונה</w:t>
      </w:r>
      <w:r w:rsidRPr="006B62C5">
        <w:rPr>
          <w:rtl/>
        </w:rPr>
        <w:t xml:space="preserve"> (מיום 4.7.2012)</w:t>
      </w:r>
      <w:r w:rsidRPr="006B62C5">
        <w:rPr>
          <w:rFonts w:hint="cs"/>
          <w:rtl/>
        </w:rPr>
        <w:t xml:space="preserve">, </w:t>
      </w:r>
      <w:r w:rsidRPr="006B62C5">
        <w:rPr>
          <w:rtl/>
        </w:rPr>
        <w:t>לדברי כבוד השופט רובינשטיין, שם:</w:t>
      </w:r>
    </w:p>
    <w:p w14:paraId="5E051D96" w14:textId="77777777" w:rsidR="009539A1" w:rsidRPr="006B62C5" w:rsidRDefault="009539A1">
      <w:pPr>
        <w:spacing w:line="360" w:lineRule="auto"/>
        <w:ind w:left="720" w:right="709"/>
        <w:jc w:val="both"/>
        <w:rPr>
          <w:rFonts w:cs="Miriam"/>
          <w:rtl/>
        </w:rPr>
      </w:pPr>
    </w:p>
    <w:p w14:paraId="054CE3DB" w14:textId="77777777" w:rsidR="009539A1" w:rsidRPr="006B62C5" w:rsidRDefault="006B62C5">
      <w:pPr>
        <w:spacing w:line="360" w:lineRule="auto"/>
        <w:ind w:left="1440" w:right="709"/>
        <w:jc w:val="both"/>
        <w:rPr>
          <w:rFonts w:cs="Miriam"/>
          <w:rtl/>
        </w:rPr>
      </w:pPr>
      <w:r w:rsidRPr="006B62C5">
        <w:rPr>
          <w:rtl/>
        </w:rPr>
        <w:t>"</w:t>
      </w:r>
      <w:r w:rsidRPr="006B62C5">
        <w:rPr>
          <w:rFonts w:cs="Miriam"/>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sidRPr="006B62C5">
        <w:rPr>
          <w:rtl/>
        </w:rPr>
        <w:t>."</w:t>
      </w:r>
    </w:p>
    <w:p w14:paraId="71CDEC4C" w14:textId="77777777" w:rsidR="009539A1" w:rsidRPr="006B62C5" w:rsidRDefault="009539A1">
      <w:pPr>
        <w:spacing w:line="360" w:lineRule="auto"/>
        <w:ind w:left="720"/>
        <w:jc w:val="both"/>
        <w:rPr>
          <w:rFonts w:cs="Miriam"/>
          <w:rtl/>
        </w:rPr>
      </w:pPr>
    </w:p>
    <w:p w14:paraId="03EF121B" w14:textId="77777777" w:rsidR="009539A1" w:rsidRPr="006B62C5" w:rsidRDefault="006B62C5">
      <w:pPr>
        <w:spacing w:line="360" w:lineRule="auto"/>
        <w:ind w:left="720"/>
        <w:jc w:val="both"/>
        <w:rPr>
          <w:rtl/>
        </w:rPr>
      </w:pPr>
      <w:r w:rsidRPr="006B62C5">
        <w:rPr>
          <w:rFonts w:hint="cs"/>
          <w:rtl/>
        </w:rPr>
        <w:t>להרחבה בנושא זה ניתן ללמוד</w:t>
      </w:r>
      <w:r w:rsidRPr="006B62C5">
        <w:rPr>
          <w:rtl/>
        </w:rPr>
        <w:t xml:space="preserve"> </w:t>
      </w:r>
      <w:r w:rsidRPr="006B62C5">
        <w:rPr>
          <w:rFonts w:hint="cs"/>
          <w:rtl/>
        </w:rPr>
        <w:t>מ</w:t>
      </w:r>
      <w:r w:rsidRPr="006B62C5">
        <w:rPr>
          <w:rtl/>
        </w:rPr>
        <w:t>דברי כב' ה</w:t>
      </w:r>
      <w:r w:rsidRPr="006B62C5">
        <w:rPr>
          <w:rFonts w:hint="cs"/>
          <w:rtl/>
        </w:rPr>
        <w:t>משנה לנשיא, ה</w:t>
      </w:r>
      <w:r w:rsidRPr="006B62C5">
        <w:rPr>
          <w:rtl/>
        </w:rPr>
        <w:t>שופט מ' חשין ב</w:t>
      </w:r>
      <w:hyperlink r:id="rId33" w:history="1">
        <w:r w:rsidRPr="006B62C5">
          <w:rPr>
            <w:color w:val="0000FF"/>
            <w:u w:val="single"/>
            <w:rtl/>
          </w:rPr>
          <w:t>ע"פ 6029/03</w:t>
        </w:r>
      </w:hyperlink>
      <w:r w:rsidRPr="006B62C5">
        <w:rPr>
          <w:rtl/>
        </w:rPr>
        <w:t xml:space="preserve"> </w:t>
      </w:r>
      <w:r w:rsidRPr="006B62C5">
        <w:rPr>
          <w:rFonts w:cs="Miriam"/>
          <w:rtl/>
        </w:rPr>
        <w:t>מדינת ישראל נ' שמאי</w:t>
      </w:r>
      <w:r w:rsidRPr="006B62C5">
        <w:rPr>
          <w:rFonts w:hint="cs"/>
          <w:rtl/>
        </w:rPr>
        <w:t xml:space="preserve"> (מיום 9.2.2004</w:t>
      </w:r>
      <w:r w:rsidRPr="006B62C5">
        <w:rPr>
          <w:rtl/>
        </w:rPr>
        <w:t xml:space="preserve">), </w:t>
      </w:r>
      <w:r w:rsidRPr="006B62C5">
        <w:rPr>
          <w:rFonts w:hint="cs"/>
          <w:rtl/>
        </w:rPr>
        <w:t>אשר אמר</w:t>
      </w:r>
      <w:r w:rsidRPr="006B62C5">
        <w:rPr>
          <w:rtl/>
        </w:rPr>
        <w:t>:</w:t>
      </w:r>
    </w:p>
    <w:p w14:paraId="059637E8" w14:textId="77777777" w:rsidR="009539A1" w:rsidRPr="006B62C5" w:rsidRDefault="009539A1">
      <w:pPr>
        <w:spacing w:line="360" w:lineRule="auto"/>
        <w:ind w:left="720" w:right="709"/>
        <w:rPr>
          <w:rFonts w:cs="Miriam"/>
          <w:rtl/>
        </w:rPr>
      </w:pPr>
    </w:p>
    <w:p w14:paraId="6EEB6531" w14:textId="77777777" w:rsidR="009539A1" w:rsidRPr="006B62C5" w:rsidRDefault="006B62C5">
      <w:pPr>
        <w:spacing w:line="360" w:lineRule="auto"/>
        <w:ind w:left="1440" w:right="709"/>
        <w:jc w:val="both"/>
        <w:rPr>
          <w:rFonts w:cs="Miriam"/>
          <w:rtl/>
        </w:rPr>
      </w:pPr>
      <w:r w:rsidRPr="006B62C5">
        <w:rPr>
          <w:rtl/>
        </w:rPr>
        <w:t>"</w:t>
      </w:r>
      <w:r w:rsidRPr="006B62C5">
        <w:rPr>
          <w:rFonts w:cs="Miriam"/>
          <w:rtl/>
        </w:rPr>
        <w:t>בבואו לגזור עונשים על סוחרי הסמים כמערערים שלפנינו, שומה עליו, על בית המשפט, לשוות לנגד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למלחמתה של החברה במשחיתיה</w:t>
      </w:r>
      <w:r w:rsidRPr="006B62C5">
        <w:rPr>
          <w:rtl/>
        </w:rPr>
        <w:t>."</w:t>
      </w:r>
    </w:p>
    <w:p w14:paraId="5796058E" w14:textId="77777777" w:rsidR="009539A1" w:rsidRPr="006B62C5" w:rsidRDefault="009539A1">
      <w:pPr>
        <w:spacing w:line="360" w:lineRule="auto"/>
        <w:ind w:left="720"/>
        <w:jc w:val="both"/>
        <w:rPr>
          <w:rFonts w:cs="Miriam"/>
          <w:rtl/>
        </w:rPr>
      </w:pPr>
    </w:p>
    <w:p w14:paraId="3160030F" w14:textId="77777777" w:rsidR="009539A1" w:rsidRPr="006B62C5" w:rsidRDefault="006B62C5">
      <w:pPr>
        <w:spacing w:line="360" w:lineRule="auto"/>
        <w:ind w:left="720"/>
        <w:jc w:val="both"/>
        <w:rPr>
          <w:rtl/>
        </w:rPr>
      </w:pPr>
      <w:r w:rsidRPr="006B62C5">
        <w:rPr>
          <w:rFonts w:hint="cs"/>
          <w:rtl/>
        </w:rPr>
        <w:t xml:space="preserve">כן אפנה לדברים שנאמרו, לעניין הנזק שבעבירות הסמים, אל </w:t>
      </w:r>
      <w:hyperlink r:id="rId34" w:history="1">
        <w:r w:rsidRPr="006B62C5">
          <w:rPr>
            <w:color w:val="0000FF"/>
            <w:u w:val="single"/>
            <w:rtl/>
          </w:rPr>
          <w:t>ע"פ 6990/13</w:t>
        </w:r>
      </w:hyperlink>
      <w:r w:rsidRPr="006B62C5">
        <w:rPr>
          <w:rtl/>
        </w:rPr>
        <w:t xml:space="preserve"> שנדון </w:t>
      </w:r>
      <w:r w:rsidRPr="006B62C5">
        <w:rPr>
          <w:rFonts w:hint="cs"/>
          <w:rtl/>
        </w:rPr>
        <w:t>יחדיו</w:t>
      </w:r>
      <w:r w:rsidRPr="006B62C5">
        <w:rPr>
          <w:rtl/>
        </w:rPr>
        <w:t xml:space="preserve"> עם </w:t>
      </w:r>
      <w:hyperlink r:id="rId35" w:history="1">
        <w:r w:rsidRPr="006B62C5">
          <w:rPr>
            <w:color w:val="0000FF"/>
            <w:u w:val="single"/>
            <w:rtl/>
          </w:rPr>
          <w:t>ע"פ 7046/13</w:t>
        </w:r>
      </w:hyperlink>
      <w:r w:rsidRPr="006B62C5">
        <w:rPr>
          <w:rtl/>
        </w:rPr>
        <w:t xml:space="preserve">, </w:t>
      </w:r>
      <w:r w:rsidRPr="006B62C5">
        <w:rPr>
          <w:rFonts w:cs="Miriam"/>
          <w:rtl/>
        </w:rPr>
        <w:t>חט'יב נגד מדינת ישראל</w:t>
      </w:r>
      <w:r w:rsidRPr="006B62C5">
        <w:rPr>
          <w:rtl/>
        </w:rPr>
        <w:t xml:space="preserve"> </w:t>
      </w:r>
      <w:r w:rsidRPr="006B62C5">
        <w:rPr>
          <w:rFonts w:hint="cs"/>
          <w:rtl/>
        </w:rPr>
        <w:t>(מיום 24.2.2014</w:t>
      </w:r>
      <w:r w:rsidRPr="006B62C5">
        <w:rPr>
          <w:rtl/>
        </w:rPr>
        <w:t>):</w:t>
      </w:r>
    </w:p>
    <w:p w14:paraId="4B62348F" w14:textId="77777777" w:rsidR="009539A1" w:rsidRPr="006B62C5" w:rsidRDefault="009539A1">
      <w:pPr>
        <w:spacing w:line="360" w:lineRule="auto"/>
        <w:ind w:left="720" w:right="709"/>
        <w:jc w:val="both"/>
        <w:rPr>
          <w:rFonts w:cs="Miriam"/>
          <w:rtl/>
        </w:rPr>
      </w:pPr>
    </w:p>
    <w:p w14:paraId="11873130" w14:textId="77777777" w:rsidR="009539A1" w:rsidRPr="006B62C5" w:rsidRDefault="006B62C5">
      <w:pPr>
        <w:spacing w:line="360" w:lineRule="auto"/>
        <w:ind w:left="1440" w:right="709"/>
        <w:jc w:val="both"/>
        <w:rPr>
          <w:rFonts w:cs="Miriam"/>
          <w:rtl/>
        </w:rPr>
      </w:pPr>
      <w:r w:rsidRPr="006B62C5">
        <w:rPr>
          <w:rtl/>
        </w:rPr>
        <w:t>"</w:t>
      </w:r>
      <w:r w:rsidRPr="006B62C5">
        <w:rPr>
          <w:rFonts w:cs="Miriam"/>
          <w:rtl/>
        </w:rPr>
        <w:t>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36" w:history="1">
        <w:r w:rsidRPr="006B62C5">
          <w:rPr>
            <w:rFonts w:cs="Miriam"/>
            <w:color w:val="0000FF"/>
            <w:u w:val="single"/>
            <w:rtl/>
          </w:rPr>
          <w:t>ע"פ 7757/04 בורשטיין נ' מדינת ישראל, פ"ד נט</w:t>
        </w:r>
      </w:hyperlink>
      <w:r w:rsidRPr="006B62C5">
        <w:rPr>
          <w:rFonts w:cs="Miriam"/>
          <w:rtl/>
        </w:rPr>
        <w:t>(5) 218, 232 (2005))".</w:t>
      </w:r>
    </w:p>
    <w:p w14:paraId="0A76ACBF" w14:textId="77777777" w:rsidR="009539A1" w:rsidRPr="006B62C5" w:rsidRDefault="009539A1">
      <w:pPr>
        <w:spacing w:line="360" w:lineRule="auto"/>
        <w:ind w:left="720"/>
        <w:jc w:val="both"/>
        <w:rPr>
          <w:rFonts w:cs="Miriam"/>
          <w:rtl/>
        </w:rPr>
      </w:pPr>
    </w:p>
    <w:p w14:paraId="05CDD89B" w14:textId="77777777" w:rsidR="009539A1" w:rsidRPr="006B62C5" w:rsidRDefault="006B62C5">
      <w:pPr>
        <w:spacing w:line="360" w:lineRule="auto"/>
        <w:ind w:left="720" w:hanging="720"/>
        <w:jc w:val="both"/>
        <w:rPr>
          <w:rtl/>
        </w:rPr>
      </w:pPr>
      <w:r w:rsidRPr="006B62C5">
        <w:rPr>
          <w:rFonts w:hint="cs"/>
          <w:rtl/>
        </w:rPr>
        <w:t xml:space="preserve">13. </w:t>
      </w:r>
      <w:r w:rsidRPr="006B62C5">
        <w:rPr>
          <w:rtl/>
        </w:rPr>
        <w:tab/>
      </w:r>
      <w:r w:rsidRPr="006B62C5">
        <w:rPr>
          <w:rFonts w:hint="cs"/>
          <w:rtl/>
        </w:rPr>
        <w:t xml:space="preserve">במקרה דנן, </w:t>
      </w:r>
      <w:r w:rsidRPr="006B62C5">
        <w:rPr>
          <w:rtl/>
        </w:rPr>
        <w:t>הער</w:t>
      </w:r>
      <w:r w:rsidRPr="006B62C5">
        <w:rPr>
          <w:rFonts w:hint="cs"/>
          <w:rtl/>
        </w:rPr>
        <w:t>כים החברתיים</w:t>
      </w:r>
      <w:r w:rsidRPr="006B62C5">
        <w:rPr>
          <w:rtl/>
        </w:rPr>
        <w:t xml:space="preserve"> שנפגע</w:t>
      </w:r>
      <w:r w:rsidRPr="006B62C5">
        <w:rPr>
          <w:rFonts w:hint="cs"/>
          <w:rtl/>
        </w:rPr>
        <w:t>ו</w:t>
      </w:r>
      <w:r w:rsidRPr="006B62C5">
        <w:rPr>
          <w:rtl/>
        </w:rPr>
        <w:t xml:space="preserve"> מביצוע העבירה </w:t>
      </w:r>
      <w:r w:rsidRPr="006B62C5">
        <w:rPr>
          <w:rFonts w:hint="cs"/>
          <w:rtl/>
        </w:rPr>
        <w:t>הם הצורך להגן ולשמור על שלום  הציבור ובריאותו הפיזית והנפשית מפני סמים מסוכנים, והחובה למנוע פגיעה ונזקים עקיפים כלכליים וחברתיים הנגרמים בשל שימוש בסמים מסוכנים.</w:t>
      </w:r>
    </w:p>
    <w:p w14:paraId="44FB7525" w14:textId="77777777" w:rsidR="009539A1" w:rsidRPr="006B62C5" w:rsidRDefault="006B62C5">
      <w:pPr>
        <w:spacing w:line="360" w:lineRule="auto"/>
        <w:ind w:left="720" w:hanging="720"/>
        <w:jc w:val="both"/>
        <w:rPr>
          <w:rtl/>
        </w:rPr>
      </w:pPr>
      <w:r w:rsidRPr="006B62C5">
        <w:rPr>
          <w:rtl/>
        </w:rPr>
        <w:tab/>
      </w:r>
    </w:p>
    <w:p w14:paraId="7DC9E72D" w14:textId="77777777" w:rsidR="009539A1" w:rsidRPr="006B62C5" w:rsidRDefault="006B62C5">
      <w:pPr>
        <w:spacing w:line="360" w:lineRule="auto"/>
        <w:ind w:left="720" w:firstLine="12"/>
        <w:jc w:val="both"/>
        <w:rPr>
          <w:rtl/>
        </w:rPr>
      </w:pPr>
      <w:r w:rsidRPr="006B62C5">
        <w:rPr>
          <w:rFonts w:hint="cs"/>
          <w:rtl/>
        </w:rPr>
        <w:t xml:space="preserve">במקרה דנן, לא נגרם נזק של ממש, שכן הסמים נתפסו על ידי המשטרה. אולם, פוטנציאל  </w:t>
      </w:r>
      <w:r w:rsidRPr="006B62C5">
        <w:rPr>
          <w:rtl/>
        </w:rPr>
        <w:t xml:space="preserve">הנזק שהיה </w:t>
      </w:r>
      <w:r w:rsidRPr="006B62C5">
        <w:rPr>
          <w:rFonts w:hint="cs"/>
          <w:rtl/>
        </w:rPr>
        <w:t>גלום</w:t>
      </w:r>
      <w:r w:rsidRPr="006B62C5">
        <w:rPr>
          <w:rtl/>
        </w:rPr>
        <w:t xml:space="preserve"> </w:t>
      </w:r>
      <w:r w:rsidRPr="006B62C5">
        <w:rPr>
          <w:rFonts w:hint="cs"/>
          <w:rtl/>
        </w:rPr>
        <w:t>ב</w:t>
      </w:r>
      <w:r w:rsidRPr="006B62C5">
        <w:rPr>
          <w:rtl/>
        </w:rPr>
        <w:t xml:space="preserve">ביצוע העבירה </w:t>
      </w:r>
      <w:r w:rsidRPr="006B62C5">
        <w:rPr>
          <w:rFonts w:hint="cs"/>
          <w:rtl/>
        </w:rPr>
        <w:t>דנן, לולא נתפסו הסמים, הוא רב נוכח סוג הסם וכמותו</w:t>
      </w:r>
      <w:r w:rsidRPr="006B62C5">
        <w:rPr>
          <w:rtl/>
        </w:rPr>
        <w:t xml:space="preserve">. </w:t>
      </w:r>
    </w:p>
    <w:p w14:paraId="45B6A847" w14:textId="77777777" w:rsidR="009539A1" w:rsidRPr="006B62C5" w:rsidRDefault="006B62C5">
      <w:pPr>
        <w:spacing w:line="360" w:lineRule="auto"/>
        <w:ind w:left="720" w:hanging="720"/>
        <w:jc w:val="both"/>
        <w:rPr>
          <w:rtl/>
        </w:rPr>
      </w:pPr>
      <w:r w:rsidRPr="006B62C5">
        <w:rPr>
          <w:rFonts w:hint="cs"/>
          <w:rtl/>
        </w:rPr>
        <w:t xml:space="preserve"> </w:t>
      </w:r>
    </w:p>
    <w:p w14:paraId="0B627A3F" w14:textId="77777777" w:rsidR="009539A1" w:rsidRPr="006B62C5" w:rsidRDefault="006B62C5">
      <w:pPr>
        <w:spacing w:line="360" w:lineRule="auto"/>
        <w:ind w:left="720" w:hanging="720"/>
        <w:jc w:val="both"/>
        <w:rPr>
          <w:rtl/>
        </w:rPr>
      </w:pPr>
      <w:r w:rsidRPr="006B62C5">
        <w:rPr>
          <w:rtl/>
        </w:rPr>
        <w:tab/>
      </w:r>
      <w:r w:rsidRPr="006B62C5">
        <w:rPr>
          <w:rFonts w:hint="cs"/>
          <w:rtl/>
        </w:rPr>
        <w:t>עוד</w:t>
      </w:r>
      <w:r w:rsidRPr="006B62C5">
        <w:rPr>
          <w:rtl/>
        </w:rPr>
        <w:t xml:space="preserve"> אביא בחשבון את </w:t>
      </w:r>
      <w:r w:rsidRPr="006B62C5">
        <w:rPr>
          <w:rFonts w:hint="cs"/>
          <w:rtl/>
        </w:rPr>
        <w:t xml:space="preserve">העובדה שהנאשם הורשע בעבירה של </w:t>
      </w:r>
      <w:r w:rsidRPr="006B62C5">
        <w:rPr>
          <w:rFonts w:hint="cs"/>
          <w:b/>
          <w:bCs/>
          <w:rtl/>
        </w:rPr>
        <w:t>סיוע</w:t>
      </w:r>
      <w:r w:rsidRPr="006B62C5">
        <w:rPr>
          <w:rFonts w:hint="cs"/>
          <w:rtl/>
        </w:rPr>
        <w:t xml:space="preserve"> ליבוא הסם (בנוסף לעבירה של החזקת הסם שלא לצריכה עצמית), </w:t>
      </w:r>
      <w:r w:rsidRPr="006B62C5">
        <w:rPr>
          <w:rFonts w:hint="cs"/>
          <w:highlight w:val="yellow"/>
          <w:rtl/>
        </w:rPr>
        <w:t>ו</w:t>
      </w:r>
      <w:r w:rsidRPr="006B62C5">
        <w:rPr>
          <w:rtl/>
        </w:rPr>
        <w:t>חלקו של הנאשם בביצוע העבירה</w:t>
      </w:r>
      <w:r w:rsidRPr="006B62C5">
        <w:rPr>
          <w:rFonts w:hint="cs"/>
          <w:rtl/>
        </w:rPr>
        <w:t xml:space="preserve">. לולא החוליה, אשר תאסוף את הסמים המיובאים לארץ, לא יהיה יבוא. </w:t>
      </w:r>
      <w:r w:rsidRPr="006B62C5">
        <w:rPr>
          <w:rtl/>
        </w:rPr>
        <w:t xml:space="preserve">זהותו של מי שביקש מהנאשם להעביר את חבילת הסמים </w:t>
      </w:r>
      <w:r w:rsidRPr="006B62C5">
        <w:rPr>
          <w:rFonts w:hint="cs"/>
          <w:rtl/>
        </w:rPr>
        <w:t xml:space="preserve">או מי שהזמין את חבילת הסמים </w:t>
      </w:r>
      <w:r w:rsidRPr="006B62C5">
        <w:rPr>
          <w:rtl/>
        </w:rPr>
        <w:t xml:space="preserve">אינם מוצאים את ביטויים בכתב האישום. כל שנטען </w:t>
      </w:r>
      <w:r w:rsidRPr="006B62C5">
        <w:rPr>
          <w:rFonts w:hint="cs"/>
          <w:rtl/>
        </w:rPr>
        <w:t>בכתב האישום הוא</w:t>
      </w:r>
      <w:r w:rsidRPr="006B62C5">
        <w:rPr>
          <w:rtl/>
        </w:rPr>
        <w:t xml:space="preserve"> </w:t>
      </w:r>
      <w:r w:rsidRPr="006B62C5">
        <w:rPr>
          <w:rFonts w:hint="cs"/>
          <w:rtl/>
        </w:rPr>
        <w:t xml:space="preserve">שהנאשם הצטייד במכשיר טלפון סלולרי ייעודי לצורך קבלת חבילה מסין שבתוכה סם מסוכן מסוג </w:t>
      </w:r>
      <w:r w:rsidRPr="006B62C5">
        <w:rPr>
          <w:rFonts w:hint="cs"/>
        </w:rPr>
        <w:t>AB-CHMINACA</w:t>
      </w:r>
      <w:r w:rsidRPr="006B62C5">
        <w:rPr>
          <w:rFonts w:hint="cs"/>
          <w:rtl/>
        </w:rPr>
        <w:t xml:space="preserve">. החבילה הגיעה למכס בישראל, נראתה חשודה ונמסרה למשטרה לבדיקה. </w:t>
      </w:r>
      <w:r w:rsidRPr="006B62C5">
        <w:rPr>
          <w:rtl/>
        </w:rPr>
        <w:t>הגם שנסיבות אלה לא הובררו, הרי ש</w:t>
      </w:r>
      <w:r w:rsidRPr="006B62C5">
        <w:rPr>
          <w:rFonts w:hint="cs"/>
          <w:rtl/>
        </w:rPr>
        <w:t>נסיבות תפיסת הסם, מעורבותו הפעילה של הנאשם, סוגו של הסם, וה</w:t>
      </w:r>
      <w:r w:rsidRPr="006B62C5">
        <w:rPr>
          <w:rtl/>
        </w:rPr>
        <w:t xml:space="preserve">כמות </w:t>
      </w:r>
      <w:r w:rsidRPr="006B62C5">
        <w:rPr>
          <w:rFonts w:hint="cs"/>
          <w:rtl/>
        </w:rPr>
        <w:t xml:space="preserve">הגדולה של </w:t>
      </w:r>
      <w:r w:rsidRPr="006B62C5">
        <w:rPr>
          <w:rtl/>
        </w:rPr>
        <w:t>הסם שנתפס</w:t>
      </w:r>
      <w:r w:rsidRPr="006B62C5">
        <w:rPr>
          <w:rFonts w:hint="cs"/>
          <w:rtl/>
        </w:rPr>
        <w:t>,</w:t>
      </w:r>
      <w:r w:rsidRPr="006B62C5">
        <w:rPr>
          <w:rtl/>
        </w:rPr>
        <w:t xml:space="preserve"> מלמדים על כך שהנאשם </w:t>
      </w:r>
      <w:r w:rsidRPr="006B62C5">
        <w:rPr>
          <w:rFonts w:hint="cs"/>
          <w:rtl/>
        </w:rPr>
        <w:t>היווה</w:t>
      </w:r>
      <w:r w:rsidRPr="006B62C5">
        <w:rPr>
          <w:rtl/>
        </w:rPr>
        <w:t xml:space="preserve"> </w:t>
      </w:r>
      <w:r w:rsidRPr="006B62C5">
        <w:rPr>
          <w:rFonts w:hint="cs"/>
          <w:rtl/>
        </w:rPr>
        <w:t xml:space="preserve">חוליה הכרחית ליבוא הסם. </w:t>
      </w:r>
    </w:p>
    <w:p w14:paraId="5BF87D2E" w14:textId="77777777" w:rsidR="009539A1" w:rsidRPr="006B62C5" w:rsidRDefault="006B62C5">
      <w:pPr>
        <w:spacing w:line="360" w:lineRule="auto"/>
        <w:ind w:left="720" w:hanging="720"/>
        <w:jc w:val="both"/>
        <w:rPr>
          <w:rtl/>
        </w:rPr>
      </w:pPr>
      <w:r w:rsidRPr="006B62C5">
        <w:rPr>
          <w:rFonts w:hint="cs"/>
          <w:rtl/>
        </w:rPr>
        <w:t xml:space="preserve"> </w:t>
      </w:r>
      <w:r w:rsidRPr="006B62C5">
        <w:rPr>
          <w:rtl/>
        </w:rPr>
        <w:t xml:space="preserve"> </w:t>
      </w:r>
    </w:p>
    <w:p w14:paraId="66E733B0" w14:textId="77777777" w:rsidR="009539A1" w:rsidRPr="006B62C5" w:rsidRDefault="006B62C5">
      <w:pPr>
        <w:spacing w:line="360" w:lineRule="auto"/>
        <w:ind w:left="720" w:hanging="720"/>
        <w:jc w:val="both"/>
        <w:rPr>
          <w:rtl/>
        </w:rPr>
      </w:pPr>
      <w:r w:rsidRPr="006B62C5">
        <w:rPr>
          <w:rFonts w:hint="cs"/>
          <w:rtl/>
        </w:rPr>
        <w:t xml:space="preserve">14.       </w:t>
      </w:r>
      <w:r w:rsidRPr="006B62C5">
        <w:rPr>
          <w:rtl/>
        </w:rPr>
        <w:t xml:space="preserve">באי כוח הצדדים הפנו לפסיקה אשר </w:t>
      </w:r>
      <w:r w:rsidRPr="006B62C5">
        <w:rPr>
          <w:rFonts w:hint="cs"/>
          <w:rtl/>
        </w:rPr>
        <w:t>תומכת</w:t>
      </w:r>
      <w:r w:rsidRPr="006B62C5">
        <w:rPr>
          <w:rtl/>
        </w:rPr>
        <w:t xml:space="preserve">, לשיטתם, במתחם </w:t>
      </w:r>
      <w:r w:rsidRPr="006B62C5">
        <w:rPr>
          <w:rFonts w:hint="cs"/>
          <w:rtl/>
        </w:rPr>
        <w:t>העונש ההולם</w:t>
      </w:r>
      <w:r w:rsidRPr="006B62C5">
        <w:rPr>
          <w:rtl/>
        </w:rPr>
        <w:t xml:space="preserve"> לוֹ טען כל אחד מהם</w:t>
      </w:r>
      <w:r w:rsidRPr="006B62C5">
        <w:rPr>
          <w:rFonts w:hint="cs"/>
          <w:rtl/>
        </w:rPr>
        <w:t>. לא כל הפסיקה שהפנו באי כוחם של הצדדים הייתה רלוונטית במקרה דנן.</w:t>
      </w:r>
    </w:p>
    <w:p w14:paraId="4EB6C8F1" w14:textId="77777777" w:rsidR="009539A1" w:rsidRPr="006B62C5" w:rsidRDefault="009539A1">
      <w:pPr>
        <w:spacing w:line="360" w:lineRule="auto"/>
        <w:ind w:left="720"/>
        <w:jc w:val="both"/>
        <w:rPr>
          <w:rtl/>
        </w:rPr>
      </w:pPr>
    </w:p>
    <w:p w14:paraId="5547B5DE" w14:textId="77777777" w:rsidR="009539A1" w:rsidRPr="006B62C5" w:rsidRDefault="006B62C5">
      <w:pPr>
        <w:spacing w:line="360" w:lineRule="auto"/>
        <w:ind w:left="720"/>
        <w:jc w:val="both"/>
        <w:rPr>
          <w:rtl/>
        </w:rPr>
      </w:pPr>
      <w:r w:rsidRPr="006B62C5">
        <w:rPr>
          <w:rFonts w:hint="cs"/>
          <w:rtl/>
        </w:rPr>
        <w:t>להלן סקירת חלק מהפסיקה אליה הפנתה המאשימה:</w:t>
      </w:r>
    </w:p>
    <w:p w14:paraId="3B18EA34" w14:textId="77777777" w:rsidR="009539A1" w:rsidRPr="006B62C5" w:rsidRDefault="009539A1">
      <w:pPr>
        <w:spacing w:line="360" w:lineRule="auto"/>
        <w:ind w:left="720" w:hanging="720"/>
        <w:jc w:val="both"/>
        <w:rPr>
          <w:rtl/>
        </w:rPr>
      </w:pPr>
    </w:p>
    <w:p w14:paraId="45DD9D97" w14:textId="77777777" w:rsidR="009539A1" w:rsidRPr="006B62C5" w:rsidRDefault="006B62C5">
      <w:pPr>
        <w:spacing w:line="360" w:lineRule="auto"/>
        <w:ind w:left="720" w:hanging="720"/>
        <w:jc w:val="both"/>
        <w:rPr>
          <w:rtl/>
        </w:rPr>
      </w:pPr>
      <w:r w:rsidRPr="006B62C5">
        <w:rPr>
          <w:rFonts w:hint="cs"/>
          <w:rtl/>
        </w:rPr>
        <w:t xml:space="preserve">             </w:t>
      </w:r>
      <w:hyperlink r:id="rId37" w:history="1">
        <w:r w:rsidRPr="006B62C5">
          <w:rPr>
            <w:color w:val="0000FF"/>
            <w:u w:val="single"/>
            <w:rtl/>
          </w:rPr>
          <w:t>ע"פ 972/11</w:t>
        </w:r>
      </w:hyperlink>
      <w:r w:rsidRPr="006B62C5">
        <w:rPr>
          <w:rFonts w:hint="cs"/>
          <w:rtl/>
        </w:rPr>
        <w:t xml:space="preserve"> </w:t>
      </w:r>
      <w:r w:rsidRPr="006B62C5">
        <w:rPr>
          <w:rFonts w:cs="Miriam" w:hint="cs"/>
          <w:rtl/>
        </w:rPr>
        <w:t>מ"י נ' יונה</w:t>
      </w:r>
      <w:r w:rsidRPr="006B62C5">
        <w:rPr>
          <w:rFonts w:hint="cs"/>
          <w:rtl/>
        </w:rPr>
        <w:t xml:space="preserve"> (מיום 4.7.2012), אליו הפנתה המאשימה, </w:t>
      </w:r>
      <w:r w:rsidRPr="006B62C5">
        <w:rPr>
          <w:rtl/>
        </w:rPr>
        <w:t>שוֹנה בנסיבותיו מ</w:t>
      </w:r>
      <w:r w:rsidRPr="006B62C5">
        <w:rPr>
          <w:rFonts w:hint="cs"/>
          <w:rtl/>
        </w:rPr>
        <w:t>מקרה דנן, שם נגזרו על הנאשם 6 שנות מאסר בפועל ובית המשפט העליון החמיר עונשו ל 8 שנות מאסר. שם דובר על 2.5 ק"ג קוקאין ובנוסף ייבוא של 11 גרם קוקאין - כמויות הסמים וסוגי הסמים לא זהים בשני המקרים.</w:t>
      </w:r>
    </w:p>
    <w:p w14:paraId="61F37562" w14:textId="77777777" w:rsidR="009539A1" w:rsidRPr="006B62C5" w:rsidRDefault="009539A1">
      <w:pPr>
        <w:spacing w:line="360" w:lineRule="auto"/>
        <w:ind w:left="720" w:hanging="720"/>
        <w:jc w:val="both"/>
        <w:rPr>
          <w:rtl/>
        </w:rPr>
      </w:pPr>
    </w:p>
    <w:p w14:paraId="53EB0E09" w14:textId="77777777" w:rsidR="009539A1" w:rsidRPr="006B62C5" w:rsidRDefault="006B62C5">
      <w:pPr>
        <w:spacing w:line="360" w:lineRule="auto"/>
        <w:ind w:left="720" w:hanging="720"/>
        <w:jc w:val="both"/>
        <w:rPr>
          <w:rtl/>
        </w:rPr>
      </w:pPr>
      <w:r w:rsidRPr="006B62C5">
        <w:rPr>
          <w:rtl/>
        </w:rPr>
        <w:tab/>
      </w:r>
      <w:hyperlink r:id="rId38" w:history="1">
        <w:r w:rsidRPr="006B62C5">
          <w:rPr>
            <w:color w:val="0000FF"/>
            <w:u w:val="single"/>
            <w:rtl/>
          </w:rPr>
          <w:t>ע"פ 2587/09</w:t>
        </w:r>
      </w:hyperlink>
      <w:r w:rsidRPr="006B62C5">
        <w:rPr>
          <w:rFonts w:hint="cs"/>
          <w:rtl/>
        </w:rPr>
        <w:t xml:space="preserve"> </w:t>
      </w:r>
      <w:r w:rsidRPr="006B62C5">
        <w:rPr>
          <w:rFonts w:cs="Miriam" w:hint="cs"/>
          <w:rtl/>
        </w:rPr>
        <w:t>אבו רקייק נ' מדינת ישראל</w:t>
      </w:r>
      <w:r w:rsidRPr="006B62C5">
        <w:rPr>
          <w:rFonts w:hint="cs"/>
          <w:rtl/>
        </w:rPr>
        <w:t xml:space="preserve"> (מיום 28.3.2010), אליו הפנתה המאשימה, </w:t>
      </w:r>
      <w:r w:rsidRPr="006B62C5">
        <w:rPr>
          <w:rtl/>
        </w:rPr>
        <w:t xml:space="preserve">שוֹנה </w:t>
      </w:r>
      <w:r w:rsidRPr="006B62C5">
        <w:rPr>
          <w:rFonts w:hint="cs"/>
          <w:rtl/>
        </w:rPr>
        <w:t xml:space="preserve">באופן מהותי </w:t>
      </w:r>
      <w:r w:rsidRPr="006B62C5">
        <w:rPr>
          <w:rtl/>
        </w:rPr>
        <w:t xml:space="preserve">בנסיבותיו </w:t>
      </w:r>
      <w:r w:rsidRPr="006B62C5">
        <w:rPr>
          <w:rFonts w:hint="cs"/>
          <w:rtl/>
        </w:rPr>
        <w:t>מהמקרה דנן. שם דובר על סם מסוג הרואין, שהנאשם העביר מירדן לישראל ונתפס מעבר לגבול. הנאשם נדון ל-7.5 שנות מאסר בפועל. ניתן לראות כי סוג הסם והעבירה עצמה אינם דומים לעניינינו.</w:t>
      </w:r>
    </w:p>
    <w:p w14:paraId="7B865C83" w14:textId="77777777" w:rsidR="009539A1" w:rsidRPr="006B62C5" w:rsidRDefault="006B62C5">
      <w:pPr>
        <w:spacing w:line="360" w:lineRule="auto"/>
        <w:ind w:left="720" w:hanging="720"/>
        <w:jc w:val="both"/>
        <w:rPr>
          <w:rtl/>
        </w:rPr>
      </w:pPr>
      <w:r w:rsidRPr="006B62C5">
        <w:rPr>
          <w:rFonts w:hint="cs"/>
        </w:rPr>
        <w:t xml:space="preserve">   </w:t>
      </w:r>
      <w:r w:rsidRPr="006B62C5">
        <w:rPr>
          <w:rFonts w:hint="cs"/>
        </w:rPr>
        <w:tab/>
      </w:r>
      <w:r w:rsidRPr="006B62C5">
        <w:rPr>
          <w:rFonts w:hint="cs"/>
        </w:rPr>
        <w:tab/>
      </w:r>
      <w:r w:rsidRPr="006B62C5">
        <w:rPr>
          <w:rFonts w:hint="cs"/>
        </w:rPr>
        <w:tab/>
      </w:r>
      <w:r w:rsidRPr="006B62C5">
        <w:tab/>
      </w:r>
    </w:p>
    <w:p w14:paraId="6C980759" w14:textId="77777777" w:rsidR="009539A1" w:rsidRPr="006B62C5" w:rsidRDefault="006B62C5">
      <w:pPr>
        <w:spacing w:line="360" w:lineRule="auto"/>
        <w:ind w:left="720" w:hanging="720"/>
        <w:jc w:val="both"/>
        <w:rPr>
          <w:rtl/>
        </w:rPr>
      </w:pPr>
      <w:r w:rsidRPr="006B62C5">
        <w:rPr>
          <w:rFonts w:hint="cs"/>
          <w:rtl/>
        </w:rPr>
        <w:t xml:space="preserve">             עוד הפנה ב"כ המאשימה ל</w:t>
      </w:r>
      <w:hyperlink r:id="rId39" w:history="1">
        <w:r w:rsidRPr="006B62C5">
          <w:rPr>
            <w:rFonts w:cs="Miriam"/>
            <w:color w:val="0000FF"/>
            <w:u w:val="single"/>
            <w:rtl/>
          </w:rPr>
          <w:t>ע"פ 1824/15</w:t>
        </w:r>
      </w:hyperlink>
      <w:r w:rsidRPr="006B62C5">
        <w:rPr>
          <w:rFonts w:cs="Miriam" w:hint="cs"/>
          <w:rtl/>
        </w:rPr>
        <w:t xml:space="preserve"> טרסוב נ' מדינת ישראל</w:t>
      </w:r>
      <w:r w:rsidRPr="006B62C5">
        <w:rPr>
          <w:rFonts w:hint="cs"/>
          <w:b/>
          <w:bCs/>
          <w:rtl/>
        </w:rPr>
        <w:t xml:space="preserve"> </w:t>
      </w:r>
      <w:r w:rsidRPr="006B62C5">
        <w:rPr>
          <w:rFonts w:hint="cs"/>
          <w:rtl/>
        </w:rPr>
        <w:t>(30.11.2015) אשר אף הוא שונה בנסיבותיו מעניינינו, שם נגזרו על הנאשם 36 חודשי מאסר בפועל ובית המשפט העליון הפחית את העונש ל-30 חודשי מאסר, כמות וסוג הסם לא זהים ואף העבירה שבה הורשע הנאשם לא זהה. שם הורשע הנאשם בעבירה של ייבוא סם מסוכן, בעוד שבעניינינו מדובר בסיוע לייבוא סם.</w:t>
      </w:r>
    </w:p>
    <w:p w14:paraId="1F5EC19E" w14:textId="77777777" w:rsidR="009539A1" w:rsidRPr="006B62C5" w:rsidRDefault="009539A1">
      <w:pPr>
        <w:spacing w:line="360" w:lineRule="auto"/>
        <w:ind w:left="720" w:hanging="720"/>
        <w:jc w:val="both"/>
        <w:rPr>
          <w:rtl/>
        </w:rPr>
      </w:pPr>
    </w:p>
    <w:p w14:paraId="11368D9D" w14:textId="77777777" w:rsidR="009539A1" w:rsidRPr="006B62C5" w:rsidRDefault="006B62C5">
      <w:pPr>
        <w:spacing w:line="360" w:lineRule="auto"/>
        <w:ind w:left="720" w:hanging="720"/>
        <w:jc w:val="both"/>
        <w:rPr>
          <w:rtl/>
        </w:rPr>
      </w:pPr>
      <w:r w:rsidRPr="006B62C5">
        <w:rPr>
          <w:rFonts w:hint="cs"/>
          <w:rtl/>
        </w:rPr>
        <w:t>15.</w:t>
      </w:r>
      <w:r w:rsidRPr="006B62C5">
        <w:rPr>
          <w:rFonts w:hint="cs"/>
          <w:rtl/>
        </w:rPr>
        <w:tab/>
        <w:t>הסנגור הפנה לפסיקה רבה, חלקה עוסק בסמים מסוג חשיש וקנביס וחלקה עוסק בכמויות קטנות יותר. להלן סקירת חלק ממנה.</w:t>
      </w:r>
    </w:p>
    <w:p w14:paraId="74E370E3" w14:textId="77777777" w:rsidR="009539A1" w:rsidRPr="006B62C5" w:rsidRDefault="006B62C5">
      <w:pPr>
        <w:spacing w:line="360" w:lineRule="auto"/>
        <w:ind w:left="720" w:hanging="720"/>
        <w:jc w:val="both"/>
        <w:rPr>
          <w:rtl/>
        </w:rPr>
      </w:pPr>
      <w:r w:rsidRPr="006B62C5">
        <w:rPr>
          <w:rFonts w:hint="cs"/>
          <w:rtl/>
        </w:rPr>
        <w:t xml:space="preserve">            </w:t>
      </w:r>
    </w:p>
    <w:p w14:paraId="546E9ECA" w14:textId="77777777" w:rsidR="009539A1" w:rsidRPr="006B62C5" w:rsidRDefault="006B62C5">
      <w:pPr>
        <w:spacing w:line="360" w:lineRule="auto"/>
        <w:ind w:left="720" w:hanging="720"/>
        <w:jc w:val="both"/>
        <w:rPr>
          <w:rtl/>
        </w:rPr>
      </w:pPr>
      <w:r w:rsidRPr="006B62C5">
        <w:rPr>
          <w:rFonts w:hint="cs"/>
          <w:rtl/>
        </w:rPr>
        <w:t xml:space="preserve">             ב</w:t>
      </w:r>
      <w:hyperlink r:id="rId40" w:history="1">
        <w:r w:rsidRPr="006B62C5">
          <w:rPr>
            <w:rFonts w:cs="Miriam"/>
            <w:color w:val="0000FF"/>
            <w:u w:val="single"/>
            <w:rtl/>
          </w:rPr>
          <w:t>ת"פ 46018-03-14</w:t>
        </w:r>
      </w:hyperlink>
      <w:r w:rsidRPr="006B62C5">
        <w:rPr>
          <w:rFonts w:cs="Miriam" w:hint="cs"/>
          <w:rtl/>
        </w:rPr>
        <w:t xml:space="preserve"> מדינת ישראל נ' טרסוב</w:t>
      </w:r>
      <w:r w:rsidRPr="006B62C5">
        <w:rPr>
          <w:rFonts w:hint="cs"/>
          <w:b/>
          <w:bCs/>
          <w:rtl/>
        </w:rPr>
        <w:t xml:space="preserve"> </w:t>
      </w:r>
      <w:r w:rsidRPr="006B62C5">
        <w:rPr>
          <w:rFonts w:hint="cs"/>
          <w:rtl/>
        </w:rPr>
        <w:t xml:space="preserve">(מיום 18.12.2014), אליו הפנה הסנגור, הורשע הנאשם, צעיר בן 24, ללא עבר פלילי, בסיוע ליבוא סם מסוכן בכמות של 110 גר' ובניסיון להחזקת סמים שלא לצריכה עצמית. שם דובר בנאשם  צעיר בן 24, ללא עבר פלילי, שפרטיו וכתובתו נמסרו לספק ממנו הוזמן סם מסוג </w:t>
      </w:r>
      <w:r w:rsidRPr="006B62C5">
        <w:rPr>
          <w:rFonts w:hint="cs"/>
        </w:rPr>
        <w:t>UWH-210</w:t>
      </w:r>
      <w:r w:rsidRPr="006B62C5">
        <w:rPr>
          <w:rFonts w:hint="cs"/>
          <w:rtl/>
        </w:rPr>
        <w:t>. מתחם הענישה שנקבע שם, נע בין 12 ל-30 חודשי מאסר. בית המשפט גזר עליו 12 חודשי מאסר בפועל ובנוסף מאסר מותנה וקנס.</w:t>
      </w:r>
      <w:r w:rsidRPr="006B62C5">
        <w:rPr>
          <w:rtl/>
        </w:rPr>
        <w:tab/>
      </w:r>
      <w:r w:rsidRPr="006B62C5">
        <w:rPr>
          <w:rFonts w:hint="cs"/>
          <w:rtl/>
        </w:rPr>
        <w:t xml:space="preserve"> </w:t>
      </w:r>
    </w:p>
    <w:p w14:paraId="32CE7BA2" w14:textId="77777777" w:rsidR="009539A1" w:rsidRPr="006B62C5" w:rsidRDefault="009539A1">
      <w:pPr>
        <w:spacing w:line="360" w:lineRule="auto"/>
        <w:ind w:left="720" w:hanging="720"/>
        <w:jc w:val="both"/>
        <w:rPr>
          <w:rtl/>
        </w:rPr>
      </w:pPr>
    </w:p>
    <w:p w14:paraId="3669BDEF" w14:textId="77777777" w:rsidR="009539A1" w:rsidRPr="006B62C5" w:rsidRDefault="006B62C5">
      <w:pPr>
        <w:spacing w:line="360" w:lineRule="auto"/>
        <w:ind w:left="720" w:hanging="720"/>
        <w:jc w:val="both"/>
        <w:rPr>
          <w:rtl/>
        </w:rPr>
      </w:pPr>
      <w:r w:rsidRPr="006B62C5">
        <w:rPr>
          <w:rtl/>
        </w:rPr>
        <w:tab/>
      </w:r>
      <w:r w:rsidRPr="006B62C5">
        <w:rPr>
          <w:rFonts w:hint="cs"/>
          <w:rtl/>
        </w:rPr>
        <w:t>עוד הפנה הסנגור ל</w:t>
      </w:r>
      <w:hyperlink r:id="rId41" w:history="1">
        <w:r w:rsidRPr="006B62C5">
          <w:rPr>
            <w:rFonts w:cs="Miriam"/>
            <w:color w:val="0000FF"/>
            <w:u w:val="single"/>
            <w:rtl/>
          </w:rPr>
          <w:t>ת"פ 8187-04</w:t>
        </w:r>
      </w:hyperlink>
      <w:r w:rsidRPr="006B62C5">
        <w:rPr>
          <w:rFonts w:cs="Miriam" w:hint="cs"/>
          <w:rtl/>
        </w:rPr>
        <w:t xml:space="preserve"> בן יעיש נ' מדינת ישראל</w:t>
      </w:r>
      <w:r w:rsidRPr="006B62C5">
        <w:rPr>
          <w:rFonts w:hint="cs"/>
          <w:rtl/>
        </w:rPr>
        <w:t xml:space="preserve"> (מיום 13.12.2005), שם הורשע נאשם צעיר, שחלקו בעבירות היה שולי בעבירות של קשירת קשר, סיוע להחזקת סם מסוכן וסיוע לסחר בסם מסוכן, ונגזרו עליו 6 חודשי מאסר לריצוי בעבודות שירות, מאסר על תנאי וצו מבחן.</w:t>
      </w:r>
    </w:p>
    <w:p w14:paraId="11A849A0" w14:textId="77777777" w:rsidR="009539A1" w:rsidRPr="006B62C5" w:rsidRDefault="009539A1">
      <w:pPr>
        <w:spacing w:line="360" w:lineRule="auto"/>
        <w:ind w:left="720" w:hanging="720"/>
        <w:jc w:val="both"/>
        <w:rPr>
          <w:rtl/>
        </w:rPr>
      </w:pPr>
    </w:p>
    <w:p w14:paraId="001D43C3" w14:textId="77777777" w:rsidR="009539A1" w:rsidRPr="006B62C5" w:rsidRDefault="006B62C5">
      <w:pPr>
        <w:spacing w:line="360" w:lineRule="auto"/>
        <w:ind w:left="720" w:hanging="720"/>
        <w:jc w:val="both"/>
        <w:rPr>
          <w:rtl/>
        </w:rPr>
      </w:pPr>
      <w:r w:rsidRPr="006B62C5">
        <w:rPr>
          <w:rtl/>
        </w:rPr>
        <w:tab/>
      </w:r>
      <w:r w:rsidRPr="006B62C5">
        <w:rPr>
          <w:rFonts w:hint="cs"/>
          <w:rtl/>
        </w:rPr>
        <w:t>כן הפנה הסנגור לגזר דין שניתן על ידי ב</w:t>
      </w:r>
      <w:hyperlink r:id="rId42" w:history="1">
        <w:r w:rsidRPr="006B62C5">
          <w:rPr>
            <w:color w:val="0000FF"/>
            <w:u w:val="single"/>
            <w:rtl/>
          </w:rPr>
          <w:t>ת"פ 23142-09-14</w:t>
        </w:r>
      </w:hyperlink>
      <w:r w:rsidRPr="006B62C5">
        <w:rPr>
          <w:rFonts w:hint="cs"/>
          <w:rtl/>
        </w:rPr>
        <w:t xml:space="preserve"> </w:t>
      </w:r>
      <w:r w:rsidRPr="006B62C5">
        <w:rPr>
          <w:rFonts w:cs="Miriam" w:hint="cs"/>
          <w:rtl/>
        </w:rPr>
        <w:t>מדינת ישראל נ' קגרמניין</w:t>
      </w:r>
      <w:r w:rsidRPr="006B62C5">
        <w:rPr>
          <w:rFonts w:hint="cs"/>
          <w:rtl/>
        </w:rPr>
        <w:t xml:space="preserve"> (20.4.2015), שם הורשע נאשם, שעברו הפלילי אינו מכביד, ב-11 אישומים של ייבוא סמים וניסיון ליבאם, באמצעות האינטרנט. רוב האישומים היו בגין עבירות על חוק המאבק בתופעת השימוש בחומרים מסוכנים, התשע"ג-2013, שהעונש המרבי בצדן הוא 3 שנות מאסר. חלק מהחבילות נתפס על ידי המשטרה וחלקן לא נתפס. הנאשם הודה, ללא שמיעת ראיות, במסגרת הסדר טיעון שכלל "טווח" של 3-6 שנות מאסר. הוא נדון ל- 48 חודשי מאסר בפועל ועונשים נוספים.</w:t>
      </w:r>
    </w:p>
    <w:p w14:paraId="7DBD5200" w14:textId="77777777" w:rsidR="009539A1" w:rsidRPr="006B62C5" w:rsidRDefault="009539A1">
      <w:pPr>
        <w:spacing w:line="360" w:lineRule="auto"/>
        <w:ind w:left="720" w:hanging="720"/>
        <w:jc w:val="both"/>
        <w:rPr>
          <w:rtl/>
        </w:rPr>
      </w:pPr>
    </w:p>
    <w:p w14:paraId="62FFB2C0" w14:textId="77777777" w:rsidR="009539A1" w:rsidRPr="006B62C5" w:rsidRDefault="006B62C5">
      <w:pPr>
        <w:spacing w:line="360" w:lineRule="auto"/>
        <w:ind w:left="720"/>
        <w:jc w:val="both"/>
        <w:rPr>
          <w:rtl/>
        </w:rPr>
      </w:pPr>
      <w:r w:rsidRPr="006B62C5">
        <w:rPr>
          <w:rFonts w:hint="cs"/>
          <w:rtl/>
        </w:rPr>
        <w:t>גזרי דין נוספים, אליהם הפנה הסנגור, ניתנו בנסיבות שונות מהנסיבות דנן חלקן - חמורות יותר וחלקן קלות יותר.</w:t>
      </w:r>
    </w:p>
    <w:p w14:paraId="0679556E" w14:textId="77777777" w:rsidR="009539A1" w:rsidRPr="006B62C5" w:rsidRDefault="009539A1">
      <w:pPr>
        <w:spacing w:line="360" w:lineRule="auto"/>
        <w:ind w:left="720" w:hanging="720"/>
        <w:jc w:val="both"/>
        <w:rPr>
          <w:rtl/>
        </w:rPr>
      </w:pPr>
    </w:p>
    <w:p w14:paraId="77CF2317" w14:textId="77777777" w:rsidR="009539A1" w:rsidRPr="006B62C5" w:rsidRDefault="006B62C5">
      <w:pPr>
        <w:spacing w:line="360" w:lineRule="auto"/>
        <w:ind w:left="720" w:hanging="720"/>
        <w:jc w:val="both"/>
        <w:rPr>
          <w:rtl/>
        </w:rPr>
      </w:pPr>
      <w:r w:rsidRPr="006B62C5">
        <w:rPr>
          <w:rtl/>
        </w:rPr>
        <w:tab/>
      </w:r>
      <w:r w:rsidRPr="006B62C5">
        <w:rPr>
          <w:rFonts w:hint="cs"/>
          <w:rtl/>
        </w:rPr>
        <w:t>לעניין חריגה ממתחם העונש ההולם מפאת מצב בריאותי קשה, הפנה ב"כ הנאשם ל</w:t>
      </w:r>
      <w:hyperlink r:id="rId43" w:history="1">
        <w:r w:rsidRPr="006B62C5">
          <w:rPr>
            <w:color w:val="0000FF"/>
            <w:u w:val="single"/>
            <w:rtl/>
          </w:rPr>
          <w:t>ע"פ 5669/14</w:t>
        </w:r>
      </w:hyperlink>
      <w:r w:rsidRPr="006B62C5">
        <w:rPr>
          <w:rFonts w:cs="Miriam" w:hint="cs"/>
          <w:rtl/>
        </w:rPr>
        <w:t xml:space="preserve"> לופוליאנסקי נ' מדינת ישראל</w:t>
      </w:r>
      <w:r w:rsidRPr="006B62C5">
        <w:rPr>
          <w:rFonts w:hint="cs"/>
          <w:b/>
          <w:bCs/>
          <w:rtl/>
        </w:rPr>
        <w:t xml:space="preserve"> </w:t>
      </w:r>
      <w:r w:rsidRPr="006B62C5">
        <w:rPr>
          <w:rFonts w:hint="cs"/>
          <w:rtl/>
        </w:rPr>
        <w:t>(מיום 29.12.2015).</w:t>
      </w:r>
    </w:p>
    <w:p w14:paraId="60822A28" w14:textId="77777777" w:rsidR="009539A1" w:rsidRPr="006B62C5" w:rsidRDefault="009539A1">
      <w:pPr>
        <w:spacing w:line="360" w:lineRule="auto"/>
        <w:ind w:left="720" w:hanging="720"/>
        <w:jc w:val="both"/>
        <w:rPr>
          <w:rtl/>
        </w:rPr>
      </w:pPr>
    </w:p>
    <w:p w14:paraId="7C9823A8" w14:textId="77777777" w:rsidR="009539A1" w:rsidRPr="006B62C5" w:rsidRDefault="006B62C5">
      <w:pPr>
        <w:tabs>
          <w:tab w:val="left" w:pos="567"/>
          <w:tab w:val="left" w:pos="1134"/>
          <w:tab w:val="left" w:pos="1701"/>
        </w:tabs>
        <w:spacing w:line="360" w:lineRule="auto"/>
        <w:ind w:left="567" w:hanging="567"/>
        <w:jc w:val="both"/>
        <w:rPr>
          <w:rtl/>
        </w:rPr>
      </w:pPr>
      <w:r w:rsidRPr="006B62C5">
        <w:rPr>
          <w:rFonts w:hint="cs"/>
          <w:rtl/>
        </w:rPr>
        <w:t>16</w:t>
      </w:r>
      <w:r w:rsidRPr="006B62C5">
        <w:rPr>
          <w:rtl/>
        </w:rPr>
        <w:t>.</w:t>
      </w:r>
      <w:r w:rsidRPr="006B62C5">
        <w:rPr>
          <w:rtl/>
        </w:rPr>
        <w:tab/>
        <w:t xml:space="preserve">בהתחשב </w:t>
      </w:r>
      <w:r w:rsidRPr="006B62C5">
        <w:rPr>
          <w:rFonts w:hint="cs"/>
          <w:rtl/>
        </w:rPr>
        <w:t>באמור לעיל</w:t>
      </w:r>
      <w:r w:rsidRPr="006B62C5">
        <w:rPr>
          <w:rtl/>
        </w:rPr>
        <w:t xml:space="preserve">, ובשים לב למדיניות הענישה הנהוגה בעבירות מסוג אלה בהן הורשע הנאשם, </w:t>
      </w:r>
      <w:r w:rsidRPr="006B62C5">
        <w:rPr>
          <w:rFonts w:hint="cs"/>
          <w:rtl/>
        </w:rPr>
        <w:t xml:space="preserve">סבורה אני כי מתחם העונש ההולם  נע בין 24 ל- 40 חודשי מאסר, בתוספת מאסר על תנאי וקנס. </w:t>
      </w:r>
    </w:p>
    <w:p w14:paraId="739CF025" w14:textId="77777777" w:rsidR="009539A1" w:rsidRPr="006B62C5" w:rsidRDefault="009539A1">
      <w:pPr>
        <w:spacing w:line="360" w:lineRule="auto"/>
        <w:jc w:val="both"/>
        <w:rPr>
          <w:rtl/>
        </w:rPr>
      </w:pPr>
    </w:p>
    <w:p w14:paraId="66B5AF0E" w14:textId="77777777" w:rsidR="009539A1" w:rsidRPr="006B62C5" w:rsidRDefault="006B62C5">
      <w:pPr>
        <w:spacing w:line="360" w:lineRule="auto"/>
        <w:jc w:val="both"/>
        <w:rPr>
          <w:rtl/>
        </w:rPr>
      </w:pPr>
      <w:r w:rsidRPr="006B62C5">
        <w:rPr>
          <w:rtl/>
        </w:rPr>
        <w:t>גזירת הדין בתוך המתחם</w:t>
      </w:r>
    </w:p>
    <w:p w14:paraId="6309906A" w14:textId="77777777" w:rsidR="009539A1" w:rsidRPr="006B62C5" w:rsidRDefault="009539A1">
      <w:pPr>
        <w:spacing w:line="360" w:lineRule="auto"/>
        <w:jc w:val="both"/>
        <w:rPr>
          <w:rtl/>
        </w:rPr>
      </w:pPr>
    </w:p>
    <w:p w14:paraId="00F614AB" w14:textId="77777777" w:rsidR="009539A1" w:rsidRPr="006B62C5" w:rsidRDefault="006B62C5">
      <w:pPr>
        <w:spacing w:line="360" w:lineRule="auto"/>
        <w:ind w:left="720" w:hanging="720"/>
        <w:jc w:val="both"/>
        <w:rPr>
          <w:rtl/>
        </w:rPr>
      </w:pPr>
      <w:r w:rsidRPr="006B62C5">
        <w:rPr>
          <w:rFonts w:hint="cs"/>
          <w:rtl/>
        </w:rPr>
        <w:t>17.</w:t>
      </w:r>
      <w:r w:rsidRPr="006B62C5">
        <w:rPr>
          <w:rtl/>
        </w:rPr>
        <w:tab/>
        <w:t>הנאשם, יליד</w:t>
      </w:r>
      <w:r w:rsidRPr="006B62C5">
        <w:rPr>
          <w:rFonts w:hint="cs"/>
          <w:rtl/>
        </w:rPr>
        <w:t xml:space="preserve"> 30.5.1981</w:t>
      </w:r>
      <w:r w:rsidRPr="006B62C5">
        <w:rPr>
          <w:rtl/>
        </w:rPr>
        <w:t>, עצור בגין העבירה שביצע בתיק זה</w:t>
      </w:r>
      <w:r w:rsidRPr="006B62C5">
        <w:rPr>
          <w:rFonts w:hint="cs"/>
          <w:rtl/>
        </w:rPr>
        <w:t>,</w:t>
      </w:r>
      <w:r w:rsidRPr="006B62C5">
        <w:rPr>
          <w:rtl/>
        </w:rPr>
        <w:t xml:space="preserve"> מיום</w:t>
      </w:r>
      <w:r w:rsidRPr="006B62C5">
        <w:rPr>
          <w:rFonts w:hint="cs"/>
          <w:rtl/>
        </w:rPr>
        <w:t xml:space="preserve"> 29.4.15.</w:t>
      </w:r>
    </w:p>
    <w:p w14:paraId="7B8395A5" w14:textId="77777777" w:rsidR="009539A1" w:rsidRPr="006B62C5" w:rsidRDefault="009539A1">
      <w:pPr>
        <w:spacing w:line="360" w:lineRule="auto"/>
        <w:ind w:left="720" w:hanging="720"/>
        <w:jc w:val="both"/>
        <w:rPr>
          <w:rtl/>
        </w:rPr>
      </w:pPr>
    </w:p>
    <w:p w14:paraId="0210DD9F" w14:textId="77777777" w:rsidR="009539A1" w:rsidRPr="006B62C5" w:rsidRDefault="006B62C5">
      <w:pPr>
        <w:spacing w:line="360" w:lineRule="auto"/>
        <w:ind w:left="720" w:hanging="720"/>
        <w:jc w:val="both"/>
        <w:rPr>
          <w:rtl/>
        </w:rPr>
      </w:pPr>
      <w:r w:rsidRPr="006B62C5">
        <w:rPr>
          <w:rtl/>
        </w:rPr>
        <w:tab/>
      </w:r>
      <w:r w:rsidRPr="006B62C5">
        <w:rPr>
          <w:rFonts w:hint="cs"/>
          <w:rtl/>
        </w:rPr>
        <w:t>לחובת הנאשם אזקוף את עברו הפלילי. חומרה מיוחדת רואה אני בכך, שכחודשיים בלבד  לפני שביצע את העבירה דנן, הוא השתחרר ממאסר בן 24 חודשים, שנגזר עליו ביום 24.10.13, ב</w:t>
      </w:r>
      <w:hyperlink r:id="rId44" w:history="1">
        <w:r w:rsidRPr="006B62C5">
          <w:rPr>
            <w:color w:val="0000FF"/>
            <w:u w:val="single"/>
            <w:rtl/>
          </w:rPr>
          <w:t>ת"פ (מחוזי חי') 3183-04-13</w:t>
        </w:r>
      </w:hyperlink>
      <w:r w:rsidRPr="006B62C5">
        <w:rPr>
          <w:rFonts w:hint="cs"/>
          <w:rtl/>
        </w:rPr>
        <w:t>, בגין עבירת שוד ומיד פנה לביצוע עבירה נוספת.</w:t>
      </w:r>
    </w:p>
    <w:p w14:paraId="5C12D362" w14:textId="77777777" w:rsidR="009539A1" w:rsidRPr="006B62C5" w:rsidRDefault="009539A1">
      <w:pPr>
        <w:spacing w:line="360" w:lineRule="auto"/>
        <w:ind w:left="720" w:hanging="720"/>
        <w:jc w:val="both"/>
        <w:rPr>
          <w:rtl/>
        </w:rPr>
      </w:pPr>
    </w:p>
    <w:p w14:paraId="59444067" w14:textId="77777777" w:rsidR="009539A1" w:rsidRPr="006B62C5" w:rsidRDefault="006B62C5">
      <w:pPr>
        <w:spacing w:line="360" w:lineRule="auto"/>
        <w:ind w:left="720"/>
        <w:jc w:val="both"/>
        <w:rPr>
          <w:rtl/>
        </w:rPr>
      </w:pPr>
      <w:r w:rsidRPr="006B62C5">
        <w:rPr>
          <w:rFonts w:hint="cs"/>
          <w:rtl/>
        </w:rPr>
        <w:t>נראה שהנאשם בחר לו את העבריינות, באמצעותה ניתן להשיג "כסף קל", כדרך חיים.</w:t>
      </w:r>
    </w:p>
    <w:p w14:paraId="2A678C2E" w14:textId="77777777" w:rsidR="009539A1" w:rsidRPr="006B62C5" w:rsidRDefault="009539A1">
      <w:pPr>
        <w:spacing w:line="360" w:lineRule="auto"/>
        <w:ind w:left="720" w:hanging="720"/>
        <w:jc w:val="both"/>
        <w:rPr>
          <w:rtl/>
        </w:rPr>
      </w:pPr>
    </w:p>
    <w:p w14:paraId="6179959A" w14:textId="77777777" w:rsidR="009539A1" w:rsidRPr="006B62C5" w:rsidRDefault="006B62C5">
      <w:pPr>
        <w:spacing w:line="360" w:lineRule="auto"/>
        <w:ind w:left="720"/>
        <w:jc w:val="both"/>
        <w:rPr>
          <w:rtl/>
        </w:rPr>
      </w:pPr>
      <w:r w:rsidRPr="006B62C5">
        <w:rPr>
          <w:rtl/>
        </w:rPr>
        <w:t>לזכות הנאשם אביא בחשבון את הודאתו בעובדות כתב האישום המתוקן, אשר חסכה</w:t>
      </w:r>
      <w:r w:rsidRPr="006B62C5">
        <w:rPr>
          <w:rFonts w:hint="cs"/>
          <w:rtl/>
        </w:rPr>
        <w:t xml:space="preserve"> חלק מ</w:t>
      </w:r>
      <w:r w:rsidRPr="006B62C5">
        <w:rPr>
          <w:rtl/>
        </w:rPr>
        <w:t xml:space="preserve">זמן שיפוטי יקר ואת החרטה שהביע על מעשיו, </w:t>
      </w:r>
      <w:r w:rsidRPr="006B62C5">
        <w:rPr>
          <w:rFonts w:hint="cs"/>
          <w:rtl/>
        </w:rPr>
        <w:t>בפניי.</w:t>
      </w:r>
      <w:r w:rsidRPr="006B62C5">
        <w:rPr>
          <w:rtl/>
        </w:rPr>
        <w:t xml:space="preserve"> </w:t>
      </w:r>
      <w:r w:rsidRPr="006B62C5">
        <w:rPr>
          <w:rFonts w:hint="cs"/>
          <w:rtl/>
        </w:rPr>
        <w:t xml:space="preserve">כן אביא בחשבון, במידת מה, את התקופה הארוכה בה ישב הנאשם במעצר, על אף שיכול היה הנאשם לקצר תקופה זו, לו היה מודה באשר הודה בסופו של יום. </w:t>
      </w:r>
    </w:p>
    <w:p w14:paraId="106D2D6F" w14:textId="77777777" w:rsidR="009539A1" w:rsidRPr="006B62C5" w:rsidRDefault="009539A1">
      <w:pPr>
        <w:spacing w:line="360" w:lineRule="auto"/>
        <w:ind w:left="720"/>
        <w:jc w:val="both"/>
        <w:rPr>
          <w:rtl/>
        </w:rPr>
      </w:pPr>
    </w:p>
    <w:p w14:paraId="4774B1CC" w14:textId="77777777" w:rsidR="006B62C5" w:rsidRPr="006B62C5" w:rsidRDefault="006B62C5">
      <w:pPr>
        <w:spacing w:line="360" w:lineRule="auto"/>
        <w:ind w:left="720"/>
        <w:jc w:val="both"/>
        <w:rPr>
          <w:rtl/>
        </w:rPr>
      </w:pPr>
      <w:r w:rsidRPr="006B62C5">
        <w:rPr>
          <w:rFonts w:hint="cs"/>
          <w:rtl/>
        </w:rPr>
        <w:t xml:space="preserve">עוד אתחשב, לקולה, בפגיעת העונש בנאשם, בעיקר נוכח מצבו הרפואי, כפי שעולה מהמסמכים שהוגשו מטעמו. אמנם, שירות בתי הסוהר ערוך לטיפול באסירים שמצבם </w:t>
      </w:r>
    </w:p>
    <w:bookmarkEnd w:id="0"/>
    <w:p w14:paraId="62D5BAF8" w14:textId="77777777" w:rsidR="006B62C5" w:rsidRPr="006B62C5" w:rsidRDefault="006B62C5" w:rsidP="006B62C5">
      <w:pPr>
        <w:spacing w:line="360" w:lineRule="auto"/>
        <w:ind w:left="720"/>
        <w:jc w:val="center"/>
        <w:rPr>
          <w:bCs/>
          <w:rtl/>
        </w:rPr>
      </w:pPr>
      <w:r w:rsidRPr="006B62C5">
        <w:rPr>
          <w:bCs/>
          <w:rtl/>
        </w:rPr>
        <w:t>הרפואי אינו תקין, אך יש להתחשב בקושי הנוסף בפניו ניצב נאשם זה בעת ריצוי מאסר,</w:t>
      </w:r>
    </w:p>
    <w:p w14:paraId="3C72B075" w14:textId="77777777" w:rsidR="009539A1" w:rsidRDefault="006B62C5">
      <w:pPr>
        <w:spacing w:line="360" w:lineRule="auto"/>
        <w:ind w:left="720"/>
        <w:jc w:val="both"/>
        <w:rPr>
          <w:rtl/>
        </w:rPr>
      </w:pPr>
      <w:r>
        <w:rPr>
          <w:rFonts w:hint="cs"/>
          <w:rtl/>
        </w:rPr>
        <w:t>לעומת אסירים שאינם סובלים ממצב רפואי דומה.</w:t>
      </w:r>
    </w:p>
    <w:p w14:paraId="16E855B8" w14:textId="77777777" w:rsidR="009539A1" w:rsidRDefault="009539A1">
      <w:pPr>
        <w:spacing w:line="360" w:lineRule="auto"/>
        <w:ind w:left="720"/>
        <w:jc w:val="both"/>
        <w:rPr>
          <w:rtl/>
        </w:rPr>
      </w:pPr>
    </w:p>
    <w:p w14:paraId="6A2D25D2" w14:textId="77777777" w:rsidR="009539A1" w:rsidRDefault="006B62C5">
      <w:pPr>
        <w:spacing w:line="360" w:lineRule="auto"/>
        <w:ind w:left="720"/>
        <w:jc w:val="both"/>
        <w:rPr>
          <w:rtl/>
        </w:rPr>
      </w:pPr>
      <w:r>
        <w:rPr>
          <w:rFonts w:hint="cs"/>
          <w:rtl/>
        </w:rPr>
        <w:t>עם זאת אבהיר, כי אין במצבו הרפואי של הנאשם, כדי להביא לחריגה לקולה ממתחם העונש ההולם. ההסתמכות, בעניין זה, על גזר הדין שניתן בעניינו של לופוליאנסקי, ב</w:t>
      </w:r>
      <w:hyperlink r:id="rId45" w:history="1">
        <w:r w:rsidRPr="006B62C5">
          <w:rPr>
            <w:b/>
            <w:bCs/>
            <w:color w:val="0000FF"/>
            <w:u w:val="single"/>
            <w:rtl/>
          </w:rPr>
          <w:t>ע"פ 5669/14</w:t>
        </w:r>
      </w:hyperlink>
      <w:r>
        <w:rPr>
          <w:b/>
          <w:bCs/>
          <w:rtl/>
        </w:rPr>
        <w:t xml:space="preserve"> אורי לופוליאנסקי נ' מדינת ישראל </w:t>
      </w:r>
      <w:r>
        <w:rPr>
          <w:rFonts w:hint="cs"/>
          <w:rtl/>
        </w:rPr>
        <w:t>(מיום 29.12.15), עמ' 33 (תקציר בית משפט), איננה ממין העניין. די, לעניין זה, שאומר כי היה מדובר, שם, במצב רפואי חריג, בו  הובאו חוו"ד רפואיות מהן עלה שהנאשם חולה במחלה קשה ושאפשר שתוחלת חייו תקוצר במידה ניכרת את יישא מאסר בפועל. בענייננו לא הובאה חוו"ד דומה.</w:t>
      </w:r>
    </w:p>
    <w:p w14:paraId="6110C90C" w14:textId="77777777" w:rsidR="009539A1" w:rsidRDefault="009539A1">
      <w:pPr>
        <w:spacing w:line="360" w:lineRule="auto"/>
        <w:ind w:left="720"/>
        <w:jc w:val="both"/>
        <w:rPr>
          <w:rtl/>
        </w:rPr>
      </w:pPr>
    </w:p>
    <w:p w14:paraId="5BFDB071" w14:textId="77777777" w:rsidR="009539A1" w:rsidRDefault="006B62C5">
      <w:pPr>
        <w:spacing w:line="360" w:lineRule="auto"/>
        <w:jc w:val="both"/>
        <w:rPr>
          <w:rtl/>
        </w:rPr>
      </w:pPr>
      <w:r>
        <w:rPr>
          <w:rFonts w:hint="cs"/>
          <w:rtl/>
        </w:rPr>
        <w:t xml:space="preserve">18.       </w:t>
      </w:r>
      <w:r>
        <w:rPr>
          <w:rFonts w:hint="cs"/>
          <w:u w:val="single"/>
          <w:rtl/>
        </w:rPr>
        <w:t xml:space="preserve">סופו של דבר, </w:t>
      </w:r>
      <w:r>
        <w:rPr>
          <w:u w:val="single"/>
          <w:rtl/>
        </w:rPr>
        <w:t>אני גוזרת על הנאשם את העונשים הבאים</w:t>
      </w:r>
      <w:r>
        <w:rPr>
          <w:rtl/>
        </w:rPr>
        <w:t>:</w:t>
      </w:r>
    </w:p>
    <w:p w14:paraId="2E66CC26" w14:textId="77777777" w:rsidR="009539A1" w:rsidRDefault="009539A1">
      <w:pPr>
        <w:spacing w:line="360" w:lineRule="auto"/>
        <w:jc w:val="both"/>
        <w:rPr>
          <w:rtl/>
        </w:rPr>
      </w:pPr>
    </w:p>
    <w:p w14:paraId="38B29344" w14:textId="77777777" w:rsidR="009539A1" w:rsidRDefault="006B62C5">
      <w:pPr>
        <w:spacing w:line="360" w:lineRule="auto"/>
        <w:jc w:val="both"/>
        <w:rPr>
          <w:rtl/>
        </w:rPr>
      </w:pPr>
      <w:r>
        <w:rPr>
          <w:rtl/>
        </w:rPr>
        <w:tab/>
      </w:r>
      <w:r>
        <w:rPr>
          <w:rFonts w:hint="cs"/>
          <w:rtl/>
        </w:rPr>
        <w:t>א.</w:t>
      </w:r>
      <w:r>
        <w:rPr>
          <w:rFonts w:hint="cs"/>
          <w:rtl/>
        </w:rPr>
        <w:tab/>
        <w:t>מאסר בפועל למשך 30 חודשים, בניכוי ימי מעצרו - מיום 29.4.15.</w:t>
      </w:r>
    </w:p>
    <w:p w14:paraId="35C859CA" w14:textId="77777777" w:rsidR="009539A1" w:rsidRDefault="009539A1">
      <w:pPr>
        <w:spacing w:line="360" w:lineRule="auto"/>
        <w:jc w:val="both"/>
        <w:rPr>
          <w:rtl/>
        </w:rPr>
      </w:pPr>
    </w:p>
    <w:p w14:paraId="62297C2A" w14:textId="77777777" w:rsidR="009539A1" w:rsidRDefault="006B62C5">
      <w:pPr>
        <w:spacing w:line="360" w:lineRule="auto"/>
        <w:ind w:left="1440" w:hanging="720"/>
        <w:jc w:val="both"/>
        <w:rPr>
          <w:rtl/>
        </w:rPr>
      </w:pPr>
      <w:r>
        <w:rPr>
          <w:rFonts w:hint="cs"/>
          <w:rtl/>
        </w:rPr>
        <w:t>ב.</w:t>
      </w:r>
      <w:r>
        <w:rPr>
          <w:rFonts w:hint="cs"/>
          <w:rtl/>
        </w:rPr>
        <w:tab/>
        <w:t>מאסר על תנאי למשך 18 חודשים והתנאי הוא שהנאשם לא יעבור, בתוך 3 שנים מהיום בו ישוחרר מהמאסר שנגזר עליו בתיק זה, עבירת סמים או עבירת רכוש, מסוג פשע.</w:t>
      </w:r>
    </w:p>
    <w:p w14:paraId="6C8D32AB" w14:textId="77777777" w:rsidR="009539A1" w:rsidRDefault="009539A1">
      <w:pPr>
        <w:spacing w:line="360" w:lineRule="auto"/>
        <w:jc w:val="both"/>
        <w:rPr>
          <w:rtl/>
        </w:rPr>
      </w:pPr>
    </w:p>
    <w:p w14:paraId="7FDDBB09" w14:textId="77777777" w:rsidR="009539A1" w:rsidRDefault="006B62C5">
      <w:pPr>
        <w:spacing w:line="360" w:lineRule="auto"/>
        <w:ind w:left="1440" w:hanging="720"/>
        <w:jc w:val="both"/>
        <w:rPr>
          <w:rtl/>
        </w:rPr>
      </w:pPr>
      <w:r>
        <w:rPr>
          <w:rFonts w:hint="cs"/>
          <w:rtl/>
        </w:rPr>
        <w:t>ג.</w:t>
      </w:r>
      <w:r>
        <w:rPr>
          <w:rFonts w:hint="cs"/>
          <w:rtl/>
        </w:rPr>
        <w:tab/>
        <w:t>מאסר על תנאי למשך 9 חודשים והתנאי הוא שהנאשם לא יעבור, בתוך 3 שנים מהיום בו ישוחרר מהמאסר שנגזר עליו בתיק זה, עבירת סמים או עבירת רכוש, מסוג עוון.</w:t>
      </w:r>
    </w:p>
    <w:p w14:paraId="785D3E47" w14:textId="77777777" w:rsidR="009539A1" w:rsidRDefault="009539A1">
      <w:pPr>
        <w:spacing w:line="360" w:lineRule="auto"/>
        <w:jc w:val="both"/>
        <w:rPr>
          <w:rtl/>
        </w:rPr>
      </w:pPr>
    </w:p>
    <w:p w14:paraId="2C2B2D4B" w14:textId="77777777" w:rsidR="009539A1" w:rsidRDefault="006B62C5">
      <w:pPr>
        <w:spacing w:line="360" w:lineRule="auto"/>
        <w:jc w:val="both"/>
        <w:rPr>
          <w:rtl/>
        </w:rPr>
      </w:pPr>
      <w:r>
        <w:rPr>
          <w:rtl/>
        </w:rPr>
        <w:tab/>
      </w:r>
      <w:r>
        <w:rPr>
          <w:rFonts w:hint="cs"/>
          <w:rtl/>
        </w:rPr>
        <w:t>ד.</w:t>
      </w:r>
      <w:r>
        <w:rPr>
          <w:rFonts w:hint="cs"/>
          <w:rtl/>
        </w:rPr>
        <w:tab/>
        <w:t>אני גוזרת על הנאשם קנס בסך 10,000 ₪ או חודש מאסר תמורתו.</w:t>
      </w:r>
    </w:p>
    <w:p w14:paraId="0F7567B2" w14:textId="77777777" w:rsidR="009539A1" w:rsidRDefault="009539A1">
      <w:pPr>
        <w:spacing w:line="360" w:lineRule="auto"/>
        <w:jc w:val="both"/>
        <w:rPr>
          <w:rtl/>
        </w:rPr>
      </w:pPr>
    </w:p>
    <w:p w14:paraId="2617DC27" w14:textId="77777777" w:rsidR="009539A1" w:rsidRDefault="006B62C5">
      <w:pPr>
        <w:spacing w:line="360" w:lineRule="auto"/>
        <w:ind w:left="1440"/>
        <w:jc w:val="both"/>
        <w:rPr>
          <w:rtl/>
        </w:rPr>
      </w:pPr>
      <w:r>
        <w:rPr>
          <w:rFonts w:hint="cs"/>
          <w:rtl/>
        </w:rPr>
        <w:t>הקנס ישולם ב- 20 תשלומים חודשיים שווים ורצופים, בני 500 ₪ כל אחד, החל מיום 1.1.2017 ובכל 1 לכל חודש שלאחר מכן.</w:t>
      </w:r>
    </w:p>
    <w:p w14:paraId="7C657864" w14:textId="77777777" w:rsidR="009539A1" w:rsidRDefault="009539A1">
      <w:pPr>
        <w:spacing w:line="360" w:lineRule="auto"/>
        <w:jc w:val="both"/>
        <w:rPr>
          <w:rtl/>
        </w:rPr>
      </w:pPr>
    </w:p>
    <w:p w14:paraId="5BC88552" w14:textId="77777777" w:rsidR="009539A1" w:rsidRDefault="006B62C5">
      <w:pPr>
        <w:spacing w:line="360" w:lineRule="auto"/>
        <w:ind w:left="720" w:firstLine="720"/>
        <w:jc w:val="both"/>
        <w:rPr>
          <w:rtl/>
        </w:rPr>
      </w:pPr>
      <w:r>
        <w:rPr>
          <w:rFonts w:hint="cs"/>
          <w:rtl/>
        </w:rPr>
        <w:t>לא ישולם תשלום אחד או יותר, במלואו ובמועדו, תעמוד כל היתרה לפירעון מידי.</w:t>
      </w:r>
    </w:p>
    <w:p w14:paraId="36AF7155" w14:textId="77777777" w:rsidR="009539A1" w:rsidRPr="006B62C5" w:rsidRDefault="006B62C5">
      <w:pPr>
        <w:spacing w:line="360" w:lineRule="auto"/>
        <w:jc w:val="both"/>
        <w:rPr>
          <w:color w:val="FFFFFF"/>
          <w:sz w:val="2"/>
          <w:szCs w:val="2"/>
          <w:rtl/>
        </w:rPr>
      </w:pPr>
      <w:r w:rsidRPr="006B62C5">
        <w:rPr>
          <w:color w:val="FFFFFF"/>
          <w:sz w:val="2"/>
          <w:szCs w:val="2"/>
          <w:rtl/>
        </w:rPr>
        <w:t>5129371</w:t>
      </w:r>
    </w:p>
    <w:p w14:paraId="039B9BDB" w14:textId="77777777" w:rsidR="009539A1" w:rsidRDefault="006B62C5">
      <w:pPr>
        <w:spacing w:line="360" w:lineRule="auto"/>
        <w:jc w:val="both"/>
        <w:rPr>
          <w:b/>
          <w:bCs/>
          <w:rtl/>
        </w:rPr>
      </w:pPr>
      <w:r w:rsidRPr="006B62C5">
        <w:rPr>
          <w:b/>
          <w:bCs/>
          <w:color w:val="FFFFFF"/>
          <w:sz w:val="2"/>
          <w:szCs w:val="2"/>
          <w:rtl/>
        </w:rPr>
        <w:t>54678313</w:t>
      </w:r>
      <w:r>
        <w:rPr>
          <w:rFonts w:hint="cs"/>
          <w:b/>
          <w:bCs/>
          <w:rtl/>
        </w:rPr>
        <w:t>זכות ערעור לבית המשפט העליון, תוך 45 ימים.</w:t>
      </w:r>
    </w:p>
    <w:p w14:paraId="03B6C919" w14:textId="77777777" w:rsidR="009539A1" w:rsidRDefault="009539A1">
      <w:pPr>
        <w:spacing w:line="360" w:lineRule="auto"/>
        <w:jc w:val="both"/>
        <w:rPr>
          <w:rtl/>
        </w:rPr>
      </w:pPr>
    </w:p>
    <w:p w14:paraId="164D81D3" w14:textId="77777777" w:rsidR="009539A1" w:rsidRDefault="006B62C5">
      <w:pPr>
        <w:rPr>
          <w:rFonts w:cs="FrankRuehl"/>
          <w:sz w:val="28"/>
          <w:szCs w:val="28"/>
          <w:rtl/>
        </w:rPr>
      </w:pPr>
      <w:r>
        <w:rPr>
          <w:rFonts w:ascii="Arial" w:hAnsi="Arial"/>
          <w:rtl/>
        </w:rPr>
        <w:t xml:space="preserve">ניתן היום,  ט"ו סיוון תשע"ו, 21 יוני 2016, בהעדר הצדדים. </w:t>
      </w:r>
    </w:p>
    <w:p w14:paraId="367A48E8" w14:textId="77777777" w:rsidR="009539A1" w:rsidRDefault="006B62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4BAA2D" w14:textId="77777777" w:rsidR="009539A1" w:rsidRDefault="009539A1">
      <w:pPr>
        <w:jc w:val="center"/>
        <w:rPr>
          <w:rFonts w:ascii="Arial" w:hAnsi="Arial" w:cs="FrankRuehl"/>
          <w:sz w:val="28"/>
          <w:szCs w:val="28"/>
          <w:rtl/>
        </w:rPr>
      </w:pPr>
    </w:p>
    <w:p w14:paraId="4DCC352C" w14:textId="77777777" w:rsidR="006B62C5" w:rsidRPr="004B743C" w:rsidRDefault="004B743C" w:rsidP="006B62C5">
      <w:pPr>
        <w:keepNext/>
        <w:rPr>
          <w:rFonts w:ascii="David" w:hAnsi="David"/>
          <w:color w:val="FFFFFF"/>
          <w:sz w:val="2"/>
          <w:szCs w:val="2"/>
          <w:rtl/>
        </w:rPr>
      </w:pPr>
      <w:r w:rsidRPr="004B743C">
        <w:rPr>
          <w:rFonts w:ascii="David" w:hAnsi="David"/>
          <w:color w:val="FFFFFF"/>
          <w:sz w:val="2"/>
          <w:szCs w:val="2"/>
          <w:rtl/>
        </w:rPr>
        <w:t>5129371</w:t>
      </w:r>
    </w:p>
    <w:p w14:paraId="2E20B4FF" w14:textId="77777777" w:rsidR="006B62C5" w:rsidRDefault="006B62C5" w:rsidP="006B62C5">
      <w:pPr>
        <w:rPr>
          <w:rtl/>
        </w:rPr>
      </w:pPr>
    </w:p>
    <w:p w14:paraId="37CC7693" w14:textId="77777777" w:rsidR="006B62C5" w:rsidRDefault="006B62C5" w:rsidP="006B62C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39EDBA5F" w14:textId="77777777" w:rsidR="009539A1" w:rsidRDefault="009539A1" w:rsidP="006B62C5">
      <w:pPr>
        <w:jc w:val="center"/>
        <w:rPr>
          <w:rFonts w:hint="cs"/>
          <w:color w:val="0000FF"/>
          <w:u w:val="single"/>
          <w:rtl/>
        </w:rPr>
      </w:pPr>
    </w:p>
    <w:p w14:paraId="7013A799" w14:textId="77777777" w:rsidR="004B743C" w:rsidRPr="004B743C" w:rsidRDefault="004B743C" w:rsidP="004B743C">
      <w:pPr>
        <w:keepNext/>
        <w:rPr>
          <w:rFonts w:ascii="David" w:hAnsi="David"/>
          <w:color w:val="000000"/>
          <w:sz w:val="22"/>
          <w:szCs w:val="22"/>
          <w:rtl/>
        </w:rPr>
      </w:pPr>
    </w:p>
    <w:p w14:paraId="3D1197A9" w14:textId="77777777" w:rsidR="004B743C" w:rsidRPr="004B743C" w:rsidRDefault="004B743C" w:rsidP="004B743C">
      <w:pPr>
        <w:keepNext/>
        <w:rPr>
          <w:rFonts w:ascii="David" w:hAnsi="David"/>
          <w:color w:val="000000"/>
          <w:sz w:val="22"/>
          <w:szCs w:val="22"/>
          <w:rtl/>
        </w:rPr>
      </w:pPr>
      <w:r w:rsidRPr="004B743C">
        <w:rPr>
          <w:rFonts w:ascii="David" w:hAnsi="David"/>
          <w:color w:val="000000"/>
          <w:sz w:val="22"/>
          <w:szCs w:val="22"/>
          <w:rtl/>
        </w:rPr>
        <w:t>תמר שרון נתנאל 54678313-/</w:t>
      </w:r>
    </w:p>
    <w:p w14:paraId="66F40AA1" w14:textId="77777777" w:rsidR="007E05E9" w:rsidRPr="006B62C5" w:rsidRDefault="004B743C" w:rsidP="004B743C">
      <w:pPr>
        <w:rPr>
          <w:color w:val="0000FF"/>
          <w:u w:val="single"/>
        </w:rPr>
      </w:pPr>
      <w:r w:rsidRPr="004B743C">
        <w:rPr>
          <w:color w:val="000000"/>
          <w:u w:val="single"/>
          <w:rtl/>
        </w:rPr>
        <w:t>נוסח מסמך זה כפוף לשינויי ניסוח ועריכה</w:t>
      </w:r>
    </w:p>
    <w:sectPr w:rsidR="007E05E9" w:rsidRPr="006B62C5" w:rsidSect="004B743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CB21F" w14:textId="77777777" w:rsidR="00E6524C" w:rsidRDefault="00E6524C">
      <w:r>
        <w:separator/>
      </w:r>
    </w:p>
  </w:endnote>
  <w:endnote w:type="continuationSeparator" w:id="0">
    <w:p w14:paraId="6DA6B203" w14:textId="77777777" w:rsidR="00E6524C" w:rsidRDefault="00E6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C4E38" w14:textId="77777777" w:rsidR="004B743C" w:rsidRDefault="004B743C" w:rsidP="004B74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C16DBE" w14:textId="77777777" w:rsidR="00A21030" w:rsidRPr="004B743C" w:rsidRDefault="004B743C" w:rsidP="004B743C">
    <w:pPr>
      <w:pStyle w:val="a4"/>
      <w:pBdr>
        <w:top w:val="single" w:sz="4" w:space="1" w:color="auto"/>
        <w:between w:val="single" w:sz="4" w:space="0" w:color="auto"/>
      </w:pBdr>
      <w:spacing w:after="60"/>
      <w:jc w:val="center"/>
      <w:rPr>
        <w:rFonts w:ascii="FrankRuehl" w:hAnsi="FrankRuehl" w:cs="FrankRuehl"/>
        <w:color w:val="000000"/>
      </w:rPr>
    </w:pPr>
    <w:r w:rsidRPr="004B74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F66F1" w14:textId="77777777" w:rsidR="004B743C" w:rsidRDefault="004B743C" w:rsidP="004B74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8D005F" w14:textId="77777777" w:rsidR="00A21030" w:rsidRPr="004B743C" w:rsidRDefault="004B743C" w:rsidP="004B743C">
    <w:pPr>
      <w:pStyle w:val="a4"/>
      <w:pBdr>
        <w:top w:val="single" w:sz="4" w:space="1" w:color="auto"/>
        <w:between w:val="single" w:sz="4" w:space="0" w:color="auto"/>
      </w:pBdr>
      <w:spacing w:after="60"/>
      <w:jc w:val="center"/>
      <w:rPr>
        <w:rFonts w:ascii="FrankRuehl" w:hAnsi="FrankRuehl" w:cs="FrankRuehl"/>
        <w:color w:val="000000"/>
      </w:rPr>
    </w:pPr>
    <w:r w:rsidRPr="004B743C">
      <w:rPr>
        <w:rFonts w:ascii="FrankRuehl" w:hAnsi="FrankRuehl" w:cs="FrankRuehl"/>
        <w:color w:val="000000"/>
      </w:rPr>
      <w:pict w14:anchorId="46977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8C7B" w14:textId="77777777" w:rsidR="00E6524C" w:rsidRDefault="00E6524C">
      <w:r>
        <w:separator/>
      </w:r>
    </w:p>
  </w:footnote>
  <w:footnote w:type="continuationSeparator" w:id="0">
    <w:p w14:paraId="767A177D" w14:textId="77777777" w:rsidR="00E6524C" w:rsidRDefault="00E65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DD71" w14:textId="77777777" w:rsidR="00A21030" w:rsidRPr="004B743C" w:rsidRDefault="004B743C" w:rsidP="004B7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23408-05-15</w:t>
    </w:r>
    <w:r>
      <w:rPr>
        <w:rFonts w:ascii="David" w:hAnsi="David"/>
        <w:color w:val="000000"/>
        <w:sz w:val="22"/>
        <w:szCs w:val="22"/>
        <w:rtl/>
      </w:rPr>
      <w:tab/>
      <w:t xml:space="preserve"> מדינת ישראל נ' קונסטנטין קוגן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FAF3F" w14:textId="77777777" w:rsidR="00A21030" w:rsidRPr="004B743C" w:rsidRDefault="004B743C" w:rsidP="004B7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23408-05-15</w:t>
    </w:r>
    <w:r>
      <w:rPr>
        <w:rFonts w:ascii="David" w:hAnsi="David"/>
        <w:color w:val="000000"/>
        <w:sz w:val="22"/>
        <w:szCs w:val="22"/>
        <w:rtl/>
      </w:rPr>
      <w:tab/>
      <w:t xml:space="preserve"> מדינת ישראל נ' קונסטנטין קוגן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21B43"/>
    <w:multiLevelType w:val="hybridMultilevel"/>
    <w:tmpl w:val="309ADDEA"/>
    <w:lvl w:ilvl="0" w:tplc="F6A6F5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474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39A1"/>
    <w:rsid w:val="000E203E"/>
    <w:rsid w:val="0017055F"/>
    <w:rsid w:val="003E6F48"/>
    <w:rsid w:val="00410C49"/>
    <w:rsid w:val="004371BA"/>
    <w:rsid w:val="004B743C"/>
    <w:rsid w:val="005B3BE4"/>
    <w:rsid w:val="006B62C5"/>
    <w:rsid w:val="00786BF9"/>
    <w:rsid w:val="007E05E9"/>
    <w:rsid w:val="008C6C71"/>
    <w:rsid w:val="009539A1"/>
    <w:rsid w:val="00956D85"/>
    <w:rsid w:val="00A21030"/>
    <w:rsid w:val="00BA7E9A"/>
    <w:rsid w:val="00E6524C"/>
    <w:rsid w:val="00EC2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13DFDA"/>
  <w15:chartTrackingRefBased/>
  <w15:docId w15:val="{A60ED31D-F96C-4692-BD60-B52F91FF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9A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39A1"/>
    <w:pPr>
      <w:tabs>
        <w:tab w:val="center" w:pos="4153"/>
        <w:tab w:val="right" w:pos="8306"/>
      </w:tabs>
    </w:pPr>
  </w:style>
  <w:style w:type="paragraph" w:styleId="a4">
    <w:name w:val="footer"/>
    <w:basedOn w:val="a"/>
    <w:rsid w:val="009539A1"/>
    <w:pPr>
      <w:tabs>
        <w:tab w:val="center" w:pos="4153"/>
        <w:tab w:val="right" w:pos="8306"/>
      </w:tabs>
    </w:pPr>
  </w:style>
  <w:style w:type="character" w:styleId="a5">
    <w:name w:val="page number"/>
    <w:basedOn w:val="a0"/>
    <w:rsid w:val="009539A1"/>
  </w:style>
  <w:style w:type="paragraph" w:customStyle="1" w:styleId="1">
    <w:name w:val="פיסקת רשימה1"/>
    <w:basedOn w:val="a"/>
    <w:rsid w:val="009539A1"/>
    <w:pPr>
      <w:spacing w:after="160" w:line="259" w:lineRule="auto"/>
      <w:ind w:left="720"/>
      <w:contextualSpacing/>
    </w:pPr>
    <w:rPr>
      <w:rFonts w:ascii="Calibri" w:eastAsia="Calibri" w:hAnsi="Calibri" w:cs="Arial"/>
      <w:sz w:val="22"/>
      <w:szCs w:val="22"/>
    </w:rPr>
  </w:style>
  <w:style w:type="character" w:styleId="Hyperlink">
    <w:name w:val="Hyperlink"/>
    <w:rsid w:val="006B6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113641"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11269774" TargetMode="External"/><Relationship Id="rId42" Type="http://schemas.openxmlformats.org/officeDocument/2006/relationships/hyperlink" Target="http://www.nevo.co.il/case/1801901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13075030" TargetMode="External"/><Relationship Id="rId45" Type="http://schemas.openxmlformats.org/officeDocument/2006/relationships/hyperlink" Target="http://www.nevo.co.il/case/17954217" TargetMode="Externa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18019015" TargetMode="External"/><Relationship Id="rId36" Type="http://schemas.openxmlformats.org/officeDocument/2006/relationships/hyperlink" Target="http://www.nevo.co.il/case/5821045"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31" TargetMode="External"/><Relationship Id="rId31" Type="http://schemas.openxmlformats.org/officeDocument/2006/relationships/hyperlink" Target="http://www.nevo.co.il/law/70301/40b" TargetMode="External"/><Relationship Id="rId44" Type="http://schemas.openxmlformats.org/officeDocument/2006/relationships/hyperlink" Target="http://www.nevo.co.il/case/686302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16900334" TargetMode="External"/><Relationship Id="rId43" Type="http://schemas.openxmlformats.org/officeDocument/2006/relationships/hyperlink" Target="http://www.nevo.co.il/case/17954217"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8793705"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5844639"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38013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3459</Words>
  <Characters>17297</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20715</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3997812</vt:i4>
      </vt:variant>
      <vt:variant>
        <vt:i4>114</vt:i4>
      </vt:variant>
      <vt:variant>
        <vt:i4>0</vt:i4>
      </vt:variant>
      <vt:variant>
        <vt:i4>5</vt:i4>
      </vt:variant>
      <vt:variant>
        <vt:lpwstr>http://www.nevo.co.il/case/17954217</vt:lpwstr>
      </vt:variant>
      <vt:variant>
        <vt:lpwstr/>
      </vt:variant>
      <vt:variant>
        <vt:i4>3145853</vt:i4>
      </vt:variant>
      <vt:variant>
        <vt:i4>111</vt:i4>
      </vt:variant>
      <vt:variant>
        <vt:i4>0</vt:i4>
      </vt:variant>
      <vt:variant>
        <vt:i4>5</vt:i4>
      </vt:variant>
      <vt:variant>
        <vt:lpwstr>http://www.nevo.co.il/case/6863020</vt:lpwstr>
      </vt:variant>
      <vt:variant>
        <vt:lpwstr/>
      </vt:variant>
      <vt:variant>
        <vt:i4>3997812</vt:i4>
      </vt:variant>
      <vt:variant>
        <vt:i4>108</vt:i4>
      </vt:variant>
      <vt:variant>
        <vt:i4>0</vt:i4>
      </vt:variant>
      <vt:variant>
        <vt:i4>5</vt:i4>
      </vt:variant>
      <vt:variant>
        <vt:lpwstr>http://www.nevo.co.il/case/17954217</vt:lpwstr>
      </vt:variant>
      <vt:variant>
        <vt:lpwstr/>
      </vt:variant>
      <vt:variant>
        <vt:i4>3735677</vt:i4>
      </vt:variant>
      <vt:variant>
        <vt:i4>105</vt:i4>
      </vt:variant>
      <vt:variant>
        <vt:i4>0</vt:i4>
      </vt:variant>
      <vt:variant>
        <vt:i4>5</vt:i4>
      </vt:variant>
      <vt:variant>
        <vt:lpwstr>http://www.nevo.co.il/case/18019015</vt:lpwstr>
      </vt:variant>
      <vt:variant>
        <vt:lpwstr/>
      </vt:variant>
      <vt:variant>
        <vt:i4>77</vt:i4>
      </vt:variant>
      <vt:variant>
        <vt:i4>102</vt:i4>
      </vt:variant>
      <vt:variant>
        <vt:i4>0</vt:i4>
      </vt:variant>
      <vt:variant>
        <vt:i4>5</vt:i4>
      </vt:variant>
      <vt:variant>
        <vt:lpwstr>http://www.nevo.co.il/case/380132</vt:lpwstr>
      </vt:variant>
      <vt:variant>
        <vt:lpwstr/>
      </vt:variant>
      <vt:variant>
        <vt:i4>3604592</vt:i4>
      </vt:variant>
      <vt:variant>
        <vt:i4>99</vt:i4>
      </vt:variant>
      <vt:variant>
        <vt:i4>0</vt:i4>
      </vt:variant>
      <vt:variant>
        <vt:i4>5</vt:i4>
      </vt:variant>
      <vt:variant>
        <vt:lpwstr>http://www.nevo.co.il/case/13075030</vt:lpwstr>
      </vt:variant>
      <vt:variant>
        <vt:lpwstr/>
      </vt:variant>
      <vt:variant>
        <vt:i4>3407987</vt:i4>
      </vt:variant>
      <vt:variant>
        <vt:i4>96</vt:i4>
      </vt:variant>
      <vt:variant>
        <vt:i4>0</vt:i4>
      </vt:variant>
      <vt:variant>
        <vt:i4>5</vt:i4>
      </vt:variant>
      <vt:variant>
        <vt:lpwstr>http://www.nevo.co.il/case/20113641</vt:lpwstr>
      </vt:variant>
      <vt:variant>
        <vt:lpwstr/>
      </vt:variant>
      <vt:variant>
        <vt:i4>4063355</vt:i4>
      </vt:variant>
      <vt:variant>
        <vt:i4>93</vt:i4>
      </vt:variant>
      <vt:variant>
        <vt:i4>0</vt:i4>
      </vt:variant>
      <vt:variant>
        <vt:i4>5</vt:i4>
      </vt:variant>
      <vt:variant>
        <vt:lpwstr>http://www.nevo.co.il/case/5844639</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3276921</vt:i4>
      </vt:variant>
      <vt:variant>
        <vt:i4>87</vt:i4>
      </vt:variant>
      <vt:variant>
        <vt:i4>0</vt:i4>
      </vt:variant>
      <vt:variant>
        <vt:i4>5</vt:i4>
      </vt:variant>
      <vt:variant>
        <vt:lpwstr>http://www.nevo.co.il/case/5821045</vt:lpwstr>
      </vt:variant>
      <vt:variant>
        <vt:lpwstr/>
      </vt:variant>
      <vt:variant>
        <vt:i4>3866737</vt:i4>
      </vt:variant>
      <vt:variant>
        <vt:i4>84</vt:i4>
      </vt:variant>
      <vt:variant>
        <vt:i4>0</vt:i4>
      </vt:variant>
      <vt:variant>
        <vt:i4>5</vt:i4>
      </vt:variant>
      <vt:variant>
        <vt:lpwstr>http://www.nevo.co.il/case/16900334</vt:lpwstr>
      </vt:variant>
      <vt:variant>
        <vt:lpwstr/>
      </vt:variant>
      <vt:variant>
        <vt:i4>3997812</vt:i4>
      </vt:variant>
      <vt:variant>
        <vt:i4>81</vt:i4>
      </vt:variant>
      <vt:variant>
        <vt:i4>0</vt:i4>
      </vt:variant>
      <vt:variant>
        <vt:i4>5</vt:i4>
      </vt:variant>
      <vt:variant>
        <vt:lpwstr>http://www.nevo.co.il/case/11269774</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3735677</vt:i4>
      </vt:variant>
      <vt:variant>
        <vt:i4>63</vt:i4>
      </vt:variant>
      <vt:variant>
        <vt:i4>0</vt:i4>
      </vt:variant>
      <vt:variant>
        <vt:i4>5</vt:i4>
      </vt:variant>
      <vt:variant>
        <vt:lpwstr>http://www.nevo.co.il/case/18019015</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3473522</vt:i4>
      </vt:variant>
      <vt:variant>
        <vt:i4>54</vt:i4>
      </vt:variant>
      <vt:variant>
        <vt:i4>0</vt:i4>
      </vt:variant>
      <vt:variant>
        <vt:i4>5</vt:i4>
      </vt:variant>
      <vt:variant>
        <vt:lpwstr>http://www.nevo.co.il/case/18793705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2025-04-22T20:38:00Z</dcterms:created>
  <dcterms:modified xsi:type="dcterms:W3CDTF">2025-04-22T20:38:00Z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23408</vt:lpwstr>
  </property>
  <property fmtid="{D5CDD505-2E9C-101B-9397-08002B2CF9AE}" pid="9" name="NEWPARTB">
    <vt:lpwstr>05</vt:lpwstr>
  </property>
  <property fmtid="{D5CDD505-2E9C-101B-9397-08002B2CF9AE}" pid="10" name="NEWPARTC">
    <vt:lpwstr>15</vt:lpwstr>
  </property>
  <property fmtid="{D5CDD505-2E9C-101B-9397-08002B2CF9AE}" pid="11" name="APPELLANT">
    <vt:lpwstr>מדינת ישראל</vt:lpwstr>
  </property>
  <property fmtid="{D5CDD505-2E9C-101B-9397-08002B2CF9AE}" pid="12" name="APPELLEE">
    <vt:lpwstr>קונסטנטין קוגן</vt:lpwstr>
  </property>
  <property fmtid="{D5CDD505-2E9C-101B-9397-08002B2CF9AE}" pid="13" name="LAWYER">
    <vt:lpwstr>סרי;פרחובניק </vt:lpwstr>
  </property>
  <property fmtid="{D5CDD505-2E9C-101B-9397-08002B2CF9AE}" pid="14" name="JUDGE">
    <vt:lpwstr>תמר שרון נתנאל</vt:lpwstr>
  </property>
  <property fmtid="{D5CDD505-2E9C-101B-9397-08002B2CF9AE}" pid="15" name="CITY">
    <vt:lpwstr>חי'</vt:lpwstr>
  </property>
  <property fmtid="{D5CDD505-2E9C-101B-9397-08002B2CF9AE}" pid="16" name="DATE">
    <vt:lpwstr>20160621</vt:lpwstr>
  </property>
  <property fmtid="{D5CDD505-2E9C-101B-9397-08002B2CF9AE}" pid="17" name="TYPE_N_DATE">
    <vt:lpwstr>39020160621</vt:lpwstr>
  </property>
  <property fmtid="{D5CDD505-2E9C-101B-9397-08002B2CF9AE}" pid="18" name="ISABSTRACT">
    <vt:lpwstr>Y</vt:lpwstr>
  </property>
  <property fmtid="{D5CDD505-2E9C-101B-9397-08002B2CF9AE}" pid="19" name="WORDNUMPAGES">
    <vt:lpwstr>12</vt:lpwstr>
  </property>
  <property fmtid="{D5CDD505-2E9C-101B-9397-08002B2CF9AE}" pid="20" name="TYPE_ABS_DATE">
    <vt:lpwstr>390020160621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18793705;18019015:2;5738608:2;5786821;11269774;16900334;5821045;5844639;20113641;13075030;380132;17954217:2;6863020</vt:lpwstr>
  </property>
  <property fmtid="{D5CDD505-2E9C-101B-9397-08002B2CF9AE}" pid="36" name="LAWLISTTMP1">
    <vt:lpwstr>4216/007.a;007.c;013;019a</vt:lpwstr>
  </property>
  <property fmtid="{D5CDD505-2E9C-101B-9397-08002B2CF9AE}" pid="37" name="LAWLISTTMP2">
    <vt:lpwstr>70301/025;031;040b:2</vt:lpwstr>
  </property>
</Properties>
</file>