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81444" w:rsidRPr="005A5ED4" w14:paraId="3C86AECC" w14:textId="77777777" w:rsidTr="001B0530">
        <w:trPr>
          <w:trHeight w:hRule="exact" w:val="418"/>
          <w:jc w:val="center"/>
        </w:trPr>
        <w:tc>
          <w:tcPr>
            <w:tcW w:w="8721" w:type="dxa"/>
            <w:gridSpan w:val="2"/>
          </w:tcPr>
          <w:p w14:paraId="00C5BA3F" w14:textId="77777777" w:rsidR="00781444" w:rsidRPr="005A5ED4" w:rsidRDefault="00781444" w:rsidP="00557798">
            <w:pPr>
              <w:pStyle w:val="a3"/>
              <w:jc w:val="center"/>
              <w:rPr>
                <w:rFonts w:ascii="Tahoma" w:hAnsi="Tahoma" w:cs="Tahoma"/>
                <w:color w:val="000080"/>
                <w:rtl/>
              </w:rPr>
            </w:pPr>
            <w:bookmarkStart w:id="0" w:name="FirstLawyer"/>
            <w:r w:rsidRPr="005A5ED4">
              <w:rPr>
                <w:rFonts w:ascii="Tahoma" w:hAnsi="Tahoma" w:cs="Tahoma"/>
                <w:b/>
                <w:bCs/>
                <w:color w:val="000080"/>
                <w:rtl/>
              </w:rPr>
              <w:t>בית המשפט המחוזי בחיפה</w:t>
            </w:r>
          </w:p>
        </w:tc>
      </w:tr>
      <w:tr w:rsidR="00781444" w:rsidRPr="005A5ED4" w14:paraId="3A6EECA1" w14:textId="77777777" w:rsidTr="001B0530">
        <w:trPr>
          <w:trHeight w:val="337"/>
          <w:jc w:val="center"/>
        </w:trPr>
        <w:tc>
          <w:tcPr>
            <w:tcW w:w="5054" w:type="dxa"/>
          </w:tcPr>
          <w:p w14:paraId="15EC8C86" w14:textId="77777777" w:rsidR="00781444" w:rsidRPr="005A5ED4" w:rsidRDefault="00781444" w:rsidP="00557798">
            <w:pPr>
              <w:rPr>
                <w:rFonts w:cs="FrankRuehl"/>
                <w:sz w:val="28"/>
                <w:szCs w:val="28"/>
                <w:rtl/>
              </w:rPr>
            </w:pPr>
            <w:r w:rsidRPr="005A5ED4">
              <w:rPr>
                <w:rFonts w:cs="FrankRuehl"/>
                <w:sz w:val="28"/>
                <w:szCs w:val="28"/>
                <w:rtl/>
              </w:rPr>
              <w:t>ת"פ</w:t>
            </w:r>
            <w:r w:rsidRPr="005A5ED4">
              <w:rPr>
                <w:rFonts w:cs="FrankRuehl" w:hint="cs"/>
                <w:sz w:val="28"/>
                <w:szCs w:val="28"/>
                <w:rtl/>
              </w:rPr>
              <w:t xml:space="preserve"> </w:t>
            </w:r>
            <w:r w:rsidRPr="005A5ED4">
              <w:rPr>
                <w:rFonts w:cs="FrankRuehl"/>
                <w:sz w:val="28"/>
                <w:szCs w:val="28"/>
                <w:rtl/>
              </w:rPr>
              <w:t>3597-05-15</w:t>
            </w:r>
            <w:r w:rsidRPr="005A5ED4">
              <w:rPr>
                <w:rFonts w:cs="FrankRuehl" w:hint="cs"/>
                <w:sz w:val="28"/>
                <w:szCs w:val="28"/>
                <w:rtl/>
              </w:rPr>
              <w:t xml:space="preserve"> </w:t>
            </w:r>
            <w:r w:rsidRPr="005A5ED4">
              <w:rPr>
                <w:rFonts w:cs="FrankRuehl"/>
                <w:sz w:val="28"/>
                <w:szCs w:val="28"/>
                <w:rtl/>
              </w:rPr>
              <w:t>מדינת ישראל נ' עמבר</w:t>
            </w:r>
          </w:p>
          <w:p w14:paraId="2ED7A967" w14:textId="77777777" w:rsidR="00781444" w:rsidRPr="005A5ED4" w:rsidRDefault="00781444" w:rsidP="00557798">
            <w:pPr>
              <w:pStyle w:val="a3"/>
              <w:rPr>
                <w:rFonts w:cs="FrankRuehl"/>
                <w:sz w:val="8"/>
                <w:szCs w:val="8"/>
                <w:rtl/>
              </w:rPr>
            </w:pPr>
            <w:r w:rsidRPr="005A5ED4">
              <w:rPr>
                <w:rFonts w:cs="FrankRuehl" w:hint="cs"/>
                <w:sz w:val="8"/>
                <w:szCs w:val="8"/>
                <w:rtl/>
              </w:rPr>
              <w:t>]</w:t>
            </w:r>
          </w:p>
        </w:tc>
        <w:tc>
          <w:tcPr>
            <w:tcW w:w="3667" w:type="dxa"/>
          </w:tcPr>
          <w:p w14:paraId="228A9B27" w14:textId="77777777" w:rsidR="00781444" w:rsidRPr="005A5ED4" w:rsidRDefault="00781444" w:rsidP="00557798">
            <w:pPr>
              <w:pStyle w:val="a3"/>
              <w:jc w:val="right"/>
              <w:rPr>
                <w:rFonts w:cs="FrankRuehl"/>
                <w:sz w:val="28"/>
                <w:szCs w:val="28"/>
                <w:rtl/>
              </w:rPr>
            </w:pPr>
          </w:p>
        </w:tc>
      </w:tr>
    </w:tbl>
    <w:p w14:paraId="4C789E93" w14:textId="77777777" w:rsidR="00781444" w:rsidRPr="005A5ED4" w:rsidRDefault="00781444" w:rsidP="00781444">
      <w:pPr>
        <w:pStyle w:val="a3"/>
        <w:rPr>
          <w:rtl/>
        </w:rPr>
      </w:pPr>
      <w:r w:rsidRPr="005A5ED4">
        <w:rPr>
          <w:rFonts w:hint="cs"/>
          <w:rtl/>
        </w:rPr>
        <w:t xml:space="preserve"> </w:t>
      </w:r>
    </w:p>
    <w:p w14:paraId="4A684F2F" w14:textId="77777777" w:rsidR="00781444" w:rsidRPr="005A5ED4" w:rsidRDefault="00781444" w:rsidP="00781444">
      <w:pPr>
        <w:rPr>
          <w:rtl/>
        </w:rPr>
      </w:pPr>
    </w:p>
    <w:tbl>
      <w:tblPr>
        <w:bidiVisual/>
        <w:tblW w:w="8802" w:type="dxa"/>
        <w:tblLook w:val="01E0" w:firstRow="1" w:lastRow="1" w:firstColumn="1" w:lastColumn="1" w:noHBand="0" w:noVBand="0"/>
      </w:tblPr>
      <w:tblGrid>
        <w:gridCol w:w="2880"/>
        <w:gridCol w:w="5839"/>
        <w:gridCol w:w="83"/>
      </w:tblGrid>
      <w:tr w:rsidR="00557798" w:rsidRPr="005A5ED4" w14:paraId="44B71AF7" w14:textId="77777777" w:rsidTr="00781444">
        <w:trPr>
          <w:gridAfter w:val="1"/>
          <w:wAfter w:w="55" w:type="dxa"/>
        </w:trPr>
        <w:tc>
          <w:tcPr>
            <w:tcW w:w="8719" w:type="dxa"/>
            <w:gridSpan w:val="2"/>
            <w:shd w:val="clear" w:color="auto" w:fill="auto"/>
          </w:tcPr>
          <w:p w14:paraId="1EB2997D" w14:textId="77777777" w:rsidR="00781444" w:rsidRPr="005A5ED4" w:rsidRDefault="00781444" w:rsidP="00557798">
            <w:pPr>
              <w:rPr>
                <w:b/>
                <w:bCs/>
                <w:sz w:val="26"/>
                <w:szCs w:val="26"/>
                <w:rtl/>
              </w:rPr>
            </w:pPr>
            <w:r w:rsidRPr="005A5ED4">
              <w:rPr>
                <w:rFonts w:hint="cs"/>
                <w:b/>
                <w:bCs/>
                <w:sz w:val="26"/>
                <w:szCs w:val="26"/>
                <w:rtl/>
              </w:rPr>
              <w:t>לפני כבוד השופט רון סוקול, סגן נשיא</w:t>
            </w:r>
            <w:r w:rsidRPr="005A5ED4">
              <w:rPr>
                <w:rFonts w:hint="cs"/>
                <w:rtl/>
              </w:rPr>
              <w:br/>
            </w:r>
            <w:r w:rsidRPr="005A5ED4">
              <w:rPr>
                <w:rStyle w:val="TimesNewRomanTimesNewRoman"/>
                <w:rFonts w:hint="cs"/>
                <w:rtl/>
              </w:rPr>
              <w:t xml:space="preserve"> </w:t>
            </w:r>
          </w:p>
        </w:tc>
      </w:tr>
      <w:tr w:rsidR="00557798" w:rsidRPr="005A5ED4" w14:paraId="78B3257C" w14:textId="77777777" w:rsidTr="00781444">
        <w:tc>
          <w:tcPr>
            <w:tcW w:w="2880" w:type="dxa"/>
            <w:shd w:val="clear" w:color="auto" w:fill="auto"/>
          </w:tcPr>
          <w:p w14:paraId="3F92454E" w14:textId="77777777" w:rsidR="00781444" w:rsidRPr="005A5ED4" w:rsidRDefault="00781444" w:rsidP="00557798">
            <w:pPr>
              <w:rPr>
                <w:b/>
                <w:bCs/>
                <w:sz w:val="26"/>
                <w:szCs w:val="26"/>
                <w:rtl/>
              </w:rPr>
            </w:pPr>
            <w:bookmarkStart w:id="1" w:name="FirstAppellant"/>
            <w:bookmarkStart w:id="2" w:name="LastJudge"/>
            <w:bookmarkEnd w:id="2"/>
            <w:r w:rsidRPr="005A5ED4">
              <w:rPr>
                <w:rFonts w:hint="cs"/>
                <w:b/>
                <w:bCs/>
                <w:sz w:val="26"/>
                <w:szCs w:val="26"/>
                <w:rtl/>
              </w:rPr>
              <w:t>המאשימה</w:t>
            </w:r>
          </w:p>
        </w:tc>
        <w:tc>
          <w:tcPr>
            <w:tcW w:w="5922" w:type="dxa"/>
            <w:gridSpan w:val="2"/>
            <w:shd w:val="clear" w:color="auto" w:fill="auto"/>
          </w:tcPr>
          <w:p w14:paraId="6979976D" w14:textId="77777777" w:rsidR="00781444" w:rsidRPr="005A5ED4" w:rsidRDefault="00781444" w:rsidP="00557798">
            <w:pPr>
              <w:rPr>
                <w:b/>
                <w:bCs/>
                <w:sz w:val="26"/>
                <w:szCs w:val="26"/>
                <w:rtl/>
              </w:rPr>
            </w:pPr>
            <w:r w:rsidRPr="005A5ED4">
              <w:rPr>
                <w:rFonts w:hint="cs"/>
                <w:b/>
                <w:bCs/>
                <w:sz w:val="26"/>
                <w:szCs w:val="26"/>
                <w:rtl/>
              </w:rPr>
              <w:t>מדינת ישראל</w:t>
            </w:r>
            <w:r w:rsidRPr="005A5ED4">
              <w:rPr>
                <w:rFonts w:hint="cs"/>
                <w:b/>
                <w:bCs/>
                <w:sz w:val="26"/>
                <w:szCs w:val="26"/>
                <w:rtl/>
              </w:rPr>
              <w:br/>
            </w:r>
            <w:r w:rsidRPr="005A5ED4">
              <w:rPr>
                <w:rFonts w:hint="cs"/>
                <w:rtl/>
              </w:rPr>
              <w:t>ע"י ב"כ עוה"ד ש' אדלר מפרקליטות מחוז חיפה (פלילי)</w:t>
            </w:r>
          </w:p>
        </w:tc>
      </w:tr>
      <w:bookmarkEnd w:id="1"/>
      <w:tr w:rsidR="00557798" w:rsidRPr="005A5ED4" w14:paraId="00C9023D" w14:textId="77777777" w:rsidTr="00781444">
        <w:tc>
          <w:tcPr>
            <w:tcW w:w="8802" w:type="dxa"/>
            <w:gridSpan w:val="3"/>
            <w:shd w:val="clear" w:color="auto" w:fill="auto"/>
          </w:tcPr>
          <w:p w14:paraId="0BB1EDAD" w14:textId="77777777" w:rsidR="00781444" w:rsidRPr="005A5ED4" w:rsidRDefault="00781444" w:rsidP="00781444">
            <w:pPr>
              <w:jc w:val="center"/>
              <w:rPr>
                <w:rFonts w:ascii="Arial" w:hAnsi="Arial"/>
                <w:b/>
                <w:bCs/>
                <w:sz w:val="26"/>
                <w:szCs w:val="26"/>
                <w:rtl/>
              </w:rPr>
            </w:pPr>
          </w:p>
          <w:p w14:paraId="43F7C16A" w14:textId="77777777" w:rsidR="00781444" w:rsidRPr="005A5ED4" w:rsidRDefault="00781444" w:rsidP="00781444">
            <w:pPr>
              <w:jc w:val="center"/>
              <w:rPr>
                <w:rFonts w:ascii="Arial" w:hAnsi="Arial"/>
                <w:b/>
                <w:bCs/>
                <w:sz w:val="26"/>
                <w:szCs w:val="26"/>
                <w:rtl/>
              </w:rPr>
            </w:pPr>
            <w:r w:rsidRPr="005A5ED4">
              <w:rPr>
                <w:rFonts w:ascii="Arial" w:hAnsi="Arial" w:hint="cs"/>
                <w:b/>
                <w:bCs/>
                <w:sz w:val="26"/>
                <w:szCs w:val="26"/>
                <w:rtl/>
              </w:rPr>
              <w:t>נגד</w:t>
            </w:r>
          </w:p>
          <w:p w14:paraId="12C3E8DC" w14:textId="77777777" w:rsidR="00781444" w:rsidRPr="005A5ED4" w:rsidRDefault="00781444" w:rsidP="00557798">
            <w:pPr>
              <w:rPr>
                <w:rFonts w:ascii="Arial" w:hAnsi="Arial"/>
                <w:b/>
                <w:bCs/>
                <w:sz w:val="26"/>
                <w:szCs w:val="26"/>
                <w:rtl/>
              </w:rPr>
            </w:pPr>
          </w:p>
        </w:tc>
      </w:tr>
      <w:tr w:rsidR="00557798" w:rsidRPr="005A5ED4" w14:paraId="4A59C034" w14:textId="77777777" w:rsidTr="00781444">
        <w:tc>
          <w:tcPr>
            <w:tcW w:w="2880" w:type="dxa"/>
            <w:shd w:val="clear" w:color="auto" w:fill="auto"/>
          </w:tcPr>
          <w:p w14:paraId="3A67881F" w14:textId="77777777" w:rsidR="00781444" w:rsidRPr="005A5ED4" w:rsidRDefault="00781444" w:rsidP="00557798">
            <w:pPr>
              <w:rPr>
                <w:b/>
                <w:bCs/>
                <w:sz w:val="26"/>
                <w:szCs w:val="26"/>
                <w:rtl/>
              </w:rPr>
            </w:pPr>
            <w:r w:rsidRPr="005A5ED4">
              <w:rPr>
                <w:rFonts w:hint="cs"/>
                <w:b/>
                <w:bCs/>
                <w:sz w:val="26"/>
                <w:szCs w:val="26"/>
                <w:rtl/>
              </w:rPr>
              <w:t>הנאשם</w:t>
            </w:r>
          </w:p>
        </w:tc>
        <w:tc>
          <w:tcPr>
            <w:tcW w:w="5922" w:type="dxa"/>
            <w:gridSpan w:val="2"/>
            <w:shd w:val="clear" w:color="auto" w:fill="auto"/>
          </w:tcPr>
          <w:p w14:paraId="30DDDC50" w14:textId="77777777" w:rsidR="00781444" w:rsidRPr="005A5ED4" w:rsidRDefault="00781444" w:rsidP="00557798">
            <w:pPr>
              <w:rPr>
                <w:b/>
                <w:bCs/>
                <w:sz w:val="26"/>
                <w:szCs w:val="26"/>
                <w:rtl/>
              </w:rPr>
            </w:pPr>
            <w:r w:rsidRPr="005A5ED4">
              <w:rPr>
                <w:rFonts w:hint="cs"/>
                <w:b/>
                <w:bCs/>
                <w:sz w:val="26"/>
                <w:szCs w:val="26"/>
                <w:rtl/>
              </w:rPr>
              <w:t>אסף עמבר</w:t>
            </w:r>
            <w:r w:rsidRPr="005A5ED4">
              <w:rPr>
                <w:rFonts w:hint="cs"/>
                <w:rtl/>
              </w:rPr>
              <w:br/>
              <w:t>ע"י ב"כ עוה"ד ב' קניג, עו"ד ת' נוה, עו"ד ז' ניסים , עו"ד ר' בן שמואל</w:t>
            </w:r>
          </w:p>
        </w:tc>
      </w:tr>
    </w:tbl>
    <w:p w14:paraId="702F6E3E" w14:textId="77777777" w:rsidR="00E100DB" w:rsidRDefault="00E100DB" w:rsidP="00781444">
      <w:pPr>
        <w:rPr>
          <w:rtl/>
        </w:rPr>
      </w:pPr>
      <w:bookmarkStart w:id="3" w:name="LawTable"/>
      <w:bookmarkEnd w:id="3"/>
    </w:p>
    <w:p w14:paraId="66A53B2E" w14:textId="77777777" w:rsidR="00E100DB" w:rsidRPr="00E100DB" w:rsidRDefault="00E100DB" w:rsidP="00E100DB">
      <w:pPr>
        <w:spacing w:after="120" w:line="240" w:lineRule="exact"/>
        <w:ind w:left="283" w:hanging="283"/>
        <w:jc w:val="both"/>
        <w:rPr>
          <w:rFonts w:ascii="FrankRuehl" w:hAnsi="FrankRuehl" w:cs="FrankRuehl"/>
          <w:rtl/>
        </w:rPr>
      </w:pPr>
    </w:p>
    <w:p w14:paraId="6BDC3AE3" w14:textId="77777777" w:rsidR="00E100DB" w:rsidRPr="00E100DB" w:rsidRDefault="00E100DB" w:rsidP="00E100DB">
      <w:pPr>
        <w:spacing w:after="120" w:line="240" w:lineRule="exact"/>
        <w:ind w:left="283" w:hanging="283"/>
        <w:jc w:val="both"/>
        <w:rPr>
          <w:rFonts w:ascii="FrankRuehl" w:hAnsi="FrankRuehl" w:cs="FrankRuehl"/>
          <w:rtl/>
        </w:rPr>
      </w:pPr>
      <w:r w:rsidRPr="00E100DB">
        <w:rPr>
          <w:rFonts w:ascii="FrankRuehl" w:hAnsi="FrankRuehl" w:cs="FrankRuehl"/>
          <w:rtl/>
        </w:rPr>
        <w:t xml:space="preserve">חקיקה שאוזכרה: </w:t>
      </w:r>
    </w:p>
    <w:p w14:paraId="7ACBF4DF" w14:textId="77777777" w:rsidR="00E100DB" w:rsidRPr="00E100DB" w:rsidRDefault="00E100DB" w:rsidP="00E100DB">
      <w:pPr>
        <w:spacing w:after="120" w:line="240" w:lineRule="exact"/>
        <w:ind w:left="283" w:hanging="283"/>
        <w:jc w:val="both"/>
        <w:rPr>
          <w:rFonts w:ascii="FrankRuehl" w:hAnsi="FrankRuehl" w:cs="FrankRuehl"/>
          <w:rtl/>
        </w:rPr>
      </w:pPr>
      <w:hyperlink r:id="rId6" w:history="1">
        <w:r w:rsidRPr="00E100DB">
          <w:rPr>
            <w:rFonts w:ascii="FrankRuehl" w:hAnsi="FrankRuehl" w:cs="FrankRuehl"/>
            <w:color w:val="0000FF"/>
            <w:u w:val="single"/>
            <w:rtl/>
          </w:rPr>
          <w:t>חוק איסור הלבנת הון, תש"ס-2000</w:t>
        </w:r>
      </w:hyperlink>
      <w:r w:rsidRPr="00E100DB">
        <w:rPr>
          <w:rFonts w:ascii="FrankRuehl" w:hAnsi="FrankRuehl" w:cs="FrankRuehl"/>
          <w:rtl/>
        </w:rPr>
        <w:t xml:space="preserve">: סע'  </w:t>
      </w:r>
      <w:hyperlink r:id="rId7" w:history="1">
        <w:r w:rsidRPr="00E100DB">
          <w:rPr>
            <w:rFonts w:ascii="FrankRuehl" w:hAnsi="FrankRuehl" w:cs="FrankRuehl"/>
            <w:color w:val="0000FF"/>
            <w:u w:val="single"/>
            <w:rtl/>
          </w:rPr>
          <w:t>3(ב)</w:t>
        </w:r>
      </w:hyperlink>
      <w:r w:rsidRPr="00E100DB">
        <w:rPr>
          <w:rFonts w:ascii="FrankRuehl" w:hAnsi="FrankRuehl" w:cs="FrankRuehl"/>
          <w:rtl/>
        </w:rPr>
        <w:t xml:space="preserve">, </w:t>
      </w:r>
      <w:hyperlink r:id="rId8" w:history="1">
        <w:r w:rsidRPr="00E100DB">
          <w:rPr>
            <w:rFonts w:ascii="FrankRuehl" w:hAnsi="FrankRuehl" w:cs="FrankRuehl"/>
            <w:color w:val="0000FF"/>
            <w:u w:val="single"/>
            <w:rtl/>
          </w:rPr>
          <w:t>11</w:t>
        </w:r>
      </w:hyperlink>
    </w:p>
    <w:p w14:paraId="7D7E0A1E" w14:textId="77777777" w:rsidR="00E100DB" w:rsidRPr="00E100DB" w:rsidRDefault="00E100DB" w:rsidP="00E100DB">
      <w:pPr>
        <w:spacing w:after="120" w:line="240" w:lineRule="exact"/>
        <w:ind w:left="283" w:hanging="283"/>
        <w:jc w:val="both"/>
        <w:rPr>
          <w:rFonts w:ascii="FrankRuehl" w:hAnsi="FrankRuehl" w:cs="FrankRuehl"/>
          <w:rtl/>
        </w:rPr>
      </w:pPr>
      <w:hyperlink r:id="rId9" w:history="1">
        <w:r w:rsidRPr="00E100DB">
          <w:rPr>
            <w:rFonts w:ascii="FrankRuehl" w:hAnsi="FrankRuehl" w:cs="FrankRuehl"/>
            <w:color w:val="0000FF"/>
            <w:u w:val="single"/>
            <w:rtl/>
          </w:rPr>
          <w:t>חוק העונשין, תשל"ז-1977</w:t>
        </w:r>
      </w:hyperlink>
      <w:r w:rsidRPr="00E100DB">
        <w:rPr>
          <w:rFonts w:ascii="FrankRuehl" w:hAnsi="FrankRuehl" w:cs="FrankRuehl"/>
          <w:rtl/>
        </w:rPr>
        <w:t xml:space="preserve">: סע'  </w:t>
      </w:r>
      <w:hyperlink r:id="rId10" w:history="1">
        <w:r w:rsidRPr="00E100DB">
          <w:rPr>
            <w:rFonts w:ascii="FrankRuehl" w:hAnsi="FrankRuehl" w:cs="FrankRuehl"/>
            <w:color w:val="0000FF"/>
            <w:u w:val="single"/>
            <w:rtl/>
          </w:rPr>
          <w:t>415</w:t>
        </w:r>
      </w:hyperlink>
      <w:r w:rsidRPr="00E100DB">
        <w:rPr>
          <w:rFonts w:ascii="FrankRuehl" w:hAnsi="FrankRuehl" w:cs="FrankRuehl"/>
          <w:rtl/>
        </w:rPr>
        <w:t xml:space="preserve">, </w:t>
      </w:r>
      <w:hyperlink r:id="rId11" w:history="1">
        <w:r w:rsidRPr="00E100DB">
          <w:rPr>
            <w:rFonts w:ascii="FrankRuehl" w:hAnsi="FrankRuehl" w:cs="FrankRuehl"/>
            <w:color w:val="0000FF"/>
            <w:u w:val="single"/>
            <w:rtl/>
          </w:rPr>
          <w:t>418</w:t>
        </w:r>
      </w:hyperlink>
      <w:r w:rsidRPr="00E100DB">
        <w:rPr>
          <w:rFonts w:ascii="FrankRuehl" w:hAnsi="FrankRuehl" w:cs="FrankRuehl"/>
          <w:rtl/>
        </w:rPr>
        <w:t xml:space="preserve">, </w:t>
      </w:r>
      <w:hyperlink r:id="rId12" w:history="1">
        <w:r w:rsidRPr="00E100DB">
          <w:rPr>
            <w:rFonts w:ascii="FrankRuehl" w:hAnsi="FrankRuehl" w:cs="FrankRuehl"/>
            <w:color w:val="0000FF"/>
            <w:u w:val="single"/>
            <w:rtl/>
          </w:rPr>
          <w:t>420</w:t>
        </w:r>
      </w:hyperlink>
      <w:r w:rsidRPr="00E100DB">
        <w:rPr>
          <w:rFonts w:ascii="FrankRuehl" w:hAnsi="FrankRuehl" w:cs="FrankRuehl"/>
          <w:rtl/>
        </w:rPr>
        <w:t xml:space="preserve">, </w:t>
      </w:r>
      <w:hyperlink r:id="rId13" w:history="1">
        <w:r w:rsidRPr="00E100DB">
          <w:rPr>
            <w:rFonts w:ascii="FrankRuehl" w:hAnsi="FrankRuehl" w:cs="FrankRuehl"/>
            <w:color w:val="0000FF"/>
            <w:u w:val="single"/>
            <w:rtl/>
          </w:rPr>
          <w:t>425</w:t>
        </w:r>
      </w:hyperlink>
    </w:p>
    <w:p w14:paraId="67570B85" w14:textId="77777777" w:rsidR="00E100DB" w:rsidRPr="00E100DB" w:rsidRDefault="00E100DB" w:rsidP="00E100DB">
      <w:pPr>
        <w:spacing w:after="120" w:line="240" w:lineRule="exact"/>
        <w:ind w:left="283" w:hanging="283"/>
        <w:jc w:val="both"/>
        <w:rPr>
          <w:rFonts w:ascii="FrankRuehl" w:hAnsi="FrankRuehl" w:cs="FrankRuehl"/>
          <w:rtl/>
        </w:rPr>
      </w:pPr>
      <w:hyperlink r:id="rId14" w:history="1">
        <w:r w:rsidRPr="00E100DB">
          <w:rPr>
            <w:rFonts w:ascii="FrankRuehl" w:hAnsi="FrankRuehl" w:cs="FrankRuehl"/>
            <w:color w:val="0000FF"/>
            <w:u w:val="single"/>
            <w:rtl/>
          </w:rPr>
          <w:t>פקודת מס הכנסה [נוסח חדש] - לא מרובד</w:t>
        </w:r>
      </w:hyperlink>
      <w:r w:rsidRPr="00E100DB">
        <w:rPr>
          <w:rFonts w:ascii="FrankRuehl" w:hAnsi="FrankRuehl" w:cs="FrankRuehl"/>
          <w:rtl/>
        </w:rPr>
        <w:t xml:space="preserve">: סע'  </w:t>
      </w:r>
      <w:hyperlink r:id="rId15" w:history="1">
        <w:r w:rsidRPr="00E100DB">
          <w:rPr>
            <w:rFonts w:ascii="FrankRuehl" w:hAnsi="FrankRuehl" w:cs="FrankRuehl"/>
            <w:color w:val="0000FF"/>
            <w:u w:val="single"/>
            <w:rtl/>
          </w:rPr>
          <w:t>215א(א)</w:t>
        </w:r>
      </w:hyperlink>
      <w:r w:rsidRPr="00E100DB">
        <w:rPr>
          <w:rFonts w:ascii="FrankRuehl" w:hAnsi="FrankRuehl" w:cs="FrankRuehl"/>
          <w:rtl/>
        </w:rPr>
        <w:t xml:space="preserve">, </w:t>
      </w:r>
      <w:hyperlink r:id="rId16" w:history="1">
        <w:r w:rsidRPr="00E100DB">
          <w:rPr>
            <w:rFonts w:ascii="FrankRuehl" w:hAnsi="FrankRuehl" w:cs="FrankRuehl"/>
            <w:color w:val="0000FF"/>
            <w:u w:val="single"/>
            <w:rtl/>
          </w:rPr>
          <w:t>220(5)</w:t>
        </w:r>
      </w:hyperlink>
    </w:p>
    <w:p w14:paraId="1161D971" w14:textId="77777777" w:rsidR="00E100DB" w:rsidRPr="00E100DB" w:rsidRDefault="00E100DB" w:rsidP="00E100DB">
      <w:pPr>
        <w:spacing w:after="120" w:line="240" w:lineRule="exact"/>
        <w:ind w:left="283" w:hanging="283"/>
        <w:jc w:val="both"/>
        <w:rPr>
          <w:rFonts w:ascii="FrankRuehl" w:hAnsi="FrankRuehl" w:cs="FrankRuehl"/>
          <w:rtl/>
        </w:rPr>
      </w:pPr>
      <w:hyperlink r:id="rId17" w:history="1">
        <w:r w:rsidRPr="00E100DB">
          <w:rPr>
            <w:rFonts w:ascii="FrankRuehl" w:hAnsi="FrankRuehl" w:cs="FrankRuehl"/>
            <w:color w:val="0000FF"/>
            <w:u w:val="single"/>
            <w:rtl/>
          </w:rPr>
          <w:t>פקודת הסמים המסוכנים [נוסח חדש], תשל"ג-1973</w:t>
        </w:r>
      </w:hyperlink>
      <w:r w:rsidRPr="00E100DB">
        <w:rPr>
          <w:rFonts w:ascii="FrankRuehl" w:hAnsi="FrankRuehl" w:cs="FrankRuehl"/>
          <w:rtl/>
        </w:rPr>
        <w:t xml:space="preserve">: סע'  </w:t>
      </w:r>
      <w:hyperlink r:id="rId18" w:history="1">
        <w:r w:rsidRPr="00E100DB">
          <w:rPr>
            <w:rFonts w:ascii="FrankRuehl" w:hAnsi="FrankRuehl" w:cs="FrankRuehl"/>
            <w:color w:val="0000FF"/>
            <w:u w:val="single"/>
            <w:rtl/>
          </w:rPr>
          <w:t>36ח</w:t>
        </w:r>
      </w:hyperlink>
    </w:p>
    <w:p w14:paraId="71DF7BA5" w14:textId="77777777" w:rsidR="00E100DB" w:rsidRPr="00E100DB" w:rsidRDefault="00E100DB" w:rsidP="00E100DB">
      <w:pPr>
        <w:spacing w:after="120" w:line="240" w:lineRule="exact"/>
        <w:ind w:left="283" w:hanging="283"/>
        <w:jc w:val="both"/>
        <w:rPr>
          <w:rFonts w:ascii="FrankRuehl" w:hAnsi="FrankRuehl" w:cs="FrankRuehl"/>
          <w:rtl/>
        </w:rPr>
      </w:pPr>
    </w:p>
    <w:p w14:paraId="2597609B" w14:textId="77777777" w:rsidR="00E100DB" w:rsidRPr="00E100DB" w:rsidRDefault="00E100DB" w:rsidP="00781444">
      <w:pPr>
        <w:rPr>
          <w:rtl/>
        </w:rPr>
      </w:pPr>
      <w:bookmarkStart w:id="4" w:name="LawTable_End"/>
      <w:bookmarkEnd w:id="4"/>
    </w:p>
    <w:p w14:paraId="3B61D0EF" w14:textId="77777777" w:rsidR="00130EA1" w:rsidRPr="00130EA1" w:rsidRDefault="00130EA1" w:rsidP="00781444">
      <w:pPr>
        <w:rPr>
          <w:rtl/>
        </w:rPr>
      </w:pPr>
    </w:p>
    <w:p w14:paraId="32992443" w14:textId="77777777" w:rsidR="00130EA1" w:rsidRPr="00130EA1" w:rsidRDefault="00130EA1" w:rsidP="00781444">
      <w:pPr>
        <w:rPr>
          <w:rtl/>
        </w:rPr>
      </w:pPr>
    </w:p>
    <w:p w14:paraId="3810E419" w14:textId="77777777" w:rsidR="00781444" w:rsidRPr="00130EA1" w:rsidRDefault="00781444" w:rsidP="00781444"/>
    <w:p w14:paraId="7B0B710A" w14:textId="77777777" w:rsidR="005A5ED4" w:rsidRPr="005A5ED4" w:rsidRDefault="005A5ED4" w:rsidP="00781444">
      <w:pPr>
        <w:rPr>
          <w:rFonts w:ascii="Arial" w:hAnsi="Arial"/>
          <w:rtl/>
        </w:rPr>
      </w:pPr>
    </w:p>
    <w:p w14:paraId="00FC844C" w14:textId="77777777" w:rsidR="005A5ED4" w:rsidRPr="005A5ED4" w:rsidRDefault="005A5ED4" w:rsidP="00781444">
      <w:pPr>
        <w:rPr>
          <w:rFonts w:ascii="Arial" w:hAnsi="Arial"/>
          <w:rtl/>
        </w:rPr>
      </w:pPr>
    </w:p>
    <w:p w14:paraId="726C0E3B" w14:textId="77777777" w:rsidR="00781444" w:rsidRPr="005A5ED4" w:rsidRDefault="00781444" w:rsidP="00781444">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57798" w14:paraId="325477A2" w14:textId="77777777" w:rsidTr="00781444">
        <w:trPr>
          <w:trHeight w:val="355"/>
          <w:jc w:val="center"/>
        </w:trPr>
        <w:tc>
          <w:tcPr>
            <w:tcW w:w="8820" w:type="dxa"/>
            <w:tcBorders>
              <w:top w:val="nil"/>
              <w:left w:val="nil"/>
              <w:bottom w:val="nil"/>
              <w:right w:val="nil"/>
            </w:tcBorders>
            <w:shd w:val="clear" w:color="auto" w:fill="auto"/>
          </w:tcPr>
          <w:p w14:paraId="366AD73C" w14:textId="77777777" w:rsidR="005A5ED4" w:rsidRPr="005A5ED4" w:rsidRDefault="005A5ED4" w:rsidP="005A5ED4">
            <w:pPr>
              <w:jc w:val="center"/>
              <w:rPr>
                <w:rFonts w:ascii="Arial" w:hAnsi="Arial"/>
                <w:b/>
                <w:bCs/>
                <w:sz w:val="32"/>
                <w:szCs w:val="32"/>
                <w:u w:val="single"/>
                <w:rtl/>
              </w:rPr>
            </w:pPr>
            <w:bookmarkStart w:id="5" w:name="PsakDin" w:colFirst="0" w:colLast="0"/>
            <w:bookmarkEnd w:id="0"/>
            <w:r w:rsidRPr="005A5ED4">
              <w:rPr>
                <w:rFonts w:ascii="Arial" w:hAnsi="Arial"/>
                <w:b/>
                <w:bCs/>
                <w:sz w:val="32"/>
                <w:szCs w:val="32"/>
                <w:u w:val="single"/>
                <w:rtl/>
              </w:rPr>
              <w:t>גזר דין</w:t>
            </w:r>
          </w:p>
          <w:p w14:paraId="3BCFEA18" w14:textId="77777777" w:rsidR="00781444" w:rsidRPr="005A5ED4" w:rsidRDefault="00781444" w:rsidP="005A5ED4">
            <w:pPr>
              <w:jc w:val="center"/>
              <w:rPr>
                <w:rFonts w:ascii="Arial" w:hAnsi="Arial"/>
                <w:bCs/>
                <w:sz w:val="32"/>
                <w:szCs w:val="32"/>
                <w:u w:val="single"/>
                <w:rtl/>
              </w:rPr>
            </w:pPr>
          </w:p>
        </w:tc>
      </w:tr>
      <w:bookmarkEnd w:id="5"/>
    </w:tbl>
    <w:p w14:paraId="6D7E3E51" w14:textId="77777777" w:rsidR="00781444" w:rsidRPr="00B05847" w:rsidRDefault="00781444" w:rsidP="00781444">
      <w:pPr>
        <w:rPr>
          <w:rFonts w:ascii="Arial" w:hAnsi="Arial"/>
          <w:rtl/>
        </w:rPr>
      </w:pPr>
    </w:p>
    <w:p w14:paraId="1F2999AC" w14:textId="77777777" w:rsidR="00781444" w:rsidRPr="00905EDE" w:rsidRDefault="00781444" w:rsidP="00781444">
      <w:pPr>
        <w:spacing w:line="360" w:lineRule="auto"/>
        <w:jc w:val="both"/>
        <w:rPr>
          <w:rFonts w:ascii="Arial" w:hAnsi="Arial"/>
          <w:sz w:val="8"/>
          <w:szCs w:val="8"/>
          <w:rtl/>
        </w:rPr>
      </w:pPr>
    </w:p>
    <w:p w14:paraId="19F912DC" w14:textId="77777777" w:rsidR="00781444" w:rsidRDefault="00781444" w:rsidP="00781444">
      <w:pPr>
        <w:spacing w:line="360" w:lineRule="auto"/>
        <w:jc w:val="both"/>
        <w:rPr>
          <w:rtl/>
        </w:rPr>
      </w:pPr>
      <w:r>
        <w:rPr>
          <w:rFonts w:hint="cs"/>
          <w:rtl/>
        </w:rPr>
        <w:t>1.</w:t>
      </w:r>
      <w:r>
        <w:rPr>
          <w:rtl/>
        </w:rPr>
        <w:tab/>
      </w:r>
      <w:bookmarkStart w:id="6" w:name="ABSTRACT_START"/>
      <w:bookmarkEnd w:id="6"/>
      <w:r>
        <w:rPr>
          <w:rFonts w:hint="cs"/>
          <w:rtl/>
        </w:rPr>
        <w:t xml:space="preserve">הנאשם הורשע במסגרת הסדר טיעון במספר עבירות שפורטו בשלושה אישומים שעיקרם מעשי מרמה והטעיה שבוצעו על ידי הנאשם כלפי צדדים שלישיים ורשויות המס. </w:t>
      </w:r>
    </w:p>
    <w:p w14:paraId="03553E51" w14:textId="77777777" w:rsidR="00781444" w:rsidRDefault="00781444" w:rsidP="00781444">
      <w:pPr>
        <w:spacing w:line="360" w:lineRule="auto"/>
        <w:jc w:val="both"/>
        <w:rPr>
          <w:rtl/>
        </w:rPr>
      </w:pPr>
    </w:p>
    <w:p w14:paraId="78446C55" w14:textId="77777777" w:rsidR="00781444" w:rsidRDefault="00781444" w:rsidP="00781444">
      <w:pPr>
        <w:spacing w:line="360" w:lineRule="auto"/>
        <w:jc w:val="both"/>
        <w:rPr>
          <w:rtl/>
        </w:rPr>
      </w:pPr>
      <w:r>
        <w:rPr>
          <w:rFonts w:hint="cs"/>
          <w:rtl/>
        </w:rPr>
        <w:t>2.</w:t>
      </w:r>
      <w:r>
        <w:rPr>
          <w:rFonts w:hint="cs"/>
          <w:rtl/>
        </w:rPr>
        <w:tab/>
        <w:t xml:space="preserve">באישום הראשון נטען כי אחיו של הנאשם, סער עמבר פתח בשנת 2008 חשבון בנק בבנק הפועלים בע"מ. במסגרת פעילותו בחשבון קיבל סער כרטיס חיוב המשמש למשיכת מזומנים והפקדת מזומנים במכשירי בנק אוטומטיים. באותן שנים היה לנאשם חשבון בנק פעיל בבנק לאומי לישראל בע"מ בו נהג הנאשם להפקיד כספים במזומן. </w:t>
      </w:r>
    </w:p>
    <w:p w14:paraId="73FD00F3" w14:textId="77777777" w:rsidR="00781444" w:rsidRDefault="00781444" w:rsidP="00781444">
      <w:pPr>
        <w:spacing w:line="360" w:lineRule="auto"/>
        <w:jc w:val="both"/>
        <w:rPr>
          <w:rtl/>
        </w:rPr>
      </w:pPr>
    </w:p>
    <w:p w14:paraId="4C1A55CD" w14:textId="77777777" w:rsidR="00781444" w:rsidRDefault="00781444" w:rsidP="00781444">
      <w:pPr>
        <w:spacing w:line="360" w:lineRule="auto"/>
        <w:jc w:val="both"/>
        <w:rPr>
          <w:rtl/>
        </w:rPr>
      </w:pPr>
      <w:bookmarkStart w:id="7" w:name="ABSTRACT_END"/>
      <w:bookmarkEnd w:id="7"/>
      <w:r>
        <w:rPr>
          <w:rtl/>
        </w:rPr>
        <w:tab/>
      </w:r>
      <w:r>
        <w:rPr>
          <w:rFonts w:hint="cs"/>
          <w:rtl/>
        </w:rPr>
        <w:t xml:space="preserve">בשנת 2012 או בסמוך לכך, ועל מנת למנוע דיווחים על יד בנק לאומי כמתחייב על פי </w:t>
      </w:r>
      <w:hyperlink r:id="rId19" w:history="1">
        <w:r w:rsidR="005A5ED4" w:rsidRPr="005A5ED4">
          <w:rPr>
            <w:rStyle w:val="Hyperlink"/>
            <w:rFonts w:hint="eastAsia"/>
            <w:rtl/>
          </w:rPr>
          <w:t>חוק</w:t>
        </w:r>
        <w:r w:rsidR="005A5ED4" w:rsidRPr="005A5ED4">
          <w:rPr>
            <w:rStyle w:val="Hyperlink"/>
            <w:rtl/>
          </w:rPr>
          <w:t xml:space="preserve"> איסור הלבנת הון</w:t>
        </w:r>
      </w:hyperlink>
      <w:r>
        <w:rPr>
          <w:rFonts w:hint="cs"/>
          <w:rtl/>
        </w:rPr>
        <w:t xml:space="preserve">, תש"ס </w:t>
      </w:r>
      <w:r>
        <w:rPr>
          <w:rtl/>
        </w:rPr>
        <w:t>–</w:t>
      </w:r>
      <w:r>
        <w:rPr>
          <w:rFonts w:hint="cs"/>
          <w:rtl/>
        </w:rPr>
        <w:t xml:space="preserve"> 2000, נטל הנאשם את כרטיס החיוב של אחיו, השיג את הקוד הסודי </w:t>
      </w:r>
      <w:r>
        <w:rPr>
          <w:rFonts w:hint="cs"/>
          <w:rtl/>
        </w:rPr>
        <w:lastRenderedPageBreak/>
        <w:t xml:space="preserve">ואת קוד המשתמש שהונפקו עבורו והחל לעשות בהם שימוש במרמה, על מנת להפקיד סכומי כסף במזומן ולעשות פעולות בחשבונו של האח. כל זאת עשה הנאשם ללא ידיעתו וללא הסכמתו של סער. </w:t>
      </w:r>
    </w:p>
    <w:p w14:paraId="295A6620" w14:textId="77777777" w:rsidR="00781444" w:rsidRDefault="00781444" w:rsidP="00781444">
      <w:pPr>
        <w:spacing w:line="360" w:lineRule="auto"/>
        <w:jc w:val="both"/>
        <w:rPr>
          <w:rtl/>
        </w:rPr>
      </w:pPr>
    </w:p>
    <w:p w14:paraId="0C0CAC80" w14:textId="77777777" w:rsidR="00781444" w:rsidRDefault="00781444" w:rsidP="00781444">
      <w:pPr>
        <w:spacing w:line="360" w:lineRule="auto"/>
        <w:ind w:firstLine="720"/>
        <w:jc w:val="both"/>
        <w:rPr>
          <w:rtl/>
        </w:rPr>
      </w:pPr>
      <w:r>
        <w:rPr>
          <w:rFonts w:hint="cs"/>
          <w:rtl/>
        </w:rPr>
        <w:t>הנאשם נהג להפקיד בחשבון בבנק הפועלים סכומי כסף במזומן באמצעות מכשירי בנק אוטומטיים, שימוש במרמה בכרטיס החיוב של סער. הנאשם הפקיד מספר פעמים בשבוע סכומי כסף המצטברים בשנת 2012 לסך של 167,570 ₪ ובשנת 2013 לסך של 191,800 ₪. הנאשם גם נהג לתת הוראות העברה של סכומי כסף מחשבון הבנק על שמו של סער לחשבונו בבנק לאומי, וזאת באמצעות אתר האינטרנט של הבנק.</w:t>
      </w:r>
    </w:p>
    <w:p w14:paraId="5D4259EE" w14:textId="77777777" w:rsidR="00781444" w:rsidRDefault="00781444" w:rsidP="00781444">
      <w:pPr>
        <w:spacing w:line="360" w:lineRule="auto"/>
        <w:jc w:val="both"/>
        <w:rPr>
          <w:rtl/>
        </w:rPr>
      </w:pPr>
    </w:p>
    <w:p w14:paraId="5580D87A" w14:textId="77777777" w:rsidR="00781444" w:rsidRDefault="00781444" w:rsidP="00781444">
      <w:pPr>
        <w:spacing w:line="360" w:lineRule="auto"/>
        <w:jc w:val="both"/>
        <w:rPr>
          <w:rtl/>
        </w:rPr>
      </w:pPr>
      <w:r>
        <w:rPr>
          <w:rFonts w:hint="cs"/>
          <w:rtl/>
        </w:rPr>
        <w:t>3.</w:t>
      </w:r>
      <w:r>
        <w:rPr>
          <w:rFonts w:hint="cs"/>
          <w:rtl/>
        </w:rPr>
        <w:tab/>
        <w:t xml:space="preserve">בכתב האישום נטען כי בפעולות האמורות מסר הנאשם לבנק הפועלים מידע כוזב בכך שיצר מצג שווא לפיו סער אחיו הוא זה שמבצע את הפעולות והוא הנהנה בחשבון, הכל על מנת למנוע את הגשת הדיווחים כנדרש על פי </w:t>
      </w:r>
      <w:hyperlink r:id="rId20" w:history="1">
        <w:r w:rsidR="005A5ED4" w:rsidRPr="005A5ED4">
          <w:rPr>
            <w:rStyle w:val="Hyperlink"/>
            <w:rFonts w:hint="eastAsia"/>
            <w:rtl/>
          </w:rPr>
          <w:t>חוק</w:t>
        </w:r>
        <w:r w:rsidR="005A5ED4" w:rsidRPr="005A5ED4">
          <w:rPr>
            <w:rStyle w:val="Hyperlink"/>
            <w:rtl/>
          </w:rPr>
          <w:t xml:space="preserve"> איסור הלבנת הון</w:t>
        </w:r>
      </w:hyperlink>
      <w:r>
        <w:rPr>
          <w:rFonts w:hint="cs"/>
          <w:rtl/>
        </w:rPr>
        <w:t xml:space="preserve">. </w:t>
      </w:r>
    </w:p>
    <w:p w14:paraId="4AFD9211" w14:textId="77777777" w:rsidR="00781444" w:rsidRDefault="00781444" w:rsidP="00781444">
      <w:pPr>
        <w:spacing w:line="360" w:lineRule="auto"/>
        <w:jc w:val="both"/>
        <w:rPr>
          <w:rtl/>
        </w:rPr>
      </w:pPr>
    </w:p>
    <w:p w14:paraId="7CD97688" w14:textId="77777777" w:rsidR="00781444" w:rsidRDefault="00781444" w:rsidP="00781444">
      <w:pPr>
        <w:spacing w:line="360" w:lineRule="auto"/>
        <w:jc w:val="both"/>
        <w:rPr>
          <w:rtl/>
        </w:rPr>
      </w:pPr>
      <w:r>
        <w:rPr>
          <w:rFonts w:hint="cs"/>
          <w:rtl/>
        </w:rPr>
        <w:t>4.</w:t>
      </w:r>
      <w:r>
        <w:rPr>
          <w:rtl/>
        </w:rPr>
        <w:tab/>
      </w:r>
      <w:r>
        <w:rPr>
          <w:rFonts w:hint="cs"/>
          <w:rtl/>
        </w:rPr>
        <w:t xml:space="preserve">בשל מעשיו אלה הורשע הנאשם באישום הראשון בעבירות של עשיית פעולה ברכוש במטרה שלא יהיה דיווח או כדי לגרום לדיווח בלתי נכון, עבירה לפי </w:t>
      </w:r>
      <w:hyperlink r:id="rId21" w:history="1">
        <w:r w:rsidR="001B0530" w:rsidRPr="001B0530">
          <w:rPr>
            <w:color w:val="0000FF"/>
            <w:u w:val="single"/>
            <w:rtl/>
          </w:rPr>
          <w:t>סעיף 3(ב)</w:t>
        </w:r>
      </w:hyperlink>
      <w:r>
        <w:rPr>
          <w:rFonts w:hint="cs"/>
          <w:rtl/>
        </w:rPr>
        <w:t xml:space="preserve"> ל</w:t>
      </w:r>
      <w:hyperlink r:id="rId22" w:history="1">
        <w:r w:rsidR="005A5ED4" w:rsidRPr="005A5ED4">
          <w:rPr>
            <w:rStyle w:val="Hyperlink"/>
            <w:rFonts w:hint="eastAsia"/>
            <w:rtl/>
          </w:rPr>
          <w:t>חוק</w:t>
        </w:r>
        <w:r w:rsidR="005A5ED4" w:rsidRPr="005A5ED4">
          <w:rPr>
            <w:rStyle w:val="Hyperlink"/>
            <w:rtl/>
          </w:rPr>
          <w:t xml:space="preserve"> איסור הלבנת הון</w:t>
        </w:r>
      </w:hyperlink>
      <w:r>
        <w:rPr>
          <w:rFonts w:hint="cs"/>
          <w:rtl/>
        </w:rPr>
        <w:t xml:space="preserve"> (ריבוי עבירות), וקבלת דבר במרמה בנסיבות מחמירות, עבירה לפי </w:t>
      </w:r>
      <w:hyperlink r:id="rId23" w:history="1">
        <w:r w:rsidR="001B0530" w:rsidRPr="001B0530">
          <w:rPr>
            <w:color w:val="0000FF"/>
            <w:u w:val="single"/>
            <w:rtl/>
          </w:rPr>
          <w:t>סעיף 415</w:t>
        </w:r>
      </w:hyperlink>
      <w:r>
        <w:rPr>
          <w:rFonts w:hint="cs"/>
          <w:rtl/>
        </w:rPr>
        <w:t xml:space="preserve"> סיפא ל</w:t>
      </w:r>
      <w:hyperlink r:id="rId24" w:history="1">
        <w:r w:rsidR="005A5ED4" w:rsidRPr="005A5ED4">
          <w:rPr>
            <w:rStyle w:val="Hyperlink"/>
            <w:rFonts w:hint="eastAsia"/>
            <w:rtl/>
          </w:rPr>
          <w:t>חוק</w:t>
        </w:r>
        <w:r w:rsidR="005A5ED4" w:rsidRPr="005A5ED4">
          <w:rPr>
            <w:rStyle w:val="Hyperlink"/>
            <w:rtl/>
          </w:rPr>
          <w:t xml:space="preserve"> העונשין</w:t>
        </w:r>
      </w:hyperlink>
      <w:r>
        <w:rPr>
          <w:rFonts w:hint="cs"/>
          <w:rtl/>
        </w:rPr>
        <w:t xml:space="preserve">, התשל"ז </w:t>
      </w:r>
      <w:r>
        <w:rPr>
          <w:rtl/>
        </w:rPr>
        <w:t>–</w:t>
      </w:r>
      <w:r>
        <w:rPr>
          <w:rFonts w:hint="cs"/>
          <w:rtl/>
        </w:rPr>
        <w:t xml:space="preserve"> 1977. </w:t>
      </w:r>
    </w:p>
    <w:p w14:paraId="3DA52FE0" w14:textId="77777777" w:rsidR="00781444" w:rsidRDefault="00781444" w:rsidP="00781444">
      <w:pPr>
        <w:spacing w:line="360" w:lineRule="auto"/>
        <w:jc w:val="both"/>
        <w:rPr>
          <w:rtl/>
        </w:rPr>
      </w:pPr>
    </w:p>
    <w:p w14:paraId="052A7095" w14:textId="77777777" w:rsidR="00781444" w:rsidRDefault="00781444" w:rsidP="00781444">
      <w:pPr>
        <w:spacing w:line="360" w:lineRule="auto"/>
        <w:jc w:val="both"/>
        <w:rPr>
          <w:rtl/>
        </w:rPr>
      </w:pPr>
      <w:r>
        <w:rPr>
          <w:rFonts w:hint="cs"/>
          <w:rtl/>
        </w:rPr>
        <w:t>5.</w:t>
      </w:r>
      <w:r>
        <w:rPr>
          <w:rFonts w:hint="cs"/>
          <w:rtl/>
        </w:rPr>
        <w:tab/>
        <w:t>באישום השני מסופר כי בשנת 2013 ביקש הנאשם לרכוש רכב מסוג מרצדס. הנאשם פנה לקבל הצעת מחיר מסוכנות מכירת המכוניות בחברת "כלמוביל" בחיפה. לאחר שהנאשם סיכם את תנאי העסקה לפיהם עלות הרכב תהיה 326,456 ₪, ביקש הנאשם לשלם סך של 100,000 ₪ מסכום העסקה בתשלומים חודשיים. לצורך קבלת המימון לתשלומים החודשיים התבקש הנאשם להעביר לחברת כלמוביל תלושי שכר ופירוט חשבון העו"ש שלו בבנק המצביע על כך שהוא מקבל משכורת חודשית.</w:t>
      </w:r>
    </w:p>
    <w:p w14:paraId="482DAD30" w14:textId="77777777" w:rsidR="00781444" w:rsidRDefault="00781444" w:rsidP="00781444">
      <w:pPr>
        <w:spacing w:line="360" w:lineRule="auto"/>
        <w:jc w:val="both"/>
        <w:rPr>
          <w:rtl/>
        </w:rPr>
      </w:pPr>
    </w:p>
    <w:p w14:paraId="1B59F8F6" w14:textId="77777777" w:rsidR="00781444" w:rsidRDefault="00781444" w:rsidP="00781444">
      <w:pPr>
        <w:spacing w:line="360" w:lineRule="auto"/>
        <w:jc w:val="both"/>
        <w:rPr>
          <w:rtl/>
        </w:rPr>
      </w:pPr>
      <w:r>
        <w:rPr>
          <w:rtl/>
        </w:rPr>
        <w:tab/>
      </w:r>
      <w:r>
        <w:rPr>
          <w:rFonts w:hint="cs"/>
          <w:rtl/>
        </w:rPr>
        <w:t xml:space="preserve">מאחר והנאשם לא עבד בתקופה הרלבנטית, ולא יכול היה להציג תלושי שכר, זייף הנאשם תלושים ויצר מסמכים הנחזים להיראות כשלושה תלושי שכר, ומסמך הנחזה להיות פלט של חשבון עו"ש בבנק לאומי שבו נרשם כי הועברו לו כביכול משכורות לחשבון, הכל בכוונה להטעות ולרמות את חברת כלמוביל. סופו של דבר הנאשם לא קיבל את המימון. </w:t>
      </w:r>
    </w:p>
    <w:p w14:paraId="65B0A5C5" w14:textId="77777777" w:rsidR="00781444" w:rsidRDefault="00781444" w:rsidP="00781444">
      <w:pPr>
        <w:spacing w:line="360" w:lineRule="auto"/>
        <w:jc w:val="both"/>
        <w:rPr>
          <w:rtl/>
        </w:rPr>
      </w:pPr>
    </w:p>
    <w:p w14:paraId="44D45D71" w14:textId="77777777" w:rsidR="00781444" w:rsidRPr="00B05847" w:rsidRDefault="00781444" w:rsidP="00781444">
      <w:pPr>
        <w:spacing w:line="360" w:lineRule="auto"/>
        <w:jc w:val="both"/>
        <w:rPr>
          <w:rtl/>
        </w:rPr>
      </w:pPr>
      <w:r>
        <w:rPr>
          <w:rFonts w:hint="cs"/>
          <w:rtl/>
        </w:rPr>
        <w:tab/>
        <w:t xml:space="preserve">עוד מתברר כי בחודש אפריל 2014 קיבל הנאשם את הרכב וביקש לרשום אותו במשרד הרישוי על שם אמו, הכל על מנת להסתיר שהרכב הוא רכושו וכי הוא זה שעושה שימוש ברכב. </w:t>
      </w:r>
    </w:p>
    <w:p w14:paraId="2211A0F4" w14:textId="77777777" w:rsidR="00781444" w:rsidRDefault="00781444" w:rsidP="00781444">
      <w:pPr>
        <w:jc w:val="both"/>
        <w:rPr>
          <w:rtl/>
        </w:rPr>
      </w:pPr>
    </w:p>
    <w:p w14:paraId="19586F82" w14:textId="77777777" w:rsidR="00781444" w:rsidRDefault="00781444" w:rsidP="00781444">
      <w:pPr>
        <w:spacing w:line="360" w:lineRule="auto"/>
        <w:jc w:val="both"/>
        <w:rPr>
          <w:rtl/>
        </w:rPr>
      </w:pPr>
      <w:r>
        <w:rPr>
          <w:rFonts w:hint="cs"/>
          <w:rtl/>
        </w:rPr>
        <w:t>6.</w:t>
      </w:r>
      <w:r>
        <w:rPr>
          <w:rFonts w:hint="cs"/>
          <w:rtl/>
        </w:rPr>
        <w:tab/>
        <w:t xml:space="preserve">בשל המעשים המפורטים באישום השני הורשע הנאשם בעבירה של ניסיון לקבלת דבר במרמה, עבירה לפי </w:t>
      </w:r>
      <w:hyperlink r:id="rId25" w:history="1">
        <w:r w:rsidR="001B0530" w:rsidRPr="001B0530">
          <w:rPr>
            <w:color w:val="0000FF"/>
            <w:u w:val="single"/>
            <w:rtl/>
          </w:rPr>
          <w:t>סעיף 415</w:t>
        </w:r>
      </w:hyperlink>
      <w:r>
        <w:rPr>
          <w:rFonts w:hint="cs"/>
          <w:rtl/>
        </w:rPr>
        <w:t xml:space="preserve"> ביחד עם  </w:t>
      </w:r>
      <w:hyperlink r:id="rId26" w:history="1">
        <w:r w:rsidR="001B0530" w:rsidRPr="001B0530">
          <w:rPr>
            <w:color w:val="0000FF"/>
            <w:u w:val="single"/>
            <w:rtl/>
          </w:rPr>
          <w:t>סעיף 425</w:t>
        </w:r>
      </w:hyperlink>
      <w:r>
        <w:rPr>
          <w:rFonts w:hint="cs"/>
          <w:rtl/>
        </w:rPr>
        <w:t xml:space="preserve"> ל</w:t>
      </w:r>
      <w:hyperlink r:id="rId27" w:history="1">
        <w:r w:rsidR="005A5ED4" w:rsidRPr="005A5ED4">
          <w:rPr>
            <w:rStyle w:val="Hyperlink"/>
            <w:rFonts w:hint="eastAsia"/>
            <w:rtl/>
          </w:rPr>
          <w:t>חוק</w:t>
        </w:r>
        <w:r w:rsidR="005A5ED4" w:rsidRPr="005A5ED4">
          <w:rPr>
            <w:rStyle w:val="Hyperlink"/>
            <w:rtl/>
          </w:rPr>
          <w:t xml:space="preserve"> העונשין</w:t>
        </w:r>
      </w:hyperlink>
      <w:r>
        <w:rPr>
          <w:rFonts w:hint="cs"/>
          <w:rtl/>
        </w:rPr>
        <w:t xml:space="preserve">, זיוף בכוונה לקבל דבר לפי </w:t>
      </w:r>
      <w:hyperlink r:id="rId28" w:history="1">
        <w:r w:rsidR="001B0530" w:rsidRPr="001B0530">
          <w:rPr>
            <w:color w:val="0000FF"/>
            <w:u w:val="single"/>
            <w:rtl/>
          </w:rPr>
          <w:t>סעיף 418</w:t>
        </w:r>
      </w:hyperlink>
      <w:r>
        <w:rPr>
          <w:rFonts w:hint="cs"/>
          <w:rtl/>
        </w:rPr>
        <w:t xml:space="preserve"> לחוק העונשין (4 עבירות) ושימוש במסמך מזויף בכוונה לקבל דבר, עבירה לפי </w:t>
      </w:r>
      <w:hyperlink r:id="rId29" w:history="1">
        <w:r w:rsidR="001B0530" w:rsidRPr="001B0530">
          <w:rPr>
            <w:color w:val="0000FF"/>
            <w:u w:val="single"/>
            <w:rtl/>
          </w:rPr>
          <w:t>סעיפים 418</w:t>
        </w:r>
      </w:hyperlink>
      <w:r>
        <w:rPr>
          <w:rFonts w:hint="cs"/>
          <w:rtl/>
        </w:rPr>
        <w:t xml:space="preserve"> ו-</w:t>
      </w:r>
      <w:hyperlink r:id="rId30" w:history="1">
        <w:r w:rsidR="001B0530" w:rsidRPr="001B0530">
          <w:rPr>
            <w:color w:val="0000FF"/>
            <w:u w:val="single"/>
            <w:rtl/>
          </w:rPr>
          <w:t>420</w:t>
        </w:r>
      </w:hyperlink>
      <w:r>
        <w:rPr>
          <w:rFonts w:hint="cs"/>
          <w:rtl/>
        </w:rPr>
        <w:t xml:space="preserve"> לחוק העונשין. </w:t>
      </w:r>
    </w:p>
    <w:p w14:paraId="70BA90E9" w14:textId="77777777" w:rsidR="00781444" w:rsidRDefault="00781444" w:rsidP="00781444">
      <w:pPr>
        <w:spacing w:line="360" w:lineRule="auto"/>
        <w:jc w:val="both"/>
        <w:rPr>
          <w:rtl/>
        </w:rPr>
      </w:pPr>
    </w:p>
    <w:p w14:paraId="40562DCF" w14:textId="77777777" w:rsidR="00781444" w:rsidRDefault="00781444" w:rsidP="00781444">
      <w:pPr>
        <w:spacing w:line="360" w:lineRule="auto"/>
        <w:jc w:val="both"/>
        <w:rPr>
          <w:rtl/>
        </w:rPr>
      </w:pPr>
      <w:r>
        <w:rPr>
          <w:rFonts w:hint="cs"/>
          <w:rtl/>
        </w:rPr>
        <w:t>7.</w:t>
      </w:r>
      <w:r>
        <w:rPr>
          <w:rFonts w:hint="cs"/>
          <w:rtl/>
        </w:rPr>
        <w:tab/>
        <w:t xml:space="preserve">האישום השלישי מתייחס לעבירות המס של הנאשם. באישום השלישי מסופר כי בשנים 2007- 2014 נבעו לנאשם הכנסות חייבות במס מעיסוק, רווח או השתכרות אחרת. הנאשם, על מנת להעלים את ההכנסות ובכוונה להתחמק ממס, לא הודיע לפקיד השומה על העיסוק, זאת בניגוד לחובתו להודיע על התחלת עיסוק על פי </w:t>
      </w:r>
      <w:hyperlink r:id="rId31" w:history="1">
        <w:r w:rsidR="005A5ED4" w:rsidRPr="005A5ED4">
          <w:rPr>
            <w:rStyle w:val="Hyperlink"/>
            <w:rFonts w:hint="eastAsia"/>
            <w:rtl/>
          </w:rPr>
          <w:t>פקודת</w:t>
        </w:r>
        <w:r w:rsidR="005A5ED4" w:rsidRPr="005A5ED4">
          <w:rPr>
            <w:rStyle w:val="Hyperlink"/>
            <w:rtl/>
          </w:rPr>
          <w:t xml:space="preserve"> מס הכנסה</w:t>
        </w:r>
      </w:hyperlink>
      <w:r>
        <w:rPr>
          <w:rFonts w:hint="cs"/>
          <w:rtl/>
        </w:rPr>
        <w:t xml:space="preserve"> [נוסח חדש], תשכ"א </w:t>
      </w:r>
      <w:r>
        <w:rPr>
          <w:rtl/>
        </w:rPr>
        <w:t>–</w:t>
      </w:r>
      <w:r>
        <w:rPr>
          <w:rFonts w:hint="cs"/>
          <w:rtl/>
        </w:rPr>
        <w:t xml:space="preserve"> 1961. עוד מסופר כי הנאשם היה חייב בהכנה וקיום של פנקסי חשבונות ורשומות, והיה חייב להגיש דוחות לפקיד השומה. למרות חובתו זו הנאשם לא עשה כן וקיבל תשלומים במזומן. הנאשם לא הנפיק קבלות או חשבוניות מס על תקבוליו מהעיסוק ולא ניהל פנקסי חשבונות ורשומות על הכנסותיו. הנאשם גם לא הגיש דוחות תקופתיים כנדרש על פי דין. </w:t>
      </w:r>
    </w:p>
    <w:p w14:paraId="45283F15" w14:textId="77777777" w:rsidR="00781444" w:rsidRDefault="00781444" w:rsidP="00781444">
      <w:pPr>
        <w:spacing w:line="360" w:lineRule="auto"/>
        <w:jc w:val="both"/>
        <w:rPr>
          <w:rtl/>
        </w:rPr>
      </w:pPr>
    </w:p>
    <w:p w14:paraId="3408DD26" w14:textId="77777777" w:rsidR="00781444" w:rsidRDefault="00781444" w:rsidP="00781444">
      <w:pPr>
        <w:spacing w:line="360" w:lineRule="auto"/>
        <w:jc w:val="both"/>
        <w:rPr>
          <w:rtl/>
        </w:rPr>
      </w:pPr>
      <w:r>
        <w:rPr>
          <w:rtl/>
        </w:rPr>
        <w:tab/>
      </w:r>
      <w:r>
        <w:rPr>
          <w:rFonts w:hint="cs"/>
          <w:rtl/>
        </w:rPr>
        <w:t xml:space="preserve">בכתב האישום נטען כי בשנים האמורות השמיט הנאשם דיווחי הכנסה מעיסוק בסכום שאינו פחות מסך של 1,250,000 ₪ כמפורט בסעיף 4 לאישום השלישי. </w:t>
      </w:r>
    </w:p>
    <w:p w14:paraId="5318D072" w14:textId="77777777" w:rsidR="00781444" w:rsidRDefault="00781444" w:rsidP="00781444">
      <w:pPr>
        <w:spacing w:line="360" w:lineRule="auto"/>
        <w:jc w:val="both"/>
        <w:rPr>
          <w:rtl/>
        </w:rPr>
      </w:pPr>
    </w:p>
    <w:p w14:paraId="7A0196DA" w14:textId="77777777" w:rsidR="00781444" w:rsidRDefault="00781444" w:rsidP="00781444">
      <w:pPr>
        <w:spacing w:line="360" w:lineRule="auto"/>
        <w:jc w:val="both"/>
        <w:rPr>
          <w:rtl/>
        </w:rPr>
      </w:pPr>
      <w:r>
        <w:rPr>
          <w:rFonts w:hint="cs"/>
          <w:rtl/>
        </w:rPr>
        <w:t>8.</w:t>
      </w:r>
      <w:r>
        <w:rPr>
          <w:rtl/>
        </w:rPr>
        <w:tab/>
      </w:r>
      <w:r>
        <w:rPr>
          <w:rFonts w:hint="cs"/>
          <w:rtl/>
        </w:rPr>
        <w:t xml:space="preserve">בשל המעשים האמורים בסעיף השלישי הורשע הנאשם בעבירות של מרמה, עורמה ותחבולה, עבירה לפי </w:t>
      </w:r>
      <w:hyperlink r:id="rId32" w:history="1">
        <w:r w:rsidR="001B0530" w:rsidRPr="001B0530">
          <w:rPr>
            <w:color w:val="0000FF"/>
            <w:u w:val="single"/>
            <w:rtl/>
          </w:rPr>
          <w:t>סעיף 220(5)</w:t>
        </w:r>
      </w:hyperlink>
      <w:r>
        <w:rPr>
          <w:rFonts w:hint="cs"/>
          <w:rtl/>
        </w:rPr>
        <w:t xml:space="preserve"> ל</w:t>
      </w:r>
      <w:hyperlink r:id="rId33" w:history="1">
        <w:r w:rsidR="005A5ED4" w:rsidRPr="005A5ED4">
          <w:rPr>
            <w:rStyle w:val="Hyperlink"/>
            <w:rFonts w:hint="eastAsia"/>
            <w:rtl/>
          </w:rPr>
          <w:t>פקודת</w:t>
        </w:r>
        <w:r w:rsidR="005A5ED4" w:rsidRPr="005A5ED4">
          <w:rPr>
            <w:rStyle w:val="Hyperlink"/>
            <w:rtl/>
          </w:rPr>
          <w:t xml:space="preserve"> מס הכנסה</w:t>
        </w:r>
      </w:hyperlink>
      <w:r>
        <w:rPr>
          <w:rFonts w:hint="cs"/>
          <w:rtl/>
        </w:rPr>
        <w:t xml:space="preserve">, ועבירה של אי הודעה על התחלת עיסוק, עבירה על פי </w:t>
      </w:r>
      <w:hyperlink r:id="rId34" w:history="1">
        <w:r w:rsidR="001B0530" w:rsidRPr="001B0530">
          <w:rPr>
            <w:color w:val="0000FF"/>
            <w:u w:val="single"/>
            <w:rtl/>
          </w:rPr>
          <w:t>סעיף 215א(א)</w:t>
        </w:r>
      </w:hyperlink>
      <w:r>
        <w:rPr>
          <w:rFonts w:hint="cs"/>
          <w:rtl/>
        </w:rPr>
        <w:t xml:space="preserve"> לפקודת מס הכנסה. </w:t>
      </w:r>
    </w:p>
    <w:p w14:paraId="2A05298D" w14:textId="77777777" w:rsidR="00781444" w:rsidRDefault="00781444" w:rsidP="00781444">
      <w:pPr>
        <w:spacing w:line="360" w:lineRule="auto"/>
        <w:jc w:val="both"/>
        <w:rPr>
          <w:rtl/>
        </w:rPr>
      </w:pPr>
    </w:p>
    <w:p w14:paraId="2317BF8B" w14:textId="77777777" w:rsidR="00781444" w:rsidRDefault="00781444" w:rsidP="00781444">
      <w:pPr>
        <w:spacing w:line="360" w:lineRule="auto"/>
        <w:jc w:val="both"/>
        <w:rPr>
          <w:rtl/>
        </w:rPr>
      </w:pPr>
      <w:r>
        <w:rPr>
          <w:rFonts w:hint="cs"/>
          <w:rtl/>
        </w:rPr>
        <w:t>9.</w:t>
      </w:r>
      <w:r>
        <w:rPr>
          <w:rFonts w:hint="cs"/>
          <w:rtl/>
        </w:rPr>
        <w:tab/>
        <w:t xml:space="preserve">במסגרת הסדר הטיעון אליו הגיעו הצדדים התבקש בית המשפט להטיל על הנאשם עונש של מאסר בפועל של 18 חודשים ועוד יום. כן התבקש בית המשפט להטיל על הנאשם עונש מאסר מותנה על פי שיקול דעתו ולהטיל על הנאשם קנס בסך 70,000 ₪ או ימי מאסר תמורתו. הוסכם כי הקנס יועבר בהתאם </w:t>
      </w:r>
      <w:hyperlink r:id="rId35" w:history="1">
        <w:r w:rsidR="001B0530" w:rsidRPr="001B0530">
          <w:rPr>
            <w:color w:val="0000FF"/>
            <w:u w:val="single"/>
            <w:rtl/>
          </w:rPr>
          <w:t>לסעיף 11</w:t>
        </w:r>
      </w:hyperlink>
      <w:r>
        <w:rPr>
          <w:rFonts w:hint="cs"/>
          <w:rtl/>
        </w:rPr>
        <w:t xml:space="preserve"> ל</w:t>
      </w:r>
      <w:hyperlink r:id="rId36" w:history="1">
        <w:r w:rsidR="005A5ED4" w:rsidRPr="005A5ED4">
          <w:rPr>
            <w:rStyle w:val="Hyperlink"/>
            <w:rFonts w:hint="eastAsia"/>
            <w:rtl/>
          </w:rPr>
          <w:t>חוק</w:t>
        </w:r>
        <w:r w:rsidR="005A5ED4" w:rsidRPr="005A5ED4">
          <w:rPr>
            <w:rStyle w:val="Hyperlink"/>
            <w:rtl/>
          </w:rPr>
          <w:t xml:space="preserve"> איסור הלבנת הון</w:t>
        </w:r>
      </w:hyperlink>
      <w:r>
        <w:rPr>
          <w:rFonts w:hint="cs"/>
          <w:rtl/>
        </w:rPr>
        <w:t xml:space="preserve">, </w:t>
      </w:r>
      <w:r>
        <w:rPr>
          <w:rtl/>
        </w:rPr>
        <w:t xml:space="preserve">לקרן שהוקמה לפי </w:t>
      </w:r>
      <w:hyperlink r:id="rId37" w:history="1">
        <w:r w:rsidR="001B0530" w:rsidRPr="001B0530">
          <w:rPr>
            <w:color w:val="0000FF"/>
            <w:u w:val="single"/>
            <w:rtl/>
          </w:rPr>
          <w:t>סעיף 36ח</w:t>
        </w:r>
      </w:hyperlink>
      <w:r>
        <w:rPr>
          <w:rtl/>
        </w:rPr>
        <w:t xml:space="preserve"> ל</w:t>
      </w:r>
      <w:hyperlink r:id="rId38" w:history="1">
        <w:r w:rsidR="005A5ED4" w:rsidRPr="005A5ED4">
          <w:rPr>
            <w:rStyle w:val="Hyperlink"/>
            <w:rtl/>
          </w:rPr>
          <w:t>פקודת הסמים המסוכנים</w:t>
        </w:r>
      </w:hyperlink>
      <w:r>
        <w:rPr>
          <w:rtl/>
        </w:rPr>
        <w:t>.</w:t>
      </w:r>
      <w:r>
        <w:rPr>
          <w:rFonts w:hint="cs"/>
          <w:rtl/>
        </w:rPr>
        <w:t xml:space="preserve"> בית המשפט התבקש לנכות מימי המאסר את ימי מעצרו של הנאשם ולהורות כי הנאשם יתחיל בריצוי העונש ביום 3/2/2019. עוד התבקש בית המשפט להורות על ביטול צווי החילוט הזמני שניתנו בהתאם לכתב האישום המקורי שהוגש בתיק. </w:t>
      </w:r>
    </w:p>
    <w:p w14:paraId="611C0F9C" w14:textId="77777777" w:rsidR="00781444" w:rsidRDefault="00781444" w:rsidP="00781444">
      <w:pPr>
        <w:spacing w:line="360" w:lineRule="auto"/>
        <w:jc w:val="both"/>
        <w:rPr>
          <w:rtl/>
        </w:rPr>
      </w:pPr>
    </w:p>
    <w:p w14:paraId="0C8FC4E4" w14:textId="77777777" w:rsidR="00781444" w:rsidRDefault="00781444" w:rsidP="00781444">
      <w:pPr>
        <w:spacing w:line="360" w:lineRule="auto"/>
        <w:jc w:val="both"/>
        <w:rPr>
          <w:rtl/>
        </w:rPr>
      </w:pPr>
      <w:r>
        <w:rPr>
          <w:rFonts w:hint="cs"/>
          <w:rtl/>
        </w:rPr>
        <w:t>10.</w:t>
      </w:r>
      <w:r>
        <w:rPr>
          <w:rFonts w:hint="cs"/>
          <w:rtl/>
        </w:rPr>
        <w:tab/>
        <w:t xml:space="preserve">ב"כ המאשימה הציג בפני בית המשפט את תדפיס המרשם הפלילי. מהתדפיס עולה כי לנאשם מספר עבירות שרובן נעברו לפני שנים רבות, חלקן בהיותו בגיל נוער. בין היתר הורשע הנאשם בעבר בעבירות של  זיוף, שימוש במסמך מזויף וקבלת נכסים שהושגו בעוון, ואף הוטל עליו בשל אלו עונש מאסר בפועל למשך 8 חודשים. </w:t>
      </w:r>
    </w:p>
    <w:p w14:paraId="028123EB" w14:textId="77777777" w:rsidR="00781444" w:rsidRDefault="00781444" w:rsidP="00781444">
      <w:pPr>
        <w:spacing w:line="360" w:lineRule="auto"/>
        <w:jc w:val="both"/>
        <w:rPr>
          <w:rtl/>
        </w:rPr>
      </w:pPr>
    </w:p>
    <w:p w14:paraId="2F4B8D9E" w14:textId="77777777" w:rsidR="00781444" w:rsidRDefault="00781444" w:rsidP="00781444">
      <w:pPr>
        <w:spacing w:line="360" w:lineRule="auto"/>
        <w:jc w:val="both"/>
        <w:rPr>
          <w:rtl/>
        </w:rPr>
      </w:pPr>
      <w:r>
        <w:rPr>
          <w:rFonts w:hint="cs"/>
          <w:rtl/>
        </w:rPr>
        <w:t>11.</w:t>
      </w:r>
      <w:r>
        <w:rPr>
          <w:rFonts w:hint="cs"/>
          <w:rtl/>
        </w:rPr>
        <w:tab/>
        <w:t xml:space="preserve">ב"כ המאשימה ביקש שבית המשפט יכבד את העונש המוסכם והבהיר כי המאשימה הביאה בחשבון את חומרת העבירות מחד ואת הקשיים הראייתיים מנגד אשר הובילו אותה להסכים להסדר הטיעון. עוד ביקש להביא בחשבון כי המאשימה הסכימה להקל עם הנאשם גם לנוכח החרטה שהביע והודאתו בעבירות שיוחסו לו. ב"כ המאשימה סבור כי מאחר ומדובר בעונש מוסכם, אין צורך לפרט את מתחם העונש ההולם לעבירות בהן הורשע הנאשם. </w:t>
      </w:r>
    </w:p>
    <w:p w14:paraId="0084B66E" w14:textId="77777777" w:rsidR="00781444" w:rsidRDefault="00781444" w:rsidP="00781444">
      <w:pPr>
        <w:spacing w:line="360" w:lineRule="auto"/>
        <w:jc w:val="both"/>
        <w:rPr>
          <w:rtl/>
        </w:rPr>
      </w:pPr>
    </w:p>
    <w:p w14:paraId="7E573DC6" w14:textId="77777777" w:rsidR="00781444" w:rsidRDefault="00781444" w:rsidP="00781444">
      <w:pPr>
        <w:spacing w:line="360" w:lineRule="auto"/>
        <w:jc w:val="both"/>
        <w:rPr>
          <w:rtl/>
        </w:rPr>
      </w:pPr>
      <w:r>
        <w:rPr>
          <w:rFonts w:hint="cs"/>
          <w:rtl/>
        </w:rPr>
        <w:t>12.</w:t>
      </w:r>
      <w:r>
        <w:rPr>
          <w:rFonts w:hint="cs"/>
          <w:rtl/>
        </w:rPr>
        <w:tab/>
        <w:t xml:space="preserve">ב"כ הנאשם ביקש אף הוא שבית המשפט יאשר את ההסדר. ב"כ הנאשם הדגיש כי הסדר הטיעון הושג לאחר הליך משפטי ארוך ורק לאחר שהמאשימה השתכנעה בקשיים ראייתיים לגבי חלק מהעבירות שיוחסו לנאשם בכתב האישום המקורי. עוד ביקש להדגיש כי הנאשם נעצר ונחקר בשל חשד לעבירות אחרות אשר בסופו של יום לא הניבו כל כתב אישום. לדבריו ניתן לראות כי חלק ניכר מהודעות שנגבו מהנאשם אינן מתייחסות לעבירות מושא תיק זה וחלקים גדולים באופן בלתי רגיל, הושחרו כדי שבית המשפט לא יושפע מהחשדות האחרים שהיו תלויים כנגד הנאשם ואשר בסופו של יום לא נמצאו ראיות להוכחתם. עוד הוסיף ב"כ הנאשם וציין כי העבירות שבכתב האישום המתוקן הן עבירות שוליות לאישומים שבהם נחשד מלכתחילה ואשר כלשונו "היו רק כמו חומרי עריכה שנותרו על רצפת הפרקליטות". </w:t>
      </w:r>
    </w:p>
    <w:p w14:paraId="73E9CE63" w14:textId="77777777" w:rsidR="00781444" w:rsidRDefault="00781444" w:rsidP="00781444">
      <w:pPr>
        <w:spacing w:line="360" w:lineRule="auto"/>
        <w:jc w:val="both"/>
        <w:rPr>
          <w:rtl/>
        </w:rPr>
      </w:pPr>
    </w:p>
    <w:p w14:paraId="6B9FA246" w14:textId="77777777" w:rsidR="00781444" w:rsidRDefault="00781444" w:rsidP="00781444">
      <w:pPr>
        <w:spacing w:line="360" w:lineRule="auto"/>
        <w:jc w:val="both"/>
        <w:rPr>
          <w:rtl/>
        </w:rPr>
      </w:pPr>
      <w:r>
        <w:rPr>
          <w:rFonts w:hint="cs"/>
          <w:rtl/>
        </w:rPr>
        <w:t>13.</w:t>
      </w:r>
      <w:r>
        <w:rPr>
          <w:rFonts w:hint="cs"/>
          <w:rtl/>
        </w:rPr>
        <w:tab/>
        <w:t xml:space="preserve">הנאשם אמר בדבריו לבית המשפט כי נאלץ לנהל הליך ארוך שהוא כשלעצמו היווה עונש. ההליך הארוך נכפה עליו בשל אישומים שבסופו של דבר המאשימה מחקה והבינה כי אין בידה ראיות להוכחתם. הנאשם הדגיש כי כתוצאה מההליך הוא אינו עובד, שמו נפגע ונגרם לו נזק עצום. הנאשם חזר והביע חרטה והוא מקווה לצאת, עם סיום תקופת המאסר, לדרך חדשה. </w:t>
      </w:r>
    </w:p>
    <w:p w14:paraId="66215070" w14:textId="77777777" w:rsidR="00781444" w:rsidRDefault="00781444" w:rsidP="00781444">
      <w:pPr>
        <w:spacing w:line="360" w:lineRule="auto"/>
        <w:jc w:val="both"/>
        <w:rPr>
          <w:rtl/>
        </w:rPr>
      </w:pPr>
    </w:p>
    <w:p w14:paraId="2717C004" w14:textId="77777777" w:rsidR="00781444" w:rsidRPr="00B52803" w:rsidRDefault="00781444" w:rsidP="00781444">
      <w:pPr>
        <w:spacing w:line="360" w:lineRule="auto"/>
        <w:jc w:val="both"/>
        <w:rPr>
          <w:b/>
          <w:bCs/>
          <w:u w:val="single"/>
          <w:rtl/>
        </w:rPr>
      </w:pPr>
      <w:r w:rsidRPr="00B52803">
        <w:rPr>
          <w:rFonts w:hint="cs"/>
          <w:b/>
          <w:bCs/>
          <w:u w:val="single"/>
          <w:rtl/>
        </w:rPr>
        <w:t>הכרעה</w:t>
      </w:r>
    </w:p>
    <w:p w14:paraId="552E1F6F" w14:textId="77777777" w:rsidR="00781444" w:rsidRDefault="00781444" w:rsidP="00781444">
      <w:pPr>
        <w:spacing w:line="360" w:lineRule="auto"/>
        <w:jc w:val="both"/>
        <w:rPr>
          <w:rtl/>
        </w:rPr>
      </w:pPr>
      <w:r>
        <w:rPr>
          <w:rFonts w:hint="cs"/>
          <w:rtl/>
        </w:rPr>
        <w:t>14.</w:t>
      </w:r>
      <w:r>
        <w:rPr>
          <w:rFonts w:hint="cs"/>
          <w:rtl/>
        </w:rPr>
        <w:tab/>
        <w:t xml:space="preserve">העבירות בהן הורשע הנאשם מאופיינות כולן במעשי מרמה או בניסיונות לבצע מעשי מרמה, הן כנגד הבנק, הן כנגד חברת כלמוביל והן כנגד רשויות המס. עבירות מרמה שכאלה יש בהן פגיעה באמון, הן מביאות לשיבוש המסחר והכלכלה והן מביאות לפגיעה קשה בקופה הציבורית. עבירות המרמה כנגד הבנק נועדו למנוע דיווחים לרשויות הלבנת ההון ובכך מנעו מעקב ופיקוח על קבלת הכספים על ידי הנאשם. גם העבירות כנגד רשויות המס, ההתעלמות מהחובה לדווח על הכנסות ועל תחילת עיסוק, שיבשו את אפשרות שלטונות המס לעקוב אחר הכנסותיו של הנאשם ולגבות את המס המגיע מהן. בעבירות כאלה יש משום פגיעה בציבור הרחב כולו ופגיעה בעיקרון השוויון בנשיאת הנטל בין הנישומים.  כאשר חייב המס אינו מדווח על הכנסותיו, אינו משלם את המס המועד ומטעה את השלטונות, הוא  גורע מהקופה הציבורית ובהכרח מביא להכבדת נטל המס על שאר הנישומים. על כן חזרו בתי המשפט והדגישו כי בעבירות הפוגעות בקופה הציבורית בכלל ובעבירות מס בפרט, מן הראוי כי בתי המשפט יטילו עונשים מרתיעים. </w:t>
      </w:r>
    </w:p>
    <w:p w14:paraId="6578D830" w14:textId="77777777" w:rsidR="00781444" w:rsidRDefault="00781444" w:rsidP="00781444">
      <w:pPr>
        <w:spacing w:line="360" w:lineRule="auto"/>
        <w:jc w:val="both"/>
        <w:rPr>
          <w:rtl/>
        </w:rPr>
      </w:pPr>
    </w:p>
    <w:p w14:paraId="680A94BC" w14:textId="77777777" w:rsidR="00781444" w:rsidRDefault="00781444" w:rsidP="00781444">
      <w:pPr>
        <w:spacing w:line="360" w:lineRule="auto"/>
        <w:jc w:val="both"/>
        <w:rPr>
          <w:rtl/>
        </w:rPr>
      </w:pPr>
      <w:r>
        <w:rPr>
          <w:rFonts w:hint="cs"/>
          <w:rtl/>
        </w:rPr>
        <w:t>15.</w:t>
      </w:r>
      <w:r>
        <w:rPr>
          <w:rtl/>
        </w:rPr>
        <w:tab/>
      </w:r>
      <w:r>
        <w:rPr>
          <w:rFonts w:hint="cs"/>
          <w:rtl/>
        </w:rPr>
        <w:t>כידוע, הלכה היא שבית המשפט לא יתערב בהסדרי טיעון שהוצגו בין הצדדים אלא במקרים חריגים (</w:t>
      </w:r>
      <w:hyperlink r:id="rId39" w:history="1">
        <w:r w:rsidR="00E100DB" w:rsidRPr="00E100DB">
          <w:rPr>
            <w:color w:val="0000FF"/>
            <w:u w:val="single"/>
            <w:rtl/>
          </w:rPr>
          <w:t xml:space="preserve">1958/98 </w:t>
        </w:r>
      </w:hyperlink>
      <w:r>
        <w:rPr>
          <w:rFonts w:hint="cs"/>
          <w:rtl/>
        </w:rPr>
        <w:t xml:space="preserve"> </w:t>
      </w:r>
      <w:r>
        <w:rPr>
          <w:rFonts w:cs="Miriam" w:hint="cs"/>
          <w:rtl/>
        </w:rPr>
        <w:t>פלוני נ' מדינת ישראל</w:t>
      </w:r>
      <w:r>
        <w:rPr>
          <w:rFonts w:hint="cs"/>
          <w:rtl/>
        </w:rPr>
        <w:t>, פ"ד נז(1) 577 (2002). בפסיקה התגלעה מחלוקת האם גם במסגרת בחינת הסדר טיעון המוגש לבית המשפט על בית המשפט לקבוע את מתחם העונש ההולם לכל אחת מהעבירות בהתאם לתיקון 113 ל</w:t>
      </w:r>
      <w:hyperlink r:id="rId40" w:history="1">
        <w:r w:rsidR="005A5ED4" w:rsidRPr="005A5ED4">
          <w:rPr>
            <w:rStyle w:val="Hyperlink"/>
            <w:rFonts w:hint="eastAsia"/>
            <w:rtl/>
          </w:rPr>
          <w:t>חוק</w:t>
        </w:r>
        <w:r w:rsidR="005A5ED4" w:rsidRPr="005A5ED4">
          <w:rPr>
            <w:rStyle w:val="Hyperlink"/>
            <w:rtl/>
          </w:rPr>
          <w:t xml:space="preserve"> העונשין</w:t>
        </w:r>
      </w:hyperlink>
      <w:r>
        <w:rPr>
          <w:rFonts w:hint="cs"/>
          <w:rtl/>
        </w:rPr>
        <w:t xml:space="preserve"> (ראו </w:t>
      </w:r>
      <w:hyperlink r:id="rId41" w:history="1">
        <w:r w:rsidR="005A5ED4" w:rsidRPr="005A5ED4">
          <w:rPr>
            <w:rStyle w:val="Hyperlink"/>
            <w:rFonts w:hint="eastAsia"/>
            <w:rtl/>
          </w:rPr>
          <w:t>ע</w:t>
        </w:r>
        <w:r w:rsidR="005A5ED4" w:rsidRPr="005A5ED4">
          <w:rPr>
            <w:rStyle w:val="Hyperlink"/>
            <w:rtl/>
          </w:rPr>
          <w:t>"פ 6371/12</w:t>
        </w:r>
      </w:hyperlink>
      <w:r>
        <w:rPr>
          <w:rFonts w:hint="cs"/>
          <w:rtl/>
        </w:rPr>
        <w:t xml:space="preserve"> </w:t>
      </w:r>
      <w:r>
        <w:rPr>
          <w:rFonts w:cs="Miriam" w:hint="cs"/>
          <w:rtl/>
        </w:rPr>
        <w:t>שלום נ' מדינת ישראל</w:t>
      </w:r>
      <w:r>
        <w:rPr>
          <w:rFonts w:hint="cs"/>
          <w:rtl/>
        </w:rPr>
        <w:t xml:space="preserve"> (10/12/2013); </w:t>
      </w:r>
      <w:hyperlink r:id="rId42" w:history="1">
        <w:r w:rsidR="005A5ED4" w:rsidRPr="005A5ED4">
          <w:rPr>
            <w:rStyle w:val="Hyperlink"/>
            <w:rFonts w:hint="eastAsia"/>
            <w:rtl/>
          </w:rPr>
          <w:t>ע</w:t>
        </w:r>
        <w:r w:rsidR="005A5ED4" w:rsidRPr="005A5ED4">
          <w:rPr>
            <w:rStyle w:val="Hyperlink"/>
            <w:rtl/>
          </w:rPr>
          <w:t>"פ 3042/13</w:t>
        </w:r>
      </w:hyperlink>
      <w:r>
        <w:rPr>
          <w:rFonts w:hint="cs"/>
          <w:rtl/>
        </w:rPr>
        <w:t xml:space="preserve"> </w:t>
      </w:r>
      <w:r>
        <w:rPr>
          <w:rFonts w:cs="Miriam" w:hint="cs"/>
          <w:rtl/>
        </w:rPr>
        <w:t>חיימוב נ' מדינת ישראל</w:t>
      </w:r>
      <w:r>
        <w:rPr>
          <w:rFonts w:hint="cs"/>
          <w:rtl/>
        </w:rPr>
        <w:t xml:space="preserve"> (21/5/2015); </w:t>
      </w:r>
      <w:hyperlink r:id="rId43" w:history="1">
        <w:r w:rsidR="005A5ED4" w:rsidRPr="005A5ED4">
          <w:rPr>
            <w:rStyle w:val="Hyperlink"/>
            <w:rFonts w:hint="eastAsia"/>
            <w:rtl/>
          </w:rPr>
          <w:t>ע</w:t>
        </w:r>
        <w:r w:rsidR="005A5ED4" w:rsidRPr="005A5ED4">
          <w:rPr>
            <w:rStyle w:val="Hyperlink"/>
            <w:rtl/>
          </w:rPr>
          <w:t>"פ 4301/15</w:t>
        </w:r>
      </w:hyperlink>
      <w:r>
        <w:rPr>
          <w:rFonts w:hint="cs"/>
          <w:rtl/>
        </w:rPr>
        <w:t xml:space="preserve"> </w:t>
      </w:r>
      <w:r>
        <w:rPr>
          <w:rFonts w:cs="Miriam" w:hint="cs"/>
          <w:rtl/>
        </w:rPr>
        <w:t>פינטו נ' מדינת ישראל</w:t>
      </w:r>
      <w:r>
        <w:rPr>
          <w:rFonts w:hint="cs"/>
          <w:rtl/>
        </w:rPr>
        <w:t xml:space="preserve"> (5/1/2016); </w:t>
      </w:r>
      <w:hyperlink r:id="rId44" w:history="1">
        <w:r w:rsidR="005A5ED4" w:rsidRPr="005A5ED4">
          <w:rPr>
            <w:rStyle w:val="Hyperlink"/>
            <w:rFonts w:hint="eastAsia"/>
            <w:rtl/>
          </w:rPr>
          <w:t>ע</w:t>
        </w:r>
        <w:r w:rsidR="005A5ED4" w:rsidRPr="005A5ED4">
          <w:rPr>
            <w:rStyle w:val="Hyperlink"/>
            <w:rtl/>
          </w:rPr>
          <w:t>"פ 2021/17</w:t>
        </w:r>
      </w:hyperlink>
      <w:r>
        <w:rPr>
          <w:rFonts w:hint="cs"/>
          <w:rtl/>
        </w:rPr>
        <w:t xml:space="preserve"> </w:t>
      </w:r>
      <w:r>
        <w:rPr>
          <w:rFonts w:cs="Miriam" w:hint="cs"/>
          <w:rtl/>
        </w:rPr>
        <w:t>מצגר נ' מדינת ישראל</w:t>
      </w:r>
      <w:r>
        <w:rPr>
          <w:rFonts w:hint="cs"/>
          <w:rtl/>
        </w:rPr>
        <w:t xml:space="preserve"> (30/4/2017)). בסופו של יום אין בפנינו הלכה ברורה של בית המשפט העליון, אם כי בתי המשפט חזרו והדגישו כי בבואו של בית המשפט לבחון האם לאמץ הסדר טיעון, על בית המשפט לבחון את נאותות ההסדר ואת היחס בין ההסדר לבין עיקרון ההלימה הקבוע ב</w:t>
      </w:r>
      <w:hyperlink r:id="rId45" w:history="1">
        <w:r w:rsidR="005A5ED4" w:rsidRPr="005A5ED4">
          <w:rPr>
            <w:rStyle w:val="Hyperlink"/>
            <w:rFonts w:hint="eastAsia"/>
            <w:rtl/>
          </w:rPr>
          <w:t>חוק</w:t>
        </w:r>
        <w:r w:rsidR="005A5ED4" w:rsidRPr="005A5ED4">
          <w:rPr>
            <w:rStyle w:val="Hyperlink"/>
            <w:rtl/>
          </w:rPr>
          <w:t xml:space="preserve"> העונשין</w:t>
        </w:r>
      </w:hyperlink>
      <w:r>
        <w:rPr>
          <w:rFonts w:hint="cs"/>
          <w:rtl/>
        </w:rPr>
        <w:t xml:space="preserve"> בהתאם לתיקון 113. </w:t>
      </w:r>
    </w:p>
    <w:p w14:paraId="78F8CE54" w14:textId="77777777" w:rsidR="00781444" w:rsidRDefault="00781444" w:rsidP="00781444">
      <w:pPr>
        <w:spacing w:line="360" w:lineRule="auto"/>
        <w:jc w:val="both"/>
        <w:rPr>
          <w:rtl/>
        </w:rPr>
      </w:pPr>
    </w:p>
    <w:p w14:paraId="7C106B24" w14:textId="77777777" w:rsidR="00781444" w:rsidRDefault="00781444" w:rsidP="00781444">
      <w:pPr>
        <w:spacing w:line="360" w:lineRule="auto"/>
        <w:jc w:val="both"/>
        <w:rPr>
          <w:rtl/>
        </w:rPr>
      </w:pPr>
      <w:r>
        <w:rPr>
          <w:rFonts w:hint="cs"/>
          <w:rtl/>
        </w:rPr>
        <w:t>16.</w:t>
      </w:r>
      <w:r>
        <w:rPr>
          <w:rtl/>
        </w:rPr>
        <w:tab/>
      </w:r>
      <w:r>
        <w:rPr>
          <w:rFonts w:hint="cs"/>
          <w:rtl/>
        </w:rPr>
        <w:t xml:space="preserve">בבואי לשקול את הסדר הטיעון בתיק זה, איני סבור שיש צורך לבחון את העונש ההולם לכל אחד ואחד מהמעשים המיוחסים לנאשם, וגם הצדדים סברו כי אין צורך לפרט את מתחמי העונש ההולם לכל אחד מהם. בין השיקולים יש להביא בחשבון את משמעות עבירות המרמה על הציבור בכללותו ועל הקופה הציבורית כפי שפורטו לעיל, אולם יש להביא בחשבון גם את נסיבות ביצוע כל אחת מהעבירות. אין גם להתעלם מההליך הארוך שעבר הנאשם, מהקשיים שהתגלו במהלך שמיעת הראיות, גם לבית המשפט וגם למאשימה, ואת עובדה שבסופו של דבר הנאשם קיבל על עצמו אחריות לעבירות שבכתב האישום המתוקן, הודה בביצוען והורשע. </w:t>
      </w:r>
    </w:p>
    <w:p w14:paraId="1CEB4362" w14:textId="77777777" w:rsidR="00781444" w:rsidRPr="00674866" w:rsidRDefault="00781444" w:rsidP="00781444">
      <w:pPr>
        <w:spacing w:line="360" w:lineRule="auto"/>
        <w:jc w:val="both"/>
        <w:rPr>
          <w:sz w:val="18"/>
          <w:szCs w:val="18"/>
          <w:rtl/>
        </w:rPr>
      </w:pPr>
    </w:p>
    <w:p w14:paraId="0884D175" w14:textId="77777777" w:rsidR="00781444" w:rsidRDefault="00781444" w:rsidP="00781444">
      <w:pPr>
        <w:spacing w:line="360" w:lineRule="auto"/>
        <w:jc w:val="both"/>
        <w:rPr>
          <w:rtl/>
        </w:rPr>
      </w:pPr>
      <w:r>
        <w:rPr>
          <w:rtl/>
        </w:rPr>
        <w:tab/>
      </w:r>
      <w:r>
        <w:rPr>
          <w:rFonts w:hint="cs"/>
          <w:rtl/>
        </w:rPr>
        <w:t>איזון בין השיקולים השונים מחייב את המסקנה כי העונש המוסכם בהסדר הטיעון אינו חורג מהעונש ההולם את העבירות באופן המחייב את התערבות בית המשפט.</w:t>
      </w:r>
    </w:p>
    <w:p w14:paraId="6A643A96" w14:textId="77777777" w:rsidR="00781444" w:rsidRPr="00674866" w:rsidRDefault="00781444" w:rsidP="00781444">
      <w:pPr>
        <w:spacing w:line="360" w:lineRule="auto"/>
        <w:jc w:val="both"/>
        <w:rPr>
          <w:sz w:val="16"/>
          <w:szCs w:val="16"/>
          <w:rtl/>
        </w:rPr>
      </w:pPr>
    </w:p>
    <w:p w14:paraId="22287877" w14:textId="77777777" w:rsidR="00781444" w:rsidRDefault="00781444" w:rsidP="00781444">
      <w:pPr>
        <w:spacing w:line="360" w:lineRule="auto"/>
        <w:jc w:val="both"/>
        <w:rPr>
          <w:rtl/>
        </w:rPr>
      </w:pPr>
      <w:r>
        <w:rPr>
          <w:rFonts w:hint="cs"/>
          <w:rtl/>
        </w:rPr>
        <w:t>17.</w:t>
      </w:r>
      <w:r>
        <w:rPr>
          <w:rFonts w:hint="cs"/>
          <w:rtl/>
        </w:rPr>
        <w:tab/>
        <w:t xml:space="preserve">לאור כל האמור, אני מאשר את הסדר הטיעון ומטיל על הנאשם את העונשים כדלקמן: </w:t>
      </w:r>
    </w:p>
    <w:p w14:paraId="05A23D42" w14:textId="77777777" w:rsidR="00781444" w:rsidRDefault="00781444" w:rsidP="00781444">
      <w:pPr>
        <w:spacing w:line="360" w:lineRule="auto"/>
        <w:jc w:val="both"/>
        <w:rPr>
          <w:rtl/>
        </w:rPr>
      </w:pPr>
    </w:p>
    <w:p w14:paraId="3C14C027" w14:textId="77777777" w:rsidR="00781444" w:rsidRDefault="00781444" w:rsidP="00781444">
      <w:pPr>
        <w:spacing w:line="360" w:lineRule="auto"/>
        <w:ind w:left="1440" w:hanging="720"/>
        <w:jc w:val="both"/>
        <w:rPr>
          <w:rtl/>
        </w:rPr>
      </w:pPr>
      <w:r>
        <w:rPr>
          <w:rFonts w:hint="cs"/>
          <w:rtl/>
        </w:rPr>
        <w:t>א.</w:t>
      </w:r>
      <w:r>
        <w:rPr>
          <w:rtl/>
        </w:rPr>
        <w:tab/>
      </w:r>
      <w:r>
        <w:rPr>
          <w:rFonts w:hint="cs"/>
          <w:rtl/>
        </w:rPr>
        <w:t xml:space="preserve">מאסר בפועל של 18 חודשים ועוד יום אחד. מעונש מאסר זה ינוכו ימי המעצר מיום 14/12/2014 עד ליום 18/12/2014 ומיום 27/4/2015 ועד ליום 11/5/2015. </w:t>
      </w:r>
    </w:p>
    <w:p w14:paraId="031C7455" w14:textId="77777777" w:rsidR="00781444" w:rsidRDefault="00781444" w:rsidP="00781444">
      <w:pPr>
        <w:spacing w:line="360" w:lineRule="auto"/>
        <w:jc w:val="both"/>
        <w:rPr>
          <w:rtl/>
        </w:rPr>
      </w:pPr>
    </w:p>
    <w:p w14:paraId="75A7A463" w14:textId="77777777" w:rsidR="00781444" w:rsidRDefault="00781444" w:rsidP="00781444">
      <w:pPr>
        <w:spacing w:line="360" w:lineRule="auto"/>
        <w:ind w:left="1440" w:hanging="720"/>
        <w:jc w:val="both"/>
        <w:rPr>
          <w:rtl/>
        </w:rPr>
      </w:pPr>
      <w:r>
        <w:rPr>
          <w:rFonts w:hint="cs"/>
          <w:rtl/>
        </w:rPr>
        <w:t>ב.</w:t>
      </w:r>
      <w:r>
        <w:rPr>
          <w:rFonts w:hint="cs"/>
          <w:rtl/>
        </w:rPr>
        <w:tab/>
        <w:t xml:space="preserve">עונש מאסר מותנה של 9 חודשים אשר יופעל אם הנאשם יעבור בתוך 3 שנים מיום שחרורו מעונש המאסר האמור על עבירה מהעבירות בהן הורשע בהכרעת הדין בתיק זה, למעט אם יורשע בעבירה של אי הודעה על התחלת עיסוק, עבירה לפי </w:t>
      </w:r>
      <w:hyperlink r:id="rId46" w:history="1">
        <w:r w:rsidR="001B0530" w:rsidRPr="001B0530">
          <w:rPr>
            <w:color w:val="0000FF"/>
            <w:u w:val="single"/>
            <w:rtl/>
          </w:rPr>
          <w:t>סעיף 215א(א)</w:t>
        </w:r>
      </w:hyperlink>
      <w:r>
        <w:rPr>
          <w:rFonts w:hint="cs"/>
          <w:rtl/>
        </w:rPr>
        <w:t xml:space="preserve"> ל</w:t>
      </w:r>
      <w:hyperlink r:id="rId47" w:history="1">
        <w:r w:rsidR="005A5ED4" w:rsidRPr="005A5ED4">
          <w:rPr>
            <w:rStyle w:val="Hyperlink"/>
            <w:rFonts w:hint="eastAsia"/>
            <w:rtl/>
          </w:rPr>
          <w:t>פקודת</w:t>
        </w:r>
        <w:r w:rsidR="005A5ED4" w:rsidRPr="005A5ED4">
          <w:rPr>
            <w:rStyle w:val="Hyperlink"/>
            <w:rtl/>
          </w:rPr>
          <w:t xml:space="preserve"> מס הכנסה</w:t>
        </w:r>
      </w:hyperlink>
      <w:r>
        <w:rPr>
          <w:rFonts w:hint="cs"/>
          <w:rtl/>
        </w:rPr>
        <w:t xml:space="preserve">. עונש מאסר מותנה של 4 חודשים אם הנאשם יעבור על עבירה של אי הודעה על התחלת עיסוק. </w:t>
      </w:r>
    </w:p>
    <w:p w14:paraId="3B5A5D0F" w14:textId="77777777" w:rsidR="00781444" w:rsidRDefault="00781444" w:rsidP="00781444">
      <w:pPr>
        <w:spacing w:line="360" w:lineRule="auto"/>
        <w:ind w:left="1440" w:hanging="720"/>
        <w:jc w:val="both"/>
        <w:rPr>
          <w:rtl/>
        </w:rPr>
      </w:pPr>
    </w:p>
    <w:p w14:paraId="14B0D301" w14:textId="77777777" w:rsidR="00781444" w:rsidRDefault="00781444" w:rsidP="00781444">
      <w:pPr>
        <w:spacing w:line="360" w:lineRule="auto"/>
        <w:ind w:left="1440" w:hanging="720"/>
        <w:jc w:val="both"/>
        <w:rPr>
          <w:rtl/>
        </w:rPr>
      </w:pPr>
      <w:r>
        <w:rPr>
          <w:rFonts w:hint="cs"/>
          <w:rtl/>
        </w:rPr>
        <w:t>ג.</w:t>
      </w:r>
      <w:r>
        <w:rPr>
          <w:rFonts w:hint="cs"/>
          <w:rtl/>
        </w:rPr>
        <w:tab/>
        <w:t xml:space="preserve">הנאשם ישלם קנס של 70,000 ₪ או ירצה 90 ימי מאסר תמורתו. הקנס ישולם עד ליום 1/1/2019 ויועבר לקרן החילוט בהתאם לאמור </w:t>
      </w:r>
      <w:hyperlink r:id="rId48" w:history="1">
        <w:r w:rsidR="00130EA1" w:rsidRPr="00130EA1">
          <w:rPr>
            <w:color w:val="0000FF"/>
            <w:u w:val="single"/>
            <w:rtl/>
          </w:rPr>
          <w:t>בסעיף 11</w:t>
        </w:r>
      </w:hyperlink>
      <w:r>
        <w:rPr>
          <w:rFonts w:hint="cs"/>
          <w:rtl/>
        </w:rPr>
        <w:t xml:space="preserve"> ל</w:t>
      </w:r>
      <w:hyperlink r:id="rId49" w:history="1">
        <w:r w:rsidR="005A5ED4" w:rsidRPr="005A5ED4">
          <w:rPr>
            <w:rStyle w:val="Hyperlink"/>
            <w:rFonts w:hint="eastAsia"/>
            <w:rtl/>
          </w:rPr>
          <w:t>חוק</w:t>
        </w:r>
        <w:r w:rsidR="005A5ED4" w:rsidRPr="005A5ED4">
          <w:rPr>
            <w:rStyle w:val="Hyperlink"/>
            <w:rtl/>
          </w:rPr>
          <w:t xml:space="preserve"> איסור הלבנת הון</w:t>
        </w:r>
      </w:hyperlink>
      <w:r>
        <w:rPr>
          <w:rFonts w:hint="cs"/>
          <w:rtl/>
        </w:rPr>
        <w:t xml:space="preserve">. </w:t>
      </w:r>
    </w:p>
    <w:p w14:paraId="5E9B9CF0" w14:textId="77777777" w:rsidR="00781444" w:rsidRDefault="00781444" w:rsidP="00781444">
      <w:pPr>
        <w:spacing w:line="360" w:lineRule="auto"/>
        <w:ind w:left="1440" w:hanging="720"/>
        <w:jc w:val="both"/>
        <w:rPr>
          <w:rtl/>
        </w:rPr>
      </w:pPr>
    </w:p>
    <w:p w14:paraId="12E07948" w14:textId="77777777" w:rsidR="00781444" w:rsidRDefault="00781444" w:rsidP="00781444">
      <w:pPr>
        <w:spacing w:line="360" w:lineRule="auto"/>
        <w:ind w:left="1440" w:hanging="720"/>
        <w:jc w:val="both"/>
        <w:rPr>
          <w:rtl/>
        </w:rPr>
      </w:pPr>
      <w:r>
        <w:rPr>
          <w:rFonts w:hint="cs"/>
          <w:rtl/>
        </w:rPr>
        <w:t>ד.</w:t>
      </w:r>
      <w:r>
        <w:rPr>
          <w:rFonts w:hint="cs"/>
          <w:rtl/>
        </w:rPr>
        <w:tab/>
        <w:t xml:space="preserve">הנאשם יתייצב לריצוי עונש המאסר ביום 3/2/2019 בהתאם לקביעת ועדת המיון המוקדם או בבית המעצר קישון. </w:t>
      </w:r>
    </w:p>
    <w:p w14:paraId="48998DAE" w14:textId="77777777" w:rsidR="00781444" w:rsidRDefault="00781444" w:rsidP="00781444">
      <w:pPr>
        <w:spacing w:line="360" w:lineRule="auto"/>
        <w:ind w:left="1440" w:hanging="720"/>
        <w:jc w:val="both"/>
        <w:rPr>
          <w:rtl/>
        </w:rPr>
      </w:pPr>
    </w:p>
    <w:p w14:paraId="45DD33D6" w14:textId="77777777" w:rsidR="00781444" w:rsidRDefault="00781444" w:rsidP="00781444">
      <w:pPr>
        <w:spacing w:line="360" w:lineRule="auto"/>
        <w:ind w:left="1440" w:hanging="720"/>
        <w:jc w:val="both"/>
        <w:rPr>
          <w:rtl/>
        </w:rPr>
      </w:pPr>
      <w:r>
        <w:rPr>
          <w:rFonts w:hint="cs"/>
          <w:rtl/>
        </w:rPr>
        <w:t>ה.</w:t>
      </w:r>
      <w:r>
        <w:rPr>
          <w:rFonts w:hint="cs"/>
          <w:rtl/>
        </w:rPr>
        <w:tab/>
        <w:t xml:space="preserve">ועדת המיון תשקול את בקשת הנאשם לשבצו למאסר במקום שבו ניתן יהיה לשלבו בקבוצת טיפול לעברייני מרמה. </w:t>
      </w:r>
    </w:p>
    <w:p w14:paraId="521A7A99" w14:textId="77777777" w:rsidR="00781444" w:rsidRPr="00644590" w:rsidRDefault="005A5ED4" w:rsidP="00781444">
      <w:pPr>
        <w:spacing w:line="360" w:lineRule="auto"/>
        <w:ind w:left="1440" w:hanging="720"/>
        <w:jc w:val="both"/>
        <w:rPr>
          <w:b/>
          <w:bCs/>
          <w:u w:val="single"/>
          <w:rtl/>
        </w:rPr>
      </w:pPr>
      <w:r w:rsidRPr="005A5ED4">
        <w:rPr>
          <w:b/>
          <w:bCs/>
          <w:color w:val="FFFFFF"/>
          <w:sz w:val="2"/>
          <w:szCs w:val="2"/>
          <w:u w:val="single"/>
          <w:rtl/>
        </w:rPr>
        <w:t>5129371</w:t>
      </w:r>
      <w:r w:rsidR="00781444">
        <w:rPr>
          <w:rFonts w:hint="cs"/>
          <w:b/>
          <w:bCs/>
          <w:u w:val="single"/>
          <w:rtl/>
        </w:rPr>
        <w:t xml:space="preserve">זכות ערעור תוך 45 יום לבית המשפט העליון. </w:t>
      </w:r>
    </w:p>
    <w:p w14:paraId="5CDE21F6" w14:textId="77777777" w:rsidR="00781444" w:rsidRPr="005A5ED4" w:rsidRDefault="005A5ED4" w:rsidP="00781444">
      <w:pPr>
        <w:jc w:val="both"/>
        <w:rPr>
          <w:color w:val="FFFFFF"/>
          <w:sz w:val="2"/>
          <w:szCs w:val="2"/>
          <w:rtl/>
        </w:rPr>
      </w:pPr>
      <w:r w:rsidRPr="005A5ED4">
        <w:rPr>
          <w:color w:val="FFFFFF"/>
          <w:sz w:val="2"/>
          <w:szCs w:val="2"/>
          <w:rtl/>
        </w:rPr>
        <w:t>54678313</w:t>
      </w:r>
    </w:p>
    <w:p w14:paraId="50C9C72A" w14:textId="77777777" w:rsidR="00781444" w:rsidRPr="00E823AA" w:rsidRDefault="005A5ED4" w:rsidP="00781444">
      <w:pPr>
        <w:jc w:val="center"/>
      </w:pPr>
      <w:r>
        <w:rPr>
          <w:rFonts w:ascii="Arial" w:hAnsi="Arial"/>
          <w:rtl/>
        </w:rPr>
        <w:t xml:space="preserve">ניתן היום,  ה' כסלו תשע"ט, 13 נובמבר 2018, בהעדר הצדדים. </w:t>
      </w:r>
      <w:r w:rsidR="00781444" w:rsidRPr="00E823AA">
        <w:rPr>
          <w:rFonts w:hint="cs"/>
          <w:rtl/>
        </w:rPr>
        <w:t xml:space="preserve">  </w:t>
      </w:r>
      <w:r w:rsidR="00781444" w:rsidRPr="00E823AA">
        <w:rPr>
          <w:rFonts w:hint="cs"/>
          <w:rtl/>
        </w:rPr>
        <w:tab/>
      </w:r>
      <w:r w:rsidR="00781444" w:rsidRPr="00E823AA">
        <w:rPr>
          <w:rFonts w:hint="cs"/>
          <w:rtl/>
        </w:rPr>
        <w:tab/>
      </w:r>
      <w:r w:rsidR="00781444" w:rsidRPr="00E823AA">
        <w:rPr>
          <w:rFonts w:hint="cs"/>
          <w:rtl/>
        </w:rPr>
        <w:tab/>
      </w:r>
      <w:r w:rsidR="00781444" w:rsidRPr="00E823AA">
        <w:rPr>
          <w:rFonts w:hint="cs"/>
          <w:rtl/>
        </w:rPr>
        <w:tab/>
      </w:r>
      <w:r w:rsidR="00781444" w:rsidRPr="00E823AA">
        <w:rPr>
          <w:rFonts w:hint="cs"/>
          <w:rtl/>
        </w:rPr>
        <w:tab/>
      </w:r>
      <w:r w:rsidR="00781444">
        <w:rPr>
          <w:rtl/>
        </w:rPr>
        <w:t xml:space="preserve">     </w:t>
      </w:r>
    </w:p>
    <w:p w14:paraId="67EA6634" w14:textId="77777777" w:rsidR="00781444" w:rsidRPr="00E823AA" w:rsidRDefault="00781444" w:rsidP="00781444">
      <w:pPr>
        <w:jc w:val="center"/>
        <w:rPr>
          <w:rFonts w:ascii="Arial" w:hAnsi="Arial"/>
          <w:sz w:val="28"/>
          <w:szCs w:val="28"/>
          <w:rtl/>
        </w:rPr>
      </w:pPr>
    </w:p>
    <w:p w14:paraId="265FD1D4" w14:textId="77777777" w:rsidR="00781444" w:rsidRDefault="00781444" w:rsidP="00781444">
      <w:pPr>
        <w:rPr>
          <w:rFonts w:cs="FrankRuehl"/>
          <w:sz w:val="28"/>
          <w:szCs w:val="28"/>
          <w:rtl/>
        </w:rPr>
      </w:pPr>
    </w:p>
    <w:p w14:paraId="45016BEF" w14:textId="77777777" w:rsidR="00781444" w:rsidRPr="001B0530" w:rsidRDefault="001B0530" w:rsidP="00781444">
      <w:pPr>
        <w:pStyle w:val="a3"/>
        <w:jc w:val="center"/>
        <w:rPr>
          <w:color w:val="FFFFFF"/>
          <w:sz w:val="2"/>
          <w:szCs w:val="2"/>
          <w:rtl/>
        </w:rPr>
      </w:pPr>
      <w:r w:rsidRPr="001B0530">
        <w:rPr>
          <w:color w:val="FFFFFF"/>
          <w:sz w:val="2"/>
          <w:szCs w:val="2"/>
          <w:rtl/>
        </w:rPr>
        <w:t>5129371</w:t>
      </w:r>
    </w:p>
    <w:p w14:paraId="62969952" w14:textId="77777777" w:rsidR="00861B4B" w:rsidRPr="001B0530" w:rsidRDefault="001B0530" w:rsidP="005A5ED4">
      <w:pPr>
        <w:keepNext/>
        <w:rPr>
          <w:rFonts w:ascii="David" w:hAnsi="David"/>
          <w:color w:val="FFFFFF"/>
          <w:sz w:val="2"/>
          <w:szCs w:val="2"/>
          <w:rtl/>
        </w:rPr>
      </w:pPr>
      <w:r w:rsidRPr="001B0530">
        <w:rPr>
          <w:rFonts w:ascii="David" w:hAnsi="David"/>
          <w:color w:val="FFFFFF"/>
          <w:sz w:val="2"/>
          <w:szCs w:val="2"/>
          <w:rtl/>
        </w:rPr>
        <w:t>54678313</w:t>
      </w:r>
    </w:p>
    <w:p w14:paraId="4684D567" w14:textId="77777777" w:rsidR="005A5ED4" w:rsidRPr="005A5ED4" w:rsidRDefault="005A5ED4" w:rsidP="005A5ED4">
      <w:pPr>
        <w:keepNext/>
        <w:rPr>
          <w:rFonts w:ascii="David" w:hAnsi="David"/>
          <w:color w:val="000000"/>
          <w:sz w:val="22"/>
          <w:szCs w:val="22"/>
          <w:rtl/>
        </w:rPr>
      </w:pPr>
      <w:r w:rsidRPr="005A5ED4">
        <w:rPr>
          <w:rFonts w:ascii="David" w:hAnsi="David"/>
          <w:color w:val="000000"/>
          <w:sz w:val="22"/>
          <w:szCs w:val="22"/>
          <w:rtl/>
        </w:rPr>
        <w:t>רון סוקול 54678313</w:t>
      </w:r>
    </w:p>
    <w:p w14:paraId="70FB987F" w14:textId="77777777" w:rsidR="005A5ED4" w:rsidRDefault="005A5ED4" w:rsidP="005A5ED4">
      <w:r w:rsidRPr="005A5ED4">
        <w:rPr>
          <w:color w:val="000000"/>
          <w:rtl/>
        </w:rPr>
        <w:t>נוסח מסמך זה כפוף לשינויי ניסוח ועריכה</w:t>
      </w:r>
    </w:p>
    <w:p w14:paraId="7F16364C" w14:textId="77777777" w:rsidR="005A5ED4" w:rsidRDefault="005A5ED4" w:rsidP="005A5ED4">
      <w:pPr>
        <w:rPr>
          <w:rtl/>
        </w:rPr>
      </w:pPr>
    </w:p>
    <w:p w14:paraId="122DECAF" w14:textId="77777777" w:rsidR="005A5ED4" w:rsidRDefault="005A5ED4" w:rsidP="005A5ED4">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r w:rsidR="00E100DB">
        <w:rPr>
          <w:rFonts w:hint="cs"/>
          <w:color w:val="0000FF"/>
          <w:u w:val="single"/>
          <w:rtl/>
        </w:rPr>
        <w:t xml:space="preserve"> </w:t>
      </w:r>
    </w:p>
    <w:p w14:paraId="06DDBEC8" w14:textId="77777777" w:rsidR="005A5ED4" w:rsidRPr="005A5ED4" w:rsidRDefault="005A5ED4" w:rsidP="001B0530">
      <w:pPr>
        <w:rPr>
          <w:color w:val="0000FF"/>
          <w:u w:val="single"/>
        </w:rPr>
      </w:pPr>
    </w:p>
    <w:sectPr w:rsidR="005A5ED4" w:rsidRPr="005A5ED4" w:rsidSect="001B0530">
      <w:headerReference w:type="even" r:id="rId51"/>
      <w:headerReference w:type="default" r:id="rId52"/>
      <w:footerReference w:type="even" r:id="rId53"/>
      <w:footerReference w:type="default" r:id="rId54"/>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5C750" w14:textId="77777777" w:rsidR="00464040" w:rsidRDefault="00464040" w:rsidP="00213FB2">
      <w:r>
        <w:separator/>
      </w:r>
    </w:p>
  </w:endnote>
  <w:endnote w:type="continuationSeparator" w:id="0">
    <w:p w14:paraId="37D65EF9" w14:textId="77777777" w:rsidR="00464040" w:rsidRDefault="00464040" w:rsidP="00213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FF8FD" w14:textId="77777777" w:rsidR="001B0530" w:rsidRDefault="001B0530" w:rsidP="001B05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8FC56B" w14:textId="77777777" w:rsidR="00557798" w:rsidRPr="001B0530" w:rsidRDefault="001B0530" w:rsidP="001B0530">
    <w:pPr>
      <w:pStyle w:val="a5"/>
      <w:pBdr>
        <w:top w:val="single" w:sz="4" w:space="1" w:color="auto"/>
        <w:between w:val="single" w:sz="4" w:space="0" w:color="auto"/>
      </w:pBdr>
      <w:spacing w:after="60"/>
      <w:jc w:val="center"/>
      <w:rPr>
        <w:rFonts w:ascii="FrankRuehl" w:hAnsi="FrankRuehl" w:cs="FrankRuehl"/>
        <w:color w:val="000000"/>
      </w:rPr>
    </w:pPr>
    <w:r w:rsidRPr="001B05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D9336" w14:textId="77777777" w:rsidR="001B0530" w:rsidRDefault="001B0530" w:rsidP="001B05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00CF">
      <w:rPr>
        <w:rFonts w:ascii="FrankRuehl" w:hAnsi="FrankRuehl" w:cs="FrankRuehl"/>
        <w:noProof/>
        <w:rtl/>
      </w:rPr>
      <w:t>1</w:t>
    </w:r>
    <w:r>
      <w:rPr>
        <w:rFonts w:ascii="FrankRuehl" w:hAnsi="FrankRuehl" w:cs="FrankRuehl"/>
        <w:rtl/>
      </w:rPr>
      <w:fldChar w:fldCharType="end"/>
    </w:r>
  </w:p>
  <w:p w14:paraId="3A1529ED" w14:textId="77777777" w:rsidR="00557798" w:rsidRPr="001B0530" w:rsidRDefault="001B0530" w:rsidP="001B0530">
    <w:pPr>
      <w:pStyle w:val="a5"/>
      <w:pBdr>
        <w:top w:val="single" w:sz="4" w:space="1" w:color="auto"/>
        <w:between w:val="single" w:sz="4" w:space="0" w:color="auto"/>
      </w:pBdr>
      <w:spacing w:after="60"/>
      <w:jc w:val="center"/>
      <w:rPr>
        <w:rFonts w:ascii="FrankRuehl" w:hAnsi="FrankRuehl" w:cs="FrankRuehl"/>
        <w:color w:val="000000"/>
      </w:rPr>
    </w:pPr>
    <w:r w:rsidRPr="001B0530">
      <w:rPr>
        <w:rFonts w:ascii="FrankRuehl" w:hAnsi="FrankRuehl" w:cs="FrankRuehl"/>
        <w:color w:val="000000"/>
      </w:rPr>
      <w:pict w14:anchorId="0A03C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3D560" w14:textId="77777777" w:rsidR="00464040" w:rsidRDefault="00464040" w:rsidP="00213FB2">
      <w:r>
        <w:separator/>
      </w:r>
    </w:p>
  </w:footnote>
  <w:footnote w:type="continuationSeparator" w:id="0">
    <w:p w14:paraId="4CA38652" w14:textId="77777777" w:rsidR="00464040" w:rsidRDefault="00464040" w:rsidP="00213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AABD2" w14:textId="77777777" w:rsidR="005A5ED4" w:rsidRPr="001B0530" w:rsidRDefault="001B0530" w:rsidP="001B05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3597-05-15</w:t>
    </w:r>
    <w:r>
      <w:rPr>
        <w:rFonts w:ascii="David" w:hAnsi="David"/>
        <w:color w:val="000000"/>
        <w:sz w:val="22"/>
        <w:szCs w:val="22"/>
        <w:rtl/>
      </w:rPr>
      <w:tab/>
      <w:t xml:space="preserve"> מדינת ישראל נ' אסף עמבר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6D0A9" w14:textId="77777777" w:rsidR="005A5ED4" w:rsidRPr="001B0530" w:rsidRDefault="001B0530" w:rsidP="001B05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3597-05-15</w:t>
    </w:r>
    <w:r>
      <w:rPr>
        <w:rFonts w:ascii="David" w:hAnsi="David"/>
        <w:color w:val="000000"/>
        <w:sz w:val="22"/>
        <w:szCs w:val="22"/>
        <w:rtl/>
      </w:rPr>
      <w:tab/>
      <w:t xml:space="preserve"> מדינת ישראל נ' אסף עמבר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1444"/>
    <w:rsid w:val="00130EA1"/>
    <w:rsid w:val="001B0530"/>
    <w:rsid w:val="00213FB2"/>
    <w:rsid w:val="003B00CF"/>
    <w:rsid w:val="003C6626"/>
    <w:rsid w:val="00464040"/>
    <w:rsid w:val="00557798"/>
    <w:rsid w:val="005A5ED4"/>
    <w:rsid w:val="00781444"/>
    <w:rsid w:val="00861B4B"/>
    <w:rsid w:val="009B6AA0"/>
    <w:rsid w:val="00A3745C"/>
    <w:rsid w:val="00BD4145"/>
    <w:rsid w:val="00D6068F"/>
    <w:rsid w:val="00E100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48D584C"/>
  <w15:chartTrackingRefBased/>
  <w15:docId w15:val="{74A17A4F-3218-4A30-A854-DF7135BD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14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1444"/>
    <w:pPr>
      <w:tabs>
        <w:tab w:val="center" w:pos="4153"/>
        <w:tab w:val="right" w:pos="8306"/>
      </w:tabs>
    </w:pPr>
  </w:style>
  <w:style w:type="character" w:customStyle="1" w:styleId="a4">
    <w:name w:val="כותרת עליונה תו"/>
    <w:link w:val="a3"/>
    <w:rsid w:val="00781444"/>
    <w:rPr>
      <w:rFonts w:ascii="Times New Roman" w:eastAsia="Times New Roman" w:hAnsi="Times New Roman" w:cs="David"/>
      <w:sz w:val="24"/>
      <w:szCs w:val="24"/>
    </w:rPr>
  </w:style>
  <w:style w:type="paragraph" w:styleId="a5">
    <w:name w:val="footer"/>
    <w:basedOn w:val="a"/>
    <w:link w:val="a6"/>
    <w:rsid w:val="00781444"/>
    <w:pPr>
      <w:tabs>
        <w:tab w:val="center" w:pos="4153"/>
        <w:tab w:val="right" w:pos="8306"/>
      </w:tabs>
    </w:pPr>
  </w:style>
  <w:style w:type="character" w:customStyle="1" w:styleId="a6">
    <w:name w:val="כותרת תחתונה תו"/>
    <w:link w:val="a5"/>
    <w:rsid w:val="00781444"/>
    <w:rPr>
      <w:rFonts w:ascii="Times New Roman" w:eastAsia="Times New Roman" w:hAnsi="Times New Roman" w:cs="David"/>
      <w:sz w:val="24"/>
      <w:szCs w:val="24"/>
    </w:rPr>
  </w:style>
  <w:style w:type="table" w:styleId="a7">
    <w:name w:val="Table Grid"/>
    <w:basedOn w:val="a1"/>
    <w:rsid w:val="007814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1444"/>
  </w:style>
  <w:style w:type="character" w:customStyle="1" w:styleId="TimesNewRomanTimesNewRoman">
    <w:name w:val="סגנון (לטיני) Times New Roman (עברית ושפות אחרות) Times New Roman..."/>
    <w:rsid w:val="00781444"/>
    <w:rPr>
      <w:rFonts w:ascii="Times New Roman" w:hAnsi="Times New Roman" w:cs="David" w:hint="default"/>
      <w:b/>
      <w:bCs/>
      <w:sz w:val="26"/>
      <w:szCs w:val="26"/>
    </w:rPr>
  </w:style>
  <w:style w:type="paragraph" w:styleId="a9">
    <w:name w:val="Balloon Text"/>
    <w:basedOn w:val="a"/>
    <w:link w:val="aa"/>
    <w:rsid w:val="00781444"/>
    <w:rPr>
      <w:rFonts w:ascii="Tahoma" w:hAnsi="Tahoma" w:cs="Tahoma"/>
      <w:sz w:val="16"/>
      <w:szCs w:val="16"/>
    </w:rPr>
  </w:style>
  <w:style w:type="character" w:customStyle="1" w:styleId="aa">
    <w:name w:val="טקסט בלונים תו"/>
    <w:link w:val="a9"/>
    <w:rsid w:val="00781444"/>
    <w:rPr>
      <w:rFonts w:ascii="Tahoma" w:eastAsia="Times New Roman" w:hAnsi="Tahoma" w:cs="Tahoma"/>
      <w:sz w:val="16"/>
      <w:szCs w:val="16"/>
    </w:rPr>
  </w:style>
  <w:style w:type="character" w:styleId="Hyperlink">
    <w:name w:val="Hyperlink"/>
    <w:rsid w:val="005A5ED4"/>
    <w:rPr>
      <w:color w:val="0000FF"/>
      <w:u w:val="single"/>
    </w:rPr>
  </w:style>
  <w:style w:type="character" w:styleId="ab">
    <w:name w:val="Unresolved Mention"/>
    <w:uiPriority w:val="99"/>
    <w:semiHidden/>
    <w:unhideWhenUsed/>
    <w:rsid w:val="00E10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25" TargetMode="External"/><Relationship Id="rId18" Type="http://schemas.openxmlformats.org/officeDocument/2006/relationships/hyperlink" Target="http://www.nevo.co.il/law/4216/36h" TargetMode="External"/><Relationship Id="rId26" Type="http://schemas.openxmlformats.org/officeDocument/2006/relationships/hyperlink" Target="http://www.nevo.co.il/law/70301/425" TargetMode="External"/><Relationship Id="rId39" Type="http://schemas.openxmlformats.org/officeDocument/2006/relationships/hyperlink" Target="http://www.nevo.co.il/case/5910650" TargetMode="External"/><Relationship Id="rId21" Type="http://schemas.openxmlformats.org/officeDocument/2006/relationships/hyperlink" Target="http://www.nevo.co.il/law/74345/3.b" TargetMode="External"/><Relationship Id="rId34" Type="http://schemas.openxmlformats.org/officeDocument/2006/relationships/hyperlink" Target="http://www.nevo.co.il/law/84255/215a.a" TargetMode="External"/><Relationship Id="rId42" Type="http://schemas.openxmlformats.org/officeDocument/2006/relationships/hyperlink" Target="http://www.nevo.co.il/case/6953822" TargetMode="External"/><Relationship Id="rId47" Type="http://schemas.openxmlformats.org/officeDocument/2006/relationships/hyperlink" Target="http://www.nevo.co.il/law/84255"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4345/3.b" TargetMode="External"/><Relationship Id="rId2" Type="http://schemas.openxmlformats.org/officeDocument/2006/relationships/settings" Target="settings.xml"/><Relationship Id="rId16" Type="http://schemas.openxmlformats.org/officeDocument/2006/relationships/hyperlink" Target="http://www.nevo.co.il/law/84255/220.5" TargetMode="External"/><Relationship Id="rId29" Type="http://schemas.openxmlformats.org/officeDocument/2006/relationships/hyperlink" Target="http://www.nevo.co.il/law/70301/418" TargetMode="External"/><Relationship Id="rId11" Type="http://schemas.openxmlformats.org/officeDocument/2006/relationships/hyperlink" Target="http://www.nevo.co.il/law/70301/418" TargetMode="External"/><Relationship Id="rId24" Type="http://schemas.openxmlformats.org/officeDocument/2006/relationships/hyperlink" Target="http://www.nevo.co.il/law/70301" TargetMode="External"/><Relationship Id="rId32" Type="http://schemas.openxmlformats.org/officeDocument/2006/relationships/hyperlink" Target="http://www.nevo.co.il/law/84255/220.5" TargetMode="External"/><Relationship Id="rId37" Type="http://schemas.openxmlformats.org/officeDocument/2006/relationships/hyperlink" Target="http://www.nevo.co.il/law/4216/36h"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415" TargetMode="External"/><Relationship Id="rId19" Type="http://schemas.openxmlformats.org/officeDocument/2006/relationships/hyperlink" Target="http://www.nevo.co.il/law/74345" TargetMode="External"/><Relationship Id="rId31" Type="http://schemas.openxmlformats.org/officeDocument/2006/relationships/hyperlink" Target="http://www.nevo.co.il/law/84255" TargetMode="External"/><Relationship Id="rId44" Type="http://schemas.openxmlformats.org/officeDocument/2006/relationships/hyperlink" Target="http://www.nevo.co.il/case/22294063"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84255" TargetMode="External"/><Relationship Id="rId22" Type="http://schemas.openxmlformats.org/officeDocument/2006/relationships/hyperlink" Target="http://www.nevo.co.il/law/7434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20" TargetMode="External"/><Relationship Id="rId35" Type="http://schemas.openxmlformats.org/officeDocument/2006/relationships/hyperlink" Target="http://www.nevo.co.il/law/74345/11" TargetMode="External"/><Relationship Id="rId43" Type="http://schemas.openxmlformats.org/officeDocument/2006/relationships/hyperlink" Target="http://www.nevo.co.il/case/20371840" TargetMode="External"/><Relationship Id="rId48" Type="http://schemas.openxmlformats.org/officeDocument/2006/relationships/hyperlink" Target="http://www.nevo.co.il/law/74345/11" TargetMode="External"/><Relationship Id="rId56" Type="http://schemas.openxmlformats.org/officeDocument/2006/relationships/theme" Target="theme/theme1.xml"/><Relationship Id="rId8" Type="http://schemas.openxmlformats.org/officeDocument/2006/relationships/hyperlink" Target="http://www.nevo.co.il/law/74345/11"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420"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15" TargetMode="External"/><Relationship Id="rId33" Type="http://schemas.openxmlformats.org/officeDocument/2006/relationships/hyperlink" Target="http://www.nevo.co.il/law/84255" TargetMode="External"/><Relationship Id="rId38" Type="http://schemas.openxmlformats.org/officeDocument/2006/relationships/hyperlink" Target="http://www.nevo.co.il/law/4216" TargetMode="External"/><Relationship Id="rId46" Type="http://schemas.openxmlformats.org/officeDocument/2006/relationships/hyperlink" Target="http://www.nevo.co.il/law/84255/215a.a" TargetMode="External"/><Relationship Id="rId20" Type="http://schemas.openxmlformats.org/officeDocument/2006/relationships/hyperlink" Target="http://www.nevo.co.il/law/74345" TargetMode="External"/><Relationship Id="rId41" Type="http://schemas.openxmlformats.org/officeDocument/2006/relationships/hyperlink" Target="http://www.nevo.co.il/case/5612042"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4345" TargetMode="External"/><Relationship Id="rId15" Type="http://schemas.openxmlformats.org/officeDocument/2006/relationships/hyperlink" Target="http://www.nevo.co.il/law/84255/215a.a" TargetMode="External"/><Relationship Id="rId23" Type="http://schemas.openxmlformats.org/officeDocument/2006/relationships/hyperlink" Target="http://www.nevo.co.il/law/70301/415" TargetMode="External"/><Relationship Id="rId28" Type="http://schemas.openxmlformats.org/officeDocument/2006/relationships/hyperlink" Target="http://www.nevo.co.il/law/70301/418" TargetMode="External"/><Relationship Id="rId36" Type="http://schemas.openxmlformats.org/officeDocument/2006/relationships/hyperlink" Target="http://www.nevo.co.il/law/74345" TargetMode="External"/><Relationship Id="rId49" Type="http://schemas.openxmlformats.org/officeDocument/2006/relationships/hyperlink" Target="http://www.nevo.co.il/law/7434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2041</Words>
  <Characters>10205</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12222</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7995492</vt:i4>
      </vt:variant>
      <vt:variant>
        <vt:i4>129</vt:i4>
      </vt:variant>
      <vt:variant>
        <vt:i4>0</vt:i4>
      </vt:variant>
      <vt:variant>
        <vt:i4>5</vt:i4>
      </vt:variant>
      <vt:variant>
        <vt:lpwstr>http://www.nevo.co.il/law/74345</vt:lpwstr>
      </vt:variant>
      <vt:variant>
        <vt:lpwstr/>
      </vt:variant>
      <vt:variant>
        <vt:i4>6553696</vt:i4>
      </vt:variant>
      <vt:variant>
        <vt:i4>126</vt:i4>
      </vt:variant>
      <vt:variant>
        <vt:i4>0</vt:i4>
      </vt:variant>
      <vt:variant>
        <vt:i4>5</vt:i4>
      </vt:variant>
      <vt:variant>
        <vt:lpwstr>http://www.nevo.co.il/law/74345/11</vt:lpwstr>
      </vt:variant>
      <vt:variant>
        <vt:lpwstr/>
      </vt:variant>
      <vt:variant>
        <vt:i4>8061034</vt:i4>
      </vt:variant>
      <vt:variant>
        <vt:i4>123</vt:i4>
      </vt:variant>
      <vt:variant>
        <vt:i4>0</vt:i4>
      </vt:variant>
      <vt:variant>
        <vt:i4>5</vt:i4>
      </vt:variant>
      <vt:variant>
        <vt:lpwstr>http://www.nevo.co.il/law/84255</vt:lpwstr>
      </vt:variant>
      <vt:variant>
        <vt:lpwstr/>
      </vt:variant>
      <vt:variant>
        <vt:i4>6619254</vt:i4>
      </vt:variant>
      <vt:variant>
        <vt:i4>120</vt:i4>
      </vt:variant>
      <vt:variant>
        <vt:i4>0</vt:i4>
      </vt:variant>
      <vt:variant>
        <vt:i4>5</vt:i4>
      </vt:variant>
      <vt:variant>
        <vt:lpwstr>http://www.nevo.co.il/law/84255/215a.a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3276927</vt:i4>
      </vt:variant>
      <vt:variant>
        <vt:i4>114</vt:i4>
      </vt:variant>
      <vt:variant>
        <vt:i4>0</vt:i4>
      </vt:variant>
      <vt:variant>
        <vt:i4>5</vt:i4>
      </vt:variant>
      <vt:variant>
        <vt:lpwstr>http://www.nevo.co.il/case/22294063</vt:lpwstr>
      </vt:variant>
      <vt:variant>
        <vt:lpwstr/>
      </vt:variant>
      <vt:variant>
        <vt:i4>3407995</vt:i4>
      </vt:variant>
      <vt:variant>
        <vt:i4>111</vt:i4>
      </vt:variant>
      <vt:variant>
        <vt:i4>0</vt:i4>
      </vt:variant>
      <vt:variant>
        <vt:i4>5</vt:i4>
      </vt:variant>
      <vt:variant>
        <vt:lpwstr>http://www.nevo.co.il/case/20371840</vt:lpwstr>
      </vt:variant>
      <vt:variant>
        <vt:lpwstr/>
      </vt:variant>
      <vt:variant>
        <vt:i4>3735676</vt:i4>
      </vt:variant>
      <vt:variant>
        <vt:i4>108</vt:i4>
      </vt:variant>
      <vt:variant>
        <vt:i4>0</vt:i4>
      </vt:variant>
      <vt:variant>
        <vt:i4>5</vt:i4>
      </vt:variant>
      <vt:variant>
        <vt:lpwstr>http://www.nevo.co.il/case/6953822</vt:lpwstr>
      </vt:variant>
      <vt:variant>
        <vt:lpwstr/>
      </vt:variant>
      <vt:variant>
        <vt:i4>3539060</vt:i4>
      </vt:variant>
      <vt:variant>
        <vt:i4>105</vt:i4>
      </vt:variant>
      <vt:variant>
        <vt:i4>0</vt:i4>
      </vt:variant>
      <vt:variant>
        <vt:i4>5</vt:i4>
      </vt:variant>
      <vt:variant>
        <vt:lpwstr>http://www.nevo.co.il/case/5612042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3276920</vt:i4>
      </vt:variant>
      <vt:variant>
        <vt:i4>99</vt:i4>
      </vt:variant>
      <vt:variant>
        <vt:i4>0</vt:i4>
      </vt:variant>
      <vt:variant>
        <vt:i4>5</vt:i4>
      </vt:variant>
      <vt:variant>
        <vt:lpwstr>http://www.nevo.co.il/case/5910650</vt:lpwstr>
      </vt:variant>
      <vt:variant>
        <vt:lpwstr/>
      </vt:variant>
      <vt:variant>
        <vt:i4>8257637</vt:i4>
      </vt:variant>
      <vt:variant>
        <vt:i4>96</vt:i4>
      </vt:variant>
      <vt:variant>
        <vt:i4>0</vt:i4>
      </vt:variant>
      <vt:variant>
        <vt:i4>5</vt:i4>
      </vt:variant>
      <vt:variant>
        <vt:lpwstr>http://www.nevo.co.il/law/4216</vt:lpwstr>
      </vt:variant>
      <vt:variant>
        <vt:lpwstr/>
      </vt:variant>
      <vt:variant>
        <vt:i4>2424956</vt:i4>
      </vt:variant>
      <vt:variant>
        <vt:i4>93</vt:i4>
      </vt:variant>
      <vt:variant>
        <vt:i4>0</vt:i4>
      </vt:variant>
      <vt:variant>
        <vt:i4>5</vt:i4>
      </vt:variant>
      <vt:variant>
        <vt:lpwstr>http://www.nevo.co.il/law/4216/36h</vt:lpwstr>
      </vt:variant>
      <vt:variant>
        <vt:lpwstr/>
      </vt:variant>
      <vt:variant>
        <vt:i4>7995492</vt:i4>
      </vt:variant>
      <vt:variant>
        <vt:i4>90</vt:i4>
      </vt:variant>
      <vt:variant>
        <vt:i4>0</vt:i4>
      </vt:variant>
      <vt:variant>
        <vt:i4>5</vt:i4>
      </vt:variant>
      <vt:variant>
        <vt:lpwstr>http://www.nevo.co.il/law/74345</vt:lpwstr>
      </vt:variant>
      <vt:variant>
        <vt:lpwstr/>
      </vt:variant>
      <vt:variant>
        <vt:i4>6553696</vt:i4>
      </vt:variant>
      <vt:variant>
        <vt:i4>87</vt:i4>
      </vt:variant>
      <vt:variant>
        <vt:i4>0</vt:i4>
      </vt:variant>
      <vt:variant>
        <vt:i4>5</vt:i4>
      </vt:variant>
      <vt:variant>
        <vt:lpwstr>http://www.nevo.co.il/law/74345/11</vt:lpwstr>
      </vt:variant>
      <vt:variant>
        <vt:lpwstr/>
      </vt:variant>
      <vt:variant>
        <vt:i4>6619254</vt:i4>
      </vt:variant>
      <vt:variant>
        <vt:i4>84</vt:i4>
      </vt:variant>
      <vt:variant>
        <vt:i4>0</vt:i4>
      </vt:variant>
      <vt:variant>
        <vt:i4>5</vt:i4>
      </vt:variant>
      <vt:variant>
        <vt:lpwstr>http://www.nevo.co.il/law/84255/215a.a</vt:lpwstr>
      </vt:variant>
      <vt:variant>
        <vt:lpwstr/>
      </vt:variant>
      <vt:variant>
        <vt:i4>8061034</vt:i4>
      </vt:variant>
      <vt:variant>
        <vt:i4>81</vt:i4>
      </vt:variant>
      <vt:variant>
        <vt:i4>0</vt:i4>
      </vt:variant>
      <vt:variant>
        <vt:i4>5</vt:i4>
      </vt:variant>
      <vt:variant>
        <vt:lpwstr>http://www.nevo.co.il/law/84255</vt:lpwstr>
      </vt:variant>
      <vt:variant>
        <vt:lpwstr/>
      </vt:variant>
      <vt:variant>
        <vt:i4>4718685</vt:i4>
      </vt:variant>
      <vt:variant>
        <vt:i4>78</vt:i4>
      </vt:variant>
      <vt:variant>
        <vt:i4>0</vt:i4>
      </vt:variant>
      <vt:variant>
        <vt:i4>5</vt:i4>
      </vt:variant>
      <vt:variant>
        <vt:lpwstr>http://www.nevo.co.il/law/84255/220.5</vt:lpwstr>
      </vt:variant>
      <vt:variant>
        <vt:lpwstr/>
      </vt:variant>
      <vt:variant>
        <vt:i4>8061034</vt:i4>
      </vt:variant>
      <vt:variant>
        <vt:i4>75</vt:i4>
      </vt:variant>
      <vt:variant>
        <vt:i4>0</vt:i4>
      </vt:variant>
      <vt:variant>
        <vt:i4>5</vt:i4>
      </vt:variant>
      <vt:variant>
        <vt:lpwstr>http://www.nevo.co.il/law/84255</vt:lpwstr>
      </vt:variant>
      <vt:variant>
        <vt:lpwstr/>
      </vt:variant>
      <vt:variant>
        <vt:i4>6750305</vt:i4>
      </vt:variant>
      <vt:variant>
        <vt:i4>72</vt:i4>
      </vt:variant>
      <vt:variant>
        <vt:i4>0</vt:i4>
      </vt:variant>
      <vt:variant>
        <vt:i4>5</vt:i4>
      </vt:variant>
      <vt:variant>
        <vt:lpwstr>http://www.nevo.co.il/law/70301/420</vt:lpwstr>
      </vt:variant>
      <vt:variant>
        <vt:lpwstr/>
      </vt:variant>
      <vt:variant>
        <vt:i4>6553697</vt:i4>
      </vt:variant>
      <vt:variant>
        <vt:i4>69</vt:i4>
      </vt:variant>
      <vt:variant>
        <vt:i4>0</vt:i4>
      </vt:variant>
      <vt:variant>
        <vt:i4>5</vt:i4>
      </vt:variant>
      <vt:variant>
        <vt:lpwstr>http://www.nevo.co.il/law/70301/418</vt:lpwstr>
      </vt:variant>
      <vt:variant>
        <vt:lpwstr/>
      </vt:variant>
      <vt:variant>
        <vt:i4>6553697</vt:i4>
      </vt:variant>
      <vt:variant>
        <vt:i4>66</vt:i4>
      </vt:variant>
      <vt:variant>
        <vt:i4>0</vt:i4>
      </vt:variant>
      <vt:variant>
        <vt:i4>5</vt:i4>
      </vt:variant>
      <vt:variant>
        <vt:lpwstr>http://www.nevo.co.il/law/70301/418</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6750305</vt:i4>
      </vt:variant>
      <vt:variant>
        <vt:i4>60</vt:i4>
      </vt:variant>
      <vt:variant>
        <vt:i4>0</vt:i4>
      </vt:variant>
      <vt:variant>
        <vt:i4>5</vt:i4>
      </vt:variant>
      <vt:variant>
        <vt:lpwstr>http://www.nevo.co.il/law/70301/425</vt:lpwstr>
      </vt:variant>
      <vt:variant>
        <vt:lpwstr/>
      </vt:variant>
      <vt:variant>
        <vt:i4>6553697</vt:i4>
      </vt:variant>
      <vt:variant>
        <vt:i4>57</vt:i4>
      </vt:variant>
      <vt:variant>
        <vt:i4>0</vt:i4>
      </vt:variant>
      <vt:variant>
        <vt:i4>5</vt:i4>
      </vt:variant>
      <vt:variant>
        <vt:lpwstr>http://www.nevo.co.il/law/70301/415</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6553697</vt:i4>
      </vt:variant>
      <vt:variant>
        <vt:i4>51</vt:i4>
      </vt:variant>
      <vt:variant>
        <vt:i4>0</vt:i4>
      </vt:variant>
      <vt:variant>
        <vt:i4>5</vt:i4>
      </vt:variant>
      <vt:variant>
        <vt:lpwstr>http://www.nevo.co.il/law/70301/415</vt:lpwstr>
      </vt:variant>
      <vt:variant>
        <vt:lpwstr/>
      </vt:variant>
      <vt:variant>
        <vt:i4>7995492</vt:i4>
      </vt:variant>
      <vt:variant>
        <vt:i4>48</vt:i4>
      </vt:variant>
      <vt:variant>
        <vt:i4>0</vt:i4>
      </vt:variant>
      <vt:variant>
        <vt:i4>5</vt:i4>
      </vt:variant>
      <vt:variant>
        <vt:lpwstr>http://www.nevo.co.il/law/74345</vt:lpwstr>
      </vt:variant>
      <vt:variant>
        <vt:lpwstr/>
      </vt:variant>
      <vt:variant>
        <vt:i4>8061026</vt:i4>
      </vt:variant>
      <vt:variant>
        <vt:i4>45</vt:i4>
      </vt:variant>
      <vt:variant>
        <vt:i4>0</vt:i4>
      </vt:variant>
      <vt:variant>
        <vt:i4>5</vt:i4>
      </vt:variant>
      <vt:variant>
        <vt:lpwstr>http://www.nevo.co.il/law/74345/3.b</vt:lpwstr>
      </vt:variant>
      <vt:variant>
        <vt:lpwstr/>
      </vt:variant>
      <vt:variant>
        <vt:i4>7995492</vt:i4>
      </vt:variant>
      <vt:variant>
        <vt:i4>42</vt:i4>
      </vt:variant>
      <vt:variant>
        <vt:i4>0</vt:i4>
      </vt:variant>
      <vt:variant>
        <vt:i4>5</vt:i4>
      </vt:variant>
      <vt:variant>
        <vt:lpwstr>http://www.nevo.co.il/law/74345</vt:lpwstr>
      </vt:variant>
      <vt:variant>
        <vt:lpwstr/>
      </vt:variant>
      <vt:variant>
        <vt:i4>7995492</vt:i4>
      </vt:variant>
      <vt:variant>
        <vt:i4>39</vt:i4>
      </vt:variant>
      <vt:variant>
        <vt:i4>0</vt:i4>
      </vt:variant>
      <vt:variant>
        <vt:i4>5</vt:i4>
      </vt:variant>
      <vt:variant>
        <vt:lpwstr>http://www.nevo.co.il/law/74345</vt:lpwstr>
      </vt:variant>
      <vt:variant>
        <vt:lpwstr/>
      </vt:variant>
      <vt:variant>
        <vt:i4>2424956</vt:i4>
      </vt:variant>
      <vt:variant>
        <vt:i4>36</vt:i4>
      </vt:variant>
      <vt:variant>
        <vt:i4>0</vt:i4>
      </vt:variant>
      <vt:variant>
        <vt:i4>5</vt:i4>
      </vt:variant>
      <vt:variant>
        <vt:lpwstr>http://www.nevo.co.il/law/4216/36h</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4718685</vt:i4>
      </vt:variant>
      <vt:variant>
        <vt:i4>30</vt:i4>
      </vt:variant>
      <vt:variant>
        <vt:i4>0</vt:i4>
      </vt:variant>
      <vt:variant>
        <vt:i4>5</vt:i4>
      </vt:variant>
      <vt:variant>
        <vt:lpwstr>http://www.nevo.co.il/law/84255/220.5</vt:lpwstr>
      </vt:variant>
      <vt:variant>
        <vt:lpwstr/>
      </vt:variant>
      <vt:variant>
        <vt:i4>6619254</vt:i4>
      </vt:variant>
      <vt:variant>
        <vt:i4>27</vt:i4>
      </vt:variant>
      <vt:variant>
        <vt:i4>0</vt:i4>
      </vt:variant>
      <vt:variant>
        <vt:i4>5</vt:i4>
      </vt:variant>
      <vt:variant>
        <vt:lpwstr>http://www.nevo.co.il/law/84255/215a.a</vt:lpwstr>
      </vt:variant>
      <vt:variant>
        <vt:lpwstr/>
      </vt:variant>
      <vt:variant>
        <vt:i4>8061034</vt:i4>
      </vt:variant>
      <vt:variant>
        <vt:i4>24</vt:i4>
      </vt:variant>
      <vt:variant>
        <vt:i4>0</vt:i4>
      </vt:variant>
      <vt:variant>
        <vt:i4>5</vt:i4>
      </vt:variant>
      <vt:variant>
        <vt:lpwstr>http://www.nevo.co.il/law/84255</vt:lpwstr>
      </vt:variant>
      <vt:variant>
        <vt:lpwstr/>
      </vt:variant>
      <vt:variant>
        <vt:i4>6750305</vt:i4>
      </vt:variant>
      <vt:variant>
        <vt:i4>21</vt:i4>
      </vt:variant>
      <vt:variant>
        <vt:i4>0</vt:i4>
      </vt:variant>
      <vt:variant>
        <vt:i4>5</vt:i4>
      </vt:variant>
      <vt:variant>
        <vt:lpwstr>http://www.nevo.co.il/law/70301/425</vt:lpwstr>
      </vt:variant>
      <vt:variant>
        <vt:lpwstr/>
      </vt:variant>
      <vt:variant>
        <vt:i4>6750305</vt:i4>
      </vt:variant>
      <vt:variant>
        <vt:i4>18</vt:i4>
      </vt:variant>
      <vt:variant>
        <vt:i4>0</vt:i4>
      </vt:variant>
      <vt:variant>
        <vt:i4>5</vt:i4>
      </vt:variant>
      <vt:variant>
        <vt:lpwstr>http://www.nevo.co.il/law/70301/420</vt:lpwstr>
      </vt:variant>
      <vt:variant>
        <vt:lpwstr/>
      </vt:variant>
      <vt:variant>
        <vt:i4>6553697</vt:i4>
      </vt:variant>
      <vt:variant>
        <vt:i4>15</vt:i4>
      </vt:variant>
      <vt:variant>
        <vt:i4>0</vt:i4>
      </vt:variant>
      <vt:variant>
        <vt:i4>5</vt:i4>
      </vt:variant>
      <vt:variant>
        <vt:lpwstr>http://www.nevo.co.il/law/70301/418</vt:lpwstr>
      </vt:variant>
      <vt:variant>
        <vt:lpwstr/>
      </vt:variant>
      <vt:variant>
        <vt:i4>6553697</vt:i4>
      </vt:variant>
      <vt:variant>
        <vt:i4>12</vt:i4>
      </vt:variant>
      <vt:variant>
        <vt:i4>0</vt:i4>
      </vt:variant>
      <vt:variant>
        <vt:i4>5</vt:i4>
      </vt:variant>
      <vt:variant>
        <vt:lpwstr>http://www.nevo.co.il/law/70301/415</vt:lpwstr>
      </vt:variant>
      <vt:variant>
        <vt:lpwstr/>
      </vt:variant>
      <vt:variant>
        <vt:i4>7995492</vt:i4>
      </vt:variant>
      <vt:variant>
        <vt:i4>9</vt:i4>
      </vt:variant>
      <vt:variant>
        <vt:i4>0</vt:i4>
      </vt:variant>
      <vt:variant>
        <vt:i4>5</vt:i4>
      </vt:variant>
      <vt:variant>
        <vt:lpwstr>http://www.nevo.co.il/law/70301</vt:lpwstr>
      </vt:variant>
      <vt:variant>
        <vt:lpwstr/>
      </vt:variant>
      <vt:variant>
        <vt:i4>6553696</vt:i4>
      </vt:variant>
      <vt:variant>
        <vt:i4>6</vt:i4>
      </vt:variant>
      <vt:variant>
        <vt:i4>0</vt:i4>
      </vt:variant>
      <vt:variant>
        <vt:i4>5</vt:i4>
      </vt:variant>
      <vt:variant>
        <vt:lpwstr>http://www.nevo.co.il/law/74345/11</vt:lpwstr>
      </vt:variant>
      <vt:variant>
        <vt:lpwstr/>
      </vt:variant>
      <vt:variant>
        <vt:i4>8061026</vt:i4>
      </vt:variant>
      <vt:variant>
        <vt:i4>3</vt:i4>
      </vt:variant>
      <vt:variant>
        <vt:i4>0</vt:i4>
      </vt:variant>
      <vt:variant>
        <vt:i4>5</vt:i4>
      </vt:variant>
      <vt:variant>
        <vt:lpwstr>http://www.nevo.co.il/law/74345/3.b</vt:lpwstr>
      </vt:variant>
      <vt:variant>
        <vt:lpwstr/>
      </vt:variant>
      <vt:variant>
        <vt:i4>7995492</vt:i4>
      </vt:variant>
      <vt:variant>
        <vt:i4>0</vt:i4>
      </vt:variant>
      <vt:variant>
        <vt:i4>0</vt:i4>
      </vt:variant>
      <vt:variant>
        <vt:i4>5</vt:i4>
      </vt:variant>
      <vt:variant>
        <vt:lpwstr>http://www.nevo.co.il/law/74345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2025-04-22T20:38:00Z</dcterms:created>
  <dcterms:modified xsi:type="dcterms:W3CDTF">2025-04-22T20:38:00Z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3597</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אסף עמבר</vt:lpwstr>
  </property>
  <property fmtid="{D5CDD505-2E9C-101B-9397-08002B2CF9AE}" pid="10" name="LAWYER">
    <vt:lpwstr>ש' אדלר;ב' קניג;ת' נוה;ז' ניסים;ר' בן שמואל</vt:lpwstr>
  </property>
  <property fmtid="{D5CDD505-2E9C-101B-9397-08002B2CF9AE}" pid="11" name="JUDGE">
    <vt:lpwstr>רון סוקול</vt:lpwstr>
  </property>
  <property fmtid="{D5CDD505-2E9C-101B-9397-08002B2CF9AE}" pid="12" name="CITY">
    <vt:lpwstr>חי'</vt:lpwstr>
  </property>
  <property fmtid="{D5CDD505-2E9C-101B-9397-08002B2CF9AE}" pid="13" name="DATE">
    <vt:lpwstr>20181113</vt:lpwstr>
  </property>
  <property fmtid="{D5CDD505-2E9C-101B-9397-08002B2CF9AE}" pid="14" name="TYPE_N_DATE">
    <vt:lpwstr>39020181113</vt:lpwstr>
  </property>
  <property fmtid="{D5CDD505-2E9C-101B-9397-08002B2CF9AE}" pid="15" name="WORDNUMPAGES">
    <vt:lpwstr>5</vt:lpwstr>
  </property>
  <property fmtid="{D5CDD505-2E9C-101B-9397-08002B2CF9AE}" pid="16" name="TYPE_ABS_DATE">
    <vt:lpwstr>390020181113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5910650;5612042;6953822;20371840;22294063</vt:lpwstr>
  </property>
  <property fmtid="{D5CDD505-2E9C-101B-9397-08002B2CF9AE}" pid="36" name="LAWLISTTMP1">
    <vt:lpwstr>74345/003.b;011:2</vt:lpwstr>
  </property>
  <property fmtid="{D5CDD505-2E9C-101B-9397-08002B2CF9AE}" pid="37" name="LAWLISTTMP2">
    <vt:lpwstr>70301/415:2;425;418:2;420</vt:lpwstr>
  </property>
  <property fmtid="{D5CDD505-2E9C-101B-9397-08002B2CF9AE}" pid="38" name="LAWLISTTMP3">
    <vt:lpwstr>84255/220.5;215a.a:2</vt:lpwstr>
  </property>
  <property fmtid="{D5CDD505-2E9C-101B-9397-08002B2CF9AE}" pid="39" name="LAWLISTTMP4">
    <vt:lpwstr>4216/036h</vt:lpwstr>
  </property>
</Properties>
</file>