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41338" w:rsidRPr="007A55A4" w14:paraId="76EE2BD2" w14:textId="77777777" w:rsidTr="00342FA3">
        <w:trPr>
          <w:trHeight w:hRule="exact" w:val="418"/>
          <w:jc w:val="center"/>
        </w:trPr>
        <w:tc>
          <w:tcPr>
            <w:tcW w:w="8721" w:type="dxa"/>
            <w:gridSpan w:val="2"/>
          </w:tcPr>
          <w:p w14:paraId="72BA7A2E" w14:textId="77777777" w:rsidR="00541338" w:rsidRPr="007A55A4" w:rsidRDefault="00541338" w:rsidP="007A55A4">
            <w:pPr>
              <w:pStyle w:val="a3"/>
              <w:jc w:val="center"/>
              <w:rPr>
                <w:rFonts w:ascii="Tahoma" w:hAnsi="Tahoma" w:cs="Tahoma"/>
                <w:color w:val="000080"/>
                <w:rtl/>
              </w:rPr>
            </w:pPr>
            <w:bookmarkStart w:id="0" w:name="LastJudge"/>
            <w:r w:rsidRPr="007A55A4">
              <w:rPr>
                <w:rFonts w:ascii="Tahoma" w:hAnsi="Tahoma" w:cs="Tahoma"/>
                <w:b/>
                <w:bCs/>
                <w:color w:val="000080"/>
                <w:rtl/>
              </w:rPr>
              <w:t>בית המשפט המחוזי בבאר שבע</w:t>
            </w:r>
          </w:p>
        </w:tc>
      </w:tr>
      <w:tr w:rsidR="00541338" w:rsidRPr="007A55A4" w14:paraId="6FBD8137" w14:textId="77777777" w:rsidTr="00342FA3">
        <w:trPr>
          <w:trHeight w:val="337"/>
          <w:jc w:val="center"/>
        </w:trPr>
        <w:tc>
          <w:tcPr>
            <w:tcW w:w="5054" w:type="dxa"/>
          </w:tcPr>
          <w:p w14:paraId="2A1413E5" w14:textId="77777777" w:rsidR="00541338" w:rsidRPr="007A55A4" w:rsidRDefault="00541338" w:rsidP="007A55A4">
            <w:pPr>
              <w:rPr>
                <w:rFonts w:cs="FrankRuehl"/>
                <w:sz w:val="28"/>
                <w:szCs w:val="28"/>
                <w:rtl/>
              </w:rPr>
            </w:pPr>
            <w:r w:rsidRPr="007A55A4">
              <w:rPr>
                <w:rFonts w:cs="FrankRuehl"/>
                <w:sz w:val="28"/>
                <w:szCs w:val="28"/>
                <w:rtl/>
              </w:rPr>
              <w:t>ת"פ</w:t>
            </w:r>
            <w:r w:rsidRPr="007A55A4">
              <w:rPr>
                <w:rFonts w:cs="FrankRuehl" w:hint="cs"/>
                <w:sz w:val="28"/>
                <w:szCs w:val="28"/>
                <w:rtl/>
              </w:rPr>
              <w:t xml:space="preserve"> </w:t>
            </w:r>
            <w:r w:rsidRPr="007A55A4">
              <w:rPr>
                <w:rFonts w:cs="FrankRuehl"/>
                <w:sz w:val="28"/>
                <w:szCs w:val="28"/>
                <w:rtl/>
              </w:rPr>
              <w:t>2497-09-15</w:t>
            </w:r>
            <w:r w:rsidRPr="007A55A4">
              <w:rPr>
                <w:rFonts w:cs="FrankRuehl" w:hint="cs"/>
                <w:sz w:val="28"/>
                <w:szCs w:val="28"/>
                <w:rtl/>
              </w:rPr>
              <w:t xml:space="preserve"> </w:t>
            </w:r>
            <w:r w:rsidRPr="007A55A4">
              <w:rPr>
                <w:rFonts w:cs="FrankRuehl"/>
                <w:sz w:val="28"/>
                <w:szCs w:val="28"/>
                <w:rtl/>
              </w:rPr>
              <w:t>מדינת ישראל נ' אמסלם</w:t>
            </w:r>
          </w:p>
          <w:p w14:paraId="5F4C14BA" w14:textId="77777777" w:rsidR="00541338" w:rsidRPr="007A55A4" w:rsidRDefault="00541338" w:rsidP="007A55A4">
            <w:pPr>
              <w:pStyle w:val="a3"/>
              <w:rPr>
                <w:rFonts w:cs="FrankRuehl"/>
                <w:sz w:val="28"/>
                <w:szCs w:val="28"/>
                <w:rtl/>
              </w:rPr>
            </w:pPr>
          </w:p>
        </w:tc>
        <w:tc>
          <w:tcPr>
            <w:tcW w:w="3667" w:type="dxa"/>
          </w:tcPr>
          <w:p w14:paraId="04C409ED" w14:textId="77777777" w:rsidR="00541338" w:rsidRPr="007A55A4" w:rsidRDefault="00541338" w:rsidP="007A55A4">
            <w:pPr>
              <w:pStyle w:val="a3"/>
              <w:jc w:val="right"/>
              <w:rPr>
                <w:rFonts w:cs="FrankRuehl"/>
                <w:sz w:val="28"/>
                <w:szCs w:val="28"/>
                <w:rtl/>
              </w:rPr>
            </w:pPr>
          </w:p>
        </w:tc>
      </w:tr>
    </w:tbl>
    <w:p w14:paraId="54131D0E" w14:textId="77777777" w:rsidR="00541338" w:rsidRPr="007A55A4" w:rsidRDefault="00541338" w:rsidP="00541338">
      <w:pPr>
        <w:pStyle w:val="a3"/>
        <w:rPr>
          <w:rtl/>
        </w:rPr>
      </w:pPr>
      <w:r w:rsidRPr="007A55A4">
        <w:rPr>
          <w:rFonts w:hint="cs"/>
          <w:rtl/>
        </w:rPr>
        <w:t xml:space="preserve"> </w:t>
      </w:r>
    </w:p>
    <w:p w14:paraId="7C4E8882" w14:textId="77777777" w:rsidR="00541338" w:rsidRPr="007A55A4" w:rsidRDefault="00541338" w:rsidP="00541338">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3"/>
        <w:gridCol w:w="3621"/>
      </w:tblGrid>
      <w:tr w:rsidR="00541338" w:rsidRPr="007A55A4" w14:paraId="7EF8311B" w14:textId="77777777" w:rsidTr="007A55A4">
        <w:trPr>
          <w:trHeight w:val="295"/>
          <w:jc w:val="center"/>
        </w:trPr>
        <w:tc>
          <w:tcPr>
            <w:tcW w:w="1212" w:type="dxa"/>
            <w:tcBorders>
              <w:top w:val="nil"/>
              <w:left w:val="nil"/>
              <w:bottom w:val="nil"/>
              <w:right w:val="nil"/>
            </w:tcBorders>
            <w:shd w:val="clear" w:color="auto" w:fill="auto"/>
          </w:tcPr>
          <w:p w14:paraId="6BD7EF0A" w14:textId="77777777" w:rsidR="00541338" w:rsidRPr="007A55A4" w:rsidRDefault="00541338" w:rsidP="007A55A4">
            <w:pPr>
              <w:jc w:val="both"/>
              <w:rPr>
                <w:rFonts w:ascii="Arial" w:hAnsi="Arial"/>
                <w:b/>
                <w:bCs/>
              </w:rPr>
            </w:pPr>
            <w:r w:rsidRPr="007A55A4">
              <w:rPr>
                <w:rFonts w:ascii="Arial" w:hAnsi="Arial" w:hint="cs"/>
                <w:b/>
                <w:bCs/>
                <w:rtl/>
              </w:rPr>
              <w:t>ב</w:t>
            </w:r>
            <w:r w:rsidRPr="007A55A4">
              <w:rPr>
                <w:rFonts w:ascii="Arial" w:hAnsi="Arial"/>
                <w:b/>
                <w:bCs/>
                <w:rtl/>
              </w:rPr>
              <w:t>פני</w:t>
            </w:r>
            <w:r w:rsidRPr="007A55A4">
              <w:rPr>
                <w:rFonts w:ascii="Arial" w:hAnsi="Arial" w:hint="cs"/>
                <w:b/>
                <w:bCs/>
                <w:rtl/>
              </w:rPr>
              <w:t>:</w:t>
            </w:r>
          </w:p>
        </w:tc>
        <w:tc>
          <w:tcPr>
            <w:tcW w:w="7608" w:type="dxa"/>
            <w:gridSpan w:val="2"/>
            <w:tcBorders>
              <w:top w:val="nil"/>
              <w:left w:val="nil"/>
              <w:bottom w:val="nil"/>
              <w:right w:val="nil"/>
            </w:tcBorders>
            <w:shd w:val="clear" w:color="auto" w:fill="auto"/>
          </w:tcPr>
          <w:p w14:paraId="55FA50BC" w14:textId="77777777" w:rsidR="00541338" w:rsidRPr="007A55A4" w:rsidRDefault="00541338" w:rsidP="007A55A4">
            <w:pPr>
              <w:jc w:val="both"/>
              <w:rPr>
                <w:rFonts w:ascii="Arial" w:hAnsi="Arial"/>
                <w:b/>
                <w:bCs/>
              </w:rPr>
            </w:pPr>
            <w:r w:rsidRPr="007A55A4">
              <w:rPr>
                <w:rFonts w:ascii="Arial" w:hAnsi="Arial" w:hint="cs"/>
                <w:b/>
                <w:bCs/>
                <w:rtl/>
              </w:rPr>
              <w:t>כבוד ה</w:t>
            </w:r>
            <w:r w:rsidRPr="007A55A4">
              <w:rPr>
                <w:rFonts w:hint="cs"/>
                <w:b/>
                <w:bCs/>
                <w:rtl/>
              </w:rPr>
              <w:t>שופט</w:t>
            </w:r>
            <w:r w:rsidRPr="007A55A4">
              <w:rPr>
                <w:rFonts w:ascii="Arial" w:hAnsi="Arial" w:hint="cs"/>
                <w:b/>
                <w:bCs/>
                <w:rtl/>
              </w:rPr>
              <w:t xml:space="preserve">  </w:t>
            </w:r>
            <w:r w:rsidRPr="007A55A4">
              <w:rPr>
                <w:rFonts w:hint="cs"/>
                <w:b/>
                <w:bCs/>
                <w:rtl/>
              </w:rPr>
              <w:t>אליהו ביתן</w:t>
            </w:r>
          </w:p>
        </w:tc>
      </w:tr>
      <w:tr w:rsidR="00541338" w:rsidRPr="007A55A4" w14:paraId="6662270A" w14:textId="77777777" w:rsidTr="007A55A4">
        <w:trPr>
          <w:trHeight w:val="355"/>
          <w:jc w:val="center"/>
        </w:trPr>
        <w:tc>
          <w:tcPr>
            <w:tcW w:w="1212" w:type="dxa"/>
            <w:tcBorders>
              <w:top w:val="nil"/>
              <w:left w:val="nil"/>
              <w:bottom w:val="nil"/>
              <w:right w:val="nil"/>
            </w:tcBorders>
            <w:shd w:val="clear" w:color="auto" w:fill="auto"/>
          </w:tcPr>
          <w:p w14:paraId="1280DFD5" w14:textId="77777777" w:rsidR="00541338" w:rsidRPr="007A55A4" w:rsidRDefault="00541338" w:rsidP="007A55A4">
            <w:pPr>
              <w:jc w:val="both"/>
              <w:rPr>
                <w:rFonts w:ascii="Arial" w:hAnsi="Arial"/>
                <w:b/>
                <w:bCs/>
              </w:rPr>
            </w:pPr>
            <w:r w:rsidRPr="007A55A4">
              <w:rPr>
                <w:rFonts w:ascii="Arial" w:hAnsi="Arial" w:hint="cs"/>
                <w:b/>
                <w:bCs/>
                <w:rtl/>
              </w:rPr>
              <w:t>בעניין:</w:t>
            </w:r>
          </w:p>
        </w:tc>
        <w:tc>
          <w:tcPr>
            <w:tcW w:w="3969" w:type="dxa"/>
            <w:tcBorders>
              <w:top w:val="nil"/>
              <w:left w:val="nil"/>
              <w:bottom w:val="nil"/>
              <w:right w:val="nil"/>
            </w:tcBorders>
            <w:shd w:val="clear" w:color="auto" w:fill="auto"/>
          </w:tcPr>
          <w:p w14:paraId="7517AE24" w14:textId="77777777" w:rsidR="00541338" w:rsidRPr="007A55A4" w:rsidRDefault="00541338" w:rsidP="007A55A4">
            <w:pPr>
              <w:jc w:val="both"/>
              <w:rPr>
                <w:b/>
                <w:bCs/>
              </w:rPr>
            </w:pPr>
            <w:r w:rsidRPr="007A55A4">
              <w:rPr>
                <w:b/>
                <w:bCs/>
                <w:rtl/>
              </w:rPr>
              <w:t xml:space="preserve">     </w:t>
            </w:r>
          </w:p>
        </w:tc>
        <w:tc>
          <w:tcPr>
            <w:tcW w:w="3639" w:type="dxa"/>
            <w:tcBorders>
              <w:top w:val="nil"/>
              <w:left w:val="nil"/>
              <w:bottom w:val="nil"/>
              <w:right w:val="nil"/>
            </w:tcBorders>
            <w:shd w:val="clear" w:color="auto" w:fill="auto"/>
          </w:tcPr>
          <w:p w14:paraId="28808B06" w14:textId="77777777" w:rsidR="00541338" w:rsidRPr="007A55A4" w:rsidRDefault="00541338" w:rsidP="007A55A4">
            <w:pPr>
              <w:jc w:val="both"/>
              <w:rPr>
                <w:rFonts w:ascii="Arial" w:hAnsi="Arial"/>
                <w:b/>
                <w:bCs/>
              </w:rPr>
            </w:pPr>
          </w:p>
        </w:tc>
      </w:tr>
      <w:tr w:rsidR="00541338" w:rsidRPr="007A55A4" w14:paraId="4FF78EB3" w14:textId="77777777" w:rsidTr="007A55A4">
        <w:trPr>
          <w:trHeight w:val="355"/>
          <w:jc w:val="center"/>
        </w:trPr>
        <w:tc>
          <w:tcPr>
            <w:tcW w:w="1212" w:type="dxa"/>
            <w:tcBorders>
              <w:top w:val="nil"/>
              <w:left w:val="nil"/>
              <w:bottom w:val="nil"/>
              <w:right w:val="nil"/>
            </w:tcBorders>
            <w:shd w:val="clear" w:color="auto" w:fill="auto"/>
          </w:tcPr>
          <w:p w14:paraId="5E809DDF" w14:textId="77777777" w:rsidR="00541338" w:rsidRPr="007A55A4" w:rsidRDefault="00541338" w:rsidP="007A55A4">
            <w:pPr>
              <w:jc w:val="both"/>
              <w:rPr>
                <w:rFonts w:ascii="Arial" w:hAnsi="Arial"/>
                <w:b/>
                <w:bCs/>
                <w:rtl/>
              </w:rPr>
            </w:pPr>
            <w:bookmarkStart w:id="1" w:name="FirstAppellant"/>
            <w:r w:rsidRPr="007A55A4">
              <w:rPr>
                <w:rFonts w:ascii="Arial" w:hAnsi="Arial" w:hint="cs"/>
                <w:b/>
                <w:bCs/>
                <w:rtl/>
              </w:rPr>
              <w:t>המאשימה:</w:t>
            </w:r>
          </w:p>
        </w:tc>
        <w:tc>
          <w:tcPr>
            <w:tcW w:w="3969" w:type="dxa"/>
            <w:tcBorders>
              <w:top w:val="nil"/>
              <w:left w:val="nil"/>
              <w:bottom w:val="nil"/>
              <w:right w:val="nil"/>
            </w:tcBorders>
            <w:shd w:val="clear" w:color="auto" w:fill="auto"/>
          </w:tcPr>
          <w:p w14:paraId="07355BCB" w14:textId="77777777" w:rsidR="00541338" w:rsidRPr="007A55A4" w:rsidRDefault="00541338" w:rsidP="007A55A4">
            <w:pPr>
              <w:jc w:val="both"/>
              <w:rPr>
                <w:b/>
                <w:bCs/>
                <w:rtl/>
              </w:rPr>
            </w:pPr>
            <w:r w:rsidRPr="007A55A4">
              <w:rPr>
                <w:rFonts w:hint="cs"/>
                <w:b/>
                <w:bCs/>
                <w:rtl/>
              </w:rPr>
              <w:t xml:space="preserve">מדינת ישראל </w:t>
            </w:r>
          </w:p>
        </w:tc>
        <w:tc>
          <w:tcPr>
            <w:tcW w:w="3639" w:type="dxa"/>
            <w:tcBorders>
              <w:top w:val="nil"/>
              <w:left w:val="nil"/>
              <w:bottom w:val="nil"/>
              <w:right w:val="nil"/>
            </w:tcBorders>
            <w:shd w:val="clear" w:color="auto" w:fill="auto"/>
          </w:tcPr>
          <w:p w14:paraId="250F1DD1" w14:textId="77777777" w:rsidR="00541338" w:rsidRPr="007A55A4" w:rsidRDefault="00541338" w:rsidP="007A55A4">
            <w:pPr>
              <w:jc w:val="both"/>
              <w:rPr>
                <w:rFonts w:ascii="Arial" w:hAnsi="Arial"/>
                <w:b/>
                <w:bCs/>
                <w:rtl/>
              </w:rPr>
            </w:pPr>
            <w:r w:rsidRPr="007A55A4">
              <w:rPr>
                <w:b/>
                <w:bCs/>
                <w:rtl/>
              </w:rPr>
              <w:t xml:space="preserve">     </w:t>
            </w:r>
          </w:p>
        </w:tc>
      </w:tr>
      <w:bookmarkEnd w:id="1"/>
      <w:tr w:rsidR="00541338" w:rsidRPr="007A55A4" w14:paraId="0D59BC6D" w14:textId="77777777" w:rsidTr="007A55A4">
        <w:trPr>
          <w:trHeight w:val="355"/>
          <w:jc w:val="center"/>
        </w:trPr>
        <w:tc>
          <w:tcPr>
            <w:tcW w:w="1212" w:type="dxa"/>
            <w:tcBorders>
              <w:top w:val="nil"/>
              <w:left w:val="nil"/>
              <w:bottom w:val="nil"/>
              <w:right w:val="nil"/>
            </w:tcBorders>
            <w:shd w:val="clear" w:color="auto" w:fill="auto"/>
          </w:tcPr>
          <w:p w14:paraId="672A5692" w14:textId="77777777" w:rsidR="00541338" w:rsidRPr="007A55A4" w:rsidRDefault="00541338" w:rsidP="007A55A4">
            <w:pPr>
              <w:jc w:val="both"/>
              <w:rPr>
                <w:rFonts w:ascii="Arial" w:hAnsi="Arial"/>
                <w:b/>
                <w:bCs/>
                <w:rtl/>
              </w:rPr>
            </w:pPr>
          </w:p>
        </w:tc>
        <w:tc>
          <w:tcPr>
            <w:tcW w:w="7608" w:type="dxa"/>
            <w:gridSpan w:val="2"/>
            <w:tcBorders>
              <w:top w:val="nil"/>
              <w:left w:val="nil"/>
              <w:bottom w:val="nil"/>
              <w:right w:val="nil"/>
            </w:tcBorders>
            <w:shd w:val="clear" w:color="auto" w:fill="auto"/>
          </w:tcPr>
          <w:p w14:paraId="5E480E4E" w14:textId="77777777" w:rsidR="00541338" w:rsidRPr="007A55A4" w:rsidRDefault="00541338" w:rsidP="007A55A4">
            <w:pPr>
              <w:jc w:val="center"/>
              <w:rPr>
                <w:rFonts w:ascii="Arial" w:hAnsi="Arial"/>
                <w:b/>
                <w:bCs/>
              </w:rPr>
            </w:pPr>
            <w:r w:rsidRPr="007A55A4">
              <w:rPr>
                <w:rFonts w:ascii="Arial" w:hAnsi="Arial"/>
                <w:b/>
                <w:bCs/>
                <w:sz w:val="28"/>
                <w:szCs w:val="28"/>
                <w:rtl/>
              </w:rPr>
              <w:t>נגד</w:t>
            </w:r>
          </w:p>
        </w:tc>
      </w:tr>
      <w:tr w:rsidR="00541338" w:rsidRPr="007A55A4" w14:paraId="2CEF588D" w14:textId="77777777" w:rsidTr="007A55A4">
        <w:trPr>
          <w:trHeight w:val="355"/>
          <w:jc w:val="center"/>
        </w:trPr>
        <w:tc>
          <w:tcPr>
            <w:tcW w:w="1212" w:type="dxa"/>
            <w:tcBorders>
              <w:top w:val="nil"/>
              <w:left w:val="nil"/>
              <w:bottom w:val="nil"/>
              <w:right w:val="nil"/>
            </w:tcBorders>
            <w:shd w:val="clear" w:color="auto" w:fill="auto"/>
          </w:tcPr>
          <w:p w14:paraId="469E5F43" w14:textId="77777777" w:rsidR="00541338" w:rsidRPr="007A55A4" w:rsidRDefault="00541338" w:rsidP="007A55A4">
            <w:pPr>
              <w:jc w:val="both"/>
              <w:rPr>
                <w:rFonts w:ascii="Arial" w:hAnsi="Arial"/>
                <w:b/>
                <w:bCs/>
                <w:rtl/>
              </w:rPr>
            </w:pPr>
            <w:r w:rsidRPr="007A55A4">
              <w:rPr>
                <w:rFonts w:ascii="Arial" w:hAnsi="Arial" w:hint="cs"/>
                <w:b/>
                <w:bCs/>
                <w:rtl/>
              </w:rPr>
              <w:t>הנאשם:</w:t>
            </w:r>
          </w:p>
        </w:tc>
        <w:tc>
          <w:tcPr>
            <w:tcW w:w="3969" w:type="dxa"/>
            <w:tcBorders>
              <w:top w:val="nil"/>
              <w:left w:val="nil"/>
              <w:bottom w:val="nil"/>
              <w:right w:val="nil"/>
            </w:tcBorders>
            <w:shd w:val="clear" w:color="auto" w:fill="auto"/>
          </w:tcPr>
          <w:p w14:paraId="44B979FC" w14:textId="77777777" w:rsidR="00541338" w:rsidRPr="007A55A4" w:rsidRDefault="00541338" w:rsidP="007A55A4">
            <w:pPr>
              <w:jc w:val="both"/>
              <w:rPr>
                <w:b/>
                <w:bCs/>
                <w:rtl/>
              </w:rPr>
            </w:pPr>
            <w:r w:rsidRPr="007A55A4">
              <w:rPr>
                <w:rFonts w:hint="cs"/>
                <w:b/>
                <w:bCs/>
                <w:rtl/>
              </w:rPr>
              <w:t>אלי אליהו אמסלם</w:t>
            </w:r>
          </w:p>
        </w:tc>
        <w:tc>
          <w:tcPr>
            <w:tcW w:w="3639" w:type="dxa"/>
            <w:tcBorders>
              <w:top w:val="nil"/>
              <w:left w:val="nil"/>
              <w:bottom w:val="nil"/>
              <w:right w:val="nil"/>
            </w:tcBorders>
            <w:shd w:val="clear" w:color="auto" w:fill="auto"/>
          </w:tcPr>
          <w:p w14:paraId="1A89A0ED" w14:textId="77777777" w:rsidR="00541338" w:rsidRPr="007A55A4" w:rsidRDefault="00541338" w:rsidP="007A55A4">
            <w:pPr>
              <w:jc w:val="both"/>
              <w:rPr>
                <w:rFonts w:ascii="Arial" w:hAnsi="Arial"/>
                <w:b/>
                <w:bCs/>
              </w:rPr>
            </w:pPr>
          </w:p>
        </w:tc>
      </w:tr>
    </w:tbl>
    <w:p w14:paraId="7524D264" w14:textId="77777777" w:rsidR="00342FA3" w:rsidRDefault="00342FA3" w:rsidP="00541338">
      <w:pPr>
        <w:jc w:val="both"/>
        <w:rPr>
          <w:rtl/>
        </w:rPr>
      </w:pPr>
      <w:bookmarkStart w:id="2" w:name="LawTable"/>
      <w:bookmarkEnd w:id="2"/>
    </w:p>
    <w:p w14:paraId="20A836DF" w14:textId="77777777" w:rsidR="00342FA3" w:rsidRPr="00342FA3" w:rsidRDefault="00342FA3" w:rsidP="00342FA3">
      <w:pPr>
        <w:spacing w:after="120" w:line="240" w:lineRule="exact"/>
        <w:ind w:left="283" w:hanging="283"/>
        <w:jc w:val="both"/>
        <w:rPr>
          <w:rFonts w:ascii="FrankRuehl" w:hAnsi="FrankRuehl" w:cs="FrankRuehl"/>
          <w:rtl/>
        </w:rPr>
      </w:pPr>
    </w:p>
    <w:p w14:paraId="704DDC41" w14:textId="77777777" w:rsidR="00342FA3" w:rsidRPr="00342FA3" w:rsidRDefault="00342FA3" w:rsidP="00342FA3">
      <w:pPr>
        <w:spacing w:after="120" w:line="240" w:lineRule="exact"/>
        <w:ind w:left="283" w:hanging="283"/>
        <w:jc w:val="both"/>
        <w:rPr>
          <w:rFonts w:ascii="FrankRuehl" w:hAnsi="FrankRuehl" w:cs="FrankRuehl"/>
          <w:rtl/>
        </w:rPr>
      </w:pPr>
      <w:r w:rsidRPr="00342FA3">
        <w:rPr>
          <w:rFonts w:ascii="FrankRuehl" w:hAnsi="FrankRuehl" w:cs="FrankRuehl"/>
          <w:rtl/>
        </w:rPr>
        <w:t xml:space="preserve">חקיקה שאוזכרה: </w:t>
      </w:r>
    </w:p>
    <w:p w14:paraId="7607A23F" w14:textId="77777777" w:rsidR="00342FA3" w:rsidRPr="00342FA3" w:rsidRDefault="00342FA3" w:rsidP="00342FA3">
      <w:pPr>
        <w:spacing w:after="120" w:line="240" w:lineRule="exact"/>
        <w:ind w:left="283" w:hanging="283"/>
        <w:jc w:val="both"/>
        <w:rPr>
          <w:rFonts w:ascii="FrankRuehl" w:hAnsi="FrankRuehl" w:cs="FrankRuehl"/>
          <w:rtl/>
        </w:rPr>
      </w:pPr>
      <w:hyperlink r:id="rId6" w:history="1">
        <w:r w:rsidRPr="00342FA3">
          <w:rPr>
            <w:rFonts w:ascii="FrankRuehl" w:hAnsi="FrankRuehl" w:cs="FrankRuehl"/>
            <w:color w:val="0000FF"/>
            <w:u w:val="single"/>
            <w:rtl/>
          </w:rPr>
          <w:t>פקודת הסמים המסוכנים [נוסח חדש], תשל"ג-1973</w:t>
        </w:r>
      </w:hyperlink>
      <w:r w:rsidRPr="00342FA3">
        <w:rPr>
          <w:rFonts w:ascii="FrankRuehl" w:hAnsi="FrankRuehl" w:cs="FrankRuehl"/>
          <w:rtl/>
        </w:rPr>
        <w:t xml:space="preserve">: סע'  </w:t>
      </w:r>
      <w:hyperlink r:id="rId7" w:history="1">
        <w:r w:rsidRPr="00342FA3">
          <w:rPr>
            <w:rFonts w:ascii="FrankRuehl" w:hAnsi="FrankRuehl" w:cs="FrankRuehl"/>
            <w:color w:val="0000FF"/>
            <w:u w:val="single"/>
            <w:rtl/>
          </w:rPr>
          <w:t>7.א.</w:t>
        </w:r>
      </w:hyperlink>
      <w:r w:rsidRPr="00342FA3">
        <w:rPr>
          <w:rFonts w:ascii="FrankRuehl" w:hAnsi="FrankRuehl" w:cs="FrankRuehl"/>
          <w:rtl/>
        </w:rPr>
        <w:t xml:space="preserve">, </w:t>
      </w:r>
      <w:hyperlink r:id="rId8" w:history="1">
        <w:r w:rsidRPr="00342FA3">
          <w:rPr>
            <w:rFonts w:ascii="FrankRuehl" w:hAnsi="FrankRuehl" w:cs="FrankRuehl"/>
            <w:color w:val="0000FF"/>
            <w:u w:val="single"/>
            <w:rtl/>
          </w:rPr>
          <w:t>7.ג</w:t>
        </w:r>
      </w:hyperlink>
    </w:p>
    <w:p w14:paraId="1DE835D0" w14:textId="77777777" w:rsidR="00342FA3" w:rsidRPr="00342FA3" w:rsidRDefault="00342FA3" w:rsidP="00342FA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1338" w:rsidRPr="00F2028F" w14:paraId="23F31B82" w14:textId="77777777" w:rsidTr="007A55A4">
        <w:trPr>
          <w:trHeight w:val="355"/>
          <w:jc w:val="center"/>
        </w:trPr>
        <w:tc>
          <w:tcPr>
            <w:tcW w:w="8820" w:type="dxa"/>
            <w:tcBorders>
              <w:top w:val="nil"/>
              <w:left w:val="nil"/>
              <w:bottom w:val="nil"/>
              <w:right w:val="nil"/>
            </w:tcBorders>
            <w:shd w:val="clear" w:color="auto" w:fill="auto"/>
          </w:tcPr>
          <w:p w14:paraId="706527D4" w14:textId="77777777" w:rsidR="007A55A4" w:rsidRPr="007A55A4" w:rsidRDefault="007A55A4" w:rsidP="007A55A4">
            <w:pPr>
              <w:jc w:val="center"/>
              <w:rPr>
                <w:rFonts w:ascii="Arial" w:hAnsi="Arial"/>
                <w:b/>
                <w:bCs/>
                <w:sz w:val="28"/>
                <w:szCs w:val="28"/>
                <w:u w:val="single"/>
                <w:rtl/>
              </w:rPr>
            </w:pPr>
            <w:bookmarkStart w:id="3" w:name="LawTable_End"/>
            <w:bookmarkStart w:id="4" w:name="PsakDin" w:colFirst="0" w:colLast="0"/>
            <w:bookmarkEnd w:id="0"/>
            <w:bookmarkEnd w:id="3"/>
            <w:r w:rsidRPr="007A55A4">
              <w:rPr>
                <w:rFonts w:ascii="Arial" w:hAnsi="Arial"/>
                <w:b/>
                <w:bCs/>
                <w:sz w:val="28"/>
                <w:szCs w:val="28"/>
                <w:u w:val="single"/>
                <w:rtl/>
              </w:rPr>
              <w:t>גזר דין</w:t>
            </w:r>
          </w:p>
          <w:p w14:paraId="73B5E3DA" w14:textId="77777777" w:rsidR="00541338" w:rsidRPr="007A55A4" w:rsidRDefault="00541338" w:rsidP="007A55A4">
            <w:pPr>
              <w:jc w:val="center"/>
              <w:rPr>
                <w:rFonts w:ascii="Arial" w:hAnsi="Arial"/>
                <w:bCs/>
                <w:sz w:val="28"/>
                <w:szCs w:val="28"/>
                <w:u w:val="single"/>
                <w:rtl/>
              </w:rPr>
            </w:pPr>
          </w:p>
        </w:tc>
      </w:tr>
      <w:bookmarkEnd w:id="4"/>
    </w:tbl>
    <w:p w14:paraId="407300B3" w14:textId="77777777" w:rsidR="00541338" w:rsidRPr="00F2028F" w:rsidRDefault="00541338" w:rsidP="00541338">
      <w:pPr>
        <w:jc w:val="both"/>
        <w:rPr>
          <w:rtl/>
        </w:rPr>
      </w:pPr>
    </w:p>
    <w:p w14:paraId="16EEAEE4" w14:textId="77777777" w:rsidR="00541338" w:rsidRPr="00AA0084" w:rsidRDefault="00541338" w:rsidP="00541338">
      <w:pPr>
        <w:pStyle w:val="7"/>
        <w:jc w:val="both"/>
        <w:rPr>
          <w:rFonts w:cs="David"/>
          <w:b/>
          <w:bCs/>
          <w:i w:val="0"/>
          <w:iCs w:val="0"/>
          <w:color w:val="auto"/>
          <w:u w:val="single"/>
          <w:rtl/>
        </w:rPr>
      </w:pPr>
      <w:r w:rsidRPr="00AA0084">
        <w:rPr>
          <w:rFonts w:cs="David"/>
          <w:b/>
          <w:bCs/>
          <w:i w:val="0"/>
          <w:iCs w:val="0"/>
          <w:color w:val="auto"/>
          <w:u w:val="single"/>
          <w:rtl/>
        </w:rPr>
        <w:t>כללי</w:t>
      </w:r>
    </w:p>
    <w:p w14:paraId="5DB82ED4" w14:textId="77777777" w:rsidR="00541338" w:rsidRPr="00F2028F" w:rsidRDefault="00541338" w:rsidP="00541338">
      <w:pPr>
        <w:spacing w:line="360" w:lineRule="auto"/>
        <w:jc w:val="both"/>
        <w:rPr>
          <w:rtl/>
        </w:rPr>
      </w:pPr>
    </w:p>
    <w:p w14:paraId="7DE95839" w14:textId="77777777" w:rsidR="00541338" w:rsidRPr="00F2028F" w:rsidRDefault="00541338" w:rsidP="00541338">
      <w:pPr>
        <w:spacing w:line="360" w:lineRule="auto"/>
        <w:ind w:left="716" w:hanging="825"/>
        <w:jc w:val="both"/>
        <w:rPr>
          <w:rtl/>
        </w:rPr>
      </w:pPr>
      <w:r w:rsidRPr="00F2028F">
        <w:rPr>
          <w:rtl/>
        </w:rPr>
        <w:t>1.</w:t>
      </w:r>
      <w:r w:rsidRPr="00F2028F">
        <w:rPr>
          <w:rtl/>
        </w:rPr>
        <w:tab/>
      </w:r>
      <w:bookmarkStart w:id="5" w:name="ABSTRACT_START"/>
      <w:bookmarkEnd w:id="5"/>
      <w:r w:rsidRPr="00F2028F">
        <w:rPr>
          <w:rtl/>
        </w:rPr>
        <w:t xml:space="preserve">הנאשם הודה, במסגרת הסדר שבגדרו הוגש נגדו כתב אישום מתוקן, כי בתאריך 24.08.15 הוא החזיק בביתו, שלא כדין, 83 גרם נטו של סם מסוכן מסוג </w:t>
      </w:r>
      <w:r w:rsidRPr="00F2028F">
        <w:t>MDMA</w:t>
      </w:r>
      <w:r w:rsidRPr="00F2028F">
        <w:rPr>
          <w:rtl/>
        </w:rPr>
        <w:t xml:space="preserve">, שלא לצריכתו העצמית; ו- 0.25 גרם מריחאונה וכ- 50 גרם נטו של סם מסוכן מסוג </w:t>
      </w:r>
      <w:r w:rsidRPr="00F2028F">
        <w:t>MDMA</w:t>
      </w:r>
      <w:r w:rsidRPr="00F2028F">
        <w:rPr>
          <w:rtl/>
        </w:rPr>
        <w:t xml:space="preserve">, לצריכתו העצמית. </w:t>
      </w:r>
    </w:p>
    <w:p w14:paraId="7BEA8168" w14:textId="77777777" w:rsidR="00541338" w:rsidRPr="00F2028F" w:rsidRDefault="00541338" w:rsidP="00541338">
      <w:pPr>
        <w:spacing w:line="360" w:lineRule="auto"/>
        <w:ind w:left="716" w:hanging="825"/>
        <w:jc w:val="both"/>
        <w:rPr>
          <w:rtl/>
        </w:rPr>
      </w:pPr>
      <w:bookmarkStart w:id="6" w:name="ABSTRACT_END"/>
      <w:bookmarkEnd w:id="6"/>
      <w:r w:rsidRPr="00F2028F">
        <w:rPr>
          <w:rtl/>
        </w:rPr>
        <w:tab/>
      </w:r>
    </w:p>
    <w:p w14:paraId="6E7378FA" w14:textId="77777777" w:rsidR="00541338" w:rsidRPr="00F2028F" w:rsidRDefault="00541338" w:rsidP="00541338">
      <w:pPr>
        <w:spacing w:line="360" w:lineRule="auto"/>
        <w:ind w:left="716" w:hanging="825"/>
        <w:jc w:val="both"/>
        <w:rPr>
          <w:rtl/>
        </w:rPr>
      </w:pPr>
      <w:r w:rsidRPr="00F2028F">
        <w:rPr>
          <w:rtl/>
        </w:rPr>
        <w:t>2.</w:t>
      </w:r>
      <w:r w:rsidRPr="00F2028F">
        <w:rPr>
          <w:rtl/>
        </w:rPr>
        <w:tab/>
        <w:t xml:space="preserve">על יסוד הודאת הנאשם בעובדות כתב האישום המתוקן כאמור, הוא הורשע בעבירה של החזקת סם מסוכן שלא לצריכה עצמית, לפי סעיף  </w:t>
      </w:r>
      <w:hyperlink r:id="rId9" w:history="1">
        <w:r w:rsidR="00342FA3" w:rsidRPr="00342FA3">
          <w:rPr>
            <w:color w:val="0000FF"/>
            <w:u w:val="single"/>
            <w:rtl/>
          </w:rPr>
          <w:t>7 (א) ו- (ג)</w:t>
        </w:r>
      </w:hyperlink>
      <w:r w:rsidRPr="00F2028F">
        <w:rPr>
          <w:rtl/>
        </w:rPr>
        <w:t xml:space="preserve"> רישא ל</w:t>
      </w:r>
      <w:hyperlink r:id="rId10" w:history="1">
        <w:r w:rsidR="007A55A4" w:rsidRPr="007A55A4">
          <w:rPr>
            <w:rStyle w:val="Hyperlink"/>
            <w:rtl/>
          </w:rPr>
          <w:t>פקודת הסמים המסוכנים</w:t>
        </w:r>
      </w:hyperlink>
      <w:r w:rsidRPr="00F2028F">
        <w:rPr>
          <w:rtl/>
        </w:rPr>
        <w:t xml:space="preserve"> [נוסח חדש], התשל"ג-1973 (להלן: "פקודת הסמים") ובעבירה של החזקת סם מסוכן לצריכה עצמית, לפי </w:t>
      </w:r>
      <w:hyperlink r:id="rId11" w:history="1">
        <w:r w:rsidR="00342FA3" w:rsidRPr="00342FA3">
          <w:rPr>
            <w:color w:val="0000FF"/>
            <w:u w:val="single"/>
            <w:rtl/>
          </w:rPr>
          <w:t>סעיף 7 (א) ו- (ג)</w:t>
        </w:r>
      </w:hyperlink>
      <w:r w:rsidRPr="00F2028F">
        <w:rPr>
          <w:rtl/>
        </w:rPr>
        <w:t xml:space="preserve"> סיפא לפקודת הסמים.</w:t>
      </w:r>
    </w:p>
    <w:p w14:paraId="5EF4F4F2" w14:textId="77777777" w:rsidR="00541338" w:rsidRPr="00F2028F" w:rsidRDefault="00541338" w:rsidP="00541338">
      <w:pPr>
        <w:spacing w:line="360" w:lineRule="auto"/>
        <w:ind w:left="716" w:hanging="825"/>
        <w:jc w:val="both"/>
        <w:rPr>
          <w:rtl/>
        </w:rPr>
      </w:pPr>
    </w:p>
    <w:p w14:paraId="7665D7EE" w14:textId="77777777" w:rsidR="00541338" w:rsidRPr="00F2028F" w:rsidRDefault="00541338" w:rsidP="00541338">
      <w:pPr>
        <w:spacing w:line="360" w:lineRule="auto"/>
        <w:ind w:left="716" w:hanging="825"/>
        <w:jc w:val="both"/>
        <w:rPr>
          <w:rtl/>
        </w:rPr>
      </w:pPr>
      <w:r w:rsidRPr="00F2028F">
        <w:rPr>
          <w:rtl/>
        </w:rPr>
        <w:t>3.</w:t>
      </w:r>
      <w:r w:rsidRPr="00F2028F">
        <w:rPr>
          <w:rtl/>
        </w:rPr>
        <w:tab/>
        <w:t xml:space="preserve">ההסדר בין הצדדים לא כלל הסכמה לעניין העונש. </w:t>
      </w:r>
    </w:p>
    <w:p w14:paraId="3C19B481" w14:textId="77777777" w:rsidR="00541338" w:rsidRPr="00F2028F" w:rsidRDefault="00541338" w:rsidP="00541338">
      <w:pPr>
        <w:spacing w:line="360" w:lineRule="auto"/>
        <w:ind w:left="716" w:hanging="825"/>
        <w:jc w:val="both"/>
        <w:rPr>
          <w:rtl/>
        </w:rPr>
      </w:pPr>
    </w:p>
    <w:p w14:paraId="412E9A32" w14:textId="77777777" w:rsidR="00541338" w:rsidRPr="00F2028F" w:rsidRDefault="00541338" w:rsidP="00541338">
      <w:pPr>
        <w:spacing w:line="360" w:lineRule="auto"/>
        <w:ind w:left="716" w:hanging="825"/>
        <w:jc w:val="both"/>
        <w:rPr>
          <w:rtl/>
        </w:rPr>
      </w:pPr>
      <w:r w:rsidRPr="00F2028F">
        <w:rPr>
          <w:rtl/>
        </w:rPr>
        <w:t>4.</w:t>
      </w:r>
      <w:r w:rsidRPr="00F2028F">
        <w:rPr>
          <w:rtl/>
        </w:rPr>
        <w:tab/>
        <w:t xml:space="preserve">לבקשת הנאשם ובהסכמת התביעה, התבקש שירות המבחן לערוך תסקיר על הנאשם. </w:t>
      </w:r>
    </w:p>
    <w:p w14:paraId="33DE4822" w14:textId="77777777" w:rsidR="00541338" w:rsidRPr="00F2028F" w:rsidRDefault="00541338" w:rsidP="00541338">
      <w:pPr>
        <w:spacing w:line="360" w:lineRule="auto"/>
        <w:ind w:left="-109"/>
        <w:jc w:val="both"/>
        <w:rPr>
          <w:rtl/>
        </w:rPr>
      </w:pPr>
      <w:r w:rsidRPr="00F2028F">
        <w:rPr>
          <w:rtl/>
        </w:rPr>
        <w:t xml:space="preserve"> </w:t>
      </w:r>
    </w:p>
    <w:p w14:paraId="7181FD44" w14:textId="77777777" w:rsidR="00541338" w:rsidRPr="00F2028F" w:rsidRDefault="00541338" w:rsidP="00541338">
      <w:pPr>
        <w:spacing w:line="360" w:lineRule="auto"/>
        <w:ind w:left="716" w:hanging="825"/>
        <w:jc w:val="both"/>
        <w:rPr>
          <w:rtl/>
        </w:rPr>
      </w:pPr>
      <w:r w:rsidRPr="00F2028F">
        <w:rPr>
          <w:rtl/>
        </w:rPr>
        <w:t>5.</w:t>
      </w:r>
      <w:r w:rsidRPr="00F2028F">
        <w:rPr>
          <w:rtl/>
        </w:rPr>
        <w:tab/>
        <w:t xml:space="preserve">שירות המבחן הכין תסקיר על הנאשם, בו צויינו, בין היתר, הדברים הבאים – </w:t>
      </w:r>
    </w:p>
    <w:p w14:paraId="22DE0D65" w14:textId="77777777" w:rsidR="00541338" w:rsidRPr="00F2028F" w:rsidRDefault="00541338" w:rsidP="00541338">
      <w:pPr>
        <w:spacing w:line="360" w:lineRule="auto"/>
        <w:ind w:left="716"/>
        <w:jc w:val="both"/>
        <w:rPr>
          <w:rtl/>
        </w:rPr>
      </w:pPr>
      <w:r w:rsidRPr="00F2028F">
        <w:rPr>
          <w:rtl/>
        </w:rPr>
        <w:t xml:space="preserve">הנאשם, יליד 1987, רווק, תושב באר-שבע. עובד מזה תקופה ממושכת במשרד תיווך. תיאר יציבות תעסוקתית לאורך השנים. לדבריו, סיים 12 שנות לימוד ובעל תעודת בגרות מלאה. </w:t>
      </w:r>
      <w:r w:rsidRPr="00F2028F">
        <w:rPr>
          <w:rtl/>
        </w:rPr>
        <w:lastRenderedPageBreak/>
        <w:t xml:space="preserve">גויס לצבא והשתחרר לאחר שנתיים וחצי על רקע בעיות משפחתיות. שלל בעיות רפואיות או פסיכיאטריות. תיאר מצב כלכלי תקין. נעדר הרשעות קודמות. </w:t>
      </w:r>
    </w:p>
    <w:p w14:paraId="3BB4A08D" w14:textId="77777777" w:rsidR="00541338" w:rsidRPr="00F2028F" w:rsidRDefault="00541338" w:rsidP="00541338">
      <w:pPr>
        <w:spacing w:line="360" w:lineRule="auto"/>
        <w:ind w:left="716"/>
        <w:jc w:val="both"/>
        <w:rPr>
          <w:rtl/>
        </w:rPr>
      </w:pPr>
    </w:p>
    <w:p w14:paraId="1B80184B" w14:textId="77777777" w:rsidR="00541338" w:rsidRPr="00F2028F" w:rsidRDefault="00541338" w:rsidP="00541338">
      <w:pPr>
        <w:spacing w:line="360" w:lineRule="auto"/>
        <w:ind w:left="716"/>
        <w:jc w:val="both"/>
        <w:rPr>
          <w:rtl/>
        </w:rPr>
      </w:pPr>
      <w:r w:rsidRPr="00F2028F">
        <w:rPr>
          <w:rtl/>
        </w:rPr>
        <w:t>הנאשם הודה בעבירה ולקח אחריות על ביצועה. לדבריו, באותה תקופה נהג להשתמש בסמים ולכן החזיק בביתו סמים כמתואר בכתב האישום. הביע צער על התנהגותו השולית ועל המחירים שמשלם בגינה. תיאר כי בעבר התנסה בשימוש חד פעמי בחשיש, וכי בתקופה שקדמה למעצרו החל להשתמש בנסיבות חברתיות בסמים מסוג חשיש ו-</w:t>
      </w:r>
      <w:r w:rsidRPr="00F2028F">
        <w:t xml:space="preserve"> MDMA</w:t>
      </w:r>
      <w:r w:rsidRPr="00F2028F">
        <w:rPr>
          <w:rtl/>
        </w:rPr>
        <w:t xml:space="preserve"> כדרך להתמודדות עם משבר זוגי שחווה. תיאר שימוש קבוע ויומיומי. </w:t>
      </w:r>
    </w:p>
    <w:p w14:paraId="1C30AB46" w14:textId="77777777" w:rsidR="00541338" w:rsidRPr="00F2028F" w:rsidRDefault="00541338" w:rsidP="00541338">
      <w:pPr>
        <w:spacing w:line="360" w:lineRule="auto"/>
        <w:ind w:left="716"/>
        <w:jc w:val="both"/>
        <w:rPr>
          <w:rtl/>
        </w:rPr>
      </w:pPr>
      <w:r w:rsidRPr="00F2028F">
        <w:rPr>
          <w:rtl/>
        </w:rPr>
        <w:t>במהלך מעצרו, ביטא רצון להשתלב במסגרת טיפול במרכז חוסן בבאר - שבע.</w:t>
      </w:r>
    </w:p>
    <w:p w14:paraId="12274E7C" w14:textId="77777777" w:rsidR="00541338" w:rsidRPr="00F2028F" w:rsidRDefault="00541338" w:rsidP="00541338">
      <w:pPr>
        <w:spacing w:line="360" w:lineRule="auto"/>
        <w:ind w:left="716" w:hanging="825"/>
        <w:jc w:val="both"/>
        <w:rPr>
          <w:rtl/>
        </w:rPr>
      </w:pPr>
      <w:r w:rsidRPr="00F2028F">
        <w:rPr>
          <w:rtl/>
        </w:rPr>
        <w:tab/>
      </w:r>
    </w:p>
    <w:p w14:paraId="08FAAB6A" w14:textId="77777777" w:rsidR="00541338" w:rsidRPr="00F2028F" w:rsidRDefault="00541338" w:rsidP="00541338">
      <w:pPr>
        <w:spacing w:line="360" w:lineRule="auto"/>
        <w:ind w:left="716" w:hanging="825"/>
        <w:jc w:val="both"/>
        <w:rPr>
          <w:rtl/>
        </w:rPr>
      </w:pPr>
      <w:r w:rsidRPr="00F2028F">
        <w:rPr>
          <w:rtl/>
        </w:rPr>
        <w:tab/>
        <w:t xml:space="preserve">לאחר שחרור הנאשם ממעצר, הוא שולב בטיפול לנפגעי סמים ב"מרכז חוסן". הטיפול ארך כתשעה חודשים והוא כלל מפגשים קבוצתיים, מפגשים פרטניים ובדיקות שתן. השתתפות הנאשם בתהליך הטיפולי התאפיינה בהתמדה, שיתוף, שמירה על נקיון משימוש בסמים והתנהלות חברתית מטיבה. בנוסף, הנאשם גילה יכולת הכלה ותמיכה בחבריו וכל בדיקות השתן שמסר נמצאו נקיות מסמים. </w:t>
      </w:r>
    </w:p>
    <w:p w14:paraId="138EB61C" w14:textId="77777777" w:rsidR="00541338" w:rsidRPr="00F2028F" w:rsidRDefault="00541338" w:rsidP="00541338">
      <w:pPr>
        <w:spacing w:line="360" w:lineRule="auto"/>
        <w:ind w:left="716" w:hanging="825"/>
        <w:jc w:val="both"/>
        <w:rPr>
          <w:rtl/>
        </w:rPr>
      </w:pPr>
    </w:p>
    <w:p w14:paraId="64ED1747" w14:textId="77777777" w:rsidR="00541338" w:rsidRPr="00F2028F" w:rsidRDefault="00541338" w:rsidP="00541338">
      <w:pPr>
        <w:spacing w:line="360" w:lineRule="auto"/>
        <w:ind w:left="716" w:hanging="825"/>
        <w:jc w:val="both"/>
        <w:rPr>
          <w:rtl/>
        </w:rPr>
      </w:pPr>
      <w:r w:rsidRPr="00F2028F">
        <w:rPr>
          <w:rtl/>
        </w:rPr>
        <w:tab/>
        <w:t xml:space="preserve">שירות המבחן התרשם כי אין לנאשם מערכת ערכים או נורמות עברייניות מופנמות, וסבר כי התנהגותו נבעה מחוסר הבנה מעמיקה באשר להשלכות מעשיו. </w:t>
      </w:r>
    </w:p>
    <w:p w14:paraId="76A2E717" w14:textId="77777777" w:rsidR="00541338" w:rsidRPr="00F2028F" w:rsidRDefault="00541338" w:rsidP="00541338">
      <w:pPr>
        <w:spacing w:line="360" w:lineRule="auto"/>
        <w:ind w:left="716" w:hanging="825"/>
        <w:jc w:val="both"/>
        <w:rPr>
          <w:rtl/>
        </w:rPr>
      </w:pPr>
      <w:r w:rsidRPr="00F2028F">
        <w:rPr>
          <w:rtl/>
        </w:rPr>
        <w:tab/>
        <w:t xml:space="preserve">לאור האמור, הומלץ להעדיף את ההיבט השיקומי על עונש מוחשי, להעמיד את הנאשם במבחן למשך שנה - במסגרתו ימשיך בטיפול פרטני בבית חוסן וימסור בדיקות שתן כנדרש – ולחייבו בביצוע של"צ. </w:t>
      </w:r>
    </w:p>
    <w:p w14:paraId="62885790" w14:textId="77777777" w:rsidR="00541338" w:rsidRPr="00F2028F" w:rsidRDefault="00541338" w:rsidP="00541338">
      <w:pPr>
        <w:spacing w:line="360" w:lineRule="auto"/>
        <w:ind w:left="716" w:hanging="825"/>
        <w:jc w:val="both"/>
        <w:rPr>
          <w:rtl/>
        </w:rPr>
      </w:pPr>
    </w:p>
    <w:p w14:paraId="2394130B" w14:textId="77777777" w:rsidR="00541338" w:rsidRPr="00F2028F" w:rsidRDefault="00541338" w:rsidP="00541338">
      <w:pPr>
        <w:spacing w:line="360" w:lineRule="auto"/>
        <w:ind w:left="-109"/>
        <w:jc w:val="both"/>
        <w:rPr>
          <w:rtl/>
        </w:rPr>
      </w:pPr>
      <w:r w:rsidRPr="00F2028F">
        <w:rPr>
          <w:rtl/>
        </w:rPr>
        <w:tab/>
        <w:t>6.</w:t>
      </w:r>
      <w:r w:rsidRPr="00F2028F">
        <w:rPr>
          <w:rtl/>
        </w:rPr>
        <w:tab/>
        <w:t xml:space="preserve">על רקע תסקיר שירות המבחן, הסכימה התביעה לקבלת חוות דעת הממונה על עבודות </w:t>
      </w:r>
    </w:p>
    <w:p w14:paraId="02AB5DC6" w14:textId="77777777" w:rsidR="00541338" w:rsidRPr="00F2028F" w:rsidRDefault="00541338" w:rsidP="00541338">
      <w:pPr>
        <w:spacing w:line="360" w:lineRule="auto"/>
        <w:ind w:left="-109" w:firstLine="825"/>
        <w:jc w:val="both"/>
        <w:rPr>
          <w:rtl/>
        </w:rPr>
      </w:pPr>
      <w:r w:rsidRPr="00F2028F">
        <w:rPr>
          <w:rtl/>
        </w:rPr>
        <w:t xml:space="preserve">השירות לאפשרות שהנאשם ישא את המאסר שייגזר עליו, בעבודת שירות. </w:t>
      </w:r>
    </w:p>
    <w:p w14:paraId="03392111" w14:textId="77777777" w:rsidR="00541338" w:rsidRPr="00F2028F" w:rsidRDefault="00541338" w:rsidP="00541338">
      <w:pPr>
        <w:spacing w:line="360" w:lineRule="auto"/>
        <w:ind w:left="716" w:hanging="825"/>
        <w:jc w:val="both"/>
        <w:rPr>
          <w:rtl/>
        </w:rPr>
      </w:pPr>
      <w:r w:rsidRPr="00F2028F">
        <w:rPr>
          <w:rtl/>
        </w:rPr>
        <w:tab/>
        <w:t>הממונה על עבודות השירות חיווה דעתו כי הנאשם מתאים לבצע עבודות שירות ואף מצא לו כזו.</w:t>
      </w:r>
    </w:p>
    <w:p w14:paraId="41B63C21" w14:textId="77777777" w:rsidR="00541338" w:rsidRPr="00F2028F" w:rsidRDefault="00541338" w:rsidP="00541338">
      <w:pPr>
        <w:spacing w:line="360" w:lineRule="auto"/>
        <w:ind w:left="716" w:hanging="825"/>
        <w:jc w:val="both"/>
        <w:rPr>
          <w:rtl/>
        </w:rPr>
      </w:pPr>
    </w:p>
    <w:p w14:paraId="072D9C3F" w14:textId="77777777" w:rsidR="00541338" w:rsidRPr="00F2028F" w:rsidRDefault="00541338" w:rsidP="00541338">
      <w:pPr>
        <w:spacing w:line="360" w:lineRule="auto"/>
        <w:ind w:left="716" w:hanging="825"/>
        <w:jc w:val="both"/>
        <w:rPr>
          <w:rtl/>
        </w:rPr>
      </w:pPr>
      <w:r w:rsidRPr="00F2028F">
        <w:rPr>
          <w:rtl/>
        </w:rPr>
        <w:t>7.</w:t>
      </w:r>
      <w:r w:rsidRPr="00F2028F">
        <w:rPr>
          <w:rtl/>
        </w:rPr>
        <w:tab/>
        <w:t>בתסקיר משלים של שירות המבחן צוין, כי לאחר שהנאשם סיים את השתתפותו בתכנית הטיפולית, הוא שולב בשיחות פרטניות במרכז חוסן. הוא מגיע לשיחות באופן קבוע ומשתף פעולה כנדרש. מבטא שאיפות לניהול אורח חיים תקין, ובדיקות השתן שלו נקיות מסמים. ושירות המבחן חזר על המלצתו העונשית.</w:t>
      </w:r>
    </w:p>
    <w:p w14:paraId="7BCFDC0C" w14:textId="77777777" w:rsidR="00541338" w:rsidRPr="00F2028F" w:rsidRDefault="00541338" w:rsidP="00541338">
      <w:pPr>
        <w:spacing w:line="360" w:lineRule="auto"/>
        <w:ind w:left="716" w:hanging="825"/>
        <w:jc w:val="both"/>
        <w:rPr>
          <w:rtl/>
        </w:rPr>
      </w:pPr>
    </w:p>
    <w:p w14:paraId="7039BD48" w14:textId="77777777" w:rsidR="00541338" w:rsidRPr="00F2028F" w:rsidRDefault="00541338" w:rsidP="00541338">
      <w:pPr>
        <w:spacing w:line="360" w:lineRule="auto"/>
        <w:ind w:left="716" w:hanging="825"/>
        <w:jc w:val="both"/>
        <w:rPr>
          <w:rtl/>
        </w:rPr>
      </w:pPr>
      <w:r w:rsidRPr="00F2028F">
        <w:rPr>
          <w:rtl/>
        </w:rPr>
        <w:t>8.</w:t>
      </w:r>
      <w:r w:rsidRPr="00F2028F">
        <w:rPr>
          <w:rtl/>
        </w:rPr>
        <w:tab/>
        <w:t xml:space="preserve">לאחר הדברים האלה, הסכימו הצדדים לעתור במשותף להטיל על הנאשם שישה חודשי מאסר בעבודת שירות, צו מבחן למשך שנה, מאסר על תנאי, קנס בסך 10,000 ₪ שישולם מהפיקדון שהפקיד הנאשם בתיק המעצר </w:t>
      </w:r>
      <w:hyperlink r:id="rId12" w:history="1">
        <w:r w:rsidR="007A55A4" w:rsidRPr="007A55A4">
          <w:rPr>
            <w:rStyle w:val="Hyperlink"/>
            <w:rtl/>
          </w:rPr>
          <w:t>מ"ת 2492-09-15</w:t>
        </w:r>
      </w:hyperlink>
      <w:r w:rsidRPr="00F2028F">
        <w:rPr>
          <w:rtl/>
        </w:rPr>
        <w:t xml:space="preserve">, ופסילה על תנאי. </w:t>
      </w:r>
    </w:p>
    <w:p w14:paraId="721F55FC" w14:textId="77777777" w:rsidR="00541338" w:rsidRDefault="00541338" w:rsidP="00541338">
      <w:pPr>
        <w:spacing w:line="360" w:lineRule="auto"/>
        <w:ind w:left="716" w:hanging="825"/>
        <w:jc w:val="both"/>
        <w:rPr>
          <w:rtl/>
        </w:rPr>
      </w:pPr>
    </w:p>
    <w:p w14:paraId="373294DE" w14:textId="77777777" w:rsidR="00541338" w:rsidRDefault="00541338" w:rsidP="00541338">
      <w:pPr>
        <w:spacing w:line="360" w:lineRule="auto"/>
        <w:ind w:left="716" w:hanging="825"/>
        <w:jc w:val="both"/>
        <w:rPr>
          <w:rtl/>
        </w:rPr>
      </w:pPr>
    </w:p>
    <w:p w14:paraId="2A85C6EA" w14:textId="77777777" w:rsidR="00541338" w:rsidRDefault="00541338" w:rsidP="00541338">
      <w:pPr>
        <w:spacing w:line="360" w:lineRule="auto"/>
        <w:ind w:left="716" w:hanging="825"/>
        <w:jc w:val="both"/>
        <w:rPr>
          <w:rtl/>
        </w:rPr>
      </w:pPr>
    </w:p>
    <w:p w14:paraId="692CD6AC" w14:textId="77777777" w:rsidR="00541338" w:rsidRPr="00F2028F" w:rsidRDefault="00541338" w:rsidP="00541338">
      <w:pPr>
        <w:spacing w:line="360" w:lineRule="auto"/>
        <w:ind w:left="716" w:hanging="825"/>
        <w:jc w:val="both"/>
        <w:rPr>
          <w:rtl/>
        </w:rPr>
      </w:pPr>
    </w:p>
    <w:p w14:paraId="78347240" w14:textId="77777777" w:rsidR="00541338" w:rsidRPr="00F2028F" w:rsidRDefault="00541338" w:rsidP="00541338">
      <w:pPr>
        <w:spacing w:line="360" w:lineRule="auto"/>
        <w:ind w:left="716" w:hanging="825"/>
        <w:jc w:val="both"/>
        <w:rPr>
          <w:rtl/>
        </w:rPr>
      </w:pPr>
      <w:r w:rsidRPr="00F2028F">
        <w:rPr>
          <w:rtl/>
        </w:rPr>
        <w:t>9.</w:t>
      </w:r>
      <w:r w:rsidRPr="00F2028F">
        <w:rPr>
          <w:rtl/>
        </w:rPr>
        <w:tab/>
        <w:t xml:space="preserve">ב"כ התביעה טענה, כי לאור ההליך השיקומי הארוך שעבר הנאשם, שהוא עדיין ממשיך בו, היא מסכימה, באופן חריג, לסטות מהעונש הראוי לנאשם על העבירות שביצע ולעתור לעונש שהוסכם. ציינה, כי הנאשם נעדר עבר פלילי וכי צו המבחן והמאסר על תנאי ישמשו כמעין חרב על צווארו, שירתיעו מפני חזרה על עבירות. </w:t>
      </w:r>
    </w:p>
    <w:p w14:paraId="0F10056D" w14:textId="77777777" w:rsidR="00541338" w:rsidRPr="00F2028F" w:rsidRDefault="00541338" w:rsidP="00541338">
      <w:pPr>
        <w:spacing w:line="360" w:lineRule="auto"/>
        <w:ind w:left="716" w:hanging="825"/>
        <w:jc w:val="both"/>
        <w:rPr>
          <w:rtl/>
        </w:rPr>
      </w:pPr>
    </w:p>
    <w:p w14:paraId="74ACE9F5" w14:textId="77777777" w:rsidR="00541338" w:rsidRPr="00F2028F" w:rsidRDefault="00541338" w:rsidP="00541338">
      <w:pPr>
        <w:spacing w:line="360" w:lineRule="auto"/>
        <w:ind w:left="716"/>
        <w:jc w:val="both"/>
        <w:rPr>
          <w:rtl/>
        </w:rPr>
      </w:pPr>
      <w:r w:rsidRPr="00F2028F">
        <w:rPr>
          <w:rtl/>
        </w:rPr>
        <w:t xml:space="preserve">ב"כ הנאשם הצטרף לדברי ב"כ התביעה. הוסיף, כי כתב האישום תוקן משמעותית. הפנה לאמור בתסקירי שירות המבחן ולהליך הטיפולי הארוך שהנאשם לוקח בו חלק. הגיש מסמכים ממרכז חוסן, תעודת הערכה, ומסמך ממקום עבודתו של הנאשם. והגיש פסיקה. וביקש לאמץ את הסכמת הצדדים. </w:t>
      </w:r>
    </w:p>
    <w:p w14:paraId="28984129" w14:textId="77777777" w:rsidR="00541338" w:rsidRPr="00F2028F" w:rsidRDefault="00541338" w:rsidP="00541338">
      <w:pPr>
        <w:spacing w:line="360" w:lineRule="auto"/>
        <w:ind w:left="716"/>
        <w:jc w:val="both"/>
        <w:rPr>
          <w:rtl/>
        </w:rPr>
      </w:pPr>
    </w:p>
    <w:p w14:paraId="74087DC2" w14:textId="77777777" w:rsidR="00541338" w:rsidRPr="00F2028F" w:rsidRDefault="00541338" w:rsidP="00541338">
      <w:pPr>
        <w:spacing w:line="360" w:lineRule="auto"/>
        <w:ind w:left="716" w:hanging="825"/>
        <w:jc w:val="both"/>
        <w:rPr>
          <w:rtl/>
        </w:rPr>
      </w:pPr>
      <w:r w:rsidRPr="00F2028F">
        <w:rPr>
          <w:rtl/>
        </w:rPr>
        <w:tab/>
        <w:t xml:space="preserve">הנאשם אמר כי הוא מבין את חומרת העבירה. סיפר כי הוא מנסה לעזור לעצמו ולסביבתו, וכי הוא אמור להתחתן בחודש אוגוסט 2017, וביקש לכבד את עמדת הצדדים.  </w:t>
      </w:r>
    </w:p>
    <w:p w14:paraId="04CD80B4" w14:textId="77777777" w:rsidR="00541338" w:rsidRPr="00F2028F" w:rsidRDefault="00541338" w:rsidP="00541338">
      <w:pPr>
        <w:spacing w:line="360" w:lineRule="auto"/>
        <w:ind w:left="716" w:hanging="825"/>
        <w:jc w:val="both"/>
        <w:rPr>
          <w:rtl/>
        </w:rPr>
      </w:pPr>
    </w:p>
    <w:p w14:paraId="5ACF2B5E" w14:textId="77777777" w:rsidR="00541338" w:rsidRPr="00F2028F" w:rsidRDefault="00541338" w:rsidP="00541338">
      <w:pPr>
        <w:pStyle w:val="NormalWeb"/>
        <w:bidi/>
        <w:spacing w:line="360" w:lineRule="auto"/>
        <w:ind w:left="720"/>
        <w:jc w:val="both"/>
        <w:rPr>
          <w:rFonts w:ascii="Arial" w:hAnsi="Arial" w:cs="David"/>
          <w:color w:val="000000"/>
          <w:rtl/>
        </w:rPr>
      </w:pPr>
      <w:r w:rsidRPr="00F2028F">
        <w:rPr>
          <w:rFonts w:ascii="Arial" w:hAnsi="Arial" w:cs="David"/>
          <w:color w:val="000000"/>
          <w:rtl/>
        </w:rPr>
        <w:t xml:space="preserve">"האקסטזי יכול לגרום הפרעות נפשיות לא מאוזנות, הכוללות התקפי חרדה, פניקה, דיכאון וחשיבה פרנואידית. השפעת הסם גורמת חוסר שקט, הזיות שמיעה וראייה, תחושת רדיפה, התנתקות מהמציאות ופגיעה בכושר השיפוט. לעתים מביא הסם בעקבותיו עלייה קיצונית בערנות, אופוריה ופרצי אנרגיה גופנית ונפשית... עם חלוף 24 שעות עד חודשים אחדים ממועד השימוש, המשתמש חש קהות חושים, דיכאון, חרדה, כעס, רגזנות, עוינות ועייפות. שימוש רצוף מותיר במשתמש תופעות של דיכאון והפרעות בזיכרון... התכונות המעוררות של הסם גורמות ללחץ דם גבוה ודפק מהיר, הפרעות בקצב הלב והתכווצויות. בעת השימוש נמצא הלב לעתים במצבי לחץ היכולים לגרום התקף לב. כמו כן נצפו מקרים של שטפי דם במוח. שימוש באקסטזי תוך כדי פעילות גופנית מאומצת, כזו הנעשית במסיבות ריקודים, עלול לגרום עלייה מסוכנת בטמפרטורת הגוף (עד למעלה מ- 43 מעלות צלזיוס). זוהי אחת מהשפעותיו המזיקות של האקסטזי על הגוף, והיא קשורה בהרס מנגנון בקרת הטמפרטורה במוח, שהשימוש באקסטזי מוביל אליו. עליית טמפרטורת הגוף וההתייבשות הנלווית אליה יכולות לגרום סיבוכים שונים במערכת זרימת הדם, השפעה על הלב וכדומה. הביטוי לכך יכול להיות בתחושות כמו עוויתות שרירים ודופק לב מואץ עד אבדן הכרה ומוות... השפעות נוספות: השימוש באקסטזי גורם התרחבות האישונים, ראייה כפולה, הפרשת ריר או יובש בפה, ירידה בתיאבון, נוקשות בלסתות, בחילה, אי יציבות בקרסוליים... השימוש באקסטזי גורם למוח נזק, וזה יכול להיות בלתי הפיך...  השימוש באקסטזי פוגע בנוירונים במוח שמשחררים חומר כימי חשוב לפעולת המוח - סרוטונין, לנוירונים אלו יש תפקיד חשוב וישיר בוויסות התנהגויות שונות, כמו תוקפנות, מצבי רוח, פעילות מינית, שינה, רגישות לכאב... שימוש באקסטזי יכול לגרום גם לפגיעה בכבד, במערכת הכליות ובשרירים". </w:t>
      </w:r>
    </w:p>
    <w:p w14:paraId="58BF94E8" w14:textId="77777777" w:rsidR="00541338" w:rsidRPr="00F2028F" w:rsidRDefault="00541338" w:rsidP="00541338">
      <w:pPr>
        <w:spacing w:line="360" w:lineRule="auto"/>
        <w:ind w:left="720"/>
        <w:jc w:val="both"/>
        <w:rPr>
          <w:rStyle w:val="a5"/>
          <w:b/>
          <w:rtl/>
        </w:rPr>
      </w:pPr>
      <w:r w:rsidRPr="00F2028F">
        <w:rPr>
          <w:rStyle w:val="a5"/>
          <w:b/>
          <w:rtl/>
        </w:rPr>
        <w:t xml:space="preserve">במשתמשים בו - שרבים מהם אנשים נורמטיבים המשולבים בחברה כפרטים פרודוקטיבים, לא מוטבעת סטיגמת עבריינות. הם אינם רואים עצמם כעבריינים וכך גם סביבתם. ממילא, גם המספקים את הסם, אינם נחשבים בעיניהם כעבריינים. </w:t>
      </w:r>
    </w:p>
    <w:p w14:paraId="48C0675D" w14:textId="77777777" w:rsidR="00541338" w:rsidRPr="00F2028F" w:rsidRDefault="00541338" w:rsidP="00541338">
      <w:pPr>
        <w:spacing w:line="360" w:lineRule="auto"/>
        <w:ind w:left="-109" w:hanging="720"/>
        <w:jc w:val="both"/>
        <w:rPr>
          <w:rStyle w:val="a5"/>
          <w:b/>
          <w:rtl/>
        </w:rPr>
      </w:pPr>
    </w:p>
    <w:p w14:paraId="184A47E2" w14:textId="77777777" w:rsidR="00541338" w:rsidRPr="00F2028F" w:rsidRDefault="00541338" w:rsidP="00541338">
      <w:pPr>
        <w:spacing w:line="360" w:lineRule="auto"/>
        <w:ind w:left="656" w:hanging="656"/>
        <w:jc w:val="both"/>
        <w:rPr>
          <w:rtl/>
        </w:rPr>
      </w:pPr>
      <w:r w:rsidRPr="00F2028F">
        <w:rPr>
          <w:rStyle w:val="a5"/>
          <w:b/>
          <w:rtl/>
        </w:rPr>
        <w:t>12.</w:t>
      </w:r>
      <w:r w:rsidRPr="00F2028F">
        <w:rPr>
          <w:rStyle w:val="a5"/>
          <w:b/>
          <w:rtl/>
        </w:rPr>
        <w:tab/>
        <w:t>תכונות החומר והשפעותיו הקשות על המשתמש, מצדיקות לראות בו "סם קשה". ככזה,  יש להוקיע את השימוש בו ואת הספקתו ולהכתים את העוסקים בסחר בו בכתם פלילי, שהביטוי החזק והמרשים ביותר שלו הוא הטלת עונשי מאסר משמעותיים.</w:t>
      </w:r>
    </w:p>
    <w:p w14:paraId="74B46E8F" w14:textId="77777777" w:rsidR="00541338" w:rsidRPr="00F2028F" w:rsidRDefault="00541338" w:rsidP="00541338">
      <w:pPr>
        <w:spacing w:line="360" w:lineRule="auto"/>
        <w:ind w:left="-109" w:hanging="720"/>
        <w:jc w:val="both"/>
        <w:rPr>
          <w:b/>
          <w:rtl/>
        </w:rPr>
      </w:pPr>
    </w:p>
    <w:p w14:paraId="49024C66" w14:textId="77777777" w:rsidR="00541338" w:rsidRPr="00F2028F" w:rsidRDefault="00541338" w:rsidP="00541338">
      <w:pPr>
        <w:spacing w:line="360" w:lineRule="auto"/>
        <w:ind w:left="656" w:hanging="656"/>
        <w:jc w:val="both"/>
        <w:rPr>
          <w:rtl/>
        </w:rPr>
      </w:pPr>
      <w:r w:rsidRPr="00F2028F">
        <w:rPr>
          <w:rtl/>
        </w:rPr>
        <w:t>13.</w:t>
      </w:r>
      <w:r w:rsidRPr="00F2028F">
        <w:rPr>
          <w:rtl/>
        </w:rPr>
        <w:tab/>
        <w:t xml:space="preserve">כמות ה- </w:t>
      </w:r>
      <w:r w:rsidRPr="00F2028F">
        <w:t>MDMA</w:t>
      </w:r>
      <w:r w:rsidRPr="00F2028F">
        <w:rPr>
          <w:rtl/>
        </w:rPr>
        <w:t xml:space="preserve"> שהנאשם החזיק בביתו שלא לצריכה עצמית, איננה מבוטלת, והיא לבדה מצדיקה הטלת מאסר בפועל לתקופה משמעותית. </w:t>
      </w:r>
    </w:p>
    <w:p w14:paraId="7839C6FC" w14:textId="77777777" w:rsidR="00541338" w:rsidRPr="00F2028F" w:rsidRDefault="00541338" w:rsidP="00541338">
      <w:pPr>
        <w:spacing w:line="360" w:lineRule="auto"/>
        <w:ind w:left="656" w:hanging="656"/>
        <w:jc w:val="both"/>
        <w:rPr>
          <w:rtl/>
        </w:rPr>
      </w:pPr>
    </w:p>
    <w:p w14:paraId="5B939AE5" w14:textId="77777777" w:rsidR="00541338" w:rsidRPr="00F2028F" w:rsidRDefault="00541338" w:rsidP="00541338">
      <w:pPr>
        <w:spacing w:line="360" w:lineRule="auto"/>
        <w:ind w:left="656" w:hanging="656"/>
        <w:jc w:val="both"/>
        <w:rPr>
          <w:rtl/>
        </w:rPr>
      </w:pPr>
      <w:r w:rsidRPr="00F2028F">
        <w:rPr>
          <w:rtl/>
        </w:rPr>
        <w:t>14.</w:t>
      </w:r>
      <w:r w:rsidRPr="00F2028F">
        <w:rPr>
          <w:rtl/>
        </w:rPr>
        <w:tab/>
        <w:t xml:space="preserve">כאמור, התביעה מסרה, כי בהתחשב במעשה הנאשם, בתהליך הטיפולי הממושך שהוא עבר ותוצאותיו הטובות, ובהמלצות שירות המבחן, היא הסכימה להסתפק בעתירה – משותפת עם ההגנה – להטיל על הנאשם 6 חודשי מאסר בעבודת שירות, מבחן, ועונשים נלווים. </w:t>
      </w:r>
    </w:p>
    <w:p w14:paraId="48AA2C04" w14:textId="77777777" w:rsidR="00541338" w:rsidRPr="00F2028F" w:rsidRDefault="00541338" w:rsidP="00541338">
      <w:pPr>
        <w:spacing w:line="360" w:lineRule="auto"/>
        <w:ind w:left="656" w:hanging="656"/>
        <w:jc w:val="both"/>
        <w:rPr>
          <w:rtl/>
        </w:rPr>
      </w:pPr>
    </w:p>
    <w:p w14:paraId="436773B7" w14:textId="77777777" w:rsidR="00541338" w:rsidRPr="00F2028F" w:rsidRDefault="00541338" w:rsidP="00541338">
      <w:pPr>
        <w:spacing w:line="360" w:lineRule="auto"/>
        <w:ind w:left="656" w:hanging="656"/>
        <w:jc w:val="both"/>
        <w:rPr>
          <w:rtl/>
        </w:rPr>
      </w:pPr>
      <w:r w:rsidRPr="00F2028F">
        <w:rPr>
          <w:rtl/>
        </w:rPr>
        <w:tab/>
        <w:t xml:space="preserve">לאחר עיון מדוקדק בפרטים ושמיעת טיעוני הצדדים, באתי למסקנה שיש לאמץ את המלצת הצדדים לעונש – </w:t>
      </w:r>
    </w:p>
    <w:p w14:paraId="72CEFA49" w14:textId="77777777" w:rsidR="00541338" w:rsidRPr="00F2028F" w:rsidRDefault="00541338" w:rsidP="00541338">
      <w:pPr>
        <w:spacing w:line="360" w:lineRule="auto"/>
        <w:ind w:left="656"/>
        <w:jc w:val="both"/>
        <w:rPr>
          <w:rtl/>
        </w:rPr>
      </w:pPr>
      <w:r w:rsidRPr="00F2028F">
        <w:rPr>
          <w:rtl/>
        </w:rPr>
        <w:t xml:space="preserve">בכתב האישום המתוקן שבעובדותיו הודה הנאשם, צוין, כי חלק משמעותי מה – </w:t>
      </w:r>
      <w:r w:rsidRPr="00F2028F">
        <w:t>MDMA</w:t>
      </w:r>
      <w:r w:rsidRPr="00F2028F">
        <w:rPr>
          <w:rtl/>
        </w:rPr>
        <w:t xml:space="preserve"> הוחזק על ידי הנאשם לצריכתו העצמית. בנוסף, מההסבר שמסר הנאשם לשירות המבחן עולה כי יש קשר בין השימוש שלו בסם לבין החזקת הסם. הנאשם השתתף בתכנית טיפולית משמעותית בנושא ההתמכרות לסמים וסיים אותה בהצלחה יתרה. מדיווח גורמי הטיפול עולה, כי הוא עבר שינוי אמיתי ומשמעותי בחייו והפנים תובנות בכל הקשור לשימוש בסמים, וכי כל בדיקות השתן שמסר לאורך התקופה היו נקיות משרידי סם. </w:t>
      </w:r>
    </w:p>
    <w:p w14:paraId="0964B550" w14:textId="77777777" w:rsidR="00541338" w:rsidRPr="00F2028F" w:rsidRDefault="00541338" w:rsidP="00541338">
      <w:pPr>
        <w:spacing w:line="360" w:lineRule="auto"/>
        <w:ind w:left="656"/>
        <w:jc w:val="both"/>
        <w:rPr>
          <w:rtl/>
        </w:rPr>
      </w:pPr>
      <w:r w:rsidRPr="00F2028F">
        <w:rPr>
          <w:rtl/>
        </w:rPr>
        <w:t xml:space="preserve">בהינתן הקשר הנראה בין השימוש של הנאשם בסם לבין החזקת הסמים על ידו, הרי שהשינוי שחל בתפיסות הנאשם ובהתנהלותו בנושא השימוש בסם, נוגע למרכיב מהותי הקשור לביצוע העבירה, שתיקונו נותן תקוה להימנעות הנאשם בעתיד מביצוע עבירות סמים.   </w:t>
      </w:r>
    </w:p>
    <w:p w14:paraId="778C7C06" w14:textId="77777777" w:rsidR="00541338" w:rsidRPr="00F2028F" w:rsidRDefault="00541338" w:rsidP="00541338">
      <w:pPr>
        <w:spacing w:line="360" w:lineRule="auto"/>
        <w:ind w:left="656"/>
        <w:jc w:val="both"/>
        <w:rPr>
          <w:rtl/>
        </w:rPr>
      </w:pPr>
    </w:p>
    <w:p w14:paraId="637EFAB2" w14:textId="77777777" w:rsidR="00541338" w:rsidRPr="00F2028F" w:rsidRDefault="00541338" w:rsidP="00541338">
      <w:pPr>
        <w:spacing w:line="360" w:lineRule="auto"/>
        <w:ind w:left="656"/>
        <w:jc w:val="both"/>
        <w:rPr>
          <w:rtl/>
        </w:rPr>
      </w:pPr>
      <w:r w:rsidRPr="00F2028F">
        <w:rPr>
          <w:rtl/>
        </w:rPr>
        <w:t xml:space="preserve">לאלה יש להוסיף את עברו הנקי של הנאשם, את התרשמות שירות המבחן שאין לנאשם מערכת ערכים או נורמות עברייניות מופנמות, ואת העובדה שהוא עובד באופן סדיר במשך שנים לשביעות רצון מעבידו. </w:t>
      </w:r>
    </w:p>
    <w:p w14:paraId="19647D12" w14:textId="77777777" w:rsidR="00541338" w:rsidRPr="00F2028F" w:rsidRDefault="00541338" w:rsidP="00541338">
      <w:pPr>
        <w:spacing w:line="360" w:lineRule="auto"/>
        <w:ind w:left="656"/>
        <w:jc w:val="both"/>
        <w:rPr>
          <w:rtl/>
        </w:rPr>
      </w:pPr>
    </w:p>
    <w:p w14:paraId="3F1EDF6D" w14:textId="77777777" w:rsidR="00541338" w:rsidRPr="00F2028F" w:rsidRDefault="00541338" w:rsidP="00541338">
      <w:pPr>
        <w:spacing w:line="360" w:lineRule="auto"/>
        <w:ind w:left="656"/>
        <w:jc w:val="both"/>
        <w:rPr>
          <w:rtl/>
        </w:rPr>
      </w:pPr>
      <w:r w:rsidRPr="00F2028F">
        <w:rPr>
          <w:rtl/>
        </w:rPr>
        <w:t xml:space="preserve">מכלול הנתונים האמורים מבסס את ההנחה שיש סיכוי של ממש שהנאשם ישתקם ומצדיק לחרוג לקולא מהעונש הראוי לנאשם על מעשהו ולקבוע את עונשו של הנאשם לפי שיקולי שיקומו.   </w:t>
      </w:r>
    </w:p>
    <w:p w14:paraId="1E6E21CE" w14:textId="77777777" w:rsidR="00541338" w:rsidRPr="00F2028F" w:rsidRDefault="00541338" w:rsidP="00541338">
      <w:pPr>
        <w:spacing w:line="360" w:lineRule="auto"/>
        <w:ind w:left="656" w:hanging="656"/>
        <w:jc w:val="both"/>
        <w:rPr>
          <w:rtl/>
        </w:rPr>
      </w:pPr>
    </w:p>
    <w:p w14:paraId="0213A113" w14:textId="77777777" w:rsidR="00541338" w:rsidRDefault="00541338" w:rsidP="00541338">
      <w:pPr>
        <w:spacing w:line="360" w:lineRule="auto"/>
        <w:ind w:left="656" w:hanging="656"/>
        <w:jc w:val="both"/>
        <w:rPr>
          <w:rtl/>
        </w:rPr>
      </w:pPr>
      <w:r w:rsidRPr="00F2028F">
        <w:rPr>
          <w:rtl/>
        </w:rPr>
        <w:t>15.</w:t>
      </w:r>
      <w:r w:rsidRPr="00F2028F">
        <w:rPr>
          <w:rtl/>
        </w:rPr>
        <w:tab/>
        <w:t>נוכח כל האמור, אני דן את הנאשם לעונשים הבאים:</w:t>
      </w:r>
    </w:p>
    <w:p w14:paraId="46170316" w14:textId="77777777" w:rsidR="00541338" w:rsidRPr="00F2028F" w:rsidRDefault="00541338" w:rsidP="00541338">
      <w:pPr>
        <w:spacing w:line="360" w:lineRule="auto"/>
        <w:ind w:left="656" w:hanging="656"/>
        <w:jc w:val="both"/>
        <w:rPr>
          <w:rtl/>
        </w:rPr>
      </w:pPr>
    </w:p>
    <w:p w14:paraId="7BDE2AC6" w14:textId="77777777" w:rsidR="00541338" w:rsidRPr="00F2028F" w:rsidRDefault="00541338" w:rsidP="00541338">
      <w:pPr>
        <w:spacing w:line="360" w:lineRule="auto"/>
        <w:ind w:left="1440" w:hanging="720"/>
        <w:jc w:val="both"/>
        <w:rPr>
          <w:rtl/>
        </w:rPr>
      </w:pPr>
      <w:r w:rsidRPr="00F2028F">
        <w:rPr>
          <w:rtl/>
        </w:rPr>
        <w:t>א.</w:t>
      </w:r>
      <w:r w:rsidRPr="00F2028F">
        <w:rPr>
          <w:rtl/>
        </w:rPr>
        <w:tab/>
        <w:t xml:space="preserve">6 חודשי מאסר בפועל. </w:t>
      </w:r>
    </w:p>
    <w:p w14:paraId="151BDF39" w14:textId="77777777" w:rsidR="00541338" w:rsidRPr="00F2028F" w:rsidRDefault="00541338" w:rsidP="00541338">
      <w:pPr>
        <w:spacing w:line="360" w:lineRule="auto"/>
        <w:ind w:left="1440"/>
        <w:jc w:val="both"/>
        <w:rPr>
          <w:rFonts w:ascii="Calibri" w:hAnsi="Calibri"/>
          <w:color w:val="000000"/>
          <w:rtl/>
        </w:rPr>
      </w:pPr>
      <w:r w:rsidRPr="00F2028F">
        <w:rPr>
          <w:rtl/>
        </w:rPr>
        <w:t>הנאשם ישא את המאסר בעבודת שירות. על הנאשם להתייצב להתחלת עבודת השירות שלו ביום 18.4.17 בשעה 09:00, או במועד אחר שייקבע על ידי הממונה על עבודות השירות, במשרדי הממונה על עבודות השירות במפקדת מחוז דרום שליד כלא באר – שבע.</w:t>
      </w:r>
    </w:p>
    <w:p w14:paraId="694F59C2" w14:textId="77777777" w:rsidR="00541338" w:rsidRPr="00F2028F" w:rsidRDefault="00541338" w:rsidP="00541338">
      <w:pPr>
        <w:spacing w:line="480" w:lineRule="auto"/>
        <w:ind w:left="1440" w:hanging="720"/>
        <w:jc w:val="both"/>
        <w:rPr>
          <w:rtl/>
        </w:rPr>
      </w:pPr>
      <w:r w:rsidRPr="00F2028F">
        <w:rPr>
          <w:rtl/>
        </w:rPr>
        <w:t>ב.</w:t>
      </w:r>
      <w:r w:rsidRPr="00F2028F">
        <w:rPr>
          <w:rtl/>
        </w:rPr>
        <w:tab/>
        <w:t>מבחן למשך שנה, במסגרתו ימשיך הנאשם בהשתתפותו בתהליך טיפול פרטני מעקבי וימסור בדיקות שתן כנדרש.</w:t>
      </w:r>
    </w:p>
    <w:p w14:paraId="24334F54" w14:textId="77777777" w:rsidR="00541338" w:rsidRPr="00F2028F" w:rsidRDefault="00541338" w:rsidP="00541338">
      <w:pPr>
        <w:spacing w:line="480" w:lineRule="auto"/>
        <w:ind w:left="1440" w:hanging="720"/>
        <w:jc w:val="both"/>
        <w:rPr>
          <w:rtl/>
        </w:rPr>
      </w:pPr>
      <w:r w:rsidRPr="00F2028F">
        <w:rPr>
          <w:rtl/>
        </w:rPr>
        <w:t>ג.</w:t>
      </w:r>
      <w:r w:rsidRPr="00F2028F">
        <w:rPr>
          <w:rtl/>
        </w:rPr>
        <w:tab/>
        <w:t xml:space="preserve">12 חודשי מאסר על תנאי למשך שלוש שנים מיום שחרורו מהמאסר, שלא יעבור עבירת סמים שהיא פשע. </w:t>
      </w:r>
    </w:p>
    <w:p w14:paraId="5F7719E9" w14:textId="77777777" w:rsidR="00541338" w:rsidRPr="00F2028F" w:rsidRDefault="00541338" w:rsidP="00541338">
      <w:pPr>
        <w:spacing w:line="480" w:lineRule="auto"/>
        <w:ind w:left="1440" w:hanging="720"/>
        <w:jc w:val="both"/>
        <w:rPr>
          <w:rtl/>
        </w:rPr>
      </w:pPr>
      <w:r w:rsidRPr="00F2028F">
        <w:rPr>
          <w:rtl/>
        </w:rPr>
        <w:t>ד.</w:t>
      </w:r>
      <w:r w:rsidRPr="00F2028F">
        <w:rPr>
          <w:rtl/>
        </w:rPr>
        <w:tab/>
        <w:t xml:space="preserve">קנס בסך 10,000 ₪ או חודש מאסר תחתיו. הקנס ישולם מכספי הפיקדון שהפקיד הנאשם במסגרת תיק </w:t>
      </w:r>
      <w:hyperlink r:id="rId13" w:history="1">
        <w:r w:rsidR="007A55A4" w:rsidRPr="007A55A4">
          <w:rPr>
            <w:rStyle w:val="Hyperlink"/>
            <w:rtl/>
          </w:rPr>
          <w:t>מ"ת 2492-09-15</w:t>
        </w:r>
      </w:hyperlink>
      <w:r w:rsidRPr="00F2028F">
        <w:rPr>
          <w:rtl/>
        </w:rPr>
        <w:t>. אם תישאר יתרה, היא תוחזר לנאשם.</w:t>
      </w:r>
    </w:p>
    <w:p w14:paraId="7729FC06" w14:textId="77777777" w:rsidR="00541338" w:rsidRPr="00F2028F" w:rsidRDefault="00541338" w:rsidP="00541338">
      <w:pPr>
        <w:spacing w:line="480" w:lineRule="auto"/>
        <w:ind w:left="1440" w:hanging="720"/>
        <w:jc w:val="both"/>
        <w:rPr>
          <w:rtl/>
        </w:rPr>
      </w:pPr>
      <w:r w:rsidRPr="00F2028F">
        <w:rPr>
          <w:rtl/>
        </w:rPr>
        <w:t>ה.</w:t>
      </w:r>
      <w:r w:rsidRPr="00F2028F">
        <w:rPr>
          <w:rtl/>
        </w:rPr>
        <w:tab/>
        <w:t xml:space="preserve">9 חודשי פסילה על תנאי מלקבל או להחזיק רישיון נהיגה, למשך שנתיים מהיום. </w:t>
      </w:r>
    </w:p>
    <w:p w14:paraId="20B6601A" w14:textId="77777777" w:rsidR="00541338" w:rsidRDefault="00541338" w:rsidP="00541338">
      <w:pPr>
        <w:spacing w:line="480" w:lineRule="auto"/>
        <w:jc w:val="both"/>
        <w:rPr>
          <w:rtl/>
        </w:rPr>
      </w:pPr>
    </w:p>
    <w:p w14:paraId="0F918AE8" w14:textId="77777777" w:rsidR="00541338" w:rsidRDefault="007A55A4" w:rsidP="00541338">
      <w:pPr>
        <w:spacing w:line="480" w:lineRule="auto"/>
        <w:jc w:val="both"/>
        <w:rPr>
          <w:rFonts w:ascii="Arial" w:hAnsi="Arial"/>
          <w:rtl/>
        </w:rPr>
      </w:pPr>
      <w:r w:rsidRPr="007A55A4">
        <w:rPr>
          <w:color w:val="FFFFFF"/>
          <w:sz w:val="2"/>
          <w:szCs w:val="2"/>
          <w:rtl/>
        </w:rPr>
        <w:t>5129371</w:t>
      </w:r>
      <w:r w:rsidR="00541338" w:rsidRPr="00F2028F">
        <w:rPr>
          <w:rtl/>
        </w:rPr>
        <w:t>זכות ערעור בתוך 45 יום מהיום.</w:t>
      </w:r>
    </w:p>
    <w:p w14:paraId="5D8AA85E" w14:textId="77777777" w:rsidR="00541338" w:rsidRPr="007A55A4" w:rsidRDefault="007A55A4" w:rsidP="00541338">
      <w:pPr>
        <w:spacing w:line="480" w:lineRule="auto"/>
        <w:jc w:val="both"/>
        <w:rPr>
          <w:rFonts w:ascii="Arial" w:hAnsi="Arial"/>
          <w:color w:val="FFFFFF"/>
          <w:sz w:val="2"/>
          <w:szCs w:val="2"/>
          <w:rtl/>
        </w:rPr>
      </w:pPr>
      <w:r w:rsidRPr="007A55A4">
        <w:rPr>
          <w:rFonts w:ascii="Arial" w:hAnsi="Arial"/>
          <w:color w:val="FFFFFF"/>
          <w:sz w:val="2"/>
          <w:szCs w:val="2"/>
          <w:rtl/>
        </w:rPr>
        <w:t>54678313</w:t>
      </w:r>
    </w:p>
    <w:p w14:paraId="2B69FFEE" w14:textId="77777777" w:rsidR="00541338" w:rsidRPr="00F2028F" w:rsidRDefault="007A55A4" w:rsidP="00541338">
      <w:pPr>
        <w:jc w:val="both"/>
      </w:pPr>
      <w:r>
        <w:rPr>
          <w:rFonts w:ascii="Arial" w:hAnsi="Arial"/>
          <w:rtl/>
        </w:rPr>
        <w:t xml:space="preserve">ניתן היום,  י"ז אדר תשע"ז, 15 מרץ 2017, בהעדר הצדדים. </w:t>
      </w:r>
      <w:r w:rsidR="00541338" w:rsidRPr="00F2028F">
        <w:rPr>
          <w:rFonts w:hint="cs"/>
          <w:rtl/>
        </w:rPr>
        <w:t xml:space="preserve">   </w:t>
      </w:r>
      <w:r w:rsidR="00541338" w:rsidRPr="00F2028F">
        <w:rPr>
          <w:rFonts w:hint="cs"/>
          <w:rtl/>
        </w:rPr>
        <w:tab/>
      </w:r>
      <w:r w:rsidR="00541338" w:rsidRPr="00F2028F">
        <w:rPr>
          <w:rFonts w:hint="cs"/>
          <w:rtl/>
        </w:rPr>
        <w:tab/>
      </w:r>
      <w:r w:rsidR="00541338" w:rsidRPr="00F2028F">
        <w:rPr>
          <w:rFonts w:hint="cs"/>
          <w:rtl/>
        </w:rPr>
        <w:tab/>
      </w:r>
      <w:r w:rsidR="00541338" w:rsidRPr="00F2028F">
        <w:rPr>
          <w:rFonts w:hint="cs"/>
          <w:rtl/>
        </w:rPr>
        <w:tab/>
      </w:r>
      <w:r w:rsidR="00541338" w:rsidRPr="00F2028F">
        <w:rPr>
          <w:rFonts w:hint="cs"/>
          <w:rtl/>
        </w:rPr>
        <w:tab/>
      </w:r>
    </w:p>
    <w:p w14:paraId="1C8C28E0" w14:textId="77777777" w:rsidR="00541338" w:rsidRPr="00F2028F" w:rsidRDefault="00541338" w:rsidP="00541338">
      <w:pPr>
        <w:jc w:val="both"/>
        <w:rPr>
          <w:rFonts w:ascii="Arial" w:hAnsi="Arial"/>
          <w:rtl/>
        </w:rPr>
      </w:pPr>
    </w:p>
    <w:p w14:paraId="4808E3EE" w14:textId="77777777" w:rsidR="00541338" w:rsidRPr="00F2028F" w:rsidRDefault="00541338" w:rsidP="00541338">
      <w:pPr>
        <w:jc w:val="both"/>
        <w:rPr>
          <w:rtl/>
        </w:rPr>
      </w:pPr>
    </w:p>
    <w:p w14:paraId="181CF10A" w14:textId="77777777" w:rsidR="00541338" w:rsidRPr="00F2028F" w:rsidRDefault="00541338" w:rsidP="00541338">
      <w:pPr>
        <w:pStyle w:val="a3"/>
        <w:jc w:val="both"/>
        <w:rPr>
          <w:rtl/>
        </w:rPr>
      </w:pPr>
    </w:p>
    <w:p w14:paraId="2957BC5D" w14:textId="77777777" w:rsidR="007A55A4" w:rsidRPr="007A55A4" w:rsidRDefault="007A55A4" w:rsidP="007A55A4">
      <w:pPr>
        <w:keepNext/>
        <w:rPr>
          <w:rFonts w:ascii="David" w:hAnsi="David"/>
          <w:color w:val="000000"/>
          <w:sz w:val="22"/>
          <w:szCs w:val="22"/>
          <w:rtl/>
        </w:rPr>
      </w:pPr>
    </w:p>
    <w:p w14:paraId="25E20A50" w14:textId="77777777" w:rsidR="007A55A4" w:rsidRPr="007A55A4" w:rsidRDefault="007A55A4" w:rsidP="007A55A4">
      <w:pPr>
        <w:keepNext/>
        <w:rPr>
          <w:rFonts w:ascii="David" w:hAnsi="David"/>
          <w:color w:val="000000"/>
          <w:sz w:val="22"/>
          <w:szCs w:val="22"/>
          <w:rtl/>
        </w:rPr>
      </w:pPr>
      <w:r w:rsidRPr="007A55A4">
        <w:rPr>
          <w:rFonts w:ascii="David" w:hAnsi="David"/>
          <w:color w:val="000000"/>
          <w:sz w:val="22"/>
          <w:szCs w:val="22"/>
          <w:rtl/>
        </w:rPr>
        <w:t>אליהו ביתן 54678313</w:t>
      </w:r>
    </w:p>
    <w:p w14:paraId="6BB26053" w14:textId="77777777" w:rsidR="007A55A4" w:rsidRDefault="007A55A4" w:rsidP="007A55A4">
      <w:pPr>
        <w:rPr>
          <w:color w:val="000000"/>
          <w:rtl/>
        </w:rPr>
      </w:pPr>
      <w:r w:rsidRPr="007A55A4">
        <w:rPr>
          <w:color w:val="000000"/>
          <w:rtl/>
        </w:rPr>
        <w:t>נוסח מסמך זה כפוף לשינויי ניסוח ועריכה</w:t>
      </w:r>
    </w:p>
    <w:p w14:paraId="35263202" w14:textId="77777777" w:rsidR="007A55A4" w:rsidRDefault="007A55A4" w:rsidP="007A55A4">
      <w:pPr>
        <w:rPr>
          <w:rtl/>
        </w:rPr>
      </w:pPr>
    </w:p>
    <w:p w14:paraId="15595943" w14:textId="77777777" w:rsidR="007A55A4" w:rsidRDefault="007A55A4" w:rsidP="007A55A4">
      <w:pPr>
        <w:jc w:val="center"/>
        <w:rPr>
          <w:color w:val="0000FF"/>
          <w:u w:val="single"/>
          <w:rtl/>
        </w:rPr>
      </w:pPr>
      <w:hyperlink r:id="rId14" w:history="1">
        <w:r>
          <w:rPr>
            <w:rStyle w:val="Hyperlink"/>
            <w:rtl/>
          </w:rPr>
          <w:t>בעניין עריכה ושינויים במסמכי פסיקה, חקיקה ועוד באתר נבו – הקש כאן</w:t>
        </w:r>
      </w:hyperlink>
      <w:r w:rsidR="006F7C58">
        <w:rPr>
          <w:rFonts w:hint="cs"/>
          <w:color w:val="0000FF"/>
          <w:u w:val="single"/>
          <w:rtl/>
        </w:rPr>
        <w:t xml:space="preserve"> </w:t>
      </w:r>
    </w:p>
    <w:p w14:paraId="1FC20D59" w14:textId="77777777" w:rsidR="00782CAD" w:rsidRPr="007A55A4" w:rsidRDefault="00782CAD" w:rsidP="007A55A4">
      <w:pPr>
        <w:jc w:val="center"/>
        <w:rPr>
          <w:color w:val="0000FF"/>
          <w:u w:val="single"/>
        </w:rPr>
      </w:pPr>
    </w:p>
    <w:sectPr w:rsidR="00782CAD" w:rsidRPr="007A55A4" w:rsidSect="007A55A4">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0A320" w14:textId="77777777" w:rsidR="007B767A" w:rsidRDefault="007B767A">
      <w:r>
        <w:separator/>
      </w:r>
    </w:p>
  </w:endnote>
  <w:endnote w:type="continuationSeparator" w:id="0">
    <w:p w14:paraId="14C2CAC6" w14:textId="77777777" w:rsidR="007B767A" w:rsidRDefault="007B7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D2D63" w14:textId="77777777" w:rsidR="007528E5" w:rsidRDefault="007528E5" w:rsidP="007A55A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330A9B" w14:textId="77777777" w:rsidR="007528E5" w:rsidRPr="007A55A4" w:rsidRDefault="007528E5" w:rsidP="007A55A4">
    <w:pPr>
      <w:pStyle w:val="a4"/>
      <w:pBdr>
        <w:top w:val="single" w:sz="4" w:space="1" w:color="auto"/>
        <w:between w:val="single" w:sz="4" w:space="0" w:color="auto"/>
      </w:pBdr>
      <w:spacing w:after="60"/>
      <w:jc w:val="center"/>
      <w:rPr>
        <w:rFonts w:ascii="FrankRuehl" w:hAnsi="FrankRuehl" w:cs="FrankRuehl"/>
        <w:color w:val="000000"/>
      </w:rPr>
    </w:pPr>
    <w:r w:rsidRPr="007A55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279FE" w14:textId="77777777" w:rsidR="007528E5" w:rsidRDefault="007528E5" w:rsidP="007A55A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1C73">
      <w:rPr>
        <w:rFonts w:ascii="FrankRuehl" w:hAnsi="FrankRuehl" w:cs="FrankRuehl"/>
        <w:noProof/>
        <w:rtl/>
      </w:rPr>
      <w:t>1</w:t>
    </w:r>
    <w:r>
      <w:rPr>
        <w:rFonts w:ascii="FrankRuehl" w:hAnsi="FrankRuehl" w:cs="FrankRuehl"/>
        <w:rtl/>
      </w:rPr>
      <w:fldChar w:fldCharType="end"/>
    </w:r>
  </w:p>
  <w:p w14:paraId="0EFEDC7E" w14:textId="77777777" w:rsidR="007528E5" w:rsidRPr="007A55A4" w:rsidRDefault="007528E5" w:rsidP="007A55A4">
    <w:pPr>
      <w:pStyle w:val="a4"/>
      <w:pBdr>
        <w:top w:val="single" w:sz="4" w:space="1" w:color="auto"/>
        <w:between w:val="single" w:sz="4" w:space="0" w:color="auto"/>
      </w:pBdr>
      <w:spacing w:after="60"/>
      <w:jc w:val="center"/>
      <w:rPr>
        <w:rFonts w:ascii="FrankRuehl" w:hAnsi="FrankRuehl" w:cs="FrankRuehl"/>
        <w:color w:val="000000"/>
      </w:rPr>
    </w:pPr>
    <w:r w:rsidRPr="007A55A4">
      <w:rPr>
        <w:rFonts w:ascii="FrankRuehl" w:hAnsi="FrankRuehl" w:cs="FrankRuehl"/>
        <w:color w:val="000000"/>
      </w:rPr>
      <w:pict w14:anchorId="0CEE4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46DF4" w14:textId="77777777" w:rsidR="007B767A" w:rsidRDefault="007B767A">
      <w:r>
        <w:separator/>
      </w:r>
    </w:p>
  </w:footnote>
  <w:footnote w:type="continuationSeparator" w:id="0">
    <w:p w14:paraId="1A1A5865" w14:textId="77777777" w:rsidR="007B767A" w:rsidRDefault="007B7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22A55" w14:textId="77777777" w:rsidR="007528E5" w:rsidRPr="007A55A4" w:rsidRDefault="007528E5" w:rsidP="007A55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2497-09-15</w:t>
    </w:r>
    <w:r>
      <w:rPr>
        <w:rFonts w:ascii="David" w:hAnsi="David"/>
        <w:color w:val="000000"/>
        <w:sz w:val="22"/>
        <w:szCs w:val="22"/>
        <w:rtl/>
      </w:rPr>
      <w:tab/>
      <w:t xml:space="preserve"> מדינת ישראל נ' אלי אליהו אמסלם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68B98" w14:textId="77777777" w:rsidR="007528E5" w:rsidRPr="007A55A4" w:rsidRDefault="007528E5" w:rsidP="007A55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2497-09-15</w:t>
    </w:r>
    <w:r>
      <w:rPr>
        <w:rFonts w:ascii="David" w:hAnsi="David"/>
        <w:color w:val="000000"/>
        <w:sz w:val="22"/>
        <w:szCs w:val="22"/>
        <w:rtl/>
      </w:rPr>
      <w:tab/>
      <w:t xml:space="preserve"> מדינת ישראל נ' אלי אליהו אמסלם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1338"/>
    <w:rsid w:val="00046BFC"/>
    <w:rsid w:val="000F4D30"/>
    <w:rsid w:val="00342FA3"/>
    <w:rsid w:val="005108F0"/>
    <w:rsid w:val="00531C73"/>
    <w:rsid w:val="00541338"/>
    <w:rsid w:val="005D4F7A"/>
    <w:rsid w:val="006F7C58"/>
    <w:rsid w:val="007528E5"/>
    <w:rsid w:val="00782CAD"/>
    <w:rsid w:val="007A55A4"/>
    <w:rsid w:val="007B767A"/>
    <w:rsid w:val="0091237F"/>
    <w:rsid w:val="00C94AEB"/>
    <w:rsid w:val="00F22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E4A921"/>
  <w15:chartTrackingRefBased/>
  <w15:docId w15:val="{C30BFDC5-DFEF-479C-9A36-32A2CE31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1338"/>
    <w:pPr>
      <w:bidi/>
    </w:pPr>
    <w:rPr>
      <w:rFonts w:cs="David"/>
      <w:sz w:val="24"/>
      <w:szCs w:val="24"/>
    </w:rPr>
  </w:style>
  <w:style w:type="paragraph" w:styleId="7">
    <w:name w:val="heading 7"/>
    <w:basedOn w:val="a"/>
    <w:next w:val="a"/>
    <w:link w:val="70"/>
    <w:qFormat/>
    <w:rsid w:val="00541338"/>
    <w:pPr>
      <w:keepNext/>
      <w:keepLines/>
      <w:spacing w:before="40"/>
      <w:outlineLvl w:val="6"/>
    </w:pPr>
    <w:rPr>
      <w:rFonts w:ascii="Cambria" w:hAnsi="Cambria" w:cs="Times New Roman"/>
      <w:i/>
      <w:iCs/>
      <w:color w:val="243F6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41338"/>
    <w:pPr>
      <w:tabs>
        <w:tab w:val="center" w:pos="4153"/>
        <w:tab w:val="right" w:pos="8306"/>
      </w:tabs>
    </w:pPr>
  </w:style>
  <w:style w:type="paragraph" w:styleId="a4">
    <w:name w:val="footer"/>
    <w:basedOn w:val="a"/>
    <w:rsid w:val="00541338"/>
    <w:pPr>
      <w:tabs>
        <w:tab w:val="center" w:pos="4153"/>
        <w:tab w:val="right" w:pos="8306"/>
      </w:tabs>
    </w:pPr>
  </w:style>
  <w:style w:type="character" w:styleId="a5">
    <w:name w:val="page number"/>
    <w:basedOn w:val="a0"/>
    <w:rsid w:val="00541338"/>
  </w:style>
  <w:style w:type="character" w:customStyle="1" w:styleId="70">
    <w:name w:val="כותרת 7 תו"/>
    <w:link w:val="7"/>
    <w:rsid w:val="00541338"/>
    <w:rPr>
      <w:rFonts w:ascii="Cambria" w:hAnsi="Cambria"/>
      <w:i/>
      <w:iCs/>
      <w:color w:val="243F60"/>
      <w:sz w:val="24"/>
      <w:szCs w:val="24"/>
      <w:lang w:val="en-US" w:eastAsia="en-US" w:bidi="he-IL"/>
    </w:rPr>
  </w:style>
  <w:style w:type="paragraph" w:styleId="NormalWeb">
    <w:name w:val="Normal (Web)"/>
    <w:basedOn w:val="a"/>
    <w:rsid w:val="00541338"/>
    <w:pPr>
      <w:bidi w:val="0"/>
      <w:spacing w:before="100" w:beforeAutospacing="1" w:after="100" w:afterAutospacing="1"/>
    </w:pPr>
    <w:rPr>
      <w:rFonts w:cs="Times New Roman"/>
    </w:rPr>
  </w:style>
  <w:style w:type="character" w:styleId="Hyperlink">
    <w:name w:val="Hyperlink"/>
    <w:rsid w:val="007A5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20545889"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20545889"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1433</Words>
  <Characters>7166</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8582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3801208</vt:i4>
      </vt:variant>
      <vt:variant>
        <vt:i4>21</vt:i4>
      </vt:variant>
      <vt:variant>
        <vt:i4>0</vt:i4>
      </vt:variant>
      <vt:variant>
        <vt:i4>5</vt:i4>
      </vt:variant>
      <vt:variant>
        <vt:lpwstr>http://www.nevo.co.il/case/20545889</vt:lpwstr>
      </vt:variant>
      <vt:variant>
        <vt:lpwstr/>
      </vt:variant>
      <vt:variant>
        <vt:i4>3801208</vt:i4>
      </vt:variant>
      <vt:variant>
        <vt:i4>18</vt:i4>
      </vt:variant>
      <vt:variant>
        <vt:i4>0</vt:i4>
      </vt:variant>
      <vt:variant>
        <vt:i4>5</vt:i4>
      </vt:variant>
      <vt:variant>
        <vt:lpwstr>http://www.nevo.co.il/case/20545889</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2025-04-22T20:40:00Z</dcterms:created>
  <dcterms:modified xsi:type="dcterms:W3CDTF">2025-04-22T20:40:00Z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2497</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אלי אליהו אמסלם</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20170315</vt:lpwstr>
  </property>
  <property fmtid="{D5CDD505-2E9C-101B-9397-08002B2CF9AE}" pid="13" name="TYPE_N_DATE">
    <vt:lpwstr>39020170315</vt:lpwstr>
  </property>
  <property fmtid="{D5CDD505-2E9C-101B-9397-08002B2CF9AE}" pid="14" name="CASESLISTTMP1">
    <vt:lpwstr>20545889:2</vt:lpwstr>
  </property>
  <property fmtid="{D5CDD505-2E9C-101B-9397-08002B2CF9AE}" pid="15" name="WORDNUMPAGES">
    <vt:lpwstr>5</vt:lpwstr>
  </property>
  <property fmtid="{D5CDD505-2E9C-101B-9397-08002B2CF9AE}" pid="16" name="TYPE_ABS_DATE">
    <vt:lpwstr>390020170315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4216/007.a:2;007.c:2</vt:lpwstr>
  </property>
</Properties>
</file>