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B32950" w:rsidRPr="007F0B26" w14:paraId="7665CA30" w14:textId="77777777">
        <w:trPr>
          <w:trHeight w:hRule="exact" w:val="418"/>
          <w:jc w:val="center"/>
        </w:trPr>
        <w:tc>
          <w:tcPr>
            <w:tcW w:w="8721" w:type="dxa"/>
            <w:gridSpan w:val="2"/>
          </w:tcPr>
          <w:p w14:paraId="03267BBE" w14:textId="77777777" w:rsidR="00B32950" w:rsidRPr="007F0B26" w:rsidRDefault="00B32950" w:rsidP="007F0B26">
            <w:pPr>
              <w:pStyle w:val="a3"/>
              <w:jc w:val="center"/>
              <w:rPr>
                <w:rFonts w:ascii="Tahoma" w:hAnsi="Tahoma" w:cs="Tahoma"/>
                <w:color w:val="000080"/>
                <w:rtl/>
              </w:rPr>
            </w:pPr>
            <w:bookmarkStart w:id="0" w:name="FirstLawyer"/>
            <w:bookmarkStart w:id="1" w:name="LastJudge"/>
            <w:r w:rsidRPr="007F0B26">
              <w:rPr>
                <w:rFonts w:ascii="Tahoma" w:hAnsi="Tahoma" w:cs="Tahoma"/>
                <w:b/>
                <w:bCs/>
                <w:color w:val="000080"/>
                <w:rtl/>
              </w:rPr>
              <w:t>בית המשפט המחוזי בבאר שבע</w:t>
            </w:r>
          </w:p>
        </w:tc>
      </w:tr>
      <w:tr w:rsidR="00B32950" w:rsidRPr="007F0B26" w14:paraId="1817F95E" w14:textId="77777777">
        <w:trPr>
          <w:trHeight w:val="337"/>
          <w:jc w:val="center"/>
        </w:trPr>
        <w:tc>
          <w:tcPr>
            <w:tcW w:w="5047" w:type="dxa"/>
          </w:tcPr>
          <w:p w14:paraId="3A0A8D0D" w14:textId="77777777" w:rsidR="00B32950" w:rsidRPr="007F0B26" w:rsidRDefault="00B32950" w:rsidP="007F0B26">
            <w:pPr>
              <w:rPr>
                <w:b/>
                <w:bCs/>
                <w:sz w:val="28"/>
                <w:szCs w:val="28"/>
                <w:rtl/>
              </w:rPr>
            </w:pPr>
            <w:r w:rsidRPr="007F0B26">
              <w:rPr>
                <w:rFonts w:hint="cs"/>
                <w:b/>
                <w:bCs/>
                <w:sz w:val="28"/>
                <w:szCs w:val="28"/>
                <w:rtl/>
              </w:rPr>
              <w:t>בפני כב' השופט אליהו ביתן</w:t>
            </w:r>
          </w:p>
          <w:p w14:paraId="41D1EEA2" w14:textId="77777777" w:rsidR="00B32950" w:rsidRPr="007F0B26" w:rsidRDefault="00B32950" w:rsidP="007F0B26">
            <w:pPr>
              <w:pStyle w:val="a3"/>
              <w:rPr>
                <w:rFonts w:cs="FrankRuehl"/>
                <w:sz w:val="28"/>
                <w:szCs w:val="28"/>
                <w:rtl/>
              </w:rPr>
            </w:pPr>
          </w:p>
        </w:tc>
        <w:tc>
          <w:tcPr>
            <w:tcW w:w="3674" w:type="dxa"/>
          </w:tcPr>
          <w:p w14:paraId="2DBC9E8F" w14:textId="77777777" w:rsidR="00B32950" w:rsidRPr="007F0B26" w:rsidRDefault="00B32950" w:rsidP="007F0B26">
            <w:pPr>
              <w:pStyle w:val="a3"/>
              <w:spacing w:line="360" w:lineRule="auto"/>
              <w:jc w:val="right"/>
              <w:rPr>
                <w:b/>
                <w:bCs/>
                <w:rtl/>
              </w:rPr>
            </w:pPr>
            <w:r w:rsidRPr="007F0B26">
              <w:rPr>
                <w:b/>
                <w:bCs/>
                <w:sz w:val="28"/>
                <w:szCs w:val="28"/>
                <w:rtl/>
              </w:rPr>
              <w:t>ת"פ</w:t>
            </w:r>
            <w:r w:rsidRPr="007F0B26">
              <w:rPr>
                <w:rFonts w:hint="cs"/>
                <w:b/>
                <w:bCs/>
                <w:sz w:val="28"/>
                <w:szCs w:val="28"/>
                <w:rtl/>
              </w:rPr>
              <w:t xml:space="preserve"> </w:t>
            </w:r>
            <w:r w:rsidRPr="007F0B26">
              <w:rPr>
                <w:b/>
                <w:bCs/>
                <w:sz w:val="28"/>
                <w:szCs w:val="28"/>
                <w:rtl/>
              </w:rPr>
              <w:t>53457-11-15</w:t>
            </w:r>
          </w:p>
          <w:p w14:paraId="381BA865" w14:textId="77777777" w:rsidR="00B32950" w:rsidRPr="007F0B26" w:rsidRDefault="00B32950" w:rsidP="007F0B26">
            <w:pPr>
              <w:pStyle w:val="a3"/>
              <w:jc w:val="right"/>
              <w:rPr>
                <w:rFonts w:cs="FrankRuehl"/>
                <w:b/>
                <w:bCs/>
                <w:sz w:val="28"/>
                <w:szCs w:val="28"/>
                <w:rtl/>
              </w:rPr>
            </w:pPr>
            <w:r w:rsidRPr="007F0B26">
              <w:rPr>
                <w:rFonts w:hint="cs"/>
                <w:b/>
                <w:bCs/>
                <w:sz w:val="26"/>
                <w:szCs w:val="26"/>
                <w:rtl/>
              </w:rPr>
              <w:t>27 יולי 2016</w:t>
            </w:r>
          </w:p>
        </w:tc>
      </w:tr>
    </w:tbl>
    <w:p w14:paraId="6AC65A58" w14:textId="77777777" w:rsidR="00B32950" w:rsidRPr="007F0B26" w:rsidRDefault="00B32950" w:rsidP="00B32950">
      <w:pPr>
        <w:pStyle w:val="a3"/>
        <w:rPr>
          <w:rtl/>
        </w:rPr>
      </w:pPr>
      <w:r w:rsidRPr="007F0B26">
        <w:rPr>
          <w:rFonts w:hint="cs"/>
          <w:rtl/>
        </w:rPr>
        <w:t xml:space="preserve"> </w:t>
      </w:r>
    </w:p>
    <w:p w14:paraId="5684E1F2" w14:textId="77777777" w:rsidR="00B32950" w:rsidRPr="007F0B26" w:rsidRDefault="0021404A" w:rsidP="00B32950">
      <w:pPr>
        <w:rPr>
          <w:rFonts w:hint="cs"/>
          <w:rtl/>
        </w:rPr>
      </w:pPr>
      <w:r>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32950" w:rsidRPr="007F0B26" w14:paraId="47D715DA" w14:textId="77777777">
        <w:trPr>
          <w:trHeight w:val="295"/>
          <w:jc w:val="center"/>
        </w:trPr>
        <w:tc>
          <w:tcPr>
            <w:tcW w:w="923" w:type="dxa"/>
            <w:tcBorders>
              <w:top w:val="nil"/>
              <w:left w:val="nil"/>
              <w:bottom w:val="nil"/>
              <w:right w:val="nil"/>
            </w:tcBorders>
            <w:shd w:val="clear" w:color="auto" w:fill="auto"/>
          </w:tcPr>
          <w:p w14:paraId="42DCE40B" w14:textId="77777777" w:rsidR="00B32950" w:rsidRPr="007F0B26" w:rsidRDefault="00B32950" w:rsidP="007F0B26">
            <w:pPr>
              <w:jc w:val="both"/>
              <w:rPr>
                <w:rFonts w:ascii="Arial" w:hAnsi="Arial" w:cs="FrankRuehl"/>
                <w:sz w:val="28"/>
                <w:szCs w:val="28"/>
              </w:rPr>
            </w:pPr>
          </w:p>
        </w:tc>
        <w:tc>
          <w:tcPr>
            <w:tcW w:w="7897" w:type="dxa"/>
            <w:gridSpan w:val="2"/>
            <w:tcBorders>
              <w:top w:val="nil"/>
              <w:left w:val="nil"/>
              <w:bottom w:val="nil"/>
              <w:right w:val="nil"/>
            </w:tcBorders>
            <w:shd w:val="clear" w:color="auto" w:fill="auto"/>
          </w:tcPr>
          <w:p w14:paraId="2F255FC0" w14:textId="77777777" w:rsidR="00B32950" w:rsidRPr="007F0B26" w:rsidRDefault="00B32950" w:rsidP="007F0B26">
            <w:pPr>
              <w:jc w:val="both"/>
              <w:rPr>
                <w:rFonts w:ascii="Arial" w:hAnsi="Arial" w:cs="FrankRuehl"/>
                <w:sz w:val="28"/>
                <w:szCs w:val="28"/>
              </w:rPr>
            </w:pPr>
          </w:p>
        </w:tc>
      </w:tr>
      <w:tr w:rsidR="00B32950" w:rsidRPr="007F0B26" w14:paraId="3573483F" w14:textId="77777777">
        <w:trPr>
          <w:trHeight w:val="355"/>
          <w:jc w:val="center"/>
        </w:trPr>
        <w:tc>
          <w:tcPr>
            <w:tcW w:w="923" w:type="dxa"/>
            <w:tcBorders>
              <w:top w:val="nil"/>
              <w:left w:val="nil"/>
              <w:bottom w:val="nil"/>
              <w:right w:val="nil"/>
            </w:tcBorders>
            <w:shd w:val="clear" w:color="auto" w:fill="auto"/>
          </w:tcPr>
          <w:p w14:paraId="216E2284" w14:textId="77777777" w:rsidR="00B32950" w:rsidRPr="007F0B26" w:rsidRDefault="00B32950" w:rsidP="007F0B26">
            <w:pPr>
              <w:jc w:val="both"/>
              <w:rPr>
                <w:rFonts w:ascii="Arial" w:hAnsi="Arial"/>
                <w:b/>
                <w:bCs/>
                <w:sz w:val="28"/>
                <w:szCs w:val="28"/>
              </w:rPr>
            </w:pPr>
            <w:bookmarkStart w:id="2" w:name="FirstAppellant"/>
            <w:r w:rsidRPr="007F0B26">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192EDF06" w14:textId="77777777" w:rsidR="00B32950" w:rsidRPr="007F0B26" w:rsidRDefault="00B32950" w:rsidP="007F0B26">
            <w:pPr>
              <w:spacing w:line="360" w:lineRule="auto"/>
              <w:rPr>
                <w:b/>
                <w:bCs/>
              </w:rPr>
            </w:pPr>
            <w:r w:rsidRPr="007F0B26">
              <w:rPr>
                <w:rFonts w:hint="cs"/>
                <w:b/>
                <w:bCs/>
                <w:rtl/>
              </w:rPr>
              <w:t>מדינת ישראל</w:t>
            </w:r>
            <w:r w:rsidRPr="007F0B26">
              <w:rPr>
                <w:rFonts w:hint="cs"/>
                <w:b/>
                <w:bCs/>
                <w:rtl/>
              </w:rPr>
              <w:br/>
              <w:t>ע"י ב"כ עו"ד לימור הלל</w:t>
            </w:r>
          </w:p>
        </w:tc>
        <w:tc>
          <w:tcPr>
            <w:tcW w:w="3771" w:type="dxa"/>
            <w:tcBorders>
              <w:top w:val="nil"/>
              <w:left w:val="nil"/>
              <w:bottom w:val="nil"/>
              <w:right w:val="nil"/>
            </w:tcBorders>
            <w:shd w:val="clear" w:color="auto" w:fill="auto"/>
          </w:tcPr>
          <w:p w14:paraId="362E9E14" w14:textId="77777777" w:rsidR="00B32950" w:rsidRPr="007F0B26" w:rsidRDefault="00B32950" w:rsidP="007F0B26">
            <w:pPr>
              <w:jc w:val="both"/>
              <w:rPr>
                <w:rFonts w:ascii="Arial" w:hAnsi="Arial"/>
                <w:b/>
                <w:bCs/>
                <w:sz w:val="28"/>
                <w:szCs w:val="28"/>
              </w:rPr>
            </w:pPr>
          </w:p>
        </w:tc>
      </w:tr>
      <w:bookmarkEnd w:id="2"/>
      <w:tr w:rsidR="00B32950" w:rsidRPr="007F0B26" w14:paraId="435553C2" w14:textId="77777777">
        <w:trPr>
          <w:trHeight w:val="355"/>
          <w:jc w:val="center"/>
        </w:trPr>
        <w:tc>
          <w:tcPr>
            <w:tcW w:w="923" w:type="dxa"/>
            <w:tcBorders>
              <w:top w:val="nil"/>
              <w:left w:val="nil"/>
              <w:bottom w:val="nil"/>
              <w:right w:val="nil"/>
            </w:tcBorders>
            <w:shd w:val="clear" w:color="auto" w:fill="auto"/>
          </w:tcPr>
          <w:p w14:paraId="22A770B4" w14:textId="77777777" w:rsidR="00B32950" w:rsidRPr="007F0B26" w:rsidRDefault="00B32950" w:rsidP="007F0B26">
            <w:pPr>
              <w:jc w:val="both"/>
              <w:rPr>
                <w:rFonts w:ascii="Arial" w:hAnsi="Arial"/>
                <w:b/>
                <w:bCs/>
                <w:sz w:val="28"/>
                <w:szCs w:val="28"/>
                <w:rtl/>
              </w:rPr>
            </w:pPr>
          </w:p>
        </w:tc>
        <w:tc>
          <w:tcPr>
            <w:tcW w:w="4126" w:type="dxa"/>
            <w:tcBorders>
              <w:top w:val="nil"/>
              <w:left w:val="nil"/>
              <w:bottom w:val="nil"/>
              <w:right w:val="nil"/>
            </w:tcBorders>
            <w:shd w:val="clear" w:color="auto" w:fill="auto"/>
          </w:tcPr>
          <w:p w14:paraId="0C9B7EBD" w14:textId="77777777" w:rsidR="00B32950" w:rsidRPr="007F0B26" w:rsidRDefault="00B32950" w:rsidP="007F0B26">
            <w:pPr>
              <w:jc w:val="both"/>
              <w:rPr>
                <w:b/>
                <w:bCs/>
                <w:rtl/>
              </w:rPr>
            </w:pPr>
          </w:p>
        </w:tc>
        <w:tc>
          <w:tcPr>
            <w:tcW w:w="3771" w:type="dxa"/>
            <w:tcBorders>
              <w:top w:val="nil"/>
              <w:left w:val="nil"/>
              <w:bottom w:val="nil"/>
              <w:right w:val="nil"/>
            </w:tcBorders>
            <w:shd w:val="clear" w:color="auto" w:fill="auto"/>
          </w:tcPr>
          <w:p w14:paraId="4459C7DD" w14:textId="77777777" w:rsidR="00B32950" w:rsidRPr="007F0B26" w:rsidRDefault="00B32950" w:rsidP="007F0B26">
            <w:pPr>
              <w:rPr>
                <w:rFonts w:ascii="Arial" w:hAnsi="Arial"/>
                <w:b/>
                <w:bCs/>
                <w:sz w:val="28"/>
                <w:szCs w:val="28"/>
                <w:rtl/>
              </w:rPr>
            </w:pPr>
            <w:r w:rsidRPr="007F0B26">
              <w:rPr>
                <w:rFonts w:ascii="Arial" w:hAnsi="Arial" w:hint="cs"/>
                <w:b/>
                <w:bCs/>
                <w:sz w:val="28"/>
                <w:szCs w:val="28"/>
                <w:rtl/>
              </w:rPr>
              <w:t>ה</w:t>
            </w:r>
            <w:r w:rsidRPr="007F0B26">
              <w:rPr>
                <w:rFonts w:hint="cs"/>
                <w:b/>
                <w:bCs/>
                <w:rtl/>
              </w:rPr>
              <w:t>מאשימה</w:t>
            </w:r>
          </w:p>
        </w:tc>
      </w:tr>
      <w:tr w:rsidR="00B32950" w:rsidRPr="007F0B26" w14:paraId="590A5EAD" w14:textId="77777777">
        <w:trPr>
          <w:trHeight w:val="355"/>
          <w:jc w:val="center"/>
        </w:trPr>
        <w:tc>
          <w:tcPr>
            <w:tcW w:w="923" w:type="dxa"/>
            <w:tcBorders>
              <w:top w:val="nil"/>
              <w:left w:val="nil"/>
              <w:bottom w:val="nil"/>
              <w:right w:val="nil"/>
            </w:tcBorders>
            <w:shd w:val="clear" w:color="auto" w:fill="auto"/>
          </w:tcPr>
          <w:p w14:paraId="3B7B1796" w14:textId="77777777" w:rsidR="00B32950" w:rsidRPr="007F0B26" w:rsidRDefault="00B32950" w:rsidP="007F0B26">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7C44B4B9" w14:textId="77777777" w:rsidR="00B32950" w:rsidRPr="007F0B26" w:rsidRDefault="00B32950" w:rsidP="007F0B26">
            <w:pPr>
              <w:jc w:val="center"/>
              <w:rPr>
                <w:rFonts w:ascii="Arial" w:hAnsi="Arial"/>
                <w:b/>
                <w:bCs/>
                <w:sz w:val="28"/>
                <w:szCs w:val="28"/>
                <w:rtl/>
              </w:rPr>
            </w:pPr>
          </w:p>
          <w:p w14:paraId="72D6183D" w14:textId="77777777" w:rsidR="00B32950" w:rsidRPr="007F0B26" w:rsidRDefault="00B32950" w:rsidP="007F0B26">
            <w:pPr>
              <w:jc w:val="center"/>
              <w:rPr>
                <w:rFonts w:ascii="Arial" w:hAnsi="Arial"/>
                <w:b/>
                <w:bCs/>
                <w:sz w:val="28"/>
                <w:szCs w:val="28"/>
                <w:rtl/>
              </w:rPr>
            </w:pPr>
            <w:r w:rsidRPr="007F0B26">
              <w:rPr>
                <w:rFonts w:ascii="Arial" w:hAnsi="Arial"/>
                <w:b/>
                <w:bCs/>
                <w:sz w:val="28"/>
                <w:szCs w:val="28"/>
                <w:rtl/>
              </w:rPr>
              <w:t>נגד</w:t>
            </w:r>
          </w:p>
          <w:p w14:paraId="1A6CBFE4" w14:textId="77777777" w:rsidR="00B32950" w:rsidRPr="007F0B26" w:rsidRDefault="00B32950" w:rsidP="007F0B26">
            <w:pPr>
              <w:jc w:val="both"/>
              <w:rPr>
                <w:rFonts w:ascii="Arial" w:hAnsi="Arial"/>
                <w:b/>
                <w:bCs/>
                <w:sz w:val="28"/>
                <w:szCs w:val="28"/>
              </w:rPr>
            </w:pPr>
          </w:p>
        </w:tc>
      </w:tr>
      <w:tr w:rsidR="00B32950" w:rsidRPr="007F0B26" w14:paraId="3906A9F8" w14:textId="77777777">
        <w:trPr>
          <w:trHeight w:val="355"/>
          <w:jc w:val="center"/>
        </w:trPr>
        <w:tc>
          <w:tcPr>
            <w:tcW w:w="923" w:type="dxa"/>
            <w:tcBorders>
              <w:top w:val="nil"/>
              <w:left w:val="nil"/>
              <w:bottom w:val="nil"/>
              <w:right w:val="nil"/>
            </w:tcBorders>
            <w:shd w:val="clear" w:color="auto" w:fill="auto"/>
          </w:tcPr>
          <w:p w14:paraId="7DDEEC4F" w14:textId="77777777" w:rsidR="00B32950" w:rsidRPr="007F0B26" w:rsidRDefault="00B32950" w:rsidP="007F0B26">
            <w:pPr>
              <w:rPr>
                <w:rFonts w:ascii="Arial" w:hAnsi="Arial"/>
                <w:b/>
                <w:bCs/>
                <w:sz w:val="28"/>
                <w:szCs w:val="28"/>
                <w:rtl/>
              </w:rPr>
            </w:pPr>
          </w:p>
        </w:tc>
        <w:tc>
          <w:tcPr>
            <w:tcW w:w="4126" w:type="dxa"/>
            <w:tcBorders>
              <w:top w:val="nil"/>
              <w:left w:val="nil"/>
              <w:bottom w:val="nil"/>
              <w:right w:val="nil"/>
            </w:tcBorders>
            <w:shd w:val="clear" w:color="auto" w:fill="auto"/>
          </w:tcPr>
          <w:p w14:paraId="6C1C8E41" w14:textId="77777777" w:rsidR="00B32950" w:rsidRPr="007F0B26" w:rsidRDefault="00B32950" w:rsidP="007F0B26">
            <w:pPr>
              <w:spacing w:line="360" w:lineRule="auto"/>
              <w:rPr>
                <w:b/>
                <w:bCs/>
                <w:rtl/>
              </w:rPr>
            </w:pPr>
            <w:r w:rsidRPr="007F0B26">
              <w:rPr>
                <w:rFonts w:hint="cs"/>
                <w:b/>
                <w:bCs/>
                <w:rtl/>
              </w:rPr>
              <w:t>ויאצ'סלב סודוק איסטחרוב (עציר)</w:t>
            </w:r>
            <w:r w:rsidRPr="007F0B26">
              <w:rPr>
                <w:rFonts w:hint="cs"/>
                <w:b/>
                <w:bCs/>
                <w:rtl/>
              </w:rPr>
              <w:br/>
              <w:t>ע"י ב"כ עו"ד אפרת צרפתי</w:t>
            </w:r>
          </w:p>
        </w:tc>
        <w:tc>
          <w:tcPr>
            <w:tcW w:w="3771" w:type="dxa"/>
            <w:tcBorders>
              <w:top w:val="nil"/>
              <w:left w:val="nil"/>
              <w:bottom w:val="nil"/>
              <w:right w:val="nil"/>
            </w:tcBorders>
            <w:shd w:val="clear" w:color="auto" w:fill="auto"/>
          </w:tcPr>
          <w:p w14:paraId="1E8A41AF" w14:textId="77777777" w:rsidR="00B32950" w:rsidRPr="007F0B26" w:rsidRDefault="00B32950" w:rsidP="007F0B26">
            <w:pPr>
              <w:jc w:val="right"/>
              <w:rPr>
                <w:rFonts w:ascii="Arial" w:hAnsi="Arial"/>
                <w:b/>
                <w:bCs/>
                <w:sz w:val="28"/>
                <w:szCs w:val="28"/>
              </w:rPr>
            </w:pPr>
          </w:p>
        </w:tc>
      </w:tr>
      <w:tr w:rsidR="00B32950" w:rsidRPr="007F0B26" w14:paraId="57FCA181" w14:textId="77777777">
        <w:trPr>
          <w:trHeight w:val="355"/>
          <w:jc w:val="center"/>
        </w:trPr>
        <w:tc>
          <w:tcPr>
            <w:tcW w:w="923" w:type="dxa"/>
            <w:tcBorders>
              <w:top w:val="nil"/>
              <w:left w:val="nil"/>
              <w:bottom w:val="nil"/>
              <w:right w:val="nil"/>
            </w:tcBorders>
            <w:shd w:val="clear" w:color="auto" w:fill="auto"/>
          </w:tcPr>
          <w:p w14:paraId="4FB36F4D" w14:textId="77777777" w:rsidR="00B32950" w:rsidRPr="007F0B26" w:rsidRDefault="00B32950" w:rsidP="007F0B26">
            <w:pPr>
              <w:jc w:val="both"/>
              <w:rPr>
                <w:rFonts w:ascii="Arial" w:hAnsi="Arial"/>
                <w:b/>
                <w:bCs/>
                <w:sz w:val="28"/>
                <w:szCs w:val="28"/>
                <w:rtl/>
              </w:rPr>
            </w:pPr>
          </w:p>
        </w:tc>
        <w:tc>
          <w:tcPr>
            <w:tcW w:w="4126" w:type="dxa"/>
            <w:tcBorders>
              <w:top w:val="nil"/>
              <w:left w:val="nil"/>
              <w:bottom w:val="nil"/>
              <w:right w:val="nil"/>
            </w:tcBorders>
            <w:shd w:val="clear" w:color="auto" w:fill="auto"/>
          </w:tcPr>
          <w:p w14:paraId="31C1BF81" w14:textId="77777777" w:rsidR="00B32950" w:rsidRPr="007F0B26" w:rsidRDefault="00B32950" w:rsidP="007F0B26">
            <w:pPr>
              <w:jc w:val="both"/>
              <w:rPr>
                <w:b/>
                <w:bCs/>
                <w:rtl/>
              </w:rPr>
            </w:pPr>
          </w:p>
        </w:tc>
        <w:tc>
          <w:tcPr>
            <w:tcW w:w="3771" w:type="dxa"/>
            <w:tcBorders>
              <w:top w:val="nil"/>
              <w:left w:val="nil"/>
              <w:bottom w:val="nil"/>
              <w:right w:val="nil"/>
            </w:tcBorders>
            <w:shd w:val="clear" w:color="auto" w:fill="auto"/>
          </w:tcPr>
          <w:p w14:paraId="70DC8C3B" w14:textId="77777777" w:rsidR="00B32950" w:rsidRPr="007F0B26" w:rsidRDefault="00B32950" w:rsidP="007F0B26">
            <w:pPr>
              <w:rPr>
                <w:rFonts w:ascii="Arial" w:hAnsi="Arial"/>
                <w:b/>
                <w:bCs/>
                <w:sz w:val="28"/>
                <w:szCs w:val="28"/>
              </w:rPr>
            </w:pPr>
            <w:r w:rsidRPr="007F0B26">
              <w:rPr>
                <w:rFonts w:ascii="Arial" w:hAnsi="Arial" w:hint="cs"/>
                <w:b/>
                <w:bCs/>
                <w:sz w:val="28"/>
                <w:szCs w:val="28"/>
                <w:rtl/>
              </w:rPr>
              <w:t>ה</w:t>
            </w:r>
            <w:r w:rsidRPr="007F0B26">
              <w:rPr>
                <w:rFonts w:hint="cs"/>
                <w:b/>
                <w:bCs/>
                <w:rtl/>
              </w:rPr>
              <w:t>נאשם</w:t>
            </w:r>
          </w:p>
        </w:tc>
      </w:tr>
    </w:tbl>
    <w:p w14:paraId="11CCA543" w14:textId="77777777" w:rsidR="00303A85" w:rsidRDefault="00303A85" w:rsidP="00B32950">
      <w:pPr>
        <w:rPr>
          <w:rtl/>
        </w:rPr>
      </w:pPr>
      <w:bookmarkStart w:id="3" w:name="LawTable"/>
      <w:bookmarkEnd w:id="3"/>
    </w:p>
    <w:p w14:paraId="72ECB52F" w14:textId="77777777" w:rsidR="00303A85" w:rsidRPr="00303A85" w:rsidRDefault="00303A85" w:rsidP="00303A85">
      <w:pPr>
        <w:spacing w:after="120" w:line="240" w:lineRule="exact"/>
        <w:ind w:left="283" w:hanging="283"/>
        <w:jc w:val="both"/>
        <w:rPr>
          <w:rFonts w:ascii="FrankRuehl" w:hAnsi="FrankRuehl" w:cs="FrankRuehl"/>
          <w:rtl/>
        </w:rPr>
      </w:pPr>
    </w:p>
    <w:p w14:paraId="7DEFAE9A" w14:textId="77777777" w:rsidR="00303A85" w:rsidRPr="00303A85" w:rsidRDefault="00303A85" w:rsidP="00303A85">
      <w:pPr>
        <w:spacing w:after="120" w:line="240" w:lineRule="exact"/>
        <w:ind w:left="283" w:hanging="283"/>
        <w:jc w:val="both"/>
        <w:rPr>
          <w:rFonts w:ascii="FrankRuehl" w:hAnsi="FrankRuehl" w:cs="FrankRuehl"/>
          <w:rtl/>
        </w:rPr>
      </w:pPr>
      <w:r w:rsidRPr="00303A85">
        <w:rPr>
          <w:rFonts w:ascii="FrankRuehl" w:hAnsi="FrankRuehl" w:cs="FrankRuehl"/>
          <w:rtl/>
        </w:rPr>
        <w:t xml:space="preserve">חקיקה שאוזכרה: </w:t>
      </w:r>
    </w:p>
    <w:p w14:paraId="6F0A44C0" w14:textId="77777777" w:rsidR="00303A85" w:rsidRPr="00303A85" w:rsidRDefault="00303A85" w:rsidP="00303A85">
      <w:pPr>
        <w:spacing w:after="120" w:line="240" w:lineRule="exact"/>
        <w:ind w:left="283" w:hanging="283"/>
        <w:jc w:val="both"/>
        <w:rPr>
          <w:rFonts w:ascii="FrankRuehl" w:hAnsi="FrankRuehl" w:cs="FrankRuehl"/>
          <w:rtl/>
        </w:rPr>
      </w:pPr>
      <w:hyperlink r:id="rId6" w:history="1">
        <w:r w:rsidRPr="00303A85">
          <w:rPr>
            <w:rFonts w:ascii="FrankRuehl" w:hAnsi="FrankRuehl" w:cs="FrankRuehl"/>
            <w:color w:val="0000FF"/>
            <w:u w:val="single"/>
            <w:rtl/>
          </w:rPr>
          <w:t>פקודת הסמים המסוכנים [נוסח חדש], תשל"ג-1973</w:t>
        </w:r>
      </w:hyperlink>
      <w:r w:rsidRPr="00303A85">
        <w:rPr>
          <w:rFonts w:ascii="FrankRuehl" w:hAnsi="FrankRuehl" w:cs="FrankRuehl"/>
          <w:rtl/>
        </w:rPr>
        <w:t xml:space="preserve">: סע'  </w:t>
      </w:r>
      <w:hyperlink r:id="rId7" w:history="1">
        <w:r w:rsidRPr="00303A85">
          <w:rPr>
            <w:rFonts w:ascii="FrankRuehl" w:hAnsi="FrankRuehl" w:cs="FrankRuehl"/>
            <w:color w:val="0000FF"/>
            <w:u w:val="single"/>
            <w:rtl/>
          </w:rPr>
          <w:t>7(א)</w:t>
        </w:r>
      </w:hyperlink>
      <w:r w:rsidRPr="00303A85">
        <w:rPr>
          <w:rFonts w:ascii="FrankRuehl" w:hAnsi="FrankRuehl" w:cs="FrankRuehl"/>
          <w:rtl/>
        </w:rPr>
        <w:t xml:space="preserve">, </w:t>
      </w:r>
      <w:hyperlink r:id="rId8" w:history="1">
        <w:r w:rsidRPr="00303A85">
          <w:rPr>
            <w:rFonts w:ascii="FrankRuehl" w:hAnsi="FrankRuehl" w:cs="FrankRuehl"/>
            <w:color w:val="0000FF"/>
            <w:u w:val="single"/>
            <w:rtl/>
          </w:rPr>
          <w:t>(ג)</w:t>
        </w:r>
      </w:hyperlink>
    </w:p>
    <w:p w14:paraId="77FC6EDC" w14:textId="77777777" w:rsidR="00303A85" w:rsidRPr="00303A85" w:rsidRDefault="00303A85" w:rsidP="00303A85">
      <w:pPr>
        <w:spacing w:after="120" w:line="240" w:lineRule="exact"/>
        <w:ind w:left="283" w:hanging="283"/>
        <w:jc w:val="both"/>
        <w:rPr>
          <w:rFonts w:ascii="FrankRuehl" w:hAnsi="FrankRuehl" w:cs="FrankRuehl"/>
          <w:rtl/>
        </w:rPr>
      </w:pPr>
    </w:p>
    <w:p w14:paraId="2A35EA87" w14:textId="77777777" w:rsidR="00303A85" w:rsidRPr="00303A85" w:rsidRDefault="00303A85" w:rsidP="00B32950">
      <w:pPr>
        <w:rPr>
          <w:rtl/>
        </w:rPr>
      </w:pPr>
      <w:bookmarkStart w:id="4" w:name="LawTable_End"/>
      <w:bookmarkEnd w:id="4"/>
    </w:p>
    <w:p w14:paraId="71731994" w14:textId="77777777" w:rsidR="00B32950" w:rsidRPr="007F0B26" w:rsidRDefault="00B32950" w:rsidP="00B32950">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2950" w14:paraId="6254450E" w14:textId="77777777">
        <w:trPr>
          <w:trHeight w:val="355"/>
          <w:jc w:val="center"/>
        </w:trPr>
        <w:tc>
          <w:tcPr>
            <w:tcW w:w="8820" w:type="dxa"/>
            <w:tcBorders>
              <w:top w:val="nil"/>
              <w:left w:val="nil"/>
              <w:bottom w:val="nil"/>
              <w:right w:val="nil"/>
            </w:tcBorders>
            <w:shd w:val="clear" w:color="auto" w:fill="auto"/>
          </w:tcPr>
          <w:p w14:paraId="67A9291E" w14:textId="77777777" w:rsidR="007F0B26" w:rsidRPr="007F0B26" w:rsidRDefault="007F0B26" w:rsidP="007F0B26">
            <w:pPr>
              <w:jc w:val="center"/>
              <w:rPr>
                <w:rFonts w:ascii="Arial" w:hAnsi="Arial"/>
                <w:b/>
                <w:bCs/>
                <w:sz w:val="32"/>
                <w:szCs w:val="32"/>
                <w:u w:val="single"/>
                <w:rtl/>
              </w:rPr>
            </w:pPr>
            <w:bookmarkStart w:id="5" w:name="PsakDin" w:colFirst="0" w:colLast="0"/>
            <w:bookmarkEnd w:id="0"/>
            <w:bookmarkEnd w:id="1"/>
            <w:r w:rsidRPr="007F0B26">
              <w:rPr>
                <w:rFonts w:ascii="Arial" w:hAnsi="Arial"/>
                <w:b/>
                <w:bCs/>
                <w:sz w:val="32"/>
                <w:szCs w:val="32"/>
                <w:u w:val="single"/>
                <w:rtl/>
              </w:rPr>
              <w:t>גזר דין</w:t>
            </w:r>
          </w:p>
          <w:p w14:paraId="5F9B4288" w14:textId="77777777" w:rsidR="00B32950" w:rsidRPr="007F0B26" w:rsidRDefault="00B32950" w:rsidP="007F0B26">
            <w:pPr>
              <w:jc w:val="center"/>
              <w:rPr>
                <w:rFonts w:ascii="Arial" w:hAnsi="Arial"/>
                <w:bCs/>
                <w:sz w:val="32"/>
                <w:szCs w:val="32"/>
                <w:u w:val="single"/>
                <w:rtl/>
              </w:rPr>
            </w:pPr>
          </w:p>
        </w:tc>
      </w:tr>
      <w:bookmarkEnd w:id="5"/>
    </w:tbl>
    <w:p w14:paraId="55EA0845" w14:textId="77777777" w:rsidR="00B32950" w:rsidRPr="00B05847" w:rsidRDefault="00B32950" w:rsidP="00B32950">
      <w:pPr>
        <w:rPr>
          <w:rFonts w:ascii="Arial" w:hAnsi="Arial"/>
          <w:rtl/>
        </w:rPr>
      </w:pPr>
    </w:p>
    <w:p w14:paraId="0E4C2546" w14:textId="77777777" w:rsidR="00B32950" w:rsidRPr="00B05847" w:rsidRDefault="00B32950" w:rsidP="00B32950">
      <w:pPr>
        <w:rPr>
          <w:rFonts w:ascii="Arial" w:hAnsi="Arial"/>
          <w:rtl/>
        </w:rPr>
      </w:pPr>
    </w:p>
    <w:p w14:paraId="1A3E989E" w14:textId="77777777" w:rsidR="00B32950" w:rsidRPr="00B05847" w:rsidRDefault="00B32950" w:rsidP="00B32950">
      <w:pPr>
        <w:rPr>
          <w:rtl/>
        </w:rPr>
      </w:pPr>
    </w:p>
    <w:p w14:paraId="6E71A2FD" w14:textId="77777777" w:rsidR="00B32950" w:rsidRDefault="00B32950" w:rsidP="00B32950">
      <w:pPr>
        <w:pStyle w:val="1"/>
        <w:spacing w:line="360" w:lineRule="auto"/>
        <w:rPr>
          <w:rFonts w:cs="David"/>
          <w:szCs w:val="24"/>
          <w:u w:val="single"/>
          <w:rtl/>
        </w:rPr>
      </w:pPr>
      <w:r>
        <w:rPr>
          <w:rFonts w:cs="David" w:hint="cs"/>
          <w:szCs w:val="24"/>
          <w:rtl/>
        </w:rPr>
        <w:t>כללי</w:t>
      </w:r>
    </w:p>
    <w:p w14:paraId="1886A997" w14:textId="77777777" w:rsidR="00B32950" w:rsidRDefault="00B32950" w:rsidP="00B32950">
      <w:pPr>
        <w:spacing w:line="360" w:lineRule="auto"/>
        <w:ind w:left="720" w:hanging="720"/>
        <w:jc w:val="both"/>
        <w:rPr>
          <w:rtl/>
        </w:rPr>
      </w:pPr>
      <w:r>
        <w:rPr>
          <w:rFonts w:hint="cs"/>
          <w:rtl/>
        </w:rPr>
        <w:t>1.</w:t>
      </w:r>
      <w:r>
        <w:rPr>
          <w:rFonts w:hint="cs"/>
          <w:rtl/>
        </w:rPr>
        <w:tab/>
        <w:t>בטרם שמיעת הראיות, הגיעו הצדדים להסדר טיעון, במסגרתו הוגש כתב אישום מתוקן נגד הנאשם והנאשם הודה בעובדותיו, שאלה עיקריהן:</w:t>
      </w:r>
    </w:p>
    <w:p w14:paraId="0124CC11" w14:textId="77777777" w:rsidR="00B32950" w:rsidRDefault="00B32950" w:rsidP="00B32950">
      <w:pPr>
        <w:spacing w:line="360" w:lineRule="auto"/>
        <w:ind w:left="720" w:hanging="720"/>
        <w:jc w:val="both"/>
        <w:rPr>
          <w:rtl/>
        </w:rPr>
      </w:pPr>
    </w:p>
    <w:p w14:paraId="7BB56337" w14:textId="77777777" w:rsidR="00B32950" w:rsidRDefault="00B32950" w:rsidP="00B32950">
      <w:pPr>
        <w:spacing w:line="360" w:lineRule="auto"/>
        <w:ind w:left="720"/>
        <w:jc w:val="both"/>
        <w:rPr>
          <w:rtl/>
          <w:lang w:eastAsia="he-IL"/>
        </w:rPr>
      </w:pPr>
      <w:bookmarkStart w:id="6" w:name="ABSTRACT_START"/>
      <w:bookmarkEnd w:id="6"/>
      <w:r>
        <w:rPr>
          <w:rFonts w:hint="cs"/>
          <w:rtl/>
        </w:rPr>
        <w:t xml:space="preserve">בתאריך 12.11.15 בשעות אחר הצהריים, החזיק הנאשם בתוך רכב בו נהג, סם מסוכן מסוג </w:t>
      </w:r>
      <w:r>
        <w:t>AB-CHMINACA</w:t>
      </w:r>
      <w:r>
        <w:rPr>
          <w:rFonts w:hint="cs"/>
          <w:rtl/>
        </w:rPr>
        <w:t>, שהוא נגזרת של אינדזול קרבוקסאמיד, במשקל כולל של 21.251 ק"ג, ארוז בשתי שקיות נפרדות, שלא לצריכתו העצמית ומבלי שהיה בידו היתר כדין לעשות כן</w:t>
      </w:r>
      <w:bookmarkStart w:id="7" w:name="ABSTRACT_END"/>
      <w:bookmarkEnd w:id="7"/>
      <w:r>
        <w:rPr>
          <w:rFonts w:hint="cs"/>
          <w:rtl/>
        </w:rPr>
        <w:t>.</w:t>
      </w:r>
    </w:p>
    <w:p w14:paraId="78AC3A47" w14:textId="77777777" w:rsidR="00B32950" w:rsidRDefault="00B32950" w:rsidP="00B32950">
      <w:pPr>
        <w:spacing w:line="360" w:lineRule="auto"/>
        <w:ind w:left="720"/>
        <w:jc w:val="both"/>
        <w:rPr>
          <w:rtl/>
        </w:rPr>
      </w:pPr>
    </w:p>
    <w:p w14:paraId="0244A092" w14:textId="77777777" w:rsidR="00B32950" w:rsidRDefault="00B32950" w:rsidP="00B32950">
      <w:pPr>
        <w:spacing w:line="360" w:lineRule="auto"/>
        <w:ind w:left="720" w:hanging="720"/>
        <w:jc w:val="both"/>
        <w:rPr>
          <w:rtl/>
        </w:rPr>
      </w:pPr>
      <w:r>
        <w:rPr>
          <w:rFonts w:hint="cs"/>
          <w:rtl/>
        </w:rPr>
        <w:t>2.</w:t>
      </w:r>
      <w:r>
        <w:rPr>
          <w:rFonts w:hint="cs"/>
          <w:rtl/>
        </w:rPr>
        <w:tab/>
        <w:t xml:space="preserve">על יסוד הודאת הנאשם בעובדות, כאמור, הוא הורשע בעבירה של החזקת סם מסוכן שלא לצריכה עצמית, לפי </w:t>
      </w:r>
      <w:hyperlink r:id="rId9" w:history="1">
        <w:r w:rsidR="00A30678" w:rsidRPr="00A30678">
          <w:rPr>
            <w:color w:val="0000FF"/>
            <w:u w:val="single"/>
            <w:rtl/>
          </w:rPr>
          <w:t>סעיף  7(א)</w:t>
        </w:r>
      </w:hyperlink>
      <w:r>
        <w:rPr>
          <w:rFonts w:hint="cs"/>
          <w:rtl/>
        </w:rPr>
        <w:t xml:space="preserve"> ו- </w:t>
      </w:r>
      <w:hyperlink r:id="rId10" w:history="1">
        <w:r w:rsidR="00A30678" w:rsidRPr="00A30678">
          <w:rPr>
            <w:color w:val="0000FF"/>
            <w:u w:val="single"/>
            <w:rtl/>
          </w:rPr>
          <w:t>(ג)</w:t>
        </w:r>
      </w:hyperlink>
      <w:r>
        <w:rPr>
          <w:rFonts w:hint="cs"/>
          <w:rtl/>
        </w:rPr>
        <w:t xml:space="preserve"> ל</w:t>
      </w:r>
      <w:hyperlink r:id="rId11" w:history="1">
        <w:r w:rsidR="007F0B26" w:rsidRPr="007F0B26">
          <w:rPr>
            <w:color w:val="0000FF"/>
            <w:u w:val="single"/>
            <w:rtl/>
          </w:rPr>
          <w:t>פקודת הסמים המסוכנים</w:t>
        </w:r>
      </w:hyperlink>
      <w:r>
        <w:rPr>
          <w:rFonts w:hint="cs"/>
          <w:rtl/>
        </w:rPr>
        <w:t xml:space="preserve"> [נוסח חדש] התשל"ג-1973. </w:t>
      </w:r>
    </w:p>
    <w:p w14:paraId="1DD0AE60" w14:textId="77777777" w:rsidR="00B32950" w:rsidRDefault="00B32950" w:rsidP="00B32950">
      <w:pPr>
        <w:spacing w:line="360" w:lineRule="auto"/>
        <w:jc w:val="both"/>
        <w:rPr>
          <w:rtl/>
        </w:rPr>
      </w:pPr>
    </w:p>
    <w:p w14:paraId="69BE483B" w14:textId="77777777" w:rsidR="00B32950" w:rsidRDefault="00B32950" w:rsidP="00B32950">
      <w:pPr>
        <w:spacing w:line="360" w:lineRule="auto"/>
        <w:ind w:left="720" w:hanging="720"/>
        <w:jc w:val="both"/>
        <w:rPr>
          <w:rtl/>
        </w:rPr>
      </w:pPr>
      <w:r>
        <w:rPr>
          <w:rFonts w:hint="cs"/>
          <w:rtl/>
        </w:rPr>
        <w:t>3.</w:t>
      </w:r>
      <w:r>
        <w:rPr>
          <w:rFonts w:hint="cs"/>
          <w:rtl/>
        </w:rPr>
        <w:tab/>
        <w:t xml:space="preserve">הסדר הטיעון לא כלל הסכמה לעניין העונש. </w:t>
      </w:r>
    </w:p>
    <w:p w14:paraId="43E5E87C" w14:textId="77777777" w:rsidR="00B32950" w:rsidRDefault="00B32950" w:rsidP="00B32950">
      <w:pPr>
        <w:spacing w:line="360" w:lineRule="auto"/>
        <w:ind w:left="720" w:hanging="720"/>
        <w:jc w:val="both"/>
        <w:rPr>
          <w:rtl/>
        </w:rPr>
      </w:pPr>
    </w:p>
    <w:p w14:paraId="6614A9D9" w14:textId="77777777" w:rsidR="00B32950" w:rsidRDefault="00B32950" w:rsidP="00B32950">
      <w:pPr>
        <w:spacing w:line="360" w:lineRule="auto"/>
        <w:ind w:left="720" w:hanging="720"/>
        <w:jc w:val="both"/>
        <w:rPr>
          <w:rtl/>
        </w:rPr>
      </w:pPr>
      <w:r>
        <w:rPr>
          <w:rFonts w:hint="cs"/>
          <w:rtl/>
        </w:rPr>
        <w:t>4.</w:t>
      </w:r>
      <w:r>
        <w:rPr>
          <w:rFonts w:hint="cs"/>
          <w:rtl/>
        </w:rPr>
        <w:tab/>
        <w:t>הנאשם צעיר מגיל 21 ובנסיבות חובה לקבל עליו תסקיר של שירות המבחן.</w:t>
      </w:r>
      <w:r>
        <w:rPr>
          <w:rFonts w:hint="cs"/>
          <w:rtl/>
        </w:rPr>
        <w:tab/>
      </w:r>
    </w:p>
    <w:p w14:paraId="41C4CAA4" w14:textId="77777777" w:rsidR="00B32950" w:rsidRDefault="00B32950" w:rsidP="00B32950">
      <w:pPr>
        <w:spacing w:line="360" w:lineRule="auto"/>
        <w:ind w:left="720" w:hanging="720"/>
        <w:jc w:val="both"/>
        <w:rPr>
          <w:rtl/>
        </w:rPr>
      </w:pPr>
    </w:p>
    <w:p w14:paraId="359EC321" w14:textId="77777777" w:rsidR="00B32950" w:rsidRDefault="00B32950" w:rsidP="00B32950">
      <w:pPr>
        <w:spacing w:line="360" w:lineRule="auto"/>
        <w:ind w:left="720"/>
        <w:jc w:val="both"/>
        <w:rPr>
          <w:rtl/>
        </w:rPr>
      </w:pPr>
      <w:r>
        <w:rPr>
          <w:rFonts w:hint="cs"/>
          <w:rtl/>
        </w:rPr>
        <w:t xml:space="preserve">בתסקיר שירות המבחן על הנאשם צוינו בין היתר הדברים הבאים: </w:t>
      </w:r>
    </w:p>
    <w:p w14:paraId="26B0A2C1" w14:textId="77777777" w:rsidR="00B32950" w:rsidRDefault="00B32950" w:rsidP="00B32950">
      <w:pPr>
        <w:spacing w:line="360" w:lineRule="auto"/>
        <w:ind w:left="720"/>
        <w:jc w:val="both"/>
        <w:rPr>
          <w:rtl/>
        </w:rPr>
      </w:pPr>
      <w:r>
        <w:rPr>
          <w:rFonts w:hint="cs"/>
          <w:rtl/>
        </w:rPr>
        <w:t>הנאשם בן  20. משפחת מוצאו מונה אם וחמישה ילדים בגילאי 10-26 שנולדו משלושה אבות שונים. אמו אינה עובדת ומתקיימת מקצבת נכות. במהלך מעצרו התבשר הנאשם כי אמו חולה בסרטן. הנאשם מסר כי אביו היה מכור לסמים ועל רקע זה הוריו התגרשו כשהיה ילד. כיום הוא אינו בקשר עם אביו. סיים 12 שנות לימוד, ללא בגרות, וקיבל פטור משירות צבאי בעקבות עברו הפלילי- נדון לדרכי טיפול ללא הרשעה בגין עבירה של שימוש והחזקת סמים לצריכה עצמית. טופל כחצי שנה במרכז "קשב לנוער".</w:t>
      </w:r>
    </w:p>
    <w:p w14:paraId="616090D1" w14:textId="77777777" w:rsidR="00B32950" w:rsidRDefault="00B32950" w:rsidP="00B32950">
      <w:pPr>
        <w:spacing w:line="360" w:lineRule="auto"/>
        <w:ind w:left="720"/>
        <w:jc w:val="both"/>
        <w:rPr>
          <w:rtl/>
        </w:rPr>
      </w:pPr>
      <w:r>
        <w:rPr>
          <w:rFonts w:hint="cs"/>
          <w:rtl/>
        </w:rPr>
        <w:t xml:space="preserve">שיתף כי החל להשתמש בסמי פיצוציות מסוג "נייס גאי" בגיל 17, ובארבעת החודשים שקדמו למעצרו תיאר דפוס קבוע של שימוש ב"נייס גאי" באופן אינטנסיבי ויומיומי. </w:t>
      </w:r>
    </w:p>
    <w:p w14:paraId="50A07F70" w14:textId="77777777" w:rsidR="00B32950" w:rsidRDefault="00B32950" w:rsidP="00B32950">
      <w:pPr>
        <w:spacing w:line="360" w:lineRule="auto"/>
        <w:ind w:left="720"/>
        <w:jc w:val="both"/>
        <w:rPr>
          <w:rtl/>
        </w:rPr>
      </w:pPr>
      <w:r>
        <w:rPr>
          <w:rFonts w:hint="cs"/>
          <w:rtl/>
        </w:rPr>
        <w:t xml:space="preserve">בהתייחס לעבירה, הודה בביצועה ולקח עליה אחריות, אך טען כי חרף הכמות הגדולה של הסם שהחזיק, הוא נועד לשימושו העצמי. </w:t>
      </w:r>
    </w:p>
    <w:p w14:paraId="3845B98A" w14:textId="77777777" w:rsidR="00B32950" w:rsidRDefault="00B32950" w:rsidP="00B32950">
      <w:pPr>
        <w:spacing w:line="360" w:lineRule="auto"/>
        <w:ind w:left="720"/>
        <w:jc w:val="both"/>
        <w:rPr>
          <w:rtl/>
        </w:rPr>
      </w:pPr>
      <w:r>
        <w:rPr>
          <w:rFonts w:hint="cs"/>
          <w:rtl/>
        </w:rPr>
        <w:t xml:space="preserve">צוין, כי במהלך מעצרו, הנאשם סירב להכיר ולטפל בבעיית הסמים שלו, אך בשיחה עם שירות המבחן הביע את הסכמתו להשתלב בתהליך טיפולי. </w:t>
      </w:r>
    </w:p>
    <w:p w14:paraId="65EBB268" w14:textId="77777777" w:rsidR="00B32950" w:rsidRDefault="00B32950" w:rsidP="00B32950">
      <w:pPr>
        <w:spacing w:line="360" w:lineRule="auto"/>
        <w:ind w:left="720"/>
        <w:jc w:val="both"/>
        <w:rPr>
          <w:rtl/>
        </w:rPr>
      </w:pPr>
    </w:p>
    <w:p w14:paraId="1E28205E" w14:textId="77777777" w:rsidR="00B32950" w:rsidRDefault="00B32950" w:rsidP="00B32950">
      <w:pPr>
        <w:spacing w:line="360" w:lineRule="auto"/>
        <w:ind w:left="720"/>
        <w:jc w:val="both"/>
        <w:rPr>
          <w:rtl/>
        </w:rPr>
      </w:pPr>
      <w:r>
        <w:rPr>
          <w:rFonts w:hint="cs"/>
          <w:rtl/>
        </w:rPr>
        <w:t>לאור קושי של הנאשם לשתף פעולה עם שירות המבחן- שסבר כי יש לשלב את הנאשם בטיפול בקהילה טיפולית סגורה, נמנע שירות המבחן מלתת המלצה טיפולית כלשהי והמליץ להטיל על הנאשם ענישה הרתעתית מוחשית של מאסר בפועל. עם זאת, צוין, כי אם הנאשם יביע רצון להשתלב בטיפול בקהילה סגורה, תתבקש דחייה על מנת לבחון זאת.</w:t>
      </w:r>
    </w:p>
    <w:p w14:paraId="046E6ECC" w14:textId="77777777" w:rsidR="00B32950" w:rsidRDefault="00B32950" w:rsidP="00B32950">
      <w:pPr>
        <w:pStyle w:val="a6"/>
        <w:jc w:val="both"/>
        <w:rPr>
          <w:rFonts w:cs="David"/>
          <w:szCs w:val="24"/>
          <w:rtl/>
        </w:rPr>
      </w:pPr>
    </w:p>
    <w:p w14:paraId="1B9D47E0" w14:textId="77777777" w:rsidR="00B32950" w:rsidRDefault="00B32950" w:rsidP="00B32950">
      <w:pPr>
        <w:pStyle w:val="a6"/>
        <w:jc w:val="both"/>
        <w:rPr>
          <w:rFonts w:cs="David"/>
          <w:szCs w:val="24"/>
          <w:rtl/>
        </w:rPr>
      </w:pPr>
      <w:r>
        <w:rPr>
          <w:rFonts w:cs="David" w:hint="cs"/>
          <w:szCs w:val="24"/>
          <w:rtl/>
        </w:rPr>
        <w:t>5.</w:t>
      </w:r>
      <w:r>
        <w:rPr>
          <w:rFonts w:cs="David" w:hint="cs"/>
          <w:szCs w:val="24"/>
          <w:rtl/>
        </w:rPr>
        <w:tab/>
        <w:t>לאחר קבלת תסקיר שירות המבחן, הודיע הנאשם כי הוא איננו מעוניין להשתלב בטיפול בקהילה סגורה והצדדים הגיעו להסדר לעניין העונש והמליצו לבית המשפט להטיל על הנאשם 30 חודשי מאסר בפועל מיום מעצרו ומאסר מותנה. עוד הוסכם, שהמאשימה תעתור להטיל על הנאשם קנס ופסילת רישיון נהיגה, וההגנה תטען בעניין זה כהבנתה.</w:t>
      </w:r>
    </w:p>
    <w:p w14:paraId="7BDB25F4" w14:textId="77777777" w:rsidR="00B32950" w:rsidRDefault="00B32950" w:rsidP="00B32950">
      <w:pPr>
        <w:pStyle w:val="a6"/>
        <w:ind w:firstLine="0"/>
        <w:jc w:val="both"/>
        <w:rPr>
          <w:rFonts w:cs="David"/>
          <w:szCs w:val="24"/>
          <w:rtl/>
        </w:rPr>
      </w:pPr>
    </w:p>
    <w:p w14:paraId="214BE9B8" w14:textId="77777777" w:rsidR="00B32950" w:rsidRDefault="00B32950" w:rsidP="00B32950">
      <w:pPr>
        <w:pStyle w:val="a6"/>
        <w:jc w:val="both"/>
        <w:rPr>
          <w:rFonts w:cs="David"/>
          <w:szCs w:val="24"/>
          <w:rtl/>
        </w:rPr>
      </w:pPr>
      <w:r>
        <w:rPr>
          <w:rFonts w:cs="David" w:hint="cs"/>
          <w:szCs w:val="24"/>
          <w:rtl/>
        </w:rPr>
        <w:t>6.</w:t>
      </w:r>
      <w:r>
        <w:rPr>
          <w:rFonts w:cs="David" w:hint="cs"/>
          <w:szCs w:val="24"/>
          <w:rtl/>
        </w:rPr>
        <w:tab/>
        <w:t xml:space="preserve">ב"כ התביעה טענה, כי העונש המוצע אינו חורג מהעונש המקובל בעבירות דומות. ציינה, כי התביעה לקחה בחשבון במסגרת הסכמתה לעונש המוצע את גילו הצעיר של הנאשם -  בזמן ביצוע העבירות הוא היה בן 19 ו-9 חודשים; את העובדה שאין לו הרשעות קודמות; את העובדה שזהו מאסרו הראשון; ואת הודאתו שחסכה זמן שיפוט. עוד טענה, כי ברקע העבירה רצון להפיק רווח כספי ועל כן יש להטיל על הנאשם קנס וכי הנאשם עשה שימוש </w:t>
      </w:r>
      <w:r>
        <w:rPr>
          <w:rFonts w:cs="David" w:hint="cs"/>
          <w:szCs w:val="24"/>
          <w:rtl/>
        </w:rPr>
        <w:lastRenderedPageBreak/>
        <w:t>ברכב לביצוע העבירה ולכן יש לפסול את רישיון הנהיגה שלו. הגישה את המרשם הפלילי של הנאשם ופסיקה.</w:t>
      </w:r>
    </w:p>
    <w:p w14:paraId="7851F6DB" w14:textId="77777777" w:rsidR="00B32950" w:rsidRDefault="00B32950" w:rsidP="00B32950">
      <w:pPr>
        <w:pStyle w:val="a6"/>
        <w:jc w:val="both"/>
        <w:rPr>
          <w:rFonts w:cs="David"/>
          <w:szCs w:val="24"/>
          <w:rtl/>
        </w:rPr>
      </w:pPr>
    </w:p>
    <w:p w14:paraId="7B78268B" w14:textId="77777777" w:rsidR="00B32950" w:rsidRDefault="00B32950" w:rsidP="00B32950">
      <w:pPr>
        <w:pStyle w:val="a6"/>
        <w:jc w:val="both"/>
        <w:rPr>
          <w:rFonts w:cs="David"/>
          <w:szCs w:val="24"/>
          <w:rtl/>
        </w:rPr>
      </w:pPr>
      <w:r>
        <w:rPr>
          <w:rFonts w:cs="David" w:hint="cs"/>
          <w:szCs w:val="24"/>
          <w:rtl/>
        </w:rPr>
        <w:t>7.</w:t>
      </w:r>
      <w:r>
        <w:rPr>
          <w:rFonts w:cs="David" w:hint="cs"/>
          <w:szCs w:val="24"/>
          <w:rtl/>
        </w:rPr>
        <w:tab/>
        <w:t xml:space="preserve">ב"כ הנאשם הצטרפה לדברי ב"כ המאשימה. ביקשה שלא להכביד עם הנאשם בקנס ובפסילת רישיון הנהיגה. ציינה כי הנאשם בחור צעיר; הפנתה לנסיבות חייו כפי שפורטו בתסקיר שירות המבחן; והוסיפה, כי אמו של הנאשם אינה עובדת והיא מקבלת קצבה מהמוסד לביטוח לאומי. ובסופו של יום היא זו שתצטרך לשאת בתשלום הקנס. </w:t>
      </w:r>
    </w:p>
    <w:p w14:paraId="4B6B8D6B" w14:textId="77777777" w:rsidR="00B32950" w:rsidRDefault="00B32950" w:rsidP="00B32950">
      <w:pPr>
        <w:pStyle w:val="a6"/>
        <w:jc w:val="both"/>
        <w:rPr>
          <w:rFonts w:cs="David"/>
          <w:szCs w:val="24"/>
          <w:rtl/>
        </w:rPr>
      </w:pPr>
    </w:p>
    <w:p w14:paraId="781D2380" w14:textId="77777777" w:rsidR="00B32950" w:rsidRDefault="00B32950" w:rsidP="00B32950">
      <w:pPr>
        <w:spacing w:line="360" w:lineRule="auto"/>
        <w:ind w:left="720" w:hanging="720"/>
        <w:jc w:val="both"/>
        <w:rPr>
          <w:rtl/>
        </w:rPr>
      </w:pPr>
      <w:r>
        <w:rPr>
          <w:rFonts w:hint="cs"/>
          <w:rtl/>
        </w:rPr>
        <w:t>8.</w:t>
      </w:r>
      <w:r>
        <w:rPr>
          <w:rFonts w:hint="cs"/>
          <w:rtl/>
        </w:rPr>
        <w:tab/>
        <w:t xml:space="preserve">הסם בו החזיק הנאשם, המכונה "נייס גאי", הוא ממשפחת הקנבינואידים הסינתטיים. העובדה שבמשך תקופה לא קצרה חומרים כאלה נמכרו בפיצוציות לכל דורש, נטעה בלב הציבור את התחושה שמדובר בחומרים "קלים", בלתי מזיקים, הגורמים להרגשה נעימה. ואולם, התפיסה הרווחת המובהקת בקהילה המדעית והרפואית הינה כי השימוש בסם זה ובדומיו מסוכן מאוד. סמים אלה מכילים חומרים פסיכואקטיביים. הם ממכרים ופוטנציאל הנזק שלהם גבוה במיוחד. שימוש בהם עלול לגרום להתפרצויות פסיכוטיות, אי שקט, סיוטים, תשישות ורעידות ושימוש יתר עלול לסכן חיים. </w:t>
      </w:r>
    </w:p>
    <w:p w14:paraId="10E7D958" w14:textId="77777777" w:rsidR="00B32950" w:rsidRDefault="00B32950" w:rsidP="00B32950">
      <w:pPr>
        <w:spacing w:line="360" w:lineRule="auto"/>
        <w:ind w:left="720"/>
        <w:jc w:val="both"/>
        <w:rPr>
          <w:rtl/>
        </w:rPr>
      </w:pPr>
      <w:r>
        <w:rPr>
          <w:rFonts w:hint="cs"/>
          <w:rtl/>
        </w:rPr>
        <w:t xml:space="preserve">יש להטמיע את הדברים בתודעת הציבור ולהילחם באלה התורמים לזמינות הסם למשתמשים. החמרת הענישה עשויה לקדם את המטרות האמורות. נראה לי שפרק הזמן שחלף מאז הוגדרו "סמי הפיצוציות" השונים כסמים מסוכנים, ופסקי הדין שניתנו בנושא במהלך תקופה זו, הביאו לידיעת הציבור את השינוי שחל בהתייחסות הדין לחומרים אלה ושימשו תקופת מעבר הסתגלותית למצב החדש. הגיעה השעה להחמיר משמעותית בענישה.  </w:t>
      </w:r>
    </w:p>
    <w:p w14:paraId="2989B18E" w14:textId="77777777" w:rsidR="00B32950" w:rsidRDefault="00B32950" w:rsidP="00B32950">
      <w:pPr>
        <w:spacing w:line="360" w:lineRule="auto"/>
        <w:jc w:val="both"/>
        <w:rPr>
          <w:rtl/>
        </w:rPr>
      </w:pPr>
    </w:p>
    <w:p w14:paraId="226D4AFC" w14:textId="77777777" w:rsidR="00B32950" w:rsidRDefault="00B32950" w:rsidP="00B32950">
      <w:pPr>
        <w:spacing w:line="360" w:lineRule="auto"/>
        <w:jc w:val="both"/>
        <w:rPr>
          <w:rtl/>
        </w:rPr>
      </w:pPr>
      <w:r>
        <w:rPr>
          <w:rFonts w:hint="cs"/>
          <w:rtl/>
        </w:rPr>
        <w:t>9.</w:t>
      </w:r>
      <w:r>
        <w:rPr>
          <w:rFonts w:hint="cs"/>
          <w:rtl/>
        </w:rPr>
        <w:tab/>
        <w:t>לאחר ששקלתי בדבר החלטתי לאמץ את הסדר הטיעון:</w:t>
      </w:r>
    </w:p>
    <w:p w14:paraId="55E27A71" w14:textId="77777777" w:rsidR="00B32950" w:rsidRDefault="00B32950" w:rsidP="00B32950">
      <w:pPr>
        <w:spacing w:line="360" w:lineRule="auto"/>
        <w:ind w:left="1440" w:hanging="720"/>
        <w:jc w:val="both"/>
        <w:rPr>
          <w:rFonts w:ascii="FrankRuehl" w:hAnsi="FrankRuehl"/>
          <w:color w:val="000000"/>
          <w:lang w:eastAsia="he-IL"/>
        </w:rPr>
      </w:pPr>
      <w:r>
        <w:rPr>
          <w:rFonts w:hint="cs"/>
          <w:b/>
          <w:rtl/>
        </w:rPr>
        <w:t>א.</w:t>
      </w:r>
      <w:r>
        <w:rPr>
          <w:rFonts w:hint="cs"/>
          <w:b/>
          <w:rtl/>
        </w:rPr>
        <w:tab/>
        <w:t xml:space="preserve">"הסדר טיעון </w:t>
      </w:r>
      <w:r>
        <w:rPr>
          <w:rFonts w:hint="cs"/>
          <w:rtl/>
        </w:rPr>
        <w:t>– באשר הוא – אינו רק שיקול אחד ככל יתר השיקולים העומדים בפני בית</w:t>
      </w:r>
      <w:r>
        <w:rPr>
          <w:rFonts w:hint="cs"/>
          <w:vertAlign w:val="superscript"/>
          <w:rtl/>
        </w:rPr>
        <w:t>-</w:t>
      </w:r>
      <w:r>
        <w:rPr>
          <w:rFonts w:hint="cs"/>
          <w:rtl/>
        </w:rPr>
        <w:t>המשפט הגוזר את העונש. הסדר טיעון, כשהוא לעצמו, הוא שיקול מרכזי בגזירת הדין הן מטעמים של אינטרס הציבור הן כדי למלא אחר ציפיות הנאשם המוותר בהודאתו על זכותו לניהול ההליך הפלילי עד תומו. האינטרס הציבורי במובנו הרחב מחייב את בתי</w:t>
      </w:r>
      <w:r>
        <w:rPr>
          <w:rFonts w:hint="cs"/>
          <w:vertAlign w:val="superscript"/>
          <w:rtl/>
        </w:rPr>
        <w:t>-</w:t>
      </w:r>
      <w:r>
        <w:rPr>
          <w:rFonts w:hint="cs"/>
          <w:rtl/>
        </w:rPr>
        <w:t>המשפט לעודד קיומם של הסדרי טיעון. קיום הסדרי טיעון מאפשר פריסה רחבה יותר של אכיפת החוק, ובכך יש כוח מרתיע כשלעצמו, העשוי לאזן את אפקט ההקלה בעונש במקרה הקונקרטי. ...ככלל, בית</w:t>
      </w:r>
      <w:r>
        <w:rPr>
          <w:rFonts w:hint="cs"/>
          <w:vertAlign w:val="superscript"/>
          <w:rtl/>
        </w:rPr>
        <w:t>-</w:t>
      </w:r>
      <w:r>
        <w:rPr>
          <w:rFonts w:hint="cs"/>
          <w:rtl/>
        </w:rPr>
        <w:t xml:space="preserve">המשפט יראה לקיים את הסדר הטיעון בשל הטעמים הקשורים בחשיבותם ובמעמדם של הסדרי הטיעון". - </w:t>
      </w:r>
      <w:hyperlink r:id="rId12" w:history="1">
        <w:r w:rsidR="00303A85" w:rsidRPr="00303A85">
          <w:rPr>
            <w:rFonts w:ascii="FrankRuehl" w:hAnsi="FrankRuehl"/>
            <w:color w:val="0000FF"/>
            <w:u w:val="single"/>
            <w:rtl/>
          </w:rPr>
          <w:t xml:space="preserve">ע"פ 1958/98‏ </w:t>
        </w:r>
      </w:hyperlink>
      <w:r>
        <w:rPr>
          <w:rFonts w:ascii="FrankRuehl" w:hAnsi="FrankRuehl" w:hint="cs"/>
          <w:color w:val="000000"/>
          <w:rtl/>
        </w:rPr>
        <w:t xml:space="preserve"> פלוני נ' מדינת ישראל, פ''ד נז(1) 577</w:t>
      </w:r>
      <w:r>
        <w:rPr>
          <w:rFonts w:ascii="FrankRuehl" w:hAnsi="FrankRuehl" w:hint="cs"/>
          <w:color w:val="000000"/>
          <w:rtl/>
          <w:lang w:eastAsia="he-IL"/>
        </w:rPr>
        <w:t>.</w:t>
      </w:r>
    </w:p>
    <w:p w14:paraId="6C80132B" w14:textId="77777777" w:rsidR="00B32950" w:rsidRDefault="00B32950" w:rsidP="00B32950">
      <w:pPr>
        <w:spacing w:line="360" w:lineRule="auto"/>
        <w:ind w:left="1440" w:hanging="720"/>
        <w:jc w:val="both"/>
        <w:rPr>
          <w:rFonts w:ascii="FrankRuehl" w:hAnsi="FrankRuehl"/>
          <w:color w:val="000000"/>
          <w:rtl/>
        </w:rPr>
      </w:pPr>
      <w:r>
        <w:rPr>
          <w:rFonts w:ascii="FrankRuehl" w:hAnsi="FrankRuehl" w:hint="cs"/>
          <w:color w:val="000000"/>
          <w:rtl/>
        </w:rPr>
        <w:t>ב.</w:t>
      </w:r>
      <w:r>
        <w:rPr>
          <w:rFonts w:ascii="FrankRuehl" w:hAnsi="FrankRuehl" w:hint="cs"/>
          <w:color w:val="000000"/>
          <w:rtl/>
        </w:rPr>
        <w:tab/>
        <w:t xml:space="preserve">הנאשם בחור צעיר אשר בזמן ביצוע העבירה היה מתחת לגיל 20. </w:t>
      </w:r>
    </w:p>
    <w:p w14:paraId="086C5BD3" w14:textId="77777777" w:rsidR="00B32950" w:rsidRDefault="00B32950" w:rsidP="00B32950">
      <w:pPr>
        <w:spacing w:line="360" w:lineRule="auto"/>
        <w:ind w:left="1440" w:hanging="720"/>
        <w:jc w:val="both"/>
        <w:rPr>
          <w:rFonts w:ascii="FrankRuehl" w:hAnsi="FrankRuehl"/>
          <w:color w:val="000000"/>
          <w:rtl/>
        </w:rPr>
      </w:pPr>
      <w:r>
        <w:rPr>
          <w:rFonts w:ascii="FrankRuehl" w:hAnsi="FrankRuehl" w:hint="cs"/>
          <w:color w:val="000000"/>
          <w:rtl/>
        </w:rPr>
        <w:t>ג.</w:t>
      </w:r>
      <w:r>
        <w:rPr>
          <w:rFonts w:ascii="FrankRuehl" w:hAnsi="FrankRuehl" w:hint="cs"/>
          <w:color w:val="000000"/>
          <w:rtl/>
        </w:rPr>
        <w:tab/>
        <w:t>אין לנאשם הרשעות קודמות.</w:t>
      </w:r>
    </w:p>
    <w:p w14:paraId="400B633A" w14:textId="77777777" w:rsidR="00B32950" w:rsidRDefault="00B32950" w:rsidP="00B32950">
      <w:pPr>
        <w:spacing w:line="360" w:lineRule="auto"/>
        <w:ind w:left="1440" w:hanging="720"/>
        <w:jc w:val="both"/>
        <w:rPr>
          <w:rFonts w:ascii="FrankRuehl" w:hAnsi="FrankRuehl"/>
          <w:color w:val="000000"/>
          <w:rtl/>
        </w:rPr>
      </w:pPr>
      <w:r>
        <w:rPr>
          <w:rFonts w:ascii="FrankRuehl" w:hAnsi="FrankRuehl" w:hint="cs"/>
          <w:color w:val="000000"/>
          <w:rtl/>
        </w:rPr>
        <w:t>ד.</w:t>
      </w:r>
      <w:r>
        <w:rPr>
          <w:rFonts w:ascii="FrankRuehl" w:hAnsi="FrankRuehl" w:hint="cs"/>
          <w:color w:val="000000"/>
          <w:rtl/>
        </w:rPr>
        <w:tab/>
        <w:t xml:space="preserve">זהו מאסרו הראשון של הנאשם. </w:t>
      </w:r>
    </w:p>
    <w:p w14:paraId="0FEA7D0B" w14:textId="77777777" w:rsidR="00B32950" w:rsidRDefault="00B32950" w:rsidP="00B32950">
      <w:pPr>
        <w:spacing w:line="360" w:lineRule="auto"/>
        <w:ind w:left="1440" w:hanging="720"/>
        <w:jc w:val="both"/>
        <w:rPr>
          <w:rFonts w:ascii="FrankRuehl" w:hAnsi="FrankRuehl"/>
          <w:color w:val="000000"/>
          <w:rtl/>
        </w:rPr>
      </w:pPr>
      <w:r>
        <w:rPr>
          <w:rFonts w:ascii="FrankRuehl" w:hAnsi="FrankRuehl" w:hint="cs"/>
          <w:color w:val="000000"/>
          <w:rtl/>
        </w:rPr>
        <w:t>ה.</w:t>
      </w:r>
      <w:r>
        <w:rPr>
          <w:rFonts w:ascii="FrankRuehl" w:hAnsi="FrankRuehl" w:hint="cs"/>
          <w:color w:val="000000"/>
          <w:rtl/>
        </w:rPr>
        <w:tab/>
        <w:t>הנאשם הודה במיוחס לו וחסך זמן שיפוט ומשאבים הכרוכים בניהול משפט.</w:t>
      </w:r>
    </w:p>
    <w:p w14:paraId="31CBC1B9" w14:textId="77777777" w:rsidR="00B32950" w:rsidRDefault="00B32950" w:rsidP="00B32950">
      <w:pPr>
        <w:spacing w:line="360" w:lineRule="auto"/>
        <w:ind w:left="1440" w:hanging="720"/>
        <w:jc w:val="both"/>
        <w:rPr>
          <w:rFonts w:ascii="FrankRuehl" w:hAnsi="FrankRuehl"/>
          <w:color w:val="000000"/>
          <w:rtl/>
        </w:rPr>
      </w:pPr>
      <w:r>
        <w:rPr>
          <w:rFonts w:ascii="FrankRuehl" w:hAnsi="FrankRuehl" w:hint="cs"/>
          <w:color w:val="000000"/>
          <w:rtl/>
        </w:rPr>
        <w:t>ו.</w:t>
      </w:r>
      <w:r>
        <w:rPr>
          <w:rFonts w:ascii="FrankRuehl" w:hAnsi="FrankRuehl" w:hint="cs"/>
          <w:color w:val="000000"/>
          <w:rtl/>
        </w:rPr>
        <w:tab/>
        <w:t xml:space="preserve">העונש המוצע בהסדר הטיעון כולל תקופת מאסר משמעותית והוא נמצא בתוך מתחם העונש ההולם את העבירה בנסיבותיה, גם אם ברף הנמוך. </w:t>
      </w:r>
    </w:p>
    <w:p w14:paraId="70D3AEEB" w14:textId="77777777" w:rsidR="00B32950" w:rsidRDefault="00B32950" w:rsidP="00B32950">
      <w:pPr>
        <w:spacing w:line="360" w:lineRule="auto"/>
        <w:ind w:left="720"/>
        <w:jc w:val="both"/>
        <w:rPr>
          <w:rFonts w:ascii="FrankRuehl" w:hAnsi="FrankRuehl"/>
          <w:color w:val="000000"/>
          <w:rtl/>
        </w:rPr>
      </w:pPr>
    </w:p>
    <w:p w14:paraId="03EA6FFA" w14:textId="77777777" w:rsidR="00B32950" w:rsidRDefault="00B32950" w:rsidP="00B32950">
      <w:pPr>
        <w:spacing w:line="360" w:lineRule="auto"/>
        <w:ind w:left="720" w:hanging="720"/>
        <w:jc w:val="both"/>
        <w:rPr>
          <w:rFonts w:ascii="FrankRuehl" w:hAnsi="FrankRuehl"/>
          <w:color w:val="000000"/>
          <w:rtl/>
        </w:rPr>
      </w:pPr>
      <w:r>
        <w:rPr>
          <w:rFonts w:ascii="FrankRuehl" w:hAnsi="FrankRuehl" w:hint="cs"/>
          <w:color w:val="000000"/>
          <w:rtl/>
        </w:rPr>
        <w:t>10.</w:t>
      </w:r>
      <w:r>
        <w:rPr>
          <w:rFonts w:ascii="FrankRuehl" w:hAnsi="FrankRuehl" w:hint="cs"/>
          <w:color w:val="000000"/>
          <w:rtl/>
        </w:rPr>
        <w:tab/>
        <w:t>בהתחשב במעשה הנאשם בנסיבותיו, בעבירה בה הורשע, בהסדר הטיעון ובנתוני הנאשם, אני גוזר על הנאשם את העונשים הבאים:</w:t>
      </w:r>
    </w:p>
    <w:p w14:paraId="53D66E03" w14:textId="77777777" w:rsidR="00B32950" w:rsidRDefault="00B32950" w:rsidP="00B32950">
      <w:pPr>
        <w:spacing w:line="360" w:lineRule="auto"/>
        <w:ind w:left="1440" w:hanging="720"/>
        <w:jc w:val="both"/>
        <w:rPr>
          <w:rFonts w:ascii="FrankRuehl" w:hAnsi="FrankRuehl"/>
          <w:color w:val="000000"/>
          <w:rtl/>
        </w:rPr>
      </w:pPr>
      <w:r>
        <w:rPr>
          <w:rFonts w:ascii="FrankRuehl" w:hAnsi="FrankRuehl" w:hint="cs"/>
          <w:color w:val="000000"/>
          <w:rtl/>
        </w:rPr>
        <w:t>א.</w:t>
      </w:r>
      <w:r>
        <w:rPr>
          <w:rFonts w:ascii="FrankRuehl" w:hAnsi="FrankRuehl" w:hint="cs"/>
          <w:color w:val="000000"/>
          <w:rtl/>
        </w:rPr>
        <w:tab/>
        <w:t>30 חודשי מאסר בפועל, מיום מעצרו.</w:t>
      </w:r>
    </w:p>
    <w:p w14:paraId="644738A9" w14:textId="77777777" w:rsidR="00B32950" w:rsidRDefault="00B32950" w:rsidP="00B32950">
      <w:pPr>
        <w:spacing w:line="360" w:lineRule="auto"/>
        <w:ind w:left="1440" w:hanging="720"/>
        <w:jc w:val="both"/>
        <w:rPr>
          <w:rFonts w:ascii="FrankRuehl" w:hAnsi="FrankRuehl"/>
          <w:color w:val="000000"/>
          <w:rtl/>
        </w:rPr>
      </w:pPr>
      <w:r>
        <w:rPr>
          <w:rFonts w:ascii="FrankRuehl" w:hAnsi="FrankRuehl" w:hint="cs"/>
          <w:color w:val="000000"/>
          <w:rtl/>
        </w:rPr>
        <w:t>ב.</w:t>
      </w:r>
      <w:r>
        <w:rPr>
          <w:rFonts w:ascii="FrankRuehl" w:hAnsi="FrankRuehl" w:hint="cs"/>
          <w:color w:val="000000"/>
          <w:rtl/>
        </w:rPr>
        <w:tab/>
        <w:t>12 חודשי מאסר על תנאי למשך שלוש שנים מיום שחרורו מהמאסר, שלא יעבור עבירת סמים המסווגת כפשע.</w:t>
      </w:r>
    </w:p>
    <w:p w14:paraId="1B55A7DA" w14:textId="77777777" w:rsidR="00B32950" w:rsidRDefault="00B32950" w:rsidP="00B32950">
      <w:pPr>
        <w:spacing w:line="360" w:lineRule="auto"/>
        <w:ind w:left="1440" w:hanging="720"/>
        <w:jc w:val="both"/>
        <w:rPr>
          <w:rFonts w:ascii="FrankRuehl" w:hAnsi="FrankRuehl"/>
          <w:color w:val="000000"/>
          <w:rtl/>
        </w:rPr>
      </w:pPr>
      <w:r>
        <w:rPr>
          <w:rFonts w:ascii="FrankRuehl" w:hAnsi="FrankRuehl" w:hint="cs"/>
          <w:color w:val="000000"/>
          <w:rtl/>
        </w:rPr>
        <w:t>ג.</w:t>
      </w:r>
      <w:r>
        <w:rPr>
          <w:rFonts w:ascii="FrankRuehl" w:hAnsi="FrankRuehl" w:hint="cs"/>
          <w:color w:val="000000"/>
          <w:rtl/>
        </w:rPr>
        <w:tab/>
        <w:t xml:space="preserve">קנס בסך 10,000 ₪ או 45 ימי מאסר תחתיו. </w:t>
      </w:r>
    </w:p>
    <w:p w14:paraId="401524B8" w14:textId="77777777" w:rsidR="00B32950" w:rsidRDefault="00B32950" w:rsidP="00B32950">
      <w:pPr>
        <w:spacing w:line="360" w:lineRule="auto"/>
        <w:ind w:left="1440" w:hanging="720"/>
        <w:jc w:val="both"/>
        <w:rPr>
          <w:rFonts w:ascii="FrankRuehl" w:hAnsi="FrankRuehl"/>
          <w:color w:val="000000"/>
          <w:rtl/>
        </w:rPr>
      </w:pPr>
      <w:r>
        <w:rPr>
          <w:rFonts w:ascii="FrankRuehl" w:hAnsi="FrankRuehl" w:hint="cs"/>
          <w:color w:val="000000"/>
          <w:rtl/>
        </w:rPr>
        <w:t>ד.</w:t>
      </w:r>
      <w:r>
        <w:rPr>
          <w:rFonts w:ascii="FrankRuehl" w:hAnsi="FrankRuehl" w:hint="cs"/>
          <w:color w:val="000000"/>
          <w:rtl/>
        </w:rPr>
        <w:tab/>
        <w:t>6 חודשי פסילה על תנאי מלהחזיק או לקבל רישיון נהיגה למשך 12 חודשים מיום שחרורו מהמאסר.</w:t>
      </w:r>
    </w:p>
    <w:p w14:paraId="062E8E79" w14:textId="77777777" w:rsidR="00B32950" w:rsidRDefault="00B32950" w:rsidP="00B32950">
      <w:pPr>
        <w:spacing w:line="360" w:lineRule="auto"/>
        <w:ind w:left="1440" w:hanging="720"/>
        <w:jc w:val="both"/>
        <w:rPr>
          <w:rFonts w:ascii="FrankRuehl" w:hAnsi="FrankRuehl"/>
          <w:color w:val="000000"/>
        </w:rPr>
      </w:pPr>
    </w:p>
    <w:p w14:paraId="431C7373" w14:textId="77777777" w:rsidR="00B32950" w:rsidRPr="00D57792" w:rsidRDefault="00B32950" w:rsidP="00B32950">
      <w:pPr>
        <w:spacing w:line="360" w:lineRule="auto"/>
        <w:ind w:left="1440" w:hanging="720"/>
        <w:rPr>
          <w:rFonts w:ascii="Calibri" w:hAnsi="Calibri"/>
          <w:color w:val="000000"/>
        </w:rPr>
      </w:pPr>
      <w:r w:rsidRPr="00D57792">
        <w:rPr>
          <w:rFonts w:ascii="Calibri" w:hAnsi="Calibri" w:hint="cs"/>
          <w:color w:val="000000"/>
          <w:rtl/>
        </w:rPr>
        <w:t>זכות ערעור בתוך 45 יום מהיום.</w:t>
      </w:r>
    </w:p>
    <w:p w14:paraId="3585E529" w14:textId="77777777" w:rsidR="00B32950" w:rsidRPr="007A6DBB" w:rsidRDefault="00B32950" w:rsidP="00B32950">
      <w:pPr>
        <w:rPr>
          <w:rtl/>
        </w:rPr>
      </w:pPr>
    </w:p>
    <w:p w14:paraId="6CB51C53" w14:textId="77777777" w:rsidR="00B32950" w:rsidRPr="00B05847" w:rsidRDefault="00B32950" w:rsidP="00B32950">
      <w:pPr>
        <w:rPr>
          <w:rtl/>
        </w:rPr>
      </w:pPr>
    </w:p>
    <w:p w14:paraId="7B0C9276" w14:textId="77777777" w:rsidR="00B32950" w:rsidRPr="00B05847" w:rsidRDefault="00B32950" w:rsidP="00B32950">
      <w:pPr>
        <w:rPr>
          <w:rtl/>
        </w:rPr>
      </w:pPr>
    </w:p>
    <w:p w14:paraId="2C5BB1E1" w14:textId="77777777" w:rsidR="00B32950" w:rsidRPr="00B05847" w:rsidRDefault="00B32950" w:rsidP="00B32950">
      <w:pPr>
        <w:rPr>
          <w:rtl/>
        </w:rPr>
      </w:pPr>
    </w:p>
    <w:p w14:paraId="54C3C5B3" w14:textId="77777777" w:rsidR="00B32950" w:rsidRPr="00B05847" w:rsidRDefault="00B32950" w:rsidP="00B32950">
      <w:pPr>
        <w:rPr>
          <w:rtl/>
        </w:rPr>
      </w:pPr>
    </w:p>
    <w:p w14:paraId="7584505F" w14:textId="77777777" w:rsidR="00B32950" w:rsidRPr="007F0B26" w:rsidRDefault="007F0B26" w:rsidP="00B32950">
      <w:pPr>
        <w:rPr>
          <w:color w:val="FFFFFF"/>
          <w:sz w:val="2"/>
          <w:szCs w:val="2"/>
          <w:rtl/>
        </w:rPr>
      </w:pPr>
      <w:r w:rsidRPr="007F0B26">
        <w:rPr>
          <w:color w:val="FFFFFF"/>
          <w:sz w:val="2"/>
          <w:szCs w:val="2"/>
          <w:rtl/>
        </w:rPr>
        <w:t>5129371</w:t>
      </w:r>
    </w:p>
    <w:p w14:paraId="700C3F60" w14:textId="77777777" w:rsidR="00B32950" w:rsidRDefault="007F0B26" w:rsidP="00B32950">
      <w:pPr>
        <w:rPr>
          <w:rFonts w:cs="FrankRuehl"/>
          <w:sz w:val="28"/>
          <w:szCs w:val="28"/>
          <w:rtl/>
        </w:rPr>
      </w:pPr>
      <w:r w:rsidRPr="007F0B26">
        <w:rPr>
          <w:rFonts w:ascii="Arial" w:hAnsi="Arial"/>
          <w:color w:val="FFFFFF"/>
          <w:sz w:val="2"/>
          <w:szCs w:val="2"/>
          <w:rtl/>
        </w:rPr>
        <w:t>54678313</w:t>
      </w:r>
      <w:r>
        <w:rPr>
          <w:rFonts w:ascii="Arial" w:hAnsi="Arial"/>
          <w:rtl/>
        </w:rPr>
        <w:t xml:space="preserve">ניתן היום,  כ"א סיוון תשע"ו, 27 יוני 2016, בהעדר הצדדים. </w:t>
      </w:r>
    </w:p>
    <w:p w14:paraId="20E83140" w14:textId="77777777" w:rsidR="00B32950" w:rsidRDefault="00B32950" w:rsidP="00B3295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6B622F8" w14:textId="77777777" w:rsidR="00B32950" w:rsidRDefault="00B32950" w:rsidP="00B32950">
      <w:pPr>
        <w:jc w:val="center"/>
        <w:rPr>
          <w:rFonts w:ascii="Arial" w:hAnsi="Arial" w:cs="FrankRuehl"/>
          <w:sz w:val="28"/>
          <w:szCs w:val="28"/>
          <w:rtl/>
        </w:rPr>
      </w:pPr>
    </w:p>
    <w:p w14:paraId="146838D9" w14:textId="77777777" w:rsidR="00B32950" w:rsidRDefault="00B32950" w:rsidP="00B32950">
      <w:pPr>
        <w:rPr>
          <w:rFonts w:cs="FrankRuehl"/>
          <w:sz w:val="28"/>
          <w:szCs w:val="28"/>
          <w:rtl/>
        </w:rPr>
      </w:pPr>
    </w:p>
    <w:p w14:paraId="7D598B82" w14:textId="77777777" w:rsidR="00B32950" w:rsidRDefault="00B32950" w:rsidP="00B32950">
      <w:pPr>
        <w:pStyle w:val="a3"/>
        <w:jc w:val="center"/>
        <w:rPr>
          <w:rtl/>
        </w:rPr>
      </w:pPr>
    </w:p>
    <w:p w14:paraId="6F4A00A5" w14:textId="77777777" w:rsidR="007F0B26" w:rsidRPr="007F0B26" w:rsidRDefault="007F0B26" w:rsidP="007F0B26">
      <w:pPr>
        <w:keepNext/>
        <w:rPr>
          <w:rFonts w:ascii="David" w:hAnsi="David"/>
          <w:color w:val="000000"/>
          <w:sz w:val="22"/>
          <w:szCs w:val="22"/>
          <w:rtl/>
        </w:rPr>
      </w:pPr>
    </w:p>
    <w:p w14:paraId="0507B50D" w14:textId="77777777" w:rsidR="007F0B26" w:rsidRPr="007F0B26" w:rsidRDefault="007F0B26" w:rsidP="007F0B26">
      <w:pPr>
        <w:keepNext/>
        <w:rPr>
          <w:rFonts w:ascii="David" w:hAnsi="David"/>
          <w:color w:val="000000"/>
          <w:sz w:val="22"/>
          <w:szCs w:val="22"/>
          <w:rtl/>
        </w:rPr>
      </w:pPr>
      <w:r w:rsidRPr="007F0B26">
        <w:rPr>
          <w:rFonts w:ascii="David" w:hAnsi="David"/>
          <w:color w:val="000000"/>
          <w:sz w:val="22"/>
          <w:szCs w:val="22"/>
          <w:rtl/>
        </w:rPr>
        <w:t>אליהו ביתן 54678313</w:t>
      </w:r>
    </w:p>
    <w:p w14:paraId="13B977FC" w14:textId="77777777" w:rsidR="007F0B26" w:rsidRDefault="007F0B26" w:rsidP="007F0B26">
      <w:r w:rsidRPr="007F0B26">
        <w:rPr>
          <w:color w:val="000000"/>
          <w:rtl/>
        </w:rPr>
        <w:t>נוסח מסמך זה כפוף לשינויי ניסוח ועריכה</w:t>
      </w:r>
    </w:p>
    <w:p w14:paraId="4D3CC43B" w14:textId="77777777" w:rsidR="007F0B26" w:rsidRDefault="007F0B26" w:rsidP="007F0B26">
      <w:pPr>
        <w:rPr>
          <w:rtl/>
        </w:rPr>
      </w:pPr>
    </w:p>
    <w:p w14:paraId="2F40E26D" w14:textId="77777777" w:rsidR="007F0B26" w:rsidRDefault="007F0B26" w:rsidP="007F0B26">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r w:rsidR="00303A85">
        <w:rPr>
          <w:rFonts w:hint="cs"/>
          <w:color w:val="0000FF"/>
          <w:u w:val="single"/>
          <w:rtl/>
        </w:rPr>
        <w:t xml:space="preserve"> </w:t>
      </w:r>
    </w:p>
    <w:p w14:paraId="673B4504" w14:textId="77777777" w:rsidR="00B1215F" w:rsidRPr="007F0B26" w:rsidRDefault="00B1215F" w:rsidP="007F0B26">
      <w:pPr>
        <w:jc w:val="center"/>
        <w:rPr>
          <w:color w:val="0000FF"/>
          <w:u w:val="single"/>
        </w:rPr>
      </w:pPr>
    </w:p>
    <w:sectPr w:rsidR="00B1215F" w:rsidRPr="007F0B26" w:rsidSect="007F0B26">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FEB11" w14:textId="77777777" w:rsidR="004B1E9A" w:rsidRDefault="004B1E9A">
      <w:r>
        <w:separator/>
      </w:r>
    </w:p>
  </w:endnote>
  <w:endnote w:type="continuationSeparator" w:id="0">
    <w:p w14:paraId="5AD17DDD" w14:textId="77777777" w:rsidR="004B1E9A" w:rsidRDefault="004B1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82ACE" w14:textId="77777777" w:rsidR="00713FE6" w:rsidRDefault="00713FE6" w:rsidP="007F0B2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CAF0371" w14:textId="77777777" w:rsidR="00713FE6" w:rsidRPr="007F0B26" w:rsidRDefault="00713FE6" w:rsidP="007F0B26">
    <w:pPr>
      <w:pStyle w:val="a4"/>
      <w:pBdr>
        <w:top w:val="single" w:sz="4" w:space="1" w:color="auto"/>
        <w:between w:val="single" w:sz="4" w:space="0" w:color="auto"/>
      </w:pBdr>
      <w:spacing w:after="60"/>
      <w:jc w:val="center"/>
      <w:rPr>
        <w:rFonts w:ascii="FrankRuehl" w:hAnsi="FrankRuehl" w:cs="FrankRuehl"/>
        <w:color w:val="000000"/>
      </w:rPr>
    </w:pPr>
    <w:r w:rsidRPr="007F0B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26416" w14:textId="77777777" w:rsidR="00713FE6" w:rsidRDefault="00713FE6" w:rsidP="007F0B2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796A">
      <w:rPr>
        <w:rFonts w:ascii="FrankRuehl" w:hAnsi="FrankRuehl" w:cs="FrankRuehl"/>
        <w:noProof/>
        <w:rtl/>
      </w:rPr>
      <w:t>1</w:t>
    </w:r>
    <w:r>
      <w:rPr>
        <w:rFonts w:ascii="FrankRuehl" w:hAnsi="FrankRuehl" w:cs="FrankRuehl"/>
        <w:rtl/>
      </w:rPr>
      <w:fldChar w:fldCharType="end"/>
    </w:r>
  </w:p>
  <w:p w14:paraId="78B65BDB" w14:textId="77777777" w:rsidR="00713FE6" w:rsidRPr="007F0B26" w:rsidRDefault="00713FE6" w:rsidP="007F0B26">
    <w:pPr>
      <w:pStyle w:val="a4"/>
      <w:pBdr>
        <w:top w:val="single" w:sz="4" w:space="1" w:color="auto"/>
        <w:between w:val="single" w:sz="4" w:space="0" w:color="auto"/>
      </w:pBdr>
      <w:spacing w:after="60"/>
      <w:jc w:val="center"/>
      <w:rPr>
        <w:rFonts w:ascii="FrankRuehl" w:hAnsi="FrankRuehl" w:cs="FrankRuehl"/>
        <w:color w:val="000000"/>
      </w:rPr>
    </w:pPr>
    <w:r w:rsidRPr="007F0B26">
      <w:rPr>
        <w:rFonts w:ascii="FrankRuehl" w:hAnsi="FrankRuehl" w:cs="FrankRuehl"/>
        <w:color w:val="000000"/>
      </w:rPr>
      <w:pict w14:anchorId="0043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E7E43" w14:textId="77777777" w:rsidR="004B1E9A" w:rsidRDefault="004B1E9A">
      <w:r>
        <w:separator/>
      </w:r>
    </w:p>
  </w:footnote>
  <w:footnote w:type="continuationSeparator" w:id="0">
    <w:p w14:paraId="2135B05E" w14:textId="77777777" w:rsidR="004B1E9A" w:rsidRDefault="004B1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D802D" w14:textId="77777777" w:rsidR="00713FE6" w:rsidRPr="007F0B26" w:rsidRDefault="00713FE6" w:rsidP="007F0B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53457-11-15</w:t>
    </w:r>
    <w:r>
      <w:rPr>
        <w:rFonts w:ascii="David" w:hAnsi="David"/>
        <w:color w:val="000000"/>
        <w:sz w:val="22"/>
        <w:szCs w:val="22"/>
        <w:rtl/>
      </w:rPr>
      <w:tab/>
      <w:t xml:space="preserve"> מדינת ישראל נ' ויאצ'סלב סודוק איסטחרוב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56A2E" w14:textId="77777777" w:rsidR="00713FE6" w:rsidRPr="007F0B26" w:rsidRDefault="00713FE6" w:rsidP="007F0B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53457-11-15</w:t>
    </w:r>
    <w:r>
      <w:rPr>
        <w:rFonts w:ascii="David" w:hAnsi="David"/>
        <w:color w:val="000000"/>
        <w:sz w:val="22"/>
        <w:szCs w:val="22"/>
        <w:rtl/>
      </w:rPr>
      <w:tab/>
      <w:t xml:space="preserve"> מדינת ישראל נ' ויאצ'סלב סודוק איסטחרוב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2950"/>
    <w:rsid w:val="00174FB2"/>
    <w:rsid w:val="0021404A"/>
    <w:rsid w:val="00303A85"/>
    <w:rsid w:val="00417BFF"/>
    <w:rsid w:val="00475EF6"/>
    <w:rsid w:val="004B1E9A"/>
    <w:rsid w:val="005C14C6"/>
    <w:rsid w:val="005D73F9"/>
    <w:rsid w:val="00713FE6"/>
    <w:rsid w:val="00732609"/>
    <w:rsid w:val="007F0B26"/>
    <w:rsid w:val="008A5E28"/>
    <w:rsid w:val="008B515F"/>
    <w:rsid w:val="009643D1"/>
    <w:rsid w:val="0099796A"/>
    <w:rsid w:val="00A30678"/>
    <w:rsid w:val="00B1215F"/>
    <w:rsid w:val="00B32950"/>
    <w:rsid w:val="00E82B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594106"/>
  <w15:chartTrackingRefBased/>
  <w15:docId w15:val="{7D14ADDC-40DE-42FB-83B5-6D4C58C1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32950"/>
    <w:pPr>
      <w:bidi/>
    </w:pPr>
    <w:rPr>
      <w:rFonts w:cs="David"/>
      <w:sz w:val="24"/>
      <w:szCs w:val="24"/>
    </w:rPr>
  </w:style>
  <w:style w:type="paragraph" w:styleId="1">
    <w:name w:val="heading 1"/>
    <w:basedOn w:val="a"/>
    <w:next w:val="a"/>
    <w:qFormat/>
    <w:rsid w:val="00B32950"/>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32950"/>
    <w:pPr>
      <w:tabs>
        <w:tab w:val="center" w:pos="4153"/>
        <w:tab w:val="right" w:pos="8306"/>
      </w:tabs>
    </w:pPr>
  </w:style>
  <w:style w:type="paragraph" w:styleId="a4">
    <w:name w:val="footer"/>
    <w:basedOn w:val="a"/>
    <w:rsid w:val="00B32950"/>
    <w:pPr>
      <w:tabs>
        <w:tab w:val="center" w:pos="4153"/>
        <w:tab w:val="right" w:pos="8306"/>
      </w:tabs>
    </w:pPr>
  </w:style>
  <w:style w:type="character" w:styleId="a5">
    <w:name w:val="page number"/>
    <w:basedOn w:val="a0"/>
    <w:rsid w:val="00B32950"/>
  </w:style>
  <w:style w:type="paragraph" w:styleId="a6">
    <w:name w:val="Body Text Indent"/>
    <w:basedOn w:val="a"/>
    <w:link w:val="a7"/>
    <w:rsid w:val="00B32950"/>
    <w:pPr>
      <w:spacing w:line="360" w:lineRule="auto"/>
      <w:ind w:left="720" w:hanging="720"/>
    </w:pPr>
    <w:rPr>
      <w:rFonts w:cs="FrankRuehl"/>
      <w:szCs w:val="28"/>
      <w:lang w:eastAsia="he-IL"/>
    </w:rPr>
  </w:style>
  <w:style w:type="character" w:customStyle="1" w:styleId="a7">
    <w:name w:val="כניסה בגוף טקסט תו"/>
    <w:link w:val="a6"/>
    <w:rsid w:val="00B32950"/>
    <w:rPr>
      <w:rFonts w:cs="FrankRuehl"/>
      <w:sz w:val="24"/>
      <w:szCs w:val="28"/>
      <w:lang w:val="en-US" w:eastAsia="he-IL" w:bidi="he-IL"/>
    </w:rPr>
  </w:style>
  <w:style w:type="character" w:styleId="Hyperlink">
    <w:name w:val="Hyperlink"/>
    <w:rsid w:val="007F0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case/5910650"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1018</Words>
  <Characters>5094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6100</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3276920</vt:i4>
      </vt:variant>
      <vt:variant>
        <vt:i4>18</vt:i4>
      </vt:variant>
      <vt:variant>
        <vt:i4>0</vt:i4>
      </vt:variant>
      <vt:variant>
        <vt:i4>5</vt:i4>
      </vt:variant>
      <vt:variant>
        <vt:lpwstr>http://www.nevo.co.il/case/5910650</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2025-04-22T20:41:00Z</dcterms:created>
  <dcterms:modified xsi:type="dcterms:W3CDTF">2025-04-22T20:41:00Z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53457</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ויאצ'סלב סודוק איסטחרוב</vt:lpwstr>
  </property>
  <property fmtid="{D5CDD505-2E9C-101B-9397-08002B2CF9AE}" pid="10" name="LAWYER">
    <vt:lpwstr>לימור הלל;אפרת צרפתי</vt:lpwstr>
  </property>
  <property fmtid="{D5CDD505-2E9C-101B-9397-08002B2CF9AE}" pid="11" name="JUDGE">
    <vt:lpwstr>אליהו ביתן</vt:lpwstr>
  </property>
  <property fmtid="{D5CDD505-2E9C-101B-9397-08002B2CF9AE}" pid="12" name="CITY">
    <vt:lpwstr>ב"ש</vt:lpwstr>
  </property>
  <property fmtid="{D5CDD505-2E9C-101B-9397-08002B2CF9AE}" pid="13" name="TYPE_N_DATE">
    <vt:lpwstr>39020160727</vt:lpwstr>
  </property>
  <property fmtid="{D5CDD505-2E9C-101B-9397-08002B2CF9AE}" pid="14" name="WORDNUMPAGES">
    <vt:lpwstr>4</vt:lpwstr>
  </property>
  <property fmtid="{D5CDD505-2E9C-101B-9397-08002B2CF9AE}" pid="15" name="ISABSTRACT">
    <vt:lpwstr>Y</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CASESLISTTMP1">
    <vt:lpwstr>5910650</vt:lpwstr>
  </property>
  <property fmtid="{D5CDD505-2E9C-101B-9397-08002B2CF9AE}" pid="34" name="LAWLISTTMP1">
    <vt:lpwstr>4216/007.a;007.c</vt:lpwstr>
  </property>
  <property fmtid="{D5CDD505-2E9C-101B-9397-08002B2CF9AE}" pid="35" name="DATE">
    <vt:lpwstr>20160727</vt:lpwstr>
  </property>
  <property fmtid="{D5CDD505-2E9C-101B-9397-08002B2CF9AE}" pid="36" name="TYPE_ABS_DATE">
    <vt:lpwstr>390020160727</vt:lpwstr>
  </property>
</Properties>
</file>