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5"/>
        <w:gridCol w:w="3676"/>
      </w:tblGrid>
      <w:tr w:rsidR="0039373B" w:rsidRPr="00896DC7" w14:paraId="66EF065D" w14:textId="77777777">
        <w:trPr>
          <w:trHeight w:hRule="exact" w:val="418"/>
          <w:jc w:val="center"/>
        </w:trPr>
        <w:tc>
          <w:tcPr>
            <w:tcW w:w="8721" w:type="dxa"/>
            <w:gridSpan w:val="2"/>
          </w:tcPr>
          <w:p w14:paraId="733582FD" w14:textId="77777777" w:rsidR="0039373B" w:rsidRPr="00896DC7" w:rsidRDefault="0039373B" w:rsidP="00896DC7">
            <w:pPr>
              <w:pStyle w:val="a3"/>
              <w:jc w:val="center"/>
              <w:rPr>
                <w:rFonts w:ascii="Tahoma" w:hAnsi="Tahoma"/>
                <w:color w:val="000080"/>
                <w:sz w:val="32"/>
                <w:szCs w:val="32"/>
                <w:rtl/>
              </w:rPr>
            </w:pPr>
            <w:bookmarkStart w:id="0" w:name="LastJudge"/>
            <w:r w:rsidRPr="00896DC7">
              <w:rPr>
                <w:rFonts w:ascii="Tahoma" w:hAnsi="Tahoma"/>
                <w:b/>
                <w:bCs/>
                <w:color w:val="000080"/>
                <w:sz w:val="32"/>
                <w:szCs w:val="32"/>
                <w:rtl/>
              </w:rPr>
              <w:t>בית המשפט המחוזי בתל אביב - יפו</w:t>
            </w:r>
          </w:p>
        </w:tc>
      </w:tr>
      <w:tr w:rsidR="0039373B" w:rsidRPr="00896DC7" w14:paraId="6A68D807" w14:textId="77777777">
        <w:trPr>
          <w:trHeight w:val="337"/>
          <w:jc w:val="center"/>
        </w:trPr>
        <w:tc>
          <w:tcPr>
            <w:tcW w:w="5045" w:type="dxa"/>
          </w:tcPr>
          <w:p w14:paraId="7AD411B2" w14:textId="77777777" w:rsidR="0039373B" w:rsidRPr="00896DC7" w:rsidRDefault="0039373B" w:rsidP="00896DC7">
            <w:pPr>
              <w:rPr>
                <w:sz w:val="26"/>
                <w:szCs w:val="26"/>
                <w:rtl/>
              </w:rPr>
            </w:pPr>
            <w:r w:rsidRPr="00896DC7">
              <w:rPr>
                <w:sz w:val="26"/>
                <w:szCs w:val="26"/>
                <w:rtl/>
              </w:rPr>
              <w:t>ת"פ</w:t>
            </w:r>
            <w:r w:rsidRPr="00896DC7">
              <w:rPr>
                <w:rFonts w:hint="cs"/>
                <w:sz w:val="26"/>
                <w:szCs w:val="26"/>
                <w:rtl/>
              </w:rPr>
              <w:t xml:space="preserve"> </w:t>
            </w:r>
            <w:r w:rsidRPr="00896DC7">
              <w:rPr>
                <w:sz w:val="26"/>
                <w:szCs w:val="26"/>
                <w:rtl/>
              </w:rPr>
              <w:t>13882-12-15</w:t>
            </w:r>
            <w:r w:rsidRPr="00896DC7">
              <w:rPr>
                <w:rFonts w:hint="cs"/>
                <w:sz w:val="26"/>
                <w:szCs w:val="26"/>
                <w:rtl/>
              </w:rPr>
              <w:t xml:space="preserve"> </w:t>
            </w:r>
            <w:r w:rsidRPr="00896DC7">
              <w:rPr>
                <w:sz w:val="26"/>
                <w:szCs w:val="26"/>
                <w:rtl/>
              </w:rPr>
              <w:t>מדינת ישראל נ' דותן ואח'</w:t>
            </w:r>
          </w:p>
          <w:p w14:paraId="34B7D9CB" w14:textId="77777777" w:rsidR="0039373B" w:rsidRPr="00896DC7" w:rsidRDefault="0039373B" w:rsidP="00896DC7">
            <w:pPr>
              <w:pStyle w:val="a3"/>
              <w:rPr>
                <w:rFonts w:cs="FrankRuehl"/>
                <w:sz w:val="28"/>
                <w:szCs w:val="28"/>
                <w:rtl/>
              </w:rPr>
            </w:pPr>
          </w:p>
        </w:tc>
        <w:tc>
          <w:tcPr>
            <w:tcW w:w="3676" w:type="dxa"/>
          </w:tcPr>
          <w:p w14:paraId="0C2B0B9A" w14:textId="77777777" w:rsidR="0039373B" w:rsidRPr="00896DC7" w:rsidRDefault="0039373B" w:rsidP="00896DC7">
            <w:pPr>
              <w:pStyle w:val="a3"/>
              <w:rPr>
                <w:rFonts w:cs="FrankRuehl"/>
                <w:sz w:val="28"/>
                <w:szCs w:val="28"/>
                <w:rtl/>
              </w:rPr>
            </w:pPr>
            <w:r w:rsidRPr="00896DC7">
              <w:rPr>
                <w:rFonts w:cs="FrankRuehl" w:hint="cs"/>
                <w:sz w:val="28"/>
                <w:szCs w:val="28"/>
                <w:rtl/>
              </w:rPr>
              <w:t>תאריך: 3.1.2017</w:t>
            </w:r>
          </w:p>
        </w:tc>
      </w:tr>
    </w:tbl>
    <w:p w14:paraId="53347084" w14:textId="77777777" w:rsidR="0039373B" w:rsidRPr="00896DC7" w:rsidRDefault="0039373B" w:rsidP="0039373B">
      <w:pPr>
        <w:pStyle w:val="a3"/>
        <w:rPr>
          <w:rtl/>
        </w:rPr>
      </w:pPr>
      <w:r w:rsidRPr="00896DC7">
        <w:rPr>
          <w:rFonts w:hint="cs"/>
          <w:rtl/>
        </w:rPr>
        <w:t xml:space="preserve"> </w:t>
      </w:r>
    </w:p>
    <w:p w14:paraId="1DCD47FB" w14:textId="77777777" w:rsidR="0039373B" w:rsidRPr="00896DC7" w:rsidRDefault="0039373B" w:rsidP="0039373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3"/>
        <w:gridCol w:w="4279"/>
        <w:gridCol w:w="3648"/>
      </w:tblGrid>
      <w:tr w:rsidR="0039373B" w:rsidRPr="00896DC7" w14:paraId="53278532" w14:textId="77777777">
        <w:trPr>
          <w:trHeight w:val="295"/>
          <w:jc w:val="center"/>
        </w:trPr>
        <w:tc>
          <w:tcPr>
            <w:tcW w:w="598" w:type="dxa"/>
            <w:tcBorders>
              <w:top w:val="nil"/>
              <w:left w:val="nil"/>
              <w:bottom w:val="nil"/>
              <w:right w:val="nil"/>
            </w:tcBorders>
            <w:shd w:val="clear" w:color="auto" w:fill="auto"/>
          </w:tcPr>
          <w:p w14:paraId="674F1B5C" w14:textId="77777777" w:rsidR="0039373B" w:rsidRPr="00896DC7" w:rsidRDefault="0039373B" w:rsidP="00896DC7">
            <w:pPr>
              <w:jc w:val="both"/>
              <w:rPr>
                <w:rFonts w:ascii="Arial" w:hAnsi="Arial"/>
                <w:b/>
                <w:bCs/>
                <w:sz w:val="26"/>
                <w:szCs w:val="26"/>
              </w:rPr>
            </w:pPr>
            <w:r w:rsidRPr="00896DC7">
              <w:rPr>
                <w:rFonts w:ascii="Arial" w:hAnsi="Arial" w:hint="cs"/>
                <w:b/>
                <w:bCs/>
                <w:sz w:val="26"/>
                <w:szCs w:val="26"/>
                <w:rtl/>
              </w:rPr>
              <w:t>ל</w:t>
            </w:r>
            <w:r w:rsidRPr="00896DC7">
              <w:rPr>
                <w:rFonts w:ascii="Arial" w:hAnsi="Arial"/>
                <w:b/>
                <w:bCs/>
                <w:sz w:val="26"/>
                <w:szCs w:val="26"/>
                <w:rtl/>
              </w:rPr>
              <w:t xml:space="preserve">פני </w:t>
            </w:r>
          </w:p>
        </w:tc>
        <w:tc>
          <w:tcPr>
            <w:tcW w:w="8222" w:type="dxa"/>
            <w:gridSpan w:val="2"/>
            <w:tcBorders>
              <w:top w:val="nil"/>
              <w:left w:val="nil"/>
              <w:bottom w:val="nil"/>
              <w:right w:val="nil"/>
            </w:tcBorders>
            <w:shd w:val="clear" w:color="auto" w:fill="auto"/>
          </w:tcPr>
          <w:p w14:paraId="60D97495" w14:textId="77777777" w:rsidR="0039373B" w:rsidRPr="00896DC7" w:rsidRDefault="0039373B" w:rsidP="00896DC7">
            <w:pPr>
              <w:rPr>
                <w:rFonts w:ascii="Arial" w:hAnsi="Arial"/>
                <w:b/>
                <w:bCs/>
                <w:sz w:val="26"/>
                <w:szCs w:val="26"/>
                <w:rtl/>
              </w:rPr>
            </w:pPr>
            <w:r w:rsidRPr="00896DC7">
              <w:rPr>
                <w:rFonts w:ascii="Arial" w:hAnsi="Arial" w:hint="cs"/>
                <w:b/>
                <w:bCs/>
                <w:sz w:val="26"/>
                <w:szCs w:val="26"/>
                <w:rtl/>
              </w:rPr>
              <w:t>כבוד ה</w:t>
            </w:r>
            <w:r w:rsidRPr="00896DC7">
              <w:rPr>
                <w:rFonts w:hint="cs"/>
                <w:sz w:val="26"/>
                <w:szCs w:val="26"/>
                <w:rtl/>
              </w:rPr>
              <w:t>שופט עמית</w:t>
            </w:r>
            <w:r w:rsidRPr="00896DC7">
              <w:rPr>
                <w:rFonts w:ascii="Arial" w:hAnsi="Arial" w:hint="cs"/>
                <w:b/>
                <w:bCs/>
                <w:sz w:val="26"/>
                <w:szCs w:val="26"/>
                <w:rtl/>
              </w:rPr>
              <w:t xml:space="preserve">  </w:t>
            </w:r>
            <w:r w:rsidRPr="00896DC7">
              <w:rPr>
                <w:rFonts w:hint="cs"/>
                <w:sz w:val="26"/>
                <w:szCs w:val="26"/>
                <w:rtl/>
              </w:rPr>
              <w:t>צבי גורפינקל</w:t>
            </w:r>
          </w:p>
          <w:p w14:paraId="115A6201" w14:textId="77777777" w:rsidR="0039373B" w:rsidRPr="00896DC7" w:rsidRDefault="0039373B" w:rsidP="00896DC7">
            <w:pPr>
              <w:rPr>
                <w:sz w:val="26"/>
                <w:szCs w:val="26"/>
                <w:rtl/>
              </w:rPr>
            </w:pPr>
          </w:p>
          <w:p w14:paraId="536E8D17" w14:textId="77777777" w:rsidR="0039373B" w:rsidRPr="00896DC7" w:rsidRDefault="0039373B" w:rsidP="00896DC7">
            <w:pPr>
              <w:jc w:val="both"/>
              <w:rPr>
                <w:rFonts w:ascii="Arial" w:hAnsi="Arial"/>
                <w:sz w:val="26"/>
                <w:szCs w:val="26"/>
              </w:rPr>
            </w:pPr>
          </w:p>
        </w:tc>
      </w:tr>
      <w:tr w:rsidR="0039373B" w:rsidRPr="00896DC7" w14:paraId="18BEFC5F" w14:textId="77777777">
        <w:trPr>
          <w:trHeight w:val="355"/>
          <w:jc w:val="center"/>
        </w:trPr>
        <w:tc>
          <w:tcPr>
            <w:tcW w:w="598" w:type="dxa"/>
            <w:tcBorders>
              <w:top w:val="nil"/>
              <w:left w:val="nil"/>
              <w:bottom w:val="nil"/>
              <w:right w:val="nil"/>
            </w:tcBorders>
            <w:shd w:val="clear" w:color="auto" w:fill="auto"/>
          </w:tcPr>
          <w:p w14:paraId="2E2DA0D6" w14:textId="77777777" w:rsidR="0039373B" w:rsidRPr="00896DC7" w:rsidRDefault="0039373B" w:rsidP="00896DC7">
            <w:pPr>
              <w:spacing w:line="360" w:lineRule="auto"/>
              <w:jc w:val="both"/>
              <w:rPr>
                <w:rFonts w:ascii="Arial" w:hAnsi="Arial"/>
                <w:b/>
                <w:bCs/>
                <w:sz w:val="26"/>
                <w:szCs w:val="26"/>
              </w:rPr>
            </w:pPr>
            <w:bookmarkStart w:id="1" w:name="FirstAppellant"/>
            <w:bookmarkStart w:id="2" w:name="FirstLawyer"/>
            <w:r w:rsidRPr="00896DC7">
              <w:rPr>
                <w:rFonts w:ascii="Arial" w:hAnsi="Arial" w:hint="cs"/>
                <w:b/>
                <w:bCs/>
                <w:sz w:val="26"/>
                <w:szCs w:val="26"/>
                <w:rtl/>
              </w:rPr>
              <w:t>בעניין:</w:t>
            </w:r>
          </w:p>
        </w:tc>
        <w:tc>
          <w:tcPr>
            <w:tcW w:w="4451" w:type="dxa"/>
            <w:tcBorders>
              <w:top w:val="nil"/>
              <w:left w:val="nil"/>
              <w:bottom w:val="nil"/>
              <w:right w:val="nil"/>
            </w:tcBorders>
            <w:shd w:val="clear" w:color="auto" w:fill="auto"/>
          </w:tcPr>
          <w:p w14:paraId="27800B22" w14:textId="77777777" w:rsidR="0039373B" w:rsidRPr="00896DC7" w:rsidRDefault="0039373B" w:rsidP="00896DC7">
            <w:pPr>
              <w:spacing w:line="360" w:lineRule="auto"/>
              <w:rPr>
                <w:sz w:val="26"/>
                <w:szCs w:val="26"/>
                <w:rtl/>
              </w:rPr>
            </w:pPr>
            <w:r w:rsidRPr="00896DC7">
              <w:rPr>
                <w:rFonts w:hint="cs"/>
                <w:sz w:val="26"/>
                <w:szCs w:val="26"/>
                <w:rtl/>
              </w:rPr>
              <w:t>מדינת ישראל</w:t>
            </w:r>
          </w:p>
          <w:p w14:paraId="7637E593" w14:textId="77777777" w:rsidR="0039373B" w:rsidRPr="00896DC7" w:rsidRDefault="0039373B" w:rsidP="00896DC7">
            <w:pPr>
              <w:spacing w:line="360" w:lineRule="auto"/>
              <w:rPr>
                <w:sz w:val="26"/>
                <w:szCs w:val="26"/>
              </w:rPr>
            </w:pPr>
            <w:r w:rsidRPr="00896DC7">
              <w:rPr>
                <w:rFonts w:hint="cs"/>
                <w:sz w:val="26"/>
                <w:szCs w:val="26"/>
                <w:rtl/>
              </w:rPr>
              <w:t xml:space="preserve">ע"י ב"כ עו"ד: נועם שביט </w:t>
            </w:r>
          </w:p>
        </w:tc>
        <w:tc>
          <w:tcPr>
            <w:tcW w:w="3771" w:type="dxa"/>
            <w:tcBorders>
              <w:top w:val="nil"/>
              <w:left w:val="nil"/>
              <w:bottom w:val="nil"/>
              <w:right w:val="nil"/>
            </w:tcBorders>
            <w:shd w:val="clear" w:color="auto" w:fill="auto"/>
          </w:tcPr>
          <w:p w14:paraId="596F2A84" w14:textId="77777777" w:rsidR="0039373B" w:rsidRPr="00896DC7" w:rsidRDefault="0039373B" w:rsidP="00896DC7">
            <w:pPr>
              <w:spacing w:line="360" w:lineRule="auto"/>
              <w:jc w:val="both"/>
              <w:rPr>
                <w:rFonts w:ascii="Arial" w:hAnsi="Arial"/>
                <w:sz w:val="26"/>
                <w:szCs w:val="26"/>
              </w:rPr>
            </w:pPr>
          </w:p>
        </w:tc>
      </w:tr>
      <w:bookmarkEnd w:id="1"/>
      <w:bookmarkEnd w:id="2"/>
      <w:tr w:rsidR="0039373B" w:rsidRPr="00896DC7" w14:paraId="06C9C555" w14:textId="77777777">
        <w:trPr>
          <w:trHeight w:val="355"/>
          <w:jc w:val="center"/>
        </w:trPr>
        <w:tc>
          <w:tcPr>
            <w:tcW w:w="598" w:type="dxa"/>
            <w:tcBorders>
              <w:top w:val="nil"/>
              <w:left w:val="nil"/>
              <w:bottom w:val="nil"/>
              <w:right w:val="nil"/>
            </w:tcBorders>
            <w:shd w:val="clear" w:color="auto" w:fill="auto"/>
          </w:tcPr>
          <w:p w14:paraId="71E489FF" w14:textId="77777777" w:rsidR="0039373B" w:rsidRPr="00896DC7" w:rsidRDefault="0039373B" w:rsidP="00896DC7">
            <w:pPr>
              <w:spacing w:line="360" w:lineRule="auto"/>
              <w:jc w:val="both"/>
              <w:rPr>
                <w:rFonts w:ascii="Arial" w:hAnsi="Arial"/>
                <w:sz w:val="26"/>
                <w:szCs w:val="26"/>
                <w:rtl/>
              </w:rPr>
            </w:pPr>
          </w:p>
        </w:tc>
        <w:tc>
          <w:tcPr>
            <w:tcW w:w="4451" w:type="dxa"/>
            <w:tcBorders>
              <w:top w:val="nil"/>
              <w:left w:val="nil"/>
              <w:bottom w:val="nil"/>
              <w:right w:val="nil"/>
            </w:tcBorders>
            <w:shd w:val="clear" w:color="auto" w:fill="auto"/>
          </w:tcPr>
          <w:p w14:paraId="678EF265" w14:textId="77777777" w:rsidR="0039373B" w:rsidRPr="00896DC7" w:rsidRDefault="0039373B" w:rsidP="00896DC7">
            <w:pPr>
              <w:spacing w:line="360" w:lineRule="auto"/>
              <w:jc w:val="both"/>
              <w:rPr>
                <w:sz w:val="26"/>
                <w:szCs w:val="26"/>
                <w:rtl/>
              </w:rPr>
            </w:pPr>
          </w:p>
        </w:tc>
        <w:tc>
          <w:tcPr>
            <w:tcW w:w="3771" w:type="dxa"/>
            <w:tcBorders>
              <w:top w:val="nil"/>
              <w:left w:val="nil"/>
              <w:bottom w:val="nil"/>
              <w:right w:val="nil"/>
            </w:tcBorders>
            <w:shd w:val="clear" w:color="auto" w:fill="auto"/>
          </w:tcPr>
          <w:p w14:paraId="71F60925" w14:textId="77777777" w:rsidR="0039373B" w:rsidRPr="00896DC7" w:rsidRDefault="0039373B" w:rsidP="00896DC7">
            <w:pPr>
              <w:spacing w:line="360" w:lineRule="auto"/>
              <w:jc w:val="right"/>
              <w:rPr>
                <w:rFonts w:ascii="Arial" w:hAnsi="Arial"/>
                <w:sz w:val="26"/>
                <w:szCs w:val="26"/>
                <w:rtl/>
              </w:rPr>
            </w:pPr>
            <w:r w:rsidRPr="00896DC7">
              <w:rPr>
                <w:rFonts w:ascii="Arial" w:hAnsi="Arial" w:hint="cs"/>
                <w:sz w:val="26"/>
                <w:szCs w:val="26"/>
                <w:rtl/>
              </w:rPr>
              <w:t>ה</w:t>
            </w:r>
            <w:r w:rsidRPr="00896DC7">
              <w:rPr>
                <w:rFonts w:hint="cs"/>
                <w:sz w:val="26"/>
                <w:szCs w:val="26"/>
                <w:rtl/>
              </w:rPr>
              <w:t>מאשימה</w:t>
            </w:r>
          </w:p>
        </w:tc>
      </w:tr>
      <w:tr w:rsidR="0039373B" w:rsidRPr="00896DC7" w14:paraId="5C3FE9E3" w14:textId="77777777">
        <w:trPr>
          <w:trHeight w:val="355"/>
          <w:jc w:val="center"/>
        </w:trPr>
        <w:tc>
          <w:tcPr>
            <w:tcW w:w="598" w:type="dxa"/>
            <w:tcBorders>
              <w:top w:val="nil"/>
              <w:left w:val="nil"/>
              <w:bottom w:val="nil"/>
              <w:right w:val="nil"/>
            </w:tcBorders>
            <w:shd w:val="clear" w:color="auto" w:fill="auto"/>
          </w:tcPr>
          <w:p w14:paraId="05A40F25" w14:textId="77777777" w:rsidR="0039373B" w:rsidRPr="00896DC7" w:rsidRDefault="0039373B" w:rsidP="00896DC7">
            <w:pPr>
              <w:spacing w:line="360" w:lineRule="auto"/>
              <w:jc w:val="both"/>
              <w:rPr>
                <w:rFonts w:ascii="Arial" w:hAnsi="Arial"/>
                <w:sz w:val="26"/>
                <w:szCs w:val="26"/>
                <w:rtl/>
              </w:rPr>
            </w:pPr>
          </w:p>
        </w:tc>
        <w:tc>
          <w:tcPr>
            <w:tcW w:w="8222" w:type="dxa"/>
            <w:gridSpan w:val="2"/>
            <w:tcBorders>
              <w:top w:val="nil"/>
              <w:left w:val="nil"/>
              <w:bottom w:val="nil"/>
              <w:right w:val="nil"/>
            </w:tcBorders>
            <w:shd w:val="clear" w:color="auto" w:fill="auto"/>
          </w:tcPr>
          <w:p w14:paraId="01E5B9F0" w14:textId="77777777" w:rsidR="0039373B" w:rsidRPr="00896DC7" w:rsidRDefault="0039373B" w:rsidP="00896DC7">
            <w:pPr>
              <w:spacing w:line="360" w:lineRule="auto"/>
              <w:jc w:val="center"/>
              <w:rPr>
                <w:rFonts w:ascii="Arial" w:hAnsi="Arial"/>
                <w:b/>
                <w:bCs/>
                <w:sz w:val="26"/>
                <w:szCs w:val="26"/>
                <w:rtl/>
              </w:rPr>
            </w:pPr>
          </w:p>
          <w:p w14:paraId="651AE834" w14:textId="77777777" w:rsidR="0039373B" w:rsidRPr="00896DC7" w:rsidRDefault="0039373B" w:rsidP="00896DC7">
            <w:pPr>
              <w:spacing w:line="360" w:lineRule="auto"/>
              <w:jc w:val="center"/>
              <w:rPr>
                <w:rFonts w:ascii="Arial" w:hAnsi="Arial"/>
                <w:b/>
                <w:bCs/>
                <w:sz w:val="26"/>
                <w:szCs w:val="26"/>
                <w:rtl/>
              </w:rPr>
            </w:pPr>
            <w:r w:rsidRPr="00896DC7">
              <w:rPr>
                <w:rFonts w:ascii="Arial" w:hAnsi="Arial"/>
                <w:b/>
                <w:bCs/>
                <w:sz w:val="26"/>
                <w:szCs w:val="26"/>
                <w:rtl/>
              </w:rPr>
              <w:t>נגד</w:t>
            </w:r>
          </w:p>
          <w:p w14:paraId="544AFFB0" w14:textId="77777777" w:rsidR="0039373B" w:rsidRPr="00896DC7" w:rsidRDefault="0039373B" w:rsidP="00896DC7">
            <w:pPr>
              <w:spacing w:line="360" w:lineRule="auto"/>
              <w:jc w:val="both"/>
              <w:rPr>
                <w:rFonts w:ascii="Arial" w:hAnsi="Arial"/>
                <w:sz w:val="26"/>
                <w:szCs w:val="26"/>
              </w:rPr>
            </w:pPr>
          </w:p>
        </w:tc>
      </w:tr>
      <w:tr w:rsidR="0039373B" w:rsidRPr="00896DC7" w14:paraId="3EC739DD" w14:textId="77777777">
        <w:trPr>
          <w:trHeight w:val="355"/>
          <w:jc w:val="center"/>
        </w:trPr>
        <w:tc>
          <w:tcPr>
            <w:tcW w:w="598" w:type="dxa"/>
            <w:tcBorders>
              <w:top w:val="nil"/>
              <w:left w:val="nil"/>
              <w:bottom w:val="nil"/>
              <w:right w:val="nil"/>
            </w:tcBorders>
            <w:shd w:val="clear" w:color="auto" w:fill="auto"/>
          </w:tcPr>
          <w:p w14:paraId="1AFC9956" w14:textId="77777777" w:rsidR="0039373B" w:rsidRPr="00896DC7" w:rsidRDefault="0039373B" w:rsidP="00896DC7">
            <w:pPr>
              <w:spacing w:line="360" w:lineRule="auto"/>
              <w:rPr>
                <w:rFonts w:ascii="Arial" w:hAnsi="Arial"/>
                <w:sz w:val="26"/>
                <w:szCs w:val="26"/>
                <w:rtl/>
              </w:rPr>
            </w:pPr>
          </w:p>
        </w:tc>
        <w:tc>
          <w:tcPr>
            <w:tcW w:w="4451" w:type="dxa"/>
            <w:tcBorders>
              <w:top w:val="nil"/>
              <w:left w:val="nil"/>
              <w:bottom w:val="nil"/>
              <w:right w:val="nil"/>
            </w:tcBorders>
            <w:shd w:val="clear" w:color="auto" w:fill="auto"/>
          </w:tcPr>
          <w:p w14:paraId="679332FC" w14:textId="77777777" w:rsidR="0039373B" w:rsidRPr="00896DC7" w:rsidRDefault="0039373B" w:rsidP="00896DC7">
            <w:pPr>
              <w:spacing w:line="360" w:lineRule="auto"/>
              <w:rPr>
                <w:sz w:val="26"/>
                <w:szCs w:val="26"/>
                <w:rtl/>
              </w:rPr>
            </w:pPr>
            <w:r w:rsidRPr="00896DC7">
              <w:rPr>
                <w:rFonts w:hint="cs"/>
                <w:sz w:val="26"/>
                <w:szCs w:val="26"/>
                <w:rtl/>
              </w:rPr>
              <w:t>2</w:t>
            </w:r>
            <w:r w:rsidRPr="00896DC7">
              <w:rPr>
                <w:rFonts w:ascii="Arial" w:hAnsi="Arial" w:hint="cs"/>
                <w:sz w:val="26"/>
                <w:szCs w:val="26"/>
                <w:rtl/>
              </w:rPr>
              <w:t>.</w:t>
            </w:r>
            <w:r w:rsidRPr="00896DC7">
              <w:rPr>
                <w:rFonts w:hint="cs"/>
                <w:sz w:val="26"/>
                <w:szCs w:val="26"/>
                <w:rtl/>
              </w:rPr>
              <w:t>רועי חברה (עציר)</w:t>
            </w:r>
          </w:p>
          <w:p w14:paraId="1517D6F9" w14:textId="77777777" w:rsidR="0039373B" w:rsidRPr="00896DC7" w:rsidRDefault="0039373B" w:rsidP="00896DC7">
            <w:pPr>
              <w:spacing w:line="360" w:lineRule="auto"/>
              <w:rPr>
                <w:sz w:val="26"/>
                <w:szCs w:val="26"/>
                <w:rtl/>
              </w:rPr>
            </w:pPr>
            <w:r w:rsidRPr="00896DC7">
              <w:rPr>
                <w:rFonts w:hint="cs"/>
                <w:sz w:val="26"/>
                <w:szCs w:val="26"/>
                <w:rtl/>
              </w:rPr>
              <w:t xml:space="preserve">ע"י ב"כ עו"ד: שרון בן צבי </w:t>
            </w:r>
          </w:p>
        </w:tc>
        <w:tc>
          <w:tcPr>
            <w:tcW w:w="3771" w:type="dxa"/>
            <w:tcBorders>
              <w:top w:val="nil"/>
              <w:left w:val="nil"/>
              <w:bottom w:val="nil"/>
              <w:right w:val="nil"/>
            </w:tcBorders>
            <w:shd w:val="clear" w:color="auto" w:fill="auto"/>
          </w:tcPr>
          <w:p w14:paraId="4E9ED7BD" w14:textId="77777777" w:rsidR="0039373B" w:rsidRPr="00896DC7" w:rsidRDefault="0039373B" w:rsidP="00896DC7">
            <w:pPr>
              <w:spacing w:line="360" w:lineRule="auto"/>
              <w:jc w:val="right"/>
              <w:rPr>
                <w:rFonts w:ascii="Arial" w:hAnsi="Arial"/>
                <w:sz w:val="26"/>
                <w:szCs w:val="26"/>
              </w:rPr>
            </w:pPr>
          </w:p>
        </w:tc>
      </w:tr>
      <w:tr w:rsidR="0039373B" w:rsidRPr="00896DC7" w14:paraId="0873F0EA" w14:textId="77777777">
        <w:trPr>
          <w:trHeight w:val="355"/>
          <w:jc w:val="center"/>
        </w:trPr>
        <w:tc>
          <w:tcPr>
            <w:tcW w:w="598" w:type="dxa"/>
            <w:tcBorders>
              <w:top w:val="nil"/>
              <w:left w:val="nil"/>
              <w:bottom w:val="nil"/>
              <w:right w:val="nil"/>
            </w:tcBorders>
            <w:shd w:val="clear" w:color="auto" w:fill="auto"/>
          </w:tcPr>
          <w:p w14:paraId="7C03A2B5" w14:textId="77777777" w:rsidR="0039373B" w:rsidRPr="00896DC7" w:rsidRDefault="0039373B" w:rsidP="00896DC7">
            <w:pPr>
              <w:spacing w:line="360" w:lineRule="auto"/>
              <w:jc w:val="both"/>
              <w:rPr>
                <w:rFonts w:ascii="Arial" w:hAnsi="Arial"/>
                <w:sz w:val="26"/>
                <w:szCs w:val="26"/>
                <w:rtl/>
              </w:rPr>
            </w:pPr>
          </w:p>
        </w:tc>
        <w:tc>
          <w:tcPr>
            <w:tcW w:w="4451" w:type="dxa"/>
            <w:tcBorders>
              <w:top w:val="nil"/>
              <w:left w:val="nil"/>
              <w:bottom w:val="nil"/>
              <w:right w:val="nil"/>
            </w:tcBorders>
            <w:shd w:val="clear" w:color="auto" w:fill="auto"/>
          </w:tcPr>
          <w:p w14:paraId="3285E846" w14:textId="77777777" w:rsidR="0039373B" w:rsidRPr="00896DC7" w:rsidRDefault="0039373B" w:rsidP="00896DC7">
            <w:pPr>
              <w:spacing w:line="360" w:lineRule="auto"/>
              <w:jc w:val="both"/>
              <w:rPr>
                <w:sz w:val="26"/>
                <w:szCs w:val="26"/>
                <w:rtl/>
              </w:rPr>
            </w:pPr>
          </w:p>
        </w:tc>
        <w:tc>
          <w:tcPr>
            <w:tcW w:w="3771" w:type="dxa"/>
            <w:tcBorders>
              <w:top w:val="nil"/>
              <w:left w:val="nil"/>
              <w:bottom w:val="nil"/>
              <w:right w:val="nil"/>
            </w:tcBorders>
            <w:shd w:val="clear" w:color="auto" w:fill="auto"/>
          </w:tcPr>
          <w:p w14:paraId="562C9C45" w14:textId="77777777" w:rsidR="0039373B" w:rsidRPr="00896DC7" w:rsidRDefault="0039373B" w:rsidP="00896DC7">
            <w:pPr>
              <w:spacing w:line="360" w:lineRule="auto"/>
              <w:jc w:val="right"/>
              <w:rPr>
                <w:rFonts w:ascii="Arial" w:hAnsi="Arial"/>
                <w:sz w:val="26"/>
                <w:szCs w:val="26"/>
              </w:rPr>
            </w:pPr>
            <w:r w:rsidRPr="00896DC7">
              <w:rPr>
                <w:rFonts w:ascii="Arial" w:hAnsi="Arial" w:hint="cs"/>
                <w:sz w:val="26"/>
                <w:szCs w:val="26"/>
                <w:rtl/>
              </w:rPr>
              <w:t>ה</w:t>
            </w:r>
            <w:r w:rsidRPr="00896DC7">
              <w:rPr>
                <w:rFonts w:hint="cs"/>
                <w:sz w:val="26"/>
                <w:szCs w:val="26"/>
                <w:rtl/>
              </w:rPr>
              <w:t>נאשם</w:t>
            </w:r>
          </w:p>
        </w:tc>
      </w:tr>
    </w:tbl>
    <w:p w14:paraId="62EDFF6C" w14:textId="77777777" w:rsidR="00887A1F" w:rsidRPr="00887A1F" w:rsidRDefault="00887A1F" w:rsidP="00887A1F">
      <w:pPr>
        <w:spacing w:after="120" w:line="240" w:lineRule="exact"/>
        <w:ind w:left="283" w:hanging="283"/>
        <w:jc w:val="both"/>
        <w:rPr>
          <w:rFonts w:ascii="FrankRuehl" w:hAnsi="FrankRuehl" w:cs="FrankRuehl"/>
          <w:rtl/>
        </w:rPr>
      </w:pPr>
      <w:bookmarkStart w:id="3" w:name="LawTable"/>
      <w:bookmarkEnd w:id="3"/>
      <w:r w:rsidRPr="00887A1F">
        <w:rPr>
          <w:rFonts w:ascii="FrankRuehl" w:hAnsi="FrankRuehl" w:cs="FrankRuehl"/>
          <w:rtl/>
        </w:rPr>
        <w:t xml:space="preserve">חקיקה שאוזכרה: </w:t>
      </w:r>
    </w:p>
    <w:p w14:paraId="5F6CB7D6" w14:textId="77777777" w:rsidR="00887A1F" w:rsidRPr="00887A1F" w:rsidRDefault="00887A1F" w:rsidP="00887A1F">
      <w:pPr>
        <w:spacing w:after="120" w:line="240" w:lineRule="exact"/>
        <w:ind w:left="283" w:hanging="283"/>
        <w:jc w:val="both"/>
        <w:rPr>
          <w:rFonts w:ascii="FrankRuehl" w:hAnsi="FrankRuehl" w:cs="FrankRuehl"/>
          <w:rtl/>
        </w:rPr>
      </w:pPr>
      <w:hyperlink r:id="rId6" w:history="1">
        <w:r w:rsidRPr="00887A1F">
          <w:rPr>
            <w:rFonts w:ascii="FrankRuehl" w:hAnsi="FrankRuehl" w:cs="FrankRuehl"/>
            <w:color w:val="0000FF"/>
            <w:u w:val="single"/>
            <w:rtl/>
          </w:rPr>
          <w:t>חוק העונשין, תשל"ז-1977</w:t>
        </w:r>
      </w:hyperlink>
      <w:r w:rsidRPr="00887A1F">
        <w:rPr>
          <w:rFonts w:ascii="FrankRuehl" w:hAnsi="FrankRuehl" w:cs="FrankRuehl"/>
          <w:rtl/>
        </w:rPr>
        <w:t xml:space="preserve">: סע'  </w:t>
      </w:r>
      <w:hyperlink r:id="rId7" w:history="1">
        <w:r w:rsidRPr="00887A1F">
          <w:rPr>
            <w:rFonts w:ascii="FrankRuehl" w:hAnsi="FrankRuehl" w:cs="FrankRuehl"/>
            <w:color w:val="0000FF"/>
            <w:u w:val="single"/>
            <w:rtl/>
          </w:rPr>
          <w:t>25</w:t>
        </w:r>
      </w:hyperlink>
      <w:r w:rsidRPr="00887A1F">
        <w:rPr>
          <w:rFonts w:ascii="FrankRuehl" w:hAnsi="FrankRuehl" w:cs="FrankRuehl"/>
          <w:rtl/>
        </w:rPr>
        <w:t xml:space="preserve">, </w:t>
      </w:r>
      <w:hyperlink r:id="rId8" w:history="1">
        <w:r w:rsidRPr="00887A1F">
          <w:rPr>
            <w:rFonts w:ascii="FrankRuehl" w:hAnsi="FrankRuehl" w:cs="FrankRuehl"/>
            <w:color w:val="0000FF"/>
            <w:u w:val="single"/>
            <w:rtl/>
          </w:rPr>
          <w:t>31</w:t>
        </w:r>
      </w:hyperlink>
      <w:r w:rsidRPr="00887A1F">
        <w:rPr>
          <w:rFonts w:ascii="FrankRuehl" w:hAnsi="FrankRuehl" w:cs="FrankRuehl"/>
          <w:rtl/>
        </w:rPr>
        <w:t xml:space="preserve">, </w:t>
      </w:r>
      <w:hyperlink r:id="rId9" w:history="1">
        <w:r w:rsidRPr="00887A1F">
          <w:rPr>
            <w:rFonts w:ascii="FrankRuehl" w:hAnsi="FrankRuehl" w:cs="FrankRuehl"/>
            <w:color w:val="0000FF"/>
            <w:u w:val="single"/>
            <w:rtl/>
          </w:rPr>
          <w:t>284</w:t>
        </w:r>
      </w:hyperlink>
      <w:r w:rsidRPr="00887A1F">
        <w:rPr>
          <w:rFonts w:ascii="FrankRuehl" w:hAnsi="FrankRuehl" w:cs="FrankRuehl"/>
          <w:rtl/>
        </w:rPr>
        <w:t xml:space="preserve">, </w:t>
      </w:r>
      <w:hyperlink r:id="rId10" w:history="1">
        <w:r w:rsidRPr="00887A1F">
          <w:rPr>
            <w:rFonts w:ascii="FrankRuehl" w:hAnsi="FrankRuehl" w:cs="FrankRuehl"/>
            <w:color w:val="0000FF"/>
            <w:u w:val="single"/>
            <w:rtl/>
          </w:rPr>
          <w:t>295 (א)</w:t>
        </w:r>
      </w:hyperlink>
      <w:r w:rsidRPr="00887A1F">
        <w:rPr>
          <w:rFonts w:ascii="FrankRuehl" w:hAnsi="FrankRuehl" w:cs="FrankRuehl"/>
          <w:rtl/>
        </w:rPr>
        <w:t xml:space="preserve">, </w:t>
      </w:r>
      <w:hyperlink r:id="rId11" w:history="1">
        <w:r w:rsidRPr="00887A1F">
          <w:rPr>
            <w:rFonts w:ascii="FrankRuehl" w:hAnsi="FrankRuehl" w:cs="FrankRuehl"/>
            <w:color w:val="0000FF"/>
            <w:u w:val="single"/>
            <w:rtl/>
          </w:rPr>
          <w:t>415</w:t>
        </w:r>
      </w:hyperlink>
    </w:p>
    <w:p w14:paraId="68D57245" w14:textId="77777777" w:rsidR="00887A1F" w:rsidRPr="00887A1F" w:rsidRDefault="00887A1F" w:rsidP="00887A1F">
      <w:pPr>
        <w:spacing w:after="120" w:line="240" w:lineRule="exact"/>
        <w:ind w:left="283" w:hanging="283"/>
        <w:jc w:val="both"/>
        <w:rPr>
          <w:rFonts w:ascii="FrankRuehl" w:hAnsi="FrankRuehl" w:cs="FrankRuehl"/>
          <w:rtl/>
        </w:rPr>
      </w:pPr>
      <w:hyperlink r:id="rId12" w:history="1">
        <w:r w:rsidRPr="00887A1F">
          <w:rPr>
            <w:rFonts w:ascii="FrankRuehl" w:hAnsi="FrankRuehl" w:cs="FrankRuehl"/>
            <w:color w:val="0000FF"/>
            <w:u w:val="single"/>
            <w:rtl/>
          </w:rPr>
          <w:t>פקודת הסמים המסוכנים [נוסח חדש], תשל"ג-1973</w:t>
        </w:r>
      </w:hyperlink>
      <w:r w:rsidRPr="00887A1F">
        <w:rPr>
          <w:rFonts w:ascii="FrankRuehl" w:hAnsi="FrankRuehl" w:cs="FrankRuehl"/>
          <w:rtl/>
        </w:rPr>
        <w:t xml:space="preserve">: סע'  </w:t>
      </w:r>
      <w:hyperlink r:id="rId13" w:history="1">
        <w:r w:rsidRPr="00887A1F">
          <w:rPr>
            <w:rFonts w:ascii="FrankRuehl" w:hAnsi="FrankRuehl" w:cs="FrankRuehl"/>
            <w:color w:val="0000FF"/>
            <w:u w:val="single"/>
            <w:rtl/>
          </w:rPr>
          <w:t>13</w:t>
        </w:r>
      </w:hyperlink>
    </w:p>
    <w:p w14:paraId="5F8D9FA0" w14:textId="77777777" w:rsidR="00887A1F" w:rsidRPr="00887A1F" w:rsidRDefault="00887A1F" w:rsidP="00887A1F">
      <w:pPr>
        <w:spacing w:after="120" w:line="240" w:lineRule="exact"/>
        <w:ind w:left="283" w:hanging="283"/>
        <w:jc w:val="both"/>
        <w:rPr>
          <w:rFonts w:ascii="FrankRuehl" w:hAnsi="FrankRuehl" w:cs="FrankRuehl"/>
          <w:rtl/>
        </w:rPr>
      </w:pPr>
      <w:hyperlink r:id="rId14" w:history="1">
        <w:r w:rsidRPr="00887A1F">
          <w:rPr>
            <w:rFonts w:ascii="FrankRuehl" w:hAnsi="FrankRuehl" w:cs="FrankRuehl"/>
            <w:color w:val="0000FF"/>
            <w:u w:val="single"/>
            <w:rtl/>
          </w:rPr>
          <w:t>פקודת מס הכנסה [נוסח חדש] - לא מרובד</w:t>
        </w:r>
      </w:hyperlink>
      <w:r w:rsidRPr="00887A1F">
        <w:rPr>
          <w:rFonts w:ascii="FrankRuehl" w:hAnsi="FrankRuehl" w:cs="FrankRuehl"/>
          <w:rtl/>
        </w:rPr>
        <w:t xml:space="preserve">: סע'  </w:t>
      </w:r>
      <w:hyperlink r:id="rId15" w:history="1">
        <w:r w:rsidRPr="00887A1F">
          <w:rPr>
            <w:rFonts w:ascii="FrankRuehl" w:hAnsi="FrankRuehl" w:cs="FrankRuehl"/>
            <w:color w:val="0000FF"/>
            <w:u w:val="single"/>
            <w:rtl/>
          </w:rPr>
          <w:t>220 (5)</w:t>
        </w:r>
      </w:hyperlink>
    </w:p>
    <w:p w14:paraId="57319FCE" w14:textId="77777777" w:rsidR="00887A1F" w:rsidRPr="00887A1F" w:rsidRDefault="00887A1F" w:rsidP="00887A1F">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9373B" w14:paraId="4ED81E5A" w14:textId="77777777">
        <w:trPr>
          <w:trHeight w:val="355"/>
          <w:jc w:val="center"/>
        </w:trPr>
        <w:tc>
          <w:tcPr>
            <w:tcW w:w="8820" w:type="dxa"/>
            <w:tcBorders>
              <w:top w:val="nil"/>
              <w:left w:val="nil"/>
              <w:bottom w:val="nil"/>
              <w:right w:val="nil"/>
            </w:tcBorders>
            <w:shd w:val="clear" w:color="auto" w:fill="auto"/>
          </w:tcPr>
          <w:p w14:paraId="25CC8425" w14:textId="77777777" w:rsidR="00896DC7" w:rsidRPr="00896DC7" w:rsidRDefault="00896DC7" w:rsidP="00896DC7">
            <w:pPr>
              <w:spacing w:line="360" w:lineRule="auto"/>
              <w:jc w:val="center"/>
              <w:rPr>
                <w:rFonts w:ascii="Arial" w:hAnsi="Arial"/>
                <w:b/>
                <w:bCs/>
                <w:sz w:val="28"/>
                <w:szCs w:val="28"/>
                <w:u w:val="single"/>
                <w:rtl/>
              </w:rPr>
            </w:pPr>
            <w:bookmarkStart w:id="4" w:name="LawTable_End"/>
            <w:bookmarkStart w:id="5" w:name="PsakDin" w:colFirst="0" w:colLast="0"/>
            <w:bookmarkEnd w:id="0"/>
            <w:bookmarkEnd w:id="4"/>
            <w:r w:rsidRPr="00896DC7">
              <w:rPr>
                <w:rFonts w:ascii="Arial" w:hAnsi="Arial"/>
                <w:b/>
                <w:bCs/>
                <w:sz w:val="28"/>
                <w:szCs w:val="28"/>
                <w:u w:val="single"/>
                <w:rtl/>
              </w:rPr>
              <w:t>גזר דין</w:t>
            </w:r>
          </w:p>
          <w:p w14:paraId="31F63EE8" w14:textId="77777777" w:rsidR="0039373B" w:rsidRPr="00896DC7" w:rsidRDefault="0039373B" w:rsidP="00896DC7">
            <w:pPr>
              <w:spacing w:line="360" w:lineRule="auto"/>
              <w:jc w:val="center"/>
              <w:rPr>
                <w:rFonts w:ascii="Arial" w:hAnsi="Arial"/>
                <w:bCs/>
                <w:sz w:val="28"/>
                <w:szCs w:val="28"/>
                <w:u w:val="single"/>
                <w:rtl/>
              </w:rPr>
            </w:pPr>
          </w:p>
        </w:tc>
      </w:tr>
      <w:bookmarkEnd w:id="5"/>
    </w:tbl>
    <w:p w14:paraId="541134E4" w14:textId="77777777" w:rsidR="0039373B" w:rsidRPr="00B05847" w:rsidRDefault="0039373B" w:rsidP="0039373B">
      <w:pPr>
        <w:rPr>
          <w:rFonts w:ascii="Arial" w:hAnsi="Arial"/>
          <w:rtl/>
        </w:rPr>
      </w:pPr>
    </w:p>
    <w:p w14:paraId="3326F2A2" w14:textId="77777777" w:rsidR="0039373B" w:rsidRDefault="0039373B" w:rsidP="0039373B">
      <w:pPr>
        <w:spacing w:line="360" w:lineRule="auto"/>
        <w:rPr>
          <w:rtl/>
        </w:rPr>
      </w:pPr>
      <w:r>
        <w:rPr>
          <w:rFonts w:hint="cs"/>
          <w:rtl/>
        </w:rPr>
        <w:t xml:space="preserve">הנאשם 1 היה רופא בכיר במחלקת הרדמה, ועבד גם במרפאת הכאב בבית החולים וולפסון בחולון. במסגרת תפקידיו במרפאת הכאב, המליץ הנאשם על שימוש בסם מסוג קנבוס רפואי, לאלה שנזקקו לסם זה להקלת כאבים, וחתם על טפסי בקשה לקבלת רשיון שימוש בקאנביס למטרות רפואיות. </w:t>
      </w:r>
    </w:p>
    <w:p w14:paraId="78370897" w14:textId="77777777" w:rsidR="0039373B" w:rsidRDefault="0039373B" w:rsidP="0039373B">
      <w:pPr>
        <w:spacing w:line="360" w:lineRule="auto"/>
        <w:rPr>
          <w:rtl/>
        </w:rPr>
      </w:pPr>
    </w:p>
    <w:p w14:paraId="72517D97" w14:textId="77777777" w:rsidR="0039373B" w:rsidRDefault="0039373B" w:rsidP="0039373B">
      <w:pPr>
        <w:spacing w:line="360" w:lineRule="auto"/>
        <w:jc w:val="both"/>
        <w:rPr>
          <w:rtl/>
        </w:rPr>
      </w:pPr>
      <w:r>
        <w:rPr>
          <w:rFonts w:hint="cs"/>
          <w:rtl/>
        </w:rPr>
        <w:t xml:space="preserve">הנאשם 2 הוא פושט רגל, ובינו לבין הנאשם 1 היתה הכרות בת 8 שנים. עובר לשנת 2011 קשרו שני הנאשמים קשר לתת ללקוחות פוטנציאלים שירותים הקשורים בתפקידו של נאשם 1 כרופא במרפאת כאב, בתמורה לקבלת תשלום שלא כדין מהלקוחות, ולספק ללקוחות אלה קנבוס רפואי. </w:t>
      </w:r>
    </w:p>
    <w:p w14:paraId="3B4C0A0F" w14:textId="77777777" w:rsidR="0039373B" w:rsidRDefault="0039373B" w:rsidP="0039373B">
      <w:pPr>
        <w:spacing w:line="360" w:lineRule="auto"/>
        <w:jc w:val="both"/>
        <w:rPr>
          <w:rtl/>
        </w:rPr>
      </w:pPr>
    </w:p>
    <w:p w14:paraId="6F2AB332" w14:textId="77777777" w:rsidR="0039373B" w:rsidRDefault="0039373B" w:rsidP="0039373B">
      <w:pPr>
        <w:spacing w:line="360" w:lineRule="auto"/>
        <w:jc w:val="both"/>
        <w:rPr>
          <w:rtl/>
        </w:rPr>
      </w:pPr>
      <w:r>
        <w:rPr>
          <w:rFonts w:hint="cs"/>
          <w:rtl/>
        </w:rPr>
        <w:t xml:space="preserve">הקשר שיצרו הנאשמים בא לידי ביטוי בכך שנאשם 2 היה יוצר קשר עם לקוחות שחפצו ברישיון לקנבוס רפואי בתמורה לתשלום, ושלא היו זכאים לקבלת הסם עפ"י הנהלים שהוציא משרד הבריאות. לאחר יצירת הקשר עם הלקוח, היה הנאשם 2 קובע תור ללקוח במרפאת הכאב אצל </w:t>
      </w:r>
      <w:r>
        <w:rPr>
          <w:rFonts w:hint="cs"/>
          <w:rtl/>
        </w:rPr>
        <w:lastRenderedPageBreak/>
        <w:t xml:space="preserve">הנאשם 1, תוך עקיפת מערכת זימון התורים, ותוך קביעת מועד מוקדם באופן משמעותי מזה שניתן היה לקבוע דרך מערכת זימון התורים. </w:t>
      </w:r>
    </w:p>
    <w:p w14:paraId="54296585" w14:textId="77777777" w:rsidR="0039373B" w:rsidRDefault="0039373B" w:rsidP="0039373B">
      <w:pPr>
        <w:spacing w:line="360" w:lineRule="auto"/>
        <w:jc w:val="both"/>
        <w:rPr>
          <w:rtl/>
        </w:rPr>
      </w:pPr>
    </w:p>
    <w:p w14:paraId="53288FEF" w14:textId="77777777" w:rsidR="0039373B" w:rsidRDefault="0039373B" w:rsidP="0039373B">
      <w:pPr>
        <w:spacing w:line="360" w:lineRule="auto"/>
        <w:jc w:val="both"/>
        <w:rPr>
          <w:rtl/>
        </w:rPr>
      </w:pPr>
      <w:r>
        <w:rPr>
          <w:rFonts w:hint="cs"/>
          <w:rtl/>
        </w:rPr>
        <w:t xml:space="preserve">הלקוח היה מגיע למרפאות החוץ בבית החולים, נאשם 2 היה פותח לו תיק רפואי שאותו העביר לטיפולו של נאשם 1, כאשר נאשם 1 העמיד לרשותו של נאשם 2 את חותמת הרופא שלו על מנת שיוכל למלא את הטפסים הדרושים לצורך קבלת רישיון לסם. </w:t>
      </w:r>
    </w:p>
    <w:p w14:paraId="56269DE3" w14:textId="77777777" w:rsidR="0039373B" w:rsidRDefault="0039373B" w:rsidP="0039373B">
      <w:pPr>
        <w:spacing w:line="360" w:lineRule="auto"/>
        <w:jc w:val="both"/>
        <w:rPr>
          <w:rtl/>
        </w:rPr>
      </w:pPr>
    </w:p>
    <w:p w14:paraId="2283F40B" w14:textId="77777777" w:rsidR="0039373B" w:rsidRDefault="0039373B" w:rsidP="0039373B">
      <w:pPr>
        <w:spacing w:line="360" w:lineRule="auto"/>
        <w:jc w:val="both"/>
        <w:rPr>
          <w:rtl/>
        </w:rPr>
      </w:pPr>
      <w:r>
        <w:rPr>
          <w:rFonts w:hint="cs"/>
          <w:rtl/>
        </w:rPr>
        <w:t xml:space="preserve">בדרך זו סיפקו הנאשמים ללקוחות השונים קנבוס רפואי, שלא כדין, וזאת בתמורה לקבלת סך של כ-350,000 ₪ מעשרות לקוחות. </w:t>
      </w:r>
    </w:p>
    <w:p w14:paraId="3B361706" w14:textId="77777777" w:rsidR="0039373B" w:rsidRDefault="0039373B" w:rsidP="0039373B">
      <w:pPr>
        <w:spacing w:line="360" w:lineRule="auto"/>
        <w:jc w:val="both"/>
        <w:rPr>
          <w:rtl/>
        </w:rPr>
      </w:pPr>
    </w:p>
    <w:p w14:paraId="251E1088" w14:textId="77777777" w:rsidR="0039373B" w:rsidRDefault="0039373B" w:rsidP="0039373B">
      <w:pPr>
        <w:spacing w:line="360" w:lineRule="auto"/>
        <w:jc w:val="both"/>
        <w:rPr>
          <w:rtl/>
        </w:rPr>
      </w:pPr>
      <w:r>
        <w:rPr>
          <w:rFonts w:hint="cs"/>
          <w:rtl/>
        </w:rPr>
        <w:t xml:space="preserve">במסגרת הסדר טיעון הוגש כתב אישום מתוקן כנגד נאשם 2, ובו מפורטים המעשים שנעשו ביחס לעשרות רבות של לקוחות שנאשם 2 היה מביא למרפאת הכאב, רושם רישום כוזב כאילו הלקוח נזקק לקנבוס רפואי מסיבות רפואיות, הטופס היה מועבר לנאשם 1 שהיה חותם על הטופס כאילו הלקוח אכן נזקק באמת לשימוש בקנביס עקב סיבות רפואיות. </w:t>
      </w:r>
    </w:p>
    <w:p w14:paraId="0D6CF299" w14:textId="77777777" w:rsidR="0039373B" w:rsidRDefault="0039373B" w:rsidP="0039373B">
      <w:pPr>
        <w:spacing w:line="360" w:lineRule="auto"/>
        <w:jc w:val="both"/>
        <w:rPr>
          <w:rtl/>
        </w:rPr>
      </w:pPr>
    </w:p>
    <w:p w14:paraId="27A38C1C" w14:textId="77777777" w:rsidR="0039373B" w:rsidRDefault="0039373B" w:rsidP="0039373B">
      <w:pPr>
        <w:spacing w:line="360" w:lineRule="auto"/>
        <w:jc w:val="both"/>
        <w:rPr>
          <w:rtl/>
        </w:rPr>
      </w:pPr>
      <w:r>
        <w:rPr>
          <w:rFonts w:hint="cs"/>
          <w:rtl/>
        </w:rPr>
        <w:t xml:space="preserve">ב-42 האישומים הראשונים שבכתב האישום המתוקן, מפורטות הנסיבות של הטיפול ב-42 לקוחות שלא היו זכאים לקבל את הסם אילו פעלו בדרך הרגילה, האישום 43 מתייחס לזירוז תורים ומתן המלצות כוזבות ללקוחות, בלא שהוכחו גובה הסכומים ששילמו לקוחות אלה לנאשמים ומדובר ב-20 לקוחות, האישום ה-44 מתייחס ללקוח נוסף שקיבל אישור שלא כדין לאספקת סם, האישום ה-45 מתייחס לאי דיווח על הכנסות מעסק, כאשר שני הנאשמים הרוויחו בשנות המס 2011-2015, סכומי כסף של כ-350,000 ₪ ולא דיווחו לפקיד השומה על הכנסות אלה. </w:t>
      </w:r>
    </w:p>
    <w:p w14:paraId="4842CE4F" w14:textId="77777777" w:rsidR="0039373B" w:rsidRDefault="0039373B" w:rsidP="0039373B">
      <w:pPr>
        <w:spacing w:line="360" w:lineRule="auto"/>
        <w:jc w:val="both"/>
        <w:rPr>
          <w:rtl/>
        </w:rPr>
      </w:pPr>
      <w:r>
        <w:rPr>
          <w:rFonts w:hint="cs"/>
          <w:rtl/>
        </w:rPr>
        <w:t xml:space="preserve">האישומים ה-48-50 מתייחסים ללקוחות נוספים  שסופק להם סם שלא כדין בדרך שפורטה מקודם תמורת תשלומי כסף.  </w:t>
      </w:r>
    </w:p>
    <w:p w14:paraId="45F1991F" w14:textId="77777777" w:rsidR="0039373B" w:rsidRDefault="0039373B" w:rsidP="0039373B">
      <w:pPr>
        <w:spacing w:line="360" w:lineRule="auto"/>
        <w:jc w:val="both"/>
        <w:rPr>
          <w:rtl/>
        </w:rPr>
      </w:pPr>
    </w:p>
    <w:p w14:paraId="608C0DBB" w14:textId="77777777" w:rsidR="0039373B" w:rsidRDefault="0039373B" w:rsidP="0039373B">
      <w:pPr>
        <w:spacing w:line="360" w:lineRule="auto"/>
        <w:jc w:val="both"/>
        <w:rPr>
          <w:rtl/>
        </w:rPr>
      </w:pPr>
      <w:r>
        <w:rPr>
          <w:rFonts w:hint="cs"/>
          <w:rtl/>
        </w:rPr>
        <w:t xml:space="preserve">סך הכל הורשע הנאשם עפ"י הודאתו ב-44 עבירות של מרמה והפרת אמונים לפי </w:t>
      </w:r>
      <w:hyperlink r:id="rId16" w:history="1">
        <w:r w:rsidR="00887A1F" w:rsidRPr="00887A1F">
          <w:rPr>
            <w:color w:val="0000FF"/>
            <w:u w:val="single"/>
            <w:rtl/>
          </w:rPr>
          <w:t>סעיף 284</w:t>
        </w:r>
      </w:hyperlink>
      <w:r>
        <w:rPr>
          <w:rFonts w:hint="cs"/>
          <w:rtl/>
        </w:rPr>
        <w:t xml:space="preserve"> ל</w:t>
      </w:r>
      <w:hyperlink r:id="rId17" w:history="1">
        <w:r w:rsidR="00896DC7" w:rsidRPr="00896DC7">
          <w:rPr>
            <w:color w:val="0000FF"/>
            <w:u w:val="single"/>
            <w:rtl/>
          </w:rPr>
          <w:t>חוק העונשין</w:t>
        </w:r>
      </w:hyperlink>
      <w:r>
        <w:rPr>
          <w:rFonts w:hint="cs"/>
          <w:rtl/>
        </w:rPr>
        <w:t xml:space="preserve"> תשל"ז-1977, 25 עבירות של ניסיון לקבלת דבר במרמה בנסיבות מחמירות לפי </w:t>
      </w:r>
      <w:hyperlink r:id="rId18" w:history="1">
        <w:r w:rsidR="00887A1F" w:rsidRPr="00887A1F">
          <w:rPr>
            <w:color w:val="0000FF"/>
            <w:u w:val="single"/>
            <w:rtl/>
          </w:rPr>
          <w:t>סעיף 415</w:t>
        </w:r>
      </w:hyperlink>
      <w:r>
        <w:rPr>
          <w:rFonts w:hint="cs"/>
          <w:rtl/>
        </w:rPr>
        <w:t xml:space="preserve"> סיפא </w:t>
      </w:r>
      <w:hyperlink r:id="rId19" w:history="1">
        <w:r w:rsidR="00887A1F" w:rsidRPr="00887A1F">
          <w:rPr>
            <w:color w:val="0000FF"/>
            <w:u w:val="single"/>
            <w:rtl/>
          </w:rPr>
          <w:t>וסעיף 25</w:t>
        </w:r>
      </w:hyperlink>
      <w:r>
        <w:rPr>
          <w:rFonts w:hint="cs"/>
          <w:rtl/>
        </w:rPr>
        <w:t xml:space="preserve"> לחוק העונשין, 24 עבירות של ניסיון לאספקת סם מסוכן לפי </w:t>
      </w:r>
      <w:hyperlink r:id="rId20" w:history="1">
        <w:r w:rsidR="00887A1F" w:rsidRPr="00887A1F">
          <w:rPr>
            <w:color w:val="0000FF"/>
            <w:u w:val="single"/>
            <w:rtl/>
          </w:rPr>
          <w:t>סעיף 13</w:t>
        </w:r>
      </w:hyperlink>
      <w:r>
        <w:rPr>
          <w:rFonts w:hint="cs"/>
          <w:rtl/>
        </w:rPr>
        <w:t xml:space="preserve"> ל</w:t>
      </w:r>
      <w:hyperlink r:id="rId21" w:history="1">
        <w:r w:rsidR="00896DC7" w:rsidRPr="00896DC7">
          <w:rPr>
            <w:color w:val="0000FF"/>
            <w:u w:val="single"/>
            <w:rtl/>
          </w:rPr>
          <w:t>פקודת הסמים המסוכנים</w:t>
        </w:r>
      </w:hyperlink>
      <w:r>
        <w:rPr>
          <w:rFonts w:hint="cs"/>
          <w:rtl/>
        </w:rPr>
        <w:t xml:space="preserve"> יחד עם </w:t>
      </w:r>
      <w:hyperlink r:id="rId22" w:history="1">
        <w:r w:rsidR="00887A1F" w:rsidRPr="00887A1F">
          <w:rPr>
            <w:color w:val="0000FF"/>
            <w:u w:val="single"/>
            <w:rtl/>
          </w:rPr>
          <w:t>סעיף 25</w:t>
        </w:r>
      </w:hyperlink>
      <w:r>
        <w:rPr>
          <w:rFonts w:hint="cs"/>
          <w:rtl/>
        </w:rPr>
        <w:t xml:space="preserve"> לחוק העונשין, 47 עבירות של תיווך בשוחד לפי </w:t>
      </w:r>
      <w:hyperlink r:id="rId23" w:history="1">
        <w:r w:rsidR="00887A1F" w:rsidRPr="00887A1F">
          <w:rPr>
            <w:rStyle w:val="Hyperlink"/>
            <w:rFonts w:hint="eastAsia"/>
            <w:rtl/>
          </w:rPr>
          <w:t>סעיף</w:t>
        </w:r>
        <w:r w:rsidR="00887A1F" w:rsidRPr="00887A1F">
          <w:rPr>
            <w:rStyle w:val="Hyperlink"/>
            <w:rtl/>
          </w:rPr>
          <w:t xml:space="preserve"> 295 (א)</w:t>
        </w:r>
      </w:hyperlink>
      <w:r>
        <w:rPr>
          <w:rFonts w:hint="cs"/>
          <w:rtl/>
        </w:rPr>
        <w:t xml:space="preserve"> לחוק העונשין, 19 עבירות של סיוע לקבלת דבר במרמה בנסיבות מחמירות לפי </w:t>
      </w:r>
      <w:hyperlink r:id="rId24" w:history="1">
        <w:r w:rsidR="00887A1F" w:rsidRPr="00887A1F">
          <w:rPr>
            <w:color w:val="0000FF"/>
            <w:u w:val="single"/>
            <w:rtl/>
          </w:rPr>
          <w:t>סעיף 415</w:t>
        </w:r>
      </w:hyperlink>
      <w:r>
        <w:rPr>
          <w:rFonts w:hint="cs"/>
          <w:rtl/>
        </w:rPr>
        <w:t xml:space="preserve"> בצירוף </w:t>
      </w:r>
      <w:hyperlink r:id="rId25" w:history="1">
        <w:r w:rsidR="00887A1F" w:rsidRPr="00887A1F">
          <w:rPr>
            <w:color w:val="0000FF"/>
            <w:u w:val="single"/>
            <w:rtl/>
          </w:rPr>
          <w:t>סעיף 31</w:t>
        </w:r>
      </w:hyperlink>
      <w:r>
        <w:rPr>
          <w:rFonts w:hint="cs"/>
          <w:rtl/>
        </w:rPr>
        <w:t xml:space="preserve"> לחוק העונשין, 28 עבירות של אספקת סם מסוכן לפי </w:t>
      </w:r>
      <w:hyperlink r:id="rId26" w:history="1">
        <w:r w:rsidR="00887A1F" w:rsidRPr="00887A1F">
          <w:rPr>
            <w:color w:val="0000FF"/>
            <w:u w:val="single"/>
            <w:rtl/>
          </w:rPr>
          <w:t>סעיף 13</w:t>
        </w:r>
      </w:hyperlink>
      <w:r>
        <w:rPr>
          <w:rFonts w:hint="cs"/>
          <w:rtl/>
        </w:rPr>
        <w:t xml:space="preserve"> לפקודת הסמים המסוכנים, 2 עבירות של קבלת דבר במרמה בנסיבות מחמירות לפי </w:t>
      </w:r>
      <w:hyperlink r:id="rId27" w:history="1">
        <w:r w:rsidR="00887A1F" w:rsidRPr="00887A1F">
          <w:rPr>
            <w:color w:val="0000FF"/>
            <w:u w:val="single"/>
            <w:rtl/>
          </w:rPr>
          <w:t>סעיף 415</w:t>
        </w:r>
      </w:hyperlink>
      <w:r>
        <w:rPr>
          <w:rFonts w:hint="cs"/>
          <w:rtl/>
        </w:rPr>
        <w:t xml:space="preserve"> סיפא יחד עם </w:t>
      </w:r>
      <w:hyperlink r:id="rId28" w:history="1">
        <w:r w:rsidR="00887A1F" w:rsidRPr="00887A1F">
          <w:rPr>
            <w:color w:val="0000FF"/>
            <w:u w:val="single"/>
            <w:rtl/>
          </w:rPr>
          <w:t>סעיף 31</w:t>
        </w:r>
      </w:hyperlink>
      <w:r>
        <w:rPr>
          <w:rFonts w:hint="cs"/>
          <w:rtl/>
        </w:rPr>
        <w:t xml:space="preserve"> לחוק העונשין, 2 עבירות של הפרת אמונים לפי </w:t>
      </w:r>
      <w:hyperlink r:id="rId29" w:history="1">
        <w:r w:rsidR="00887A1F" w:rsidRPr="00887A1F">
          <w:rPr>
            <w:color w:val="0000FF"/>
            <w:u w:val="single"/>
            <w:rtl/>
          </w:rPr>
          <w:t>סעיף 284</w:t>
        </w:r>
      </w:hyperlink>
      <w:r>
        <w:rPr>
          <w:rFonts w:hint="cs"/>
          <w:rtl/>
        </w:rPr>
        <w:t xml:space="preserve"> לחוק העונשין, ועבירה אחת של מרמה ותחבולה בכוונה להתחמק ממס לפי </w:t>
      </w:r>
      <w:hyperlink r:id="rId30" w:history="1">
        <w:r w:rsidR="00887A1F" w:rsidRPr="00887A1F">
          <w:rPr>
            <w:color w:val="0000FF"/>
            <w:u w:val="single"/>
            <w:rtl/>
          </w:rPr>
          <w:t>סעיף 220 (5)</w:t>
        </w:r>
      </w:hyperlink>
      <w:r>
        <w:rPr>
          <w:rFonts w:hint="cs"/>
          <w:rtl/>
        </w:rPr>
        <w:t xml:space="preserve"> ל</w:t>
      </w:r>
      <w:hyperlink r:id="rId31" w:history="1">
        <w:r w:rsidR="00896DC7" w:rsidRPr="00896DC7">
          <w:rPr>
            <w:color w:val="0000FF"/>
            <w:u w:val="single"/>
            <w:rtl/>
          </w:rPr>
          <w:t>פקודת מס הכנסה</w:t>
        </w:r>
      </w:hyperlink>
      <w:r>
        <w:rPr>
          <w:rFonts w:hint="cs"/>
          <w:rtl/>
        </w:rPr>
        <w:t xml:space="preserve">. </w:t>
      </w:r>
    </w:p>
    <w:p w14:paraId="77F7A61B" w14:textId="77777777" w:rsidR="0039373B" w:rsidRDefault="0039373B" w:rsidP="0039373B">
      <w:pPr>
        <w:spacing w:line="360" w:lineRule="auto"/>
        <w:jc w:val="both"/>
        <w:rPr>
          <w:rtl/>
        </w:rPr>
      </w:pPr>
    </w:p>
    <w:p w14:paraId="72AC5E94" w14:textId="77777777" w:rsidR="0039373B" w:rsidRDefault="0039373B" w:rsidP="0039373B">
      <w:pPr>
        <w:spacing w:line="360" w:lineRule="auto"/>
        <w:jc w:val="both"/>
        <w:rPr>
          <w:rtl/>
        </w:rPr>
      </w:pPr>
      <w:r>
        <w:rPr>
          <w:rFonts w:hint="cs"/>
          <w:rtl/>
        </w:rPr>
        <w:lastRenderedPageBreak/>
        <w:t xml:space="preserve">יצויין כי גם עניינו של נאשם 1 הסתיים בהסדר טיעון, הוא הורשע עפ"י הודאתו בעבירות שיוחסו לו בכתב האישום המתוקן, ונגזר עליו עונש של 46 חודשי מאסר בפועל, 18 חודשי מאסר על תנאי וכן נדון לתשלום קנס בסך 250,000 ₪ ולחילוט כספים וכלי רכב בשווי 150,000 ₪. </w:t>
      </w:r>
    </w:p>
    <w:p w14:paraId="59B54EDF" w14:textId="77777777" w:rsidR="0039373B" w:rsidRDefault="0039373B" w:rsidP="0039373B">
      <w:pPr>
        <w:spacing w:line="360" w:lineRule="auto"/>
        <w:jc w:val="both"/>
        <w:rPr>
          <w:rtl/>
        </w:rPr>
      </w:pPr>
      <w:r>
        <w:rPr>
          <w:rFonts w:hint="cs"/>
          <w:rtl/>
        </w:rPr>
        <w:t>לחובתו של הנאשם 2 הרשעות קודמות בעבירות בניגוד ל</w:t>
      </w:r>
      <w:hyperlink r:id="rId32" w:history="1">
        <w:r w:rsidR="00896DC7" w:rsidRPr="00896DC7">
          <w:rPr>
            <w:color w:val="0000FF"/>
            <w:u w:val="single"/>
            <w:rtl/>
          </w:rPr>
          <w:t>פקודת הסמים המסוכנים</w:t>
        </w:r>
      </w:hyperlink>
      <w:r>
        <w:rPr>
          <w:rFonts w:hint="cs"/>
          <w:rtl/>
        </w:rPr>
        <w:t xml:space="preserve">, קבלת דבר במרמה, גניבה, תקיפה ואיומים. כמו כן, הורשע בשעת 2003 בעבירות של הצתת מבנה, קשר לעשות פשע, בידוי ראיות ושימוש פחזני באש. לחובתו של הנאשם עונש מאסר על תנאי בגין עבירות סמים שיש להפעילו. </w:t>
      </w:r>
    </w:p>
    <w:p w14:paraId="1B9FABA3" w14:textId="77777777" w:rsidR="0039373B" w:rsidRDefault="0039373B" w:rsidP="0039373B">
      <w:pPr>
        <w:spacing w:line="360" w:lineRule="auto"/>
        <w:jc w:val="both"/>
        <w:rPr>
          <w:rtl/>
        </w:rPr>
      </w:pPr>
    </w:p>
    <w:p w14:paraId="578851E6" w14:textId="77777777" w:rsidR="0039373B" w:rsidRDefault="0039373B" w:rsidP="0039373B">
      <w:pPr>
        <w:spacing w:line="360" w:lineRule="auto"/>
        <w:jc w:val="both"/>
        <w:rPr>
          <w:rtl/>
        </w:rPr>
      </w:pPr>
      <w:r>
        <w:rPr>
          <w:rFonts w:hint="cs"/>
          <w:rtl/>
        </w:rPr>
        <w:t xml:space="preserve">לאור העונשים שנגזרו על הנאשם 1, הגיעו הצדדים להסדר טיעון שבמסגרתו יוטל על הנאשם 2 עונש מאסר בפועל בן 40 חודשים ויחולט סכום כסף שנתפס אצלו. עונשים אלה הינם במסגרת הסדר טיעון "סגור". הצדדים חלוקים ביניהם בקשר להפעלת עונש המאסר המותנה, כאשר התביעה דורשת להפעיל עונש זה במצטבר לעונש המאסר, ואילו ההגנה טוענת שיש להפעילו בחופף בלבד. כמו כן, התביעה דורשת להטיל על הנאשם עונש של קנס כספי גבוה שכן מדובר בעבירות שנועדו להפקת רווח כספי ואילו ההגנה מבקשת שלא להטיל קנס עקב מצבו הכלכלי הגרוע של הנאשם. </w:t>
      </w:r>
    </w:p>
    <w:p w14:paraId="23BABB8C" w14:textId="77777777" w:rsidR="0039373B" w:rsidRDefault="0039373B" w:rsidP="0039373B">
      <w:pPr>
        <w:spacing w:line="360" w:lineRule="auto"/>
        <w:jc w:val="both"/>
        <w:rPr>
          <w:rtl/>
        </w:rPr>
      </w:pPr>
    </w:p>
    <w:p w14:paraId="4DB9BF47" w14:textId="77777777" w:rsidR="0039373B" w:rsidRDefault="0039373B" w:rsidP="0039373B">
      <w:pPr>
        <w:spacing w:line="360" w:lineRule="auto"/>
        <w:jc w:val="both"/>
        <w:rPr>
          <w:rtl/>
        </w:rPr>
      </w:pPr>
      <w:r>
        <w:rPr>
          <w:rFonts w:hint="cs"/>
          <w:rtl/>
        </w:rPr>
        <w:t xml:space="preserve">מסתבר שנגד הנאשם נפתח הליך של פשיטת רגל, ביום 5.11.15 ניתן כנגדו צו כינוס נכסים, הוא חוייב לשלם לנושיו סכום של 1,200 ₪ בחודש החל מיום 1.1.16 ונקבע דיון בבקשת פשיטת הרגל ביום 4.6.17. </w:t>
      </w:r>
    </w:p>
    <w:p w14:paraId="69EBE354" w14:textId="77777777" w:rsidR="0039373B" w:rsidRDefault="0039373B" w:rsidP="0039373B">
      <w:pPr>
        <w:spacing w:line="360" w:lineRule="auto"/>
        <w:jc w:val="both"/>
        <w:rPr>
          <w:rtl/>
        </w:rPr>
      </w:pPr>
    </w:p>
    <w:p w14:paraId="197CF3DF" w14:textId="77777777" w:rsidR="0039373B" w:rsidRDefault="0039373B" w:rsidP="0039373B">
      <w:pPr>
        <w:spacing w:line="360" w:lineRule="auto"/>
        <w:jc w:val="both"/>
        <w:rPr>
          <w:rtl/>
        </w:rPr>
      </w:pPr>
      <w:r>
        <w:rPr>
          <w:rFonts w:hint="cs"/>
          <w:rtl/>
        </w:rPr>
        <w:t xml:space="preserve">הנאשם הוא בן להורים גרושים שסבל רבות עקב גירושים מכוערים של הוריו, כתוצאה מכך נקלע למצב של דכאון והחל לגמגם, לטענתו נקלע לביצוע עבירות פליליות ושימוש בסמים עקב הרקע המשפחתי הקשה, היום הוא בן 37 ולטענתו יש לו בת זוג שהוא מתכוון לשאתה לאישה עוד בתקופת המאסר. </w:t>
      </w:r>
    </w:p>
    <w:p w14:paraId="69A46A21" w14:textId="77777777" w:rsidR="0039373B" w:rsidRDefault="0039373B" w:rsidP="0039373B">
      <w:pPr>
        <w:spacing w:line="360" w:lineRule="auto"/>
        <w:jc w:val="both"/>
        <w:rPr>
          <w:rtl/>
        </w:rPr>
      </w:pPr>
    </w:p>
    <w:p w14:paraId="63887610" w14:textId="77777777" w:rsidR="0039373B" w:rsidRDefault="0039373B" w:rsidP="0039373B">
      <w:pPr>
        <w:spacing w:line="360" w:lineRule="auto"/>
        <w:jc w:val="both"/>
        <w:rPr>
          <w:rtl/>
        </w:rPr>
      </w:pPr>
      <w:r>
        <w:rPr>
          <w:rFonts w:hint="cs"/>
          <w:rtl/>
        </w:rPr>
        <w:t xml:space="preserve">הנאשם תאר במכתב שהגיש לבית המשפט את מצבו הכלכלי הקשה, כאשר הוא מסובך בחובות רבים, נפתחו נגדו תיקי הוצל"פ והוא נמצא בהליך של פשיטת רגל והוא מבקש שלא להטיל עליו קנס, להתחשב במצבו הקשה ולאפשר לו לסיים את המאסר ולפתוח בחיים חדשים. </w:t>
      </w:r>
    </w:p>
    <w:p w14:paraId="05262A3E" w14:textId="77777777" w:rsidR="0039373B" w:rsidRDefault="0039373B" w:rsidP="0039373B">
      <w:pPr>
        <w:spacing w:line="360" w:lineRule="auto"/>
        <w:jc w:val="both"/>
        <w:rPr>
          <w:rtl/>
        </w:rPr>
      </w:pPr>
    </w:p>
    <w:p w14:paraId="242F4B9D" w14:textId="77777777" w:rsidR="0039373B" w:rsidRDefault="0039373B" w:rsidP="0039373B">
      <w:pPr>
        <w:spacing w:line="360" w:lineRule="auto"/>
        <w:jc w:val="both"/>
        <w:rPr>
          <w:rtl/>
        </w:rPr>
      </w:pPr>
      <w:r>
        <w:rPr>
          <w:rFonts w:hint="cs"/>
          <w:rtl/>
        </w:rPr>
        <w:t xml:space="preserve">אין צורך להכביר במילים על חומרת המעשים שנעשו כאן, כאשר נאשם 2 היה קושר קשרים עם לקוחות שמבקשים להשתמש בקנבוס, ובעצה אחת ובקשירת קשר פלילי עם הנאשם 1 היו השניים מזייפים טפסים רפואיים שבו תואר מצב רפואי כוזב של הלקוח שכאילו נזקק לשימוש בקנביס להקלת מכאוביו, תמורת קבלת שוחד ותשלומי כספים. </w:t>
      </w:r>
    </w:p>
    <w:p w14:paraId="45749DA0" w14:textId="77777777" w:rsidR="0039373B" w:rsidRDefault="0039373B" w:rsidP="0039373B">
      <w:pPr>
        <w:spacing w:line="360" w:lineRule="auto"/>
        <w:jc w:val="both"/>
        <w:rPr>
          <w:rtl/>
        </w:rPr>
      </w:pPr>
    </w:p>
    <w:p w14:paraId="25CFE9EE" w14:textId="77777777" w:rsidR="0039373B" w:rsidRDefault="0039373B" w:rsidP="0039373B">
      <w:pPr>
        <w:spacing w:line="360" w:lineRule="auto"/>
        <w:jc w:val="both"/>
        <w:rPr>
          <w:rtl/>
        </w:rPr>
      </w:pPr>
      <w:r>
        <w:rPr>
          <w:rFonts w:hint="cs"/>
          <w:rtl/>
        </w:rPr>
        <w:t xml:space="preserve">חלקו של הנאשם 2 בפרשה אינו קטן כאשר הוא היה יוצר את הקשר עם הלקוחות, מביאם למרפאת הכאב וקובע תורים מחוץ למערכת זימון התורים הרגילה. יחד עם זאת, ברור שחלקו של הנאשם 1, הרופא שביודעין רשם עובדות כוזבות כדי לספק סם למי שאינו זכאי לכך, גדול יותר. לפיכך, לאור העונש שנגזר על הנאשם 1, עונש מוסכם של 40 חודשי מאסר בפועל שהוסכם בין הצדדים, הוא עונש הולם וראוי לכבד את הסדר הטיעון. </w:t>
      </w:r>
    </w:p>
    <w:p w14:paraId="344E0B08" w14:textId="77777777" w:rsidR="0039373B" w:rsidRDefault="0039373B" w:rsidP="0039373B">
      <w:pPr>
        <w:spacing w:line="360" w:lineRule="auto"/>
        <w:jc w:val="both"/>
        <w:rPr>
          <w:rtl/>
        </w:rPr>
      </w:pPr>
    </w:p>
    <w:p w14:paraId="3109F4E5" w14:textId="77777777" w:rsidR="0039373B" w:rsidRDefault="0039373B" w:rsidP="0039373B">
      <w:pPr>
        <w:spacing w:line="360" w:lineRule="auto"/>
        <w:jc w:val="both"/>
        <w:rPr>
          <w:rtl/>
        </w:rPr>
      </w:pPr>
      <w:r>
        <w:rPr>
          <w:rFonts w:hint="cs"/>
          <w:rtl/>
        </w:rPr>
        <w:t xml:space="preserve">מאחר שמדובר בהסדר טיעון "סגור", אינני נדרש לקבוע מתחמי ענישה ואני גוזר על הנאשם 2 בגין כל העבירות שבהן הורשע עונש של 40 חודשי מאסר בפועל. </w:t>
      </w:r>
    </w:p>
    <w:p w14:paraId="6604B780" w14:textId="77777777" w:rsidR="0039373B" w:rsidRDefault="0039373B" w:rsidP="0039373B">
      <w:pPr>
        <w:spacing w:line="360" w:lineRule="auto"/>
        <w:jc w:val="both"/>
        <w:rPr>
          <w:rtl/>
        </w:rPr>
      </w:pPr>
    </w:p>
    <w:p w14:paraId="5E00A02F" w14:textId="77777777" w:rsidR="0039373B" w:rsidRDefault="0039373B" w:rsidP="0039373B">
      <w:pPr>
        <w:spacing w:line="360" w:lineRule="auto"/>
        <w:jc w:val="both"/>
        <w:rPr>
          <w:rtl/>
        </w:rPr>
      </w:pPr>
      <w:r>
        <w:rPr>
          <w:rFonts w:hint="cs"/>
          <w:rtl/>
        </w:rPr>
        <w:t>בתאריך 4.1.12, נדון הנאשם בגין עבירות של סחר בסם קוקאין ותיווך בעסקאות חשיש, ונגזר עליו ב</w:t>
      </w:r>
      <w:hyperlink r:id="rId33" w:history="1">
        <w:r w:rsidR="00896DC7" w:rsidRPr="00896DC7">
          <w:rPr>
            <w:color w:val="0000FF"/>
            <w:u w:val="single"/>
            <w:rtl/>
          </w:rPr>
          <w:t>ת.פ. 39028-06-11</w:t>
        </w:r>
      </w:hyperlink>
      <w:r>
        <w:rPr>
          <w:rFonts w:hint="cs"/>
          <w:rtl/>
        </w:rPr>
        <w:t xml:space="preserve"> בבית משפט השלום בתל אביב עונש של 14 חודשי מאסר בפועל, 6 חודשי מאסר על תנאי לשלוש שנים על עבירת סמים מסוג פשע, קנס בסך 2,500 ₪ ופסילת רישיון נהיגה על תנאי. </w:t>
      </w:r>
    </w:p>
    <w:p w14:paraId="590E207C" w14:textId="77777777" w:rsidR="0039373B" w:rsidRDefault="0039373B" w:rsidP="0039373B">
      <w:pPr>
        <w:spacing w:line="360" w:lineRule="auto"/>
        <w:jc w:val="both"/>
        <w:rPr>
          <w:rtl/>
        </w:rPr>
      </w:pPr>
    </w:p>
    <w:p w14:paraId="0E012717" w14:textId="77777777" w:rsidR="0039373B" w:rsidRDefault="0039373B" w:rsidP="0039373B">
      <w:pPr>
        <w:spacing w:line="360" w:lineRule="auto"/>
        <w:jc w:val="both"/>
        <w:rPr>
          <w:rtl/>
        </w:rPr>
      </w:pPr>
      <w:r>
        <w:rPr>
          <w:rFonts w:hint="cs"/>
          <w:rtl/>
        </w:rPr>
        <w:t xml:space="preserve">מאחר שהנאשם הורשע בתיק זה גם בעבירות של אספקת סם מסוכן, ברור שיש מקום להפעיל את עונש המאסר המותנה. כאמור, התביעה מבקשת כי עונש זה יופעל במצטבר לעונש המאסר, ההגנה מבקשת להפעילו בחופף בהתחשב בעונש המאסר הלא קצר שיוטל על הנאשם ובהתחשב במצבו. </w:t>
      </w:r>
    </w:p>
    <w:p w14:paraId="5D45625D" w14:textId="77777777" w:rsidR="0039373B" w:rsidRDefault="0039373B" w:rsidP="0039373B">
      <w:pPr>
        <w:spacing w:line="360" w:lineRule="auto"/>
        <w:jc w:val="both"/>
        <w:rPr>
          <w:rtl/>
        </w:rPr>
      </w:pPr>
    </w:p>
    <w:p w14:paraId="49DB6ECA" w14:textId="77777777" w:rsidR="0039373B" w:rsidRDefault="0039373B" w:rsidP="0039373B">
      <w:pPr>
        <w:spacing w:line="360" w:lineRule="auto"/>
        <w:jc w:val="both"/>
        <w:rPr>
          <w:rtl/>
        </w:rPr>
      </w:pPr>
      <w:r>
        <w:rPr>
          <w:rFonts w:hint="cs"/>
          <w:rtl/>
        </w:rPr>
        <w:t xml:space="preserve">לכאורה יש מקום להפעלת עונש המאסר המותנה במצטבר לעונש המאסר, שכן עפ"י הפסיקה יש מקום לצבור עונש מופעל. יחד עם זאת, בתיק זה לא בוצעה עבירה "קלאסית" של אספקת סם ע"י נאשם 2, שכן הסם שסופק ניתן ללקוחות כתוצאה מאישורו הכוזב של הנאשם 1, שנאשם 2 היה שותף לכך. בנסיבות אלה אני מחליט כי מחצית מעונש המאסר המותנה תופעל במצטבר לעונש המאסר שנגזר על הנאשם בתיק זה, המחצית השניה תופעל בחופף. </w:t>
      </w:r>
    </w:p>
    <w:p w14:paraId="02360F88" w14:textId="77777777" w:rsidR="0039373B" w:rsidRDefault="0039373B" w:rsidP="0039373B">
      <w:pPr>
        <w:spacing w:line="360" w:lineRule="auto"/>
        <w:jc w:val="both"/>
        <w:rPr>
          <w:rtl/>
        </w:rPr>
      </w:pPr>
    </w:p>
    <w:p w14:paraId="6EFE8735" w14:textId="77777777" w:rsidR="0039373B" w:rsidRDefault="0039373B" w:rsidP="0039373B">
      <w:pPr>
        <w:spacing w:line="360" w:lineRule="auto"/>
        <w:jc w:val="both"/>
        <w:rPr>
          <w:rtl/>
        </w:rPr>
      </w:pPr>
      <w:r>
        <w:rPr>
          <w:rFonts w:hint="cs"/>
          <w:rtl/>
        </w:rPr>
        <w:t>לאור זאת, עונש המאסר המותנה שהוטל ב</w:t>
      </w:r>
      <w:hyperlink r:id="rId34" w:history="1">
        <w:r w:rsidR="00896DC7" w:rsidRPr="00896DC7">
          <w:rPr>
            <w:color w:val="0000FF"/>
            <w:u w:val="single"/>
            <w:rtl/>
          </w:rPr>
          <w:t>ת.פ. 39028-06-11</w:t>
        </w:r>
      </w:hyperlink>
      <w:r>
        <w:rPr>
          <w:rFonts w:hint="cs"/>
          <w:rtl/>
        </w:rPr>
        <w:t xml:space="preserve"> בבית משפט השלום בת"א, יופעל כך ששלושה חודשים ממנו מצטברים לעונש המאסר בפועל ו-3 חודשים יהיו חופפים לו ולפיכך על הנאשם לשאת בעונש מאסר ממשי לתקופה של 43 חודשים החל מיום מעצרו 9.11.15. בנוסף לזאת אני מטיל על הנאשם שנה מאסר על תנאי שלא יעבור תוך 3 שנים עבירות בניגוד לפקודת הסמים, קבלת דבר במרמה, או עבירת שוחד. </w:t>
      </w:r>
    </w:p>
    <w:p w14:paraId="3595DBF1" w14:textId="77777777" w:rsidR="0039373B" w:rsidRDefault="0039373B" w:rsidP="0039373B">
      <w:pPr>
        <w:spacing w:line="360" w:lineRule="auto"/>
        <w:jc w:val="both"/>
        <w:rPr>
          <w:rtl/>
        </w:rPr>
      </w:pPr>
    </w:p>
    <w:p w14:paraId="5123754E" w14:textId="77777777" w:rsidR="0039373B" w:rsidRDefault="0039373B" w:rsidP="0039373B">
      <w:pPr>
        <w:spacing w:line="360" w:lineRule="auto"/>
        <w:jc w:val="both"/>
        <w:rPr>
          <w:rtl/>
        </w:rPr>
      </w:pPr>
      <w:r>
        <w:rPr>
          <w:rFonts w:hint="cs"/>
          <w:rtl/>
        </w:rPr>
        <w:t xml:space="preserve">העבירות שעבר הנאשם נועדו להפקת רווחים כספיים ועל כן עפ"י הפסיקה אין מקום להמנע מהטלת של קנס בנוסף לעונש של מאסר. יש להדגיש כי שני הנאשמים יחדיו קיבלו סכום של לפחות 350,000 ₪ כאשר קיבלו גם כספים נוספים אלא שסכומם אינו ידוע. </w:t>
      </w:r>
    </w:p>
    <w:p w14:paraId="5858197C" w14:textId="77777777" w:rsidR="0039373B" w:rsidRDefault="0039373B" w:rsidP="0039373B">
      <w:pPr>
        <w:spacing w:line="360" w:lineRule="auto"/>
        <w:jc w:val="both"/>
        <w:rPr>
          <w:rtl/>
        </w:rPr>
      </w:pPr>
    </w:p>
    <w:p w14:paraId="46D69651" w14:textId="77777777" w:rsidR="0039373B" w:rsidRDefault="0039373B" w:rsidP="0039373B">
      <w:pPr>
        <w:spacing w:line="360" w:lineRule="auto"/>
        <w:jc w:val="both"/>
        <w:rPr>
          <w:rtl/>
        </w:rPr>
      </w:pPr>
      <w:r>
        <w:rPr>
          <w:rFonts w:hint="cs"/>
          <w:rtl/>
        </w:rPr>
        <w:t xml:space="preserve">אין ידיעה גם מה היה אופן חלוקת כספי השוחד בין שני הנאשמים, אולם ברור שהנאשם 2 קיבל חלק מכספים אלה ועל כן, חרף מצבו הכלכלי הקשה והיותו בהליך של פשיטת רגל אין אפשרות להמנע מהטלת קנס כספי, אולם גובה הקנס יתחשב במצבו הכלכלי של הנאשם. </w:t>
      </w:r>
    </w:p>
    <w:p w14:paraId="31518D53" w14:textId="77777777" w:rsidR="0039373B" w:rsidRDefault="0039373B" w:rsidP="0039373B">
      <w:pPr>
        <w:spacing w:line="360" w:lineRule="auto"/>
        <w:jc w:val="both"/>
        <w:rPr>
          <w:rtl/>
        </w:rPr>
      </w:pPr>
    </w:p>
    <w:p w14:paraId="20A77236" w14:textId="77777777" w:rsidR="0039373B" w:rsidRDefault="0039373B" w:rsidP="0039373B">
      <w:pPr>
        <w:spacing w:line="360" w:lineRule="auto"/>
        <w:jc w:val="both"/>
        <w:rPr>
          <w:rtl/>
        </w:rPr>
      </w:pPr>
      <w:r>
        <w:rPr>
          <w:rFonts w:hint="cs"/>
          <w:rtl/>
        </w:rPr>
        <w:t xml:space="preserve">אני גוזר על הנאשם בנוסף לעונשים שהוטלו עליו, גם עונש של קנס בסך 15,000 ₪, שישולם ב-15 תשלומים של 1,000 ₪ כל אחד החל מיום 1.2.18 וב-1 לכל חודש שלאחריו. </w:t>
      </w:r>
    </w:p>
    <w:p w14:paraId="52D538EA" w14:textId="77777777" w:rsidR="0039373B" w:rsidRDefault="0039373B" w:rsidP="0039373B">
      <w:pPr>
        <w:spacing w:line="360" w:lineRule="auto"/>
        <w:jc w:val="both"/>
        <w:rPr>
          <w:rtl/>
        </w:rPr>
      </w:pPr>
    </w:p>
    <w:p w14:paraId="58F544CB" w14:textId="77777777" w:rsidR="0039373B" w:rsidRDefault="0039373B" w:rsidP="0039373B">
      <w:pPr>
        <w:spacing w:line="360" w:lineRule="auto"/>
        <w:jc w:val="both"/>
        <w:rPr>
          <w:rtl/>
        </w:rPr>
      </w:pPr>
      <w:r>
        <w:rPr>
          <w:rFonts w:hint="cs"/>
          <w:rtl/>
        </w:rPr>
        <w:t xml:space="preserve">אי תשלום שני תשלומים רצופים יעמיד את מלוא הקנס לפרעון מיידי, ואם הנאשם לא ישלם את הקנס, יהא עליו לשאת מאסר של 3 חודשים תמורת אי תשלום הקנס. </w:t>
      </w:r>
    </w:p>
    <w:p w14:paraId="545D0D24" w14:textId="77777777" w:rsidR="0039373B" w:rsidRDefault="0039373B" w:rsidP="0039373B">
      <w:pPr>
        <w:spacing w:line="360" w:lineRule="auto"/>
        <w:jc w:val="both"/>
        <w:rPr>
          <w:rtl/>
        </w:rPr>
      </w:pPr>
    </w:p>
    <w:p w14:paraId="10CDFF6A" w14:textId="77777777" w:rsidR="0039373B" w:rsidRDefault="0039373B" w:rsidP="0039373B">
      <w:pPr>
        <w:spacing w:line="360" w:lineRule="auto"/>
        <w:jc w:val="both"/>
        <w:rPr>
          <w:rtl/>
        </w:rPr>
      </w:pPr>
      <w:r>
        <w:rPr>
          <w:rFonts w:hint="cs"/>
          <w:rtl/>
        </w:rPr>
        <w:t xml:space="preserve">בנוסף לזאת, אני מכריז על הנאשם כסוחר סמים ומורה לחלט סכום של 31,300 ₪ שנתפסו אצלו. </w:t>
      </w:r>
    </w:p>
    <w:p w14:paraId="49CC371C" w14:textId="77777777" w:rsidR="0039373B" w:rsidRDefault="0039373B" w:rsidP="0039373B">
      <w:pPr>
        <w:spacing w:line="360" w:lineRule="auto"/>
        <w:jc w:val="both"/>
        <w:rPr>
          <w:rtl/>
        </w:rPr>
      </w:pPr>
    </w:p>
    <w:p w14:paraId="3A6B1074" w14:textId="77777777" w:rsidR="0039373B" w:rsidRDefault="0039373B" w:rsidP="0039373B">
      <w:pPr>
        <w:spacing w:line="360" w:lineRule="auto"/>
        <w:jc w:val="both"/>
        <w:rPr>
          <w:rtl/>
        </w:rPr>
      </w:pPr>
      <w:r>
        <w:rPr>
          <w:rFonts w:hint="cs"/>
          <w:rtl/>
        </w:rPr>
        <w:t xml:space="preserve">אני מוציא צו לגבי המוצגים כדלקמן: הסמים, ככל שנתפסו, יושמדו ושאר המוצגים יוחזרו לבעליהם בהתאם לדו"ח המוצגים שנמצא בידי המשטרה. </w:t>
      </w:r>
    </w:p>
    <w:p w14:paraId="3862FF78" w14:textId="77777777" w:rsidR="0039373B" w:rsidRDefault="0039373B" w:rsidP="0039373B">
      <w:pPr>
        <w:spacing w:line="360" w:lineRule="auto"/>
        <w:jc w:val="both"/>
        <w:rPr>
          <w:rtl/>
        </w:rPr>
      </w:pPr>
    </w:p>
    <w:p w14:paraId="48EF6374" w14:textId="77777777" w:rsidR="0039373B" w:rsidRDefault="0039373B" w:rsidP="0039373B">
      <w:pPr>
        <w:spacing w:line="360" w:lineRule="auto"/>
        <w:jc w:val="both"/>
        <w:rPr>
          <w:rtl/>
        </w:rPr>
      </w:pPr>
      <w:r>
        <w:rPr>
          <w:rFonts w:hint="cs"/>
          <w:rtl/>
        </w:rPr>
        <w:t xml:space="preserve">זכות ערעור תוך 45 ימים. </w:t>
      </w:r>
    </w:p>
    <w:p w14:paraId="22C73036" w14:textId="77777777" w:rsidR="0039373B" w:rsidRPr="00B05847" w:rsidRDefault="0039373B" w:rsidP="0039373B">
      <w:pPr>
        <w:rPr>
          <w:rtl/>
        </w:rPr>
      </w:pPr>
    </w:p>
    <w:p w14:paraId="4E913DA4" w14:textId="77777777" w:rsidR="0039373B" w:rsidRPr="00B05847" w:rsidRDefault="0039373B" w:rsidP="0039373B">
      <w:pPr>
        <w:rPr>
          <w:rtl/>
        </w:rPr>
      </w:pPr>
    </w:p>
    <w:p w14:paraId="34F694FF" w14:textId="77777777" w:rsidR="0039373B" w:rsidRPr="0099618F" w:rsidRDefault="00896DC7" w:rsidP="0039373B">
      <w:pPr>
        <w:rPr>
          <w:rtl/>
        </w:rPr>
      </w:pPr>
      <w:r w:rsidRPr="00896DC7">
        <w:rPr>
          <w:rFonts w:ascii="Arial" w:hAnsi="Arial"/>
          <w:color w:val="FFFFFF"/>
          <w:sz w:val="2"/>
          <w:szCs w:val="2"/>
          <w:rtl/>
        </w:rPr>
        <w:t>5129371</w:t>
      </w:r>
      <w:r>
        <w:rPr>
          <w:rFonts w:ascii="Arial" w:hAnsi="Arial"/>
          <w:rtl/>
        </w:rPr>
        <w:t xml:space="preserve">ניתן היום,  ה' טבת תשע"ז, 3.1.2017, במעמד הצדדים. </w:t>
      </w:r>
    </w:p>
    <w:p w14:paraId="72BEBAFF" w14:textId="77777777" w:rsidR="0039373B" w:rsidRDefault="00896DC7" w:rsidP="0039373B">
      <w:pPr>
        <w:ind w:firstLine="720"/>
      </w:pPr>
      <w:r w:rsidRPr="00896DC7">
        <w:rPr>
          <w:color w:val="FFFFFF"/>
          <w:sz w:val="2"/>
          <w:szCs w:val="2"/>
          <w:rtl/>
        </w:rPr>
        <w:t>54678313</w:t>
      </w:r>
      <w:r w:rsidR="0039373B" w:rsidRPr="00250B83">
        <w:rPr>
          <w:rFonts w:hint="cs"/>
          <w:rtl/>
        </w:rPr>
        <w:tab/>
      </w:r>
      <w:r w:rsidR="0039373B" w:rsidRPr="00250B83">
        <w:rPr>
          <w:rFonts w:hint="cs"/>
          <w:rtl/>
        </w:rPr>
        <w:tab/>
      </w:r>
      <w:r w:rsidR="0039373B" w:rsidRPr="00250B83">
        <w:rPr>
          <w:rFonts w:hint="cs"/>
          <w:rtl/>
        </w:rPr>
        <w:tab/>
      </w:r>
      <w:r w:rsidR="0039373B" w:rsidRPr="00250B83">
        <w:rPr>
          <w:rFonts w:hint="cs"/>
          <w:rtl/>
        </w:rPr>
        <w:tab/>
      </w:r>
      <w:r w:rsidR="0039373B">
        <w:rPr>
          <w:rFonts w:hint="cs"/>
          <w:rtl/>
        </w:rPr>
        <w:t xml:space="preserve"> </w:t>
      </w:r>
      <w:r w:rsidR="0039373B">
        <w:rPr>
          <w:rFonts w:hint="cs"/>
          <w:rtl/>
        </w:rPr>
        <w:tab/>
      </w:r>
      <w:r w:rsidR="0039373B">
        <w:rPr>
          <w:rFonts w:hint="cs"/>
          <w:rtl/>
        </w:rPr>
        <w:tab/>
      </w:r>
      <w:r w:rsidR="0039373B">
        <w:rPr>
          <w:rFonts w:hint="cs"/>
          <w:rtl/>
        </w:rPr>
        <w:tab/>
        <w:t>___________________</w:t>
      </w:r>
    </w:p>
    <w:p w14:paraId="1A18C9F7" w14:textId="77777777" w:rsidR="0039373B" w:rsidRDefault="0039373B" w:rsidP="0039373B">
      <w:pPr>
        <w:ind w:firstLine="720"/>
        <w:rPr>
          <w:rtl/>
        </w:rPr>
      </w:pPr>
    </w:p>
    <w:p w14:paraId="4408CFFD" w14:textId="77777777" w:rsidR="0039373B" w:rsidRPr="00250B83" w:rsidRDefault="0039373B" w:rsidP="0039373B">
      <w:pPr>
        <w:ind w:firstLine="720"/>
        <w:rPr>
          <w:rFonts w:ascii="Arial" w:hAnsi="Arial"/>
          <w:rtl/>
        </w:rPr>
      </w:pPr>
      <w:r>
        <w:rPr>
          <w:rtl/>
        </w:rPr>
        <w:tab/>
      </w:r>
      <w:r>
        <w:rPr>
          <w:rtl/>
        </w:rPr>
        <w:tab/>
      </w:r>
      <w:r>
        <w:rPr>
          <w:rtl/>
        </w:rPr>
        <w:tab/>
      </w:r>
      <w:r>
        <w:rPr>
          <w:rtl/>
        </w:rPr>
        <w:tab/>
      </w:r>
      <w:r>
        <w:rPr>
          <w:rtl/>
        </w:rPr>
        <w:tab/>
      </w:r>
      <w:r>
        <w:rPr>
          <w:rtl/>
        </w:rPr>
        <w:tab/>
      </w:r>
      <w:r>
        <w:rPr>
          <w:rtl/>
        </w:rPr>
        <w:tab/>
      </w:r>
      <w:r>
        <w:rPr>
          <w:rFonts w:hint="cs"/>
          <w:rtl/>
        </w:rPr>
        <w:t>צבי גורפינקל, שופט עמית</w:t>
      </w:r>
    </w:p>
    <w:p w14:paraId="211FECC9" w14:textId="77777777" w:rsidR="0039373B" w:rsidRPr="00250B83" w:rsidRDefault="0039373B" w:rsidP="0039373B">
      <w:pPr>
        <w:rPr>
          <w:rtl/>
        </w:rPr>
      </w:pPr>
    </w:p>
    <w:p w14:paraId="60CBA69F" w14:textId="77777777" w:rsidR="0039373B" w:rsidRPr="00887A1F" w:rsidRDefault="00887A1F" w:rsidP="0039373B">
      <w:pPr>
        <w:pStyle w:val="a3"/>
        <w:jc w:val="center"/>
        <w:rPr>
          <w:color w:val="FFFFFF"/>
          <w:sz w:val="2"/>
          <w:szCs w:val="2"/>
          <w:rtl/>
        </w:rPr>
      </w:pPr>
      <w:r w:rsidRPr="00887A1F">
        <w:rPr>
          <w:color w:val="FFFFFF"/>
          <w:sz w:val="2"/>
          <w:szCs w:val="2"/>
          <w:rtl/>
        </w:rPr>
        <w:t>5129371</w:t>
      </w:r>
    </w:p>
    <w:p w14:paraId="7FC40629" w14:textId="77777777" w:rsidR="00896DC7" w:rsidRPr="00887A1F" w:rsidRDefault="00887A1F" w:rsidP="00896DC7">
      <w:pPr>
        <w:keepNext/>
        <w:rPr>
          <w:rFonts w:ascii="David" w:hAnsi="David"/>
          <w:color w:val="FFFFFF"/>
          <w:sz w:val="2"/>
          <w:szCs w:val="2"/>
          <w:rtl/>
        </w:rPr>
      </w:pPr>
      <w:r w:rsidRPr="00887A1F">
        <w:rPr>
          <w:rFonts w:ascii="David" w:hAnsi="David"/>
          <w:color w:val="FFFFFF"/>
          <w:sz w:val="2"/>
          <w:szCs w:val="2"/>
          <w:rtl/>
        </w:rPr>
        <w:t>54678313</w:t>
      </w:r>
    </w:p>
    <w:p w14:paraId="1E2D6262" w14:textId="77777777" w:rsidR="00896DC7" w:rsidRDefault="00896DC7" w:rsidP="00896DC7">
      <w:pPr>
        <w:rPr>
          <w:rtl/>
        </w:rPr>
      </w:pPr>
    </w:p>
    <w:p w14:paraId="4E241D72" w14:textId="77777777" w:rsidR="00896DC7" w:rsidRDefault="00896DC7" w:rsidP="00896DC7">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5A8A8211" w14:textId="77777777" w:rsidR="00887A1F" w:rsidRPr="00887A1F" w:rsidRDefault="00887A1F" w:rsidP="00887A1F">
      <w:pPr>
        <w:keepNext/>
        <w:rPr>
          <w:rFonts w:ascii="David" w:hAnsi="David"/>
          <w:color w:val="000000"/>
          <w:sz w:val="22"/>
          <w:szCs w:val="22"/>
          <w:rtl/>
        </w:rPr>
      </w:pPr>
    </w:p>
    <w:p w14:paraId="0EACB659" w14:textId="77777777" w:rsidR="00887A1F" w:rsidRPr="00887A1F" w:rsidRDefault="00887A1F" w:rsidP="00887A1F">
      <w:pPr>
        <w:keepNext/>
        <w:rPr>
          <w:rFonts w:ascii="David" w:hAnsi="David"/>
          <w:color w:val="000000"/>
          <w:sz w:val="22"/>
          <w:szCs w:val="22"/>
          <w:rtl/>
        </w:rPr>
      </w:pPr>
      <w:r w:rsidRPr="00887A1F">
        <w:rPr>
          <w:rFonts w:ascii="David" w:hAnsi="David"/>
          <w:color w:val="000000"/>
          <w:sz w:val="22"/>
          <w:szCs w:val="22"/>
          <w:rtl/>
        </w:rPr>
        <w:t>צבי גורפינקל 54678313-/</w:t>
      </w:r>
    </w:p>
    <w:p w14:paraId="12DC2497" w14:textId="77777777" w:rsidR="00B35717" w:rsidRPr="00896DC7" w:rsidRDefault="00887A1F" w:rsidP="00887A1F">
      <w:pPr>
        <w:rPr>
          <w:color w:val="0000FF"/>
          <w:u w:val="single"/>
        </w:rPr>
      </w:pPr>
      <w:r w:rsidRPr="00887A1F">
        <w:rPr>
          <w:color w:val="000000"/>
          <w:u w:val="single"/>
          <w:rtl/>
        </w:rPr>
        <w:t>נוסח מסמך זה כפוף לשינויי ניסוח ועריכה</w:t>
      </w:r>
    </w:p>
    <w:sectPr w:rsidR="00B35717" w:rsidRPr="00896DC7" w:rsidSect="00887A1F">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B9D4D1" w14:textId="77777777" w:rsidR="00D6226E" w:rsidRDefault="00D6226E">
      <w:r>
        <w:separator/>
      </w:r>
    </w:p>
  </w:endnote>
  <w:endnote w:type="continuationSeparator" w:id="0">
    <w:p w14:paraId="5C789C0B" w14:textId="77777777" w:rsidR="00D6226E" w:rsidRDefault="00D62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BA0E0" w14:textId="77777777" w:rsidR="00D6226E" w:rsidRDefault="00D6226E" w:rsidP="00887A1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E47885E" w14:textId="77777777" w:rsidR="00D6226E" w:rsidRPr="00887A1F" w:rsidRDefault="00D6226E" w:rsidP="00887A1F">
    <w:pPr>
      <w:pStyle w:val="a4"/>
      <w:pBdr>
        <w:top w:val="single" w:sz="4" w:space="1" w:color="auto"/>
        <w:between w:val="single" w:sz="4" w:space="0" w:color="auto"/>
      </w:pBdr>
      <w:spacing w:after="60"/>
      <w:jc w:val="center"/>
      <w:rPr>
        <w:rFonts w:ascii="FrankRuehl" w:hAnsi="FrankRuehl" w:cs="FrankRuehl"/>
        <w:color w:val="000000"/>
      </w:rPr>
    </w:pPr>
    <w:r w:rsidRPr="00887A1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DBE37" w14:textId="77777777" w:rsidR="00D6226E" w:rsidRDefault="00D6226E" w:rsidP="00887A1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836AC">
      <w:rPr>
        <w:rFonts w:ascii="FrankRuehl" w:hAnsi="FrankRuehl" w:cs="FrankRuehl"/>
        <w:noProof/>
        <w:rtl/>
      </w:rPr>
      <w:t>1</w:t>
    </w:r>
    <w:r>
      <w:rPr>
        <w:rFonts w:ascii="FrankRuehl" w:hAnsi="FrankRuehl" w:cs="FrankRuehl"/>
        <w:rtl/>
      </w:rPr>
      <w:fldChar w:fldCharType="end"/>
    </w:r>
  </w:p>
  <w:p w14:paraId="175703F9" w14:textId="77777777" w:rsidR="00D6226E" w:rsidRPr="00887A1F" w:rsidRDefault="00D6226E" w:rsidP="00887A1F">
    <w:pPr>
      <w:pStyle w:val="a4"/>
      <w:pBdr>
        <w:top w:val="single" w:sz="4" w:space="1" w:color="auto"/>
        <w:between w:val="single" w:sz="4" w:space="0" w:color="auto"/>
      </w:pBdr>
      <w:spacing w:after="60"/>
      <w:jc w:val="center"/>
      <w:rPr>
        <w:rFonts w:ascii="FrankRuehl" w:hAnsi="FrankRuehl" w:cs="FrankRuehl"/>
        <w:color w:val="000000"/>
      </w:rPr>
    </w:pPr>
    <w:r w:rsidRPr="00887A1F">
      <w:rPr>
        <w:rFonts w:ascii="FrankRuehl" w:hAnsi="FrankRuehl" w:cs="FrankRuehl"/>
        <w:color w:val="000000"/>
      </w:rPr>
      <w:pict w14:anchorId="546ACA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B0D81A" w14:textId="77777777" w:rsidR="00D6226E" w:rsidRDefault="00D6226E">
      <w:r>
        <w:separator/>
      </w:r>
    </w:p>
  </w:footnote>
  <w:footnote w:type="continuationSeparator" w:id="0">
    <w:p w14:paraId="4670EAD4" w14:textId="77777777" w:rsidR="00D6226E" w:rsidRDefault="00D622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99C8E2" w14:textId="77777777" w:rsidR="00D6226E" w:rsidRPr="00887A1F" w:rsidRDefault="00D6226E" w:rsidP="00887A1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13882-12-15</w:t>
    </w:r>
    <w:r>
      <w:rPr>
        <w:rFonts w:ascii="David" w:hAnsi="David"/>
        <w:color w:val="000000"/>
        <w:sz w:val="22"/>
        <w:szCs w:val="22"/>
        <w:rtl/>
      </w:rPr>
      <w:tab/>
      <w:t xml:space="preserve"> מדינת ישראל נ' רועי חברה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0A9CA3" w14:textId="77777777" w:rsidR="00D6226E" w:rsidRPr="00887A1F" w:rsidRDefault="00D6226E" w:rsidP="00887A1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13882-12-15</w:t>
    </w:r>
    <w:r>
      <w:rPr>
        <w:rFonts w:ascii="David" w:hAnsi="David"/>
        <w:color w:val="000000"/>
        <w:sz w:val="22"/>
        <w:szCs w:val="22"/>
        <w:rtl/>
      </w:rPr>
      <w:tab/>
      <w:t xml:space="preserve"> מדינת ישראל נ' רועי חברה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9373B"/>
    <w:rsid w:val="00004B4A"/>
    <w:rsid w:val="00010DBD"/>
    <w:rsid w:val="000258C6"/>
    <w:rsid w:val="00092DB2"/>
    <w:rsid w:val="000B222D"/>
    <w:rsid w:val="000F3716"/>
    <w:rsid w:val="000F776E"/>
    <w:rsid w:val="001163D9"/>
    <w:rsid w:val="00123268"/>
    <w:rsid w:val="0013605C"/>
    <w:rsid w:val="0015154B"/>
    <w:rsid w:val="0017711A"/>
    <w:rsid w:val="00203146"/>
    <w:rsid w:val="002474C9"/>
    <w:rsid w:val="002B1389"/>
    <w:rsid w:val="002D2C1C"/>
    <w:rsid w:val="002E4BA2"/>
    <w:rsid w:val="00327617"/>
    <w:rsid w:val="00371D27"/>
    <w:rsid w:val="00374124"/>
    <w:rsid w:val="0039373B"/>
    <w:rsid w:val="003C709F"/>
    <w:rsid w:val="003D65D3"/>
    <w:rsid w:val="003E51B4"/>
    <w:rsid w:val="003F02C5"/>
    <w:rsid w:val="0041450D"/>
    <w:rsid w:val="004408A8"/>
    <w:rsid w:val="004D1A95"/>
    <w:rsid w:val="004D5997"/>
    <w:rsid w:val="00533D5C"/>
    <w:rsid w:val="00551C5E"/>
    <w:rsid w:val="005638FB"/>
    <w:rsid w:val="00582B08"/>
    <w:rsid w:val="005847C1"/>
    <w:rsid w:val="005B4DDE"/>
    <w:rsid w:val="005E305D"/>
    <w:rsid w:val="00671477"/>
    <w:rsid w:val="006D1E81"/>
    <w:rsid w:val="00710EDB"/>
    <w:rsid w:val="007171C2"/>
    <w:rsid w:val="00720984"/>
    <w:rsid w:val="007836AC"/>
    <w:rsid w:val="007900C5"/>
    <w:rsid w:val="007A3B68"/>
    <w:rsid w:val="007D10E0"/>
    <w:rsid w:val="007E62CB"/>
    <w:rsid w:val="008043FC"/>
    <w:rsid w:val="008057C3"/>
    <w:rsid w:val="00860D56"/>
    <w:rsid w:val="00866CE3"/>
    <w:rsid w:val="00875CAA"/>
    <w:rsid w:val="008760F0"/>
    <w:rsid w:val="00887A1F"/>
    <w:rsid w:val="00896DC7"/>
    <w:rsid w:val="008B2C82"/>
    <w:rsid w:val="008D4AF6"/>
    <w:rsid w:val="00901DEA"/>
    <w:rsid w:val="00913EC5"/>
    <w:rsid w:val="00946CA3"/>
    <w:rsid w:val="009A4E50"/>
    <w:rsid w:val="009A720E"/>
    <w:rsid w:val="009B4682"/>
    <w:rsid w:val="009C7BEA"/>
    <w:rsid w:val="00A03304"/>
    <w:rsid w:val="00A24369"/>
    <w:rsid w:val="00A472AB"/>
    <w:rsid w:val="00A52B25"/>
    <w:rsid w:val="00A96648"/>
    <w:rsid w:val="00AE1669"/>
    <w:rsid w:val="00B07251"/>
    <w:rsid w:val="00B10E9A"/>
    <w:rsid w:val="00B24722"/>
    <w:rsid w:val="00B35717"/>
    <w:rsid w:val="00B47E2E"/>
    <w:rsid w:val="00B6502B"/>
    <w:rsid w:val="00B73086"/>
    <w:rsid w:val="00B73F31"/>
    <w:rsid w:val="00B922D9"/>
    <w:rsid w:val="00B970C5"/>
    <w:rsid w:val="00BA5B6F"/>
    <w:rsid w:val="00BD5087"/>
    <w:rsid w:val="00BF5C5D"/>
    <w:rsid w:val="00C22EAD"/>
    <w:rsid w:val="00C25259"/>
    <w:rsid w:val="00C303EF"/>
    <w:rsid w:val="00C66536"/>
    <w:rsid w:val="00C6661F"/>
    <w:rsid w:val="00C9418A"/>
    <w:rsid w:val="00D11A80"/>
    <w:rsid w:val="00D308EF"/>
    <w:rsid w:val="00D357B5"/>
    <w:rsid w:val="00D40041"/>
    <w:rsid w:val="00D56203"/>
    <w:rsid w:val="00D6226E"/>
    <w:rsid w:val="00D807AC"/>
    <w:rsid w:val="00DD36BA"/>
    <w:rsid w:val="00DE1662"/>
    <w:rsid w:val="00E45CCB"/>
    <w:rsid w:val="00E61C95"/>
    <w:rsid w:val="00EA60CD"/>
    <w:rsid w:val="00EE2A1B"/>
    <w:rsid w:val="00F274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9FC84DD"/>
  <w15:chartTrackingRefBased/>
  <w15:docId w15:val="{83C6BB29-66D3-4D46-9D6A-1F463B76D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9373B"/>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39373B"/>
    <w:pPr>
      <w:tabs>
        <w:tab w:val="center" w:pos="4153"/>
        <w:tab w:val="right" w:pos="8306"/>
      </w:tabs>
    </w:pPr>
  </w:style>
  <w:style w:type="paragraph" w:styleId="a4">
    <w:name w:val="footer"/>
    <w:basedOn w:val="a"/>
    <w:rsid w:val="0039373B"/>
    <w:pPr>
      <w:tabs>
        <w:tab w:val="center" w:pos="4153"/>
        <w:tab w:val="right" w:pos="8306"/>
      </w:tabs>
    </w:pPr>
  </w:style>
  <w:style w:type="character" w:styleId="a5">
    <w:name w:val="page number"/>
    <w:basedOn w:val="a0"/>
    <w:rsid w:val="0039373B"/>
  </w:style>
  <w:style w:type="character" w:styleId="Hyperlink">
    <w:name w:val="Hyperlink"/>
    <w:basedOn w:val="a0"/>
    <w:rsid w:val="00896D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 TargetMode="External"/><Relationship Id="rId18" Type="http://schemas.openxmlformats.org/officeDocument/2006/relationships/hyperlink" Target="http://www.nevo.co.il/law/70301/415" TargetMode="External"/><Relationship Id="rId26" Type="http://schemas.openxmlformats.org/officeDocument/2006/relationships/hyperlink" Target="http://www.nevo.co.il/law/4216/13" TargetMode="External"/><Relationship Id="rId39" Type="http://schemas.openxmlformats.org/officeDocument/2006/relationships/footer" Target="footer2.xml"/><Relationship Id="rId21" Type="http://schemas.openxmlformats.org/officeDocument/2006/relationships/hyperlink" Target="http://www.nevo.co.il/law/4216" TargetMode="External"/><Relationship Id="rId34" Type="http://schemas.openxmlformats.org/officeDocument/2006/relationships/hyperlink" Target="http://www.nevo.co.il/case/5463387" TargetMode="External"/><Relationship Id="rId7" Type="http://schemas.openxmlformats.org/officeDocument/2006/relationships/hyperlink" Target="http://www.nevo.co.il/law/70301/25" TargetMode="External"/><Relationship Id="rId2" Type="http://schemas.openxmlformats.org/officeDocument/2006/relationships/settings" Target="settings.xml"/><Relationship Id="rId16" Type="http://schemas.openxmlformats.org/officeDocument/2006/relationships/hyperlink" Target="http://www.nevo.co.il/law/70301/284" TargetMode="External"/><Relationship Id="rId20" Type="http://schemas.openxmlformats.org/officeDocument/2006/relationships/hyperlink" Target="http://www.nevo.co.il/law/4216/13" TargetMode="External"/><Relationship Id="rId29" Type="http://schemas.openxmlformats.org/officeDocument/2006/relationships/hyperlink" Target="http://www.nevo.co.il/law/70301/284"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415" TargetMode="External"/><Relationship Id="rId24" Type="http://schemas.openxmlformats.org/officeDocument/2006/relationships/hyperlink" Target="http://www.nevo.co.il/law/70301/415" TargetMode="External"/><Relationship Id="rId32" Type="http://schemas.openxmlformats.org/officeDocument/2006/relationships/hyperlink" Target="http://www.nevo.co.il/law/4216"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84255/220.5" TargetMode="External"/><Relationship Id="rId23" Type="http://schemas.openxmlformats.org/officeDocument/2006/relationships/hyperlink" Target="http://www.nevo.co.il/law/70301/295.a" TargetMode="External"/><Relationship Id="rId28" Type="http://schemas.openxmlformats.org/officeDocument/2006/relationships/hyperlink" Target="http://www.nevo.co.il/law/70301/31" TargetMode="External"/><Relationship Id="rId36" Type="http://schemas.openxmlformats.org/officeDocument/2006/relationships/header" Target="header1.xml"/><Relationship Id="rId10" Type="http://schemas.openxmlformats.org/officeDocument/2006/relationships/hyperlink" Target="http://www.nevo.co.il/law/70301/295.a" TargetMode="External"/><Relationship Id="rId19" Type="http://schemas.openxmlformats.org/officeDocument/2006/relationships/hyperlink" Target="http://www.nevo.co.il/law/70301/25" TargetMode="External"/><Relationship Id="rId31" Type="http://schemas.openxmlformats.org/officeDocument/2006/relationships/hyperlink" Target="http://www.nevo.co.il/law/84255" TargetMode="External"/><Relationship Id="rId4" Type="http://schemas.openxmlformats.org/officeDocument/2006/relationships/footnotes" Target="footnotes.xml"/><Relationship Id="rId9" Type="http://schemas.openxmlformats.org/officeDocument/2006/relationships/hyperlink" Target="http://www.nevo.co.il/law/70301/284" TargetMode="External"/><Relationship Id="rId14" Type="http://schemas.openxmlformats.org/officeDocument/2006/relationships/hyperlink" Target="http://www.nevo.co.il/law/84255" TargetMode="External"/><Relationship Id="rId22" Type="http://schemas.openxmlformats.org/officeDocument/2006/relationships/hyperlink" Target="http://www.nevo.co.il/law/70301/25" TargetMode="External"/><Relationship Id="rId27" Type="http://schemas.openxmlformats.org/officeDocument/2006/relationships/hyperlink" Target="http://www.nevo.co.il/law/70301/415" TargetMode="External"/><Relationship Id="rId30" Type="http://schemas.openxmlformats.org/officeDocument/2006/relationships/hyperlink" Target="http://www.nevo.co.il/law/84255/220.5"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70301/31" TargetMode="External"/><Relationship Id="rId3" Type="http://schemas.openxmlformats.org/officeDocument/2006/relationships/webSettings" Target="webSettings.xml"/><Relationship Id="rId12" Type="http://schemas.openxmlformats.org/officeDocument/2006/relationships/hyperlink" Target="http://www.nevo.co.il/law/4216"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31" TargetMode="External"/><Relationship Id="rId33" Type="http://schemas.openxmlformats.org/officeDocument/2006/relationships/hyperlink" Target="http://www.nevo.co.il/case/5463387"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1632</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9776</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3604603</vt:i4>
      </vt:variant>
      <vt:variant>
        <vt:i4>84</vt:i4>
      </vt:variant>
      <vt:variant>
        <vt:i4>0</vt:i4>
      </vt:variant>
      <vt:variant>
        <vt:i4>5</vt:i4>
      </vt:variant>
      <vt:variant>
        <vt:lpwstr>http://www.nevo.co.il/case/5463387</vt:lpwstr>
      </vt:variant>
      <vt:variant>
        <vt:lpwstr/>
      </vt:variant>
      <vt:variant>
        <vt:i4>3604603</vt:i4>
      </vt:variant>
      <vt:variant>
        <vt:i4>81</vt:i4>
      </vt:variant>
      <vt:variant>
        <vt:i4>0</vt:i4>
      </vt:variant>
      <vt:variant>
        <vt:i4>5</vt:i4>
      </vt:variant>
      <vt:variant>
        <vt:lpwstr>http://www.nevo.co.il/case/5463387</vt:lpwstr>
      </vt:variant>
      <vt:variant>
        <vt:lpwstr/>
      </vt:variant>
      <vt:variant>
        <vt:i4>8257637</vt:i4>
      </vt:variant>
      <vt:variant>
        <vt:i4>78</vt:i4>
      </vt:variant>
      <vt:variant>
        <vt:i4>0</vt:i4>
      </vt:variant>
      <vt:variant>
        <vt:i4>5</vt:i4>
      </vt:variant>
      <vt:variant>
        <vt:lpwstr>http://www.nevo.co.il/law/4216</vt:lpwstr>
      </vt:variant>
      <vt:variant>
        <vt:lpwstr/>
      </vt:variant>
      <vt:variant>
        <vt:i4>8061034</vt:i4>
      </vt:variant>
      <vt:variant>
        <vt:i4>75</vt:i4>
      </vt:variant>
      <vt:variant>
        <vt:i4>0</vt:i4>
      </vt:variant>
      <vt:variant>
        <vt:i4>5</vt:i4>
      </vt:variant>
      <vt:variant>
        <vt:lpwstr>http://www.nevo.co.il/law/84255</vt:lpwstr>
      </vt:variant>
      <vt:variant>
        <vt:lpwstr/>
      </vt:variant>
      <vt:variant>
        <vt:i4>4718685</vt:i4>
      </vt:variant>
      <vt:variant>
        <vt:i4>72</vt:i4>
      </vt:variant>
      <vt:variant>
        <vt:i4>0</vt:i4>
      </vt:variant>
      <vt:variant>
        <vt:i4>5</vt:i4>
      </vt:variant>
      <vt:variant>
        <vt:lpwstr>http://www.nevo.co.il/law/84255/220.5</vt:lpwstr>
      </vt:variant>
      <vt:variant>
        <vt:lpwstr/>
      </vt:variant>
      <vt:variant>
        <vt:i4>7143527</vt:i4>
      </vt:variant>
      <vt:variant>
        <vt:i4>69</vt:i4>
      </vt:variant>
      <vt:variant>
        <vt:i4>0</vt:i4>
      </vt:variant>
      <vt:variant>
        <vt:i4>5</vt:i4>
      </vt:variant>
      <vt:variant>
        <vt:lpwstr>http://www.nevo.co.il/law/70301/284</vt:lpwstr>
      </vt:variant>
      <vt:variant>
        <vt:lpwstr/>
      </vt:variant>
      <vt:variant>
        <vt:i4>6553702</vt:i4>
      </vt:variant>
      <vt:variant>
        <vt:i4>66</vt:i4>
      </vt:variant>
      <vt:variant>
        <vt:i4>0</vt:i4>
      </vt:variant>
      <vt:variant>
        <vt:i4>5</vt:i4>
      </vt:variant>
      <vt:variant>
        <vt:lpwstr>http://www.nevo.co.il/law/70301/31</vt:lpwstr>
      </vt:variant>
      <vt:variant>
        <vt:lpwstr/>
      </vt:variant>
      <vt:variant>
        <vt:i4>6553697</vt:i4>
      </vt:variant>
      <vt:variant>
        <vt:i4>63</vt:i4>
      </vt:variant>
      <vt:variant>
        <vt:i4>0</vt:i4>
      </vt:variant>
      <vt:variant>
        <vt:i4>5</vt:i4>
      </vt:variant>
      <vt:variant>
        <vt:lpwstr>http://www.nevo.co.il/law/70301/415</vt:lpwstr>
      </vt:variant>
      <vt:variant>
        <vt:lpwstr/>
      </vt:variant>
      <vt:variant>
        <vt:i4>5177418</vt:i4>
      </vt:variant>
      <vt:variant>
        <vt:i4>60</vt:i4>
      </vt:variant>
      <vt:variant>
        <vt:i4>0</vt:i4>
      </vt:variant>
      <vt:variant>
        <vt:i4>5</vt:i4>
      </vt:variant>
      <vt:variant>
        <vt:lpwstr>http://www.nevo.co.il/law/4216/13</vt:lpwstr>
      </vt:variant>
      <vt:variant>
        <vt:lpwstr/>
      </vt:variant>
      <vt:variant>
        <vt:i4>6553702</vt:i4>
      </vt:variant>
      <vt:variant>
        <vt:i4>57</vt:i4>
      </vt:variant>
      <vt:variant>
        <vt:i4>0</vt:i4>
      </vt:variant>
      <vt:variant>
        <vt:i4>5</vt:i4>
      </vt:variant>
      <vt:variant>
        <vt:lpwstr>http://www.nevo.co.il/law/70301/31</vt:lpwstr>
      </vt:variant>
      <vt:variant>
        <vt:lpwstr/>
      </vt:variant>
      <vt:variant>
        <vt:i4>6553697</vt:i4>
      </vt:variant>
      <vt:variant>
        <vt:i4>54</vt:i4>
      </vt:variant>
      <vt:variant>
        <vt:i4>0</vt:i4>
      </vt:variant>
      <vt:variant>
        <vt:i4>5</vt:i4>
      </vt:variant>
      <vt:variant>
        <vt:lpwstr>http://www.nevo.co.il/law/70301/415</vt:lpwstr>
      </vt:variant>
      <vt:variant>
        <vt:lpwstr/>
      </vt:variant>
      <vt:variant>
        <vt:i4>4325458</vt:i4>
      </vt:variant>
      <vt:variant>
        <vt:i4>51</vt:i4>
      </vt:variant>
      <vt:variant>
        <vt:i4>0</vt:i4>
      </vt:variant>
      <vt:variant>
        <vt:i4>5</vt:i4>
      </vt:variant>
      <vt:variant>
        <vt:lpwstr>http://www.nevo.co.il/law/70301/295.a</vt:lpwstr>
      </vt:variant>
      <vt:variant>
        <vt:lpwstr/>
      </vt:variant>
      <vt:variant>
        <vt:i4>6291559</vt:i4>
      </vt:variant>
      <vt:variant>
        <vt:i4>48</vt:i4>
      </vt:variant>
      <vt:variant>
        <vt:i4>0</vt:i4>
      </vt:variant>
      <vt:variant>
        <vt:i4>5</vt:i4>
      </vt:variant>
      <vt:variant>
        <vt:lpwstr>http://www.nevo.co.il/law/70301/25</vt:lpwstr>
      </vt:variant>
      <vt:variant>
        <vt:lpwstr/>
      </vt:variant>
      <vt:variant>
        <vt:i4>8257637</vt:i4>
      </vt:variant>
      <vt:variant>
        <vt:i4>45</vt:i4>
      </vt:variant>
      <vt:variant>
        <vt:i4>0</vt:i4>
      </vt:variant>
      <vt:variant>
        <vt:i4>5</vt:i4>
      </vt:variant>
      <vt:variant>
        <vt:lpwstr>http://www.nevo.co.il/law/4216</vt:lpwstr>
      </vt:variant>
      <vt:variant>
        <vt:lpwstr/>
      </vt:variant>
      <vt:variant>
        <vt:i4>5177418</vt:i4>
      </vt:variant>
      <vt:variant>
        <vt:i4>42</vt:i4>
      </vt:variant>
      <vt:variant>
        <vt:i4>0</vt:i4>
      </vt:variant>
      <vt:variant>
        <vt:i4>5</vt:i4>
      </vt:variant>
      <vt:variant>
        <vt:lpwstr>http://www.nevo.co.il/law/4216/13</vt:lpwstr>
      </vt:variant>
      <vt:variant>
        <vt:lpwstr/>
      </vt:variant>
      <vt:variant>
        <vt:i4>6291559</vt:i4>
      </vt:variant>
      <vt:variant>
        <vt:i4>39</vt:i4>
      </vt:variant>
      <vt:variant>
        <vt:i4>0</vt:i4>
      </vt:variant>
      <vt:variant>
        <vt:i4>5</vt:i4>
      </vt:variant>
      <vt:variant>
        <vt:lpwstr>http://www.nevo.co.il/law/70301/25</vt:lpwstr>
      </vt:variant>
      <vt:variant>
        <vt:lpwstr/>
      </vt:variant>
      <vt:variant>
        <vt:i4>6553697</vt:i4>
      </vt:variant>
      <vt:variant>
        <vt:i4>36</vt:i4>
      </vt:variant>
      <vt:variant>
        <vt:i4>0</vt:i4>
      </vt:variant>
      <vt:variant>
        <vt:i4>5</vt:i4>
      </vt:variant>
      <vt:variant>
        <vt:lpwstr>http://www.nevo.co.il/law/70301/415</vt:lpwstr>
      </vt:variant>
      <vt:variant>
        <vt:lpwstr/>
      </vt:variant>
      <vt:variant>
        <vt:i4>7995492</vt:i4>
      </vt:variant>
      <vt:variant>
        <vt:i4>33</vt:i4>
      </vt:variant>
      <vt:variant>
        <vt:i4>0</vt:i4>
      </vt:variant>
      <vt:variant>
        <vt:i4>5</vt:i4>
      </vt:variant>
      <vt:variant>
        <vt:lpwstr>http://www.nevo.co.il/law/70301</vt:lpwstr>
      </vt:variant>
      <vt:variant>
        <vt:lpwstr/>
      </vt:variant>
      <vt:variant>
        <vt:i4>7143527</vt:i4>
      </vt:variant>
      <vt:variant>
        <vt:i4>30</vt:i4>
      </vt:variant>
      <vt:variant>
        <vt:i4>0</vt:i4>
      </vt:variant>
      <vt:variant>
        <vt:i4>5</vt:i4>
      </vt:variant>
      <vt:variant>
        <vt:lpwstr>http://www.nevo.co.il/law/70301/284</vt:lpwstr>
      </vt:variant>
      <vt:variant>
        <vt:lpwstr/>
      </vt:variant>
      <vt:variant>
        <vt:i4>4718685</vt:i4>
      </vt:variant>
      <vt:variant>
        <vt:i4>27</vt:i4>
      </vt:variant>
      <vt:variant>
        <vt:i4>0</vt:i4>
      </vt:variant>
      <vt:variant>
        <vt:i4>5</vt:i4>
      </vt:variant>
      <vt:variant>
        <vt:lpwstr>http://www.nevo.co.il/law/84255/220.5</vt:lpwstr>
      </vt:variant>
      <vt:variant>
        <vt:lpwstr/>
      </vt:variant>
      <vt:variant>
        <vt:i4>8061034</vt:i4>
      </vt:variant>
      <vt:variant>
        <vt:i4>24</vt:i4>
      </vt:variant>
      <vt:variant>
        <vt:i4>0</vt:i4>
      </vt:variant>
      <vt:variant>
        <vt:i4>5</vt:i4>
      </vt:variant>
      <vt:variant>
        <vt:lpwstr>http://www.nevo.co.il/law/84255</vt:lpwstr>
      </vt:variant>
      <vt:variant>
        <vt:lpwstr/>
      </vt:variant>
      <vt:variant>
        <vt:i4>5177418</vt:i4>
      </vt:variant>
      <vt:variant>
        <vt:i4>21</vt:i4>
      </vt:variant>
      <vt:variant>
        <vt:i4>0</vt:i4>
      </vt:variant>
      <vt:variant>
        <vt:i4>5</vt:i4>
      </vt:variant>
      <vt:variant>
        <vt:lpwstr>http://www.nevo.co.il/law/4216/13</vt:lpwstr>
      </vt:variant>
      <vt:variant>
        <vt:lpwstr/>
      </vt:variant>
      <vt:variant>
        <vt:i4>8257637</vt:i4>
      </vt:variant>
      <vt:variant>
        <vt:i4>18</vt:i4>
      </vt:variant>
      <vt:variant>
        <vt:i4>0</vt:i4>
      </vt:variant>
      <vt:variant>
        <vt:i4>5</vt:i4>
      </vt:variant>
      <vt:variant>
        <vt:lpwstr>http://www.nevo.co.il/law/4216</vt:lpwstr>
      </vt:variant>
      <vt:variant>
        <vt:lpwstr/>
      </vt:variant>
      <vt:variant>
        <vt:i4>6553697</vt:i4>
      </vt:variant>
      <vt:variant>
        <vt:i4>15</vt:i4>
      </vt:variant>
      <vt:variant>
        <vt:i4>0</vt:i4>
      </vt:variant>
      <vt:variant>
        <vt:i4>5</vt:i4>
      </vt:variant>
      <vt:variant>
        <vt:lpwstr>http://www.nevo.co.il/law/70301/415</vt:lpwstr>
      </vt:variant>
      <vt:variant>
        <vt:lpwstr/>
      </vt:variant>
      <vt:variant>
        <vt:i4>4325458</vt:i4>
      </vt:variant>
      <vt:variant>
        <vt:i4>12</vt:i4>
      </vt:variant>
      <vt:variant>
        <vt:i4>0</vt:i4>
      </vt:variant>
      <vt:variant>
        <vt:i4>5</vt:i4>
      </vt:variant>
      <vt:variant>
        <vt:lpwstr>http://www.nevo.co.il/law/70301/295.a</vt:lpwstr>
      </vt:variant>
      <vt:variant>
        <vt:lpwstr/>
      </vt:variant>
      <vt:variant>
        <vt:i4>7143527</vt:i4>
      </vt:variant>
      <vt:variant>
        <vt:i4>9</vt:i4>
      </vt:variant>
      <vt:variant>
        <vt:i4>0</vt:i4>
      </vt:variant>
      <vt:variant>
        <vt:i4>5</vt:i4>
      </vt:variant>
      <vt:variant>
        <vt:lpwstr>http://www.nevo.co.il/law/70301/284</vt:lpwstr>
      </vt:variant>
      <vt:variant>
        <vt:lpwstr/>
      </vt:variant>
      <vt:variant>
        <vt:i4>6553702</vt:i4>
      </vt:variant>
      <vt:variant>
        <vt:i4>6</vt:i4>
      </vt:variant>
      <vt:variant>
        <vt:i4>0</vt:i4>
      </vt:variant>
      <vt:variant>
        <vt:i4>5</vt:i4>
      </vt:variant>
      <vt:variant>
        <vt:lpwstr>http://www.nevo.co.il/law/70301/31</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2025-04-22T20:41:00Z</dcterms:created>
  <dcterms:modified xsi:type="dcterms:W3CDTF">2025-04-22T20:41:00Z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13882</vt:lpwstr>
  </property>
  <property fmtid="{D5CDD505-2E9C-101B-9397-08002B2CF9AE}" pid="6" name="NEWPARTB">
    <vt:lpwstr>12</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רועי חברה</vt:lpwstr>
  </property>
  <property fmtid="{D5CDD505-2E9C-101B-9397-08002B2CF9AE}" pid="10" name="LAWYER">
    <vt:lpwstr>נועם שביט;שרון בן צבי</vt:lpwstr>
  </property>
  <property fmtid="{D5CDD505-2E9C-101B-9397-08002B2CF9AE}" pid="11" name="JUDGE">
    <vt:lpwstr>צבי גורפינקל</vt:lpwstr>
  </property>
  <property fmtid="{D5CDD505-2E9C-101B-9397-08002B2CF9AE}" pid="12" name="CITY">
    <vt:lpwstr>ת"א</vt:lpwstr>
  </property>
  <property fmtid="{D5CDD505-2E9C-101B-9397-08002B2CF9AE}" pid="13" name="DATE">
    <vt:lpwstr>20170103</vt:lpwstr>
  </property>
  <property fmtid="{D5CDD505-2E9C-101B-9397-08002B2CF9AE}" pid="14" name="TYPE_N_DATE">
    <vt:lpwstr>39020170103</vt:lpwstr>
  </property>
  <property fmtid="{D5CDD505-2E9C-101B-9397-08002B2CF9AE}" pid="15" name="CASESLISTTMP1">
    <vt:lpwstr>5463387:2</vt:lpwstr>
  </property>
  <property fmtid="{D5CDD505-2E9C-101B-9397-08002B2CF9AE}" pid="16" name="CASENOTES1">
    <vt:lpwstr>ProcID=262&amp;PartA=2011&amp;PartC=20</vt:lpwstr>
  </property>
  <property fmtid="{D5CDD505-2E9C-101B-9397-08002B2CF9AE}" pid="17" name="WORDNUMPAGES">
    <vt:lpwstr>5</vt:lpwstr>
  </property>
  <property fmtid="{D5CDD505-2E9C-101B-9397-08002B2CF9AE}" pid="18" name="TYPE_ABS_DATE">
    <vt:lpwstr>390020170103</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70301/284:2;415:3;025:2;295.a;031:2</vt:lpwstr>
  </property>
  <property fmtid="{D5CDD505-2E9C-101B-9397-08002B2CF9AE}" pid="37" name="LAWLISTTMP2">
    <vt:lpwstr>4216/013:2</vt:lpwstr>
  </property>
  <property fmtid="{D5CDD505-2E9C-101B-9397-08002B2CF9AE}" pid="38" name="LAWLISTTMP3">
    <vt:lpwstr>84255/220.5</vt:lpwstr>
  </property>
</Properties>
</file>